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30,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5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47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7370</w:t>
            </w:r>
          </w:p>
        </w:tc>
        <w:tc>
          <w:tcPr>
            <w:tcW w:w="34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87"/>
        </w:trPr>
        <w:tc>
          <w:tcPr>
            <w:tcW w:w="31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40" w:type="dxa"/>
            <w:vAlign w:val="bottom"/>
          </w:tcPr>
          <w:p>
            <w:pPr>
              <w:spacing w:after="0"/>
              <w:rPr>
                <w:sz w:val="16"/>
                <w:szCs w:val="16"/>
                <w:color w:val="auto"/>
              </w:rPr>
            </w:pPr>
          </w:p>
        </w:tc>
        <w:tc>
          <w:tcPr>
            <w:tcW w:w="43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(Primary Standard Industrial</w:t>
            </w:r>
          </w:p>
        </w:tc>
        <w:tc>
          <w:tcPr>
            <w:tcW w:w="340" w:type="dxa"/>
            <w:vAlign w:val="bottom"/>
          </w:tcPr>
          <w:p>
            <w:pPr>
              <w:spacing w:after="0"/>
              <w:rPr>
                <w:sz w:val="16"/>
                <w:szCs w:val="16"/>
                <w:color w:val="auto"/>
              </w:rPr>
            </w:pPr>
          </w:p>
        </w:tc>
        <w:tc>
          <w:tcPr>
            <w:tcW w:w="30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4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Classification Code Number)</w:t>
            </w:r>
          </w:p>
        </w:tc>
        <w:tc>
          <w:tcPr>
            <w:tcW w:w="34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(+44 204 625 9700)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+1 (212) 947-7200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Gerry Williams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Penny Minna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DLA Piper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1201 W Peachtree St NE #2800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Atlanta, GA 30309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(404) 736-7800</w:t>
      </w: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this Registration Statement becomes effective.</w:t>
      </w:r>
    </w:p>
    <w:p>
      <w:pPr>
        <w:spacing w:after="0" w:line="81"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22"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35" w:lineRule="exact"/>
        <w:rPr>
          <w:sz w:val="24"/>
          <w:szCs w:val="24"/>
          <w:color w:val="auto"/>
        </w:rPr>
      </w:pPr>
    </w:p>
    <w:p>
      <w:pPr>
        <w:ind w:right="5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2"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2" w:lineRule="exact"/>
        <w:rPr>
          <w:sz w:val="24"/>
          <w:szCs w:val="24"/>
          <w:color w:val="auto"/>
        </w:rPr>
      </w:pPr>
    </w:p>
    <w:p>
      <w:pPr>
        <w:ind w:right="1740"/>
        <w:spacing w:after="0" w:line="280" w:lineRule="exact"/>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Emerging growth company</w:t>
      </w:r>
      <w:r>
        <w:rPr>
          <w:rFonts w:ascii="MS PGothic" w:cs="MS PGothic" w:eastAsia="MS PGothic" w:hAnsi="MS PGothic"/>
          <w:sz w:val="18"/>
          <w:szCs w:val="18"/>
          <w:color w:val="auto"/>
        </w:rPr>
        <w:t>☒</w:t>
      </w:r>
    </w:p>
    <w:p>
      <w:pPr>
        <w:spacing w:after="0" w:line="22" w:lineRule="exact"/>
        <w:rPr>
          <w:sz w:val="24"/>
          <w:szCs w:val="24"/>
          <w:color w:val="auto"/>
        </w:rPr>
      </w:pPr>
    </w:p>
    <w:p>
      <w:pPr>
        <w:jc w:val="both"/>
        <w:ind w:right="160"/>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prepared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ind w:right="120"/>
        <w:spacing w:after="0" w:line="253"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 w:name="page2"/>
    <w:bookmarkEnd w:id="1"/>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FC0000"/>
        </w:rPr>
        <w:t>The information in this prospectus is not complete and may be changed. No securities may be sold pursuant to this prospectus until the registration statement filed with the Securities and Exchange Commission is effective. This prospectus is not an offer to sell and is not soliciting an offer to buy the securities in any jurisdiction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00"/>
        </w:rPr>
        <w:t>SUBJECT TO COMPLETION, DATED JULY 30, 2025</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00"/>
        </w:rPr>
        <w:t>PRELIMINARY PROSPECTUS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Up to 20,000,000 Ordinary Shares </w:t>
      </w:r>
      <w:r>
        <w:rPr>
          <w:rFonts w:ascii="Times New Roman" w:cs="Times New Roman" w:eastAsia="Times New Roman" w:hAnsi="Times New Roman"/>
          <w:sz w:val="18"/>
          <w:szCs w:val="18"/>
          <w:b w:val="1"/>
          <w:bCs w:val="1"/>
          <w:i w:val="1"/>
          <w:iCs w:val="1"/>
          <w:color w:val="auto"/>
        </w:rPr>
        <w:t>(for resale)</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This prospectus relates to the resale by certain selling security holders named herein (the “</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of up to 20,000,000 Ordinary Shares issued in connection with the PIPE Financing (as defined herein).</w:t>
      </w:r>
    </w:p>
    <w:p>
      <w:pPr>
        <w:spacing w:after="0" w:line="9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Certain of the Selling Holders may have acquired the securities registered hereunder at prices substantially below current market prices and may therefore have incentive to sell their securities in this offering. Public securityholders who purchased their Rezolve securities at higher prices than the Selling Holders may experience lower rates of return (if any) than the Selling Holders, due to differences in purchase prices and the potential trading price at which they may be able to sell (see “</w:t>
      </w:r>
      <w:r>
        <w:rPr>
          <w:rFonts w:ascii="Times New Roman" w:cs="Times New Roman" w:eastAsia="Times New Roman" w:hAnsi="Times New Roman"/>
          <w:sz w:val="18"/>
          <w:szCs w:val="18"/>
          <w:i w:val="1"/>
          <w:iCs w:val="1"/>
          <w:color w:val="auto"/>
        </w:rPr>
        <w:t>Risk Factors —  Risks Related to Ownership of Ordinary Shares and Rezolve Operating as a Public Company —  The 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price of Ordinary Shares could be volatile, and the value of Ordinary Shares may decline.</w:t>
      </w:r>
      <w:r>
        <w:rPr>
          <w:rFonts w:ascii="Times New Roman" w:cs="Times New Roman" w:eastAsia="Times New Roman" w:hAnsi="Times New Roman"/>
          <w:sz w:val="18"/>
          <w:szCs w:val="18"/>
          <w:color w:val="auto"/>
        </w:rPr>
        <w:t>”). The Ordinary Shares being offered for resale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by the Selling Holders represent approximately 7.03% of the outstanding Ordinary Shares as of the date of this prospectus. Given the substantial number of Ordinary Shares being registered for potential resale by Selling Holders pursuant to this prospectus, the sale of shares by the Selling Holders, or the perception in the market that the Selling Securityholders of a large number of shares intend to sell shares, could increase the volatility of the market price of the Ordinary Shares or result in a significant decline in the public trading price of the Ordinary Shares.</w:t>
      </w:r>
    </w:p>
    <w:p>
      <w:pPr>
        <w:spacing w:after="0" w:line="1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the Selling Holders may offer or sell the securities. More specific terms of any securities that the Selling 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will not receive any proceeds from the sale of the Ordinary Shares by the Selling Holders pursuant to this prospectus. We will pay the expenses in connection with the preparation of this prospectus and associated with the sale of securities pursuant to this prospectus. Our registration of the securities covered by this prospectus does not mean that either the Selling Holders will issue, offer or sell, as applicable, any of the securities. The Selling Holders may offer and sell the securities covered by this prospectus in a number of different ways and at varying prices. We provide more information in the section entitled </w:t>
      </w:r>
      <w:r>
        <w:rPr>
          <w:rFonts w:ascii="Times New Roman" w:cs="Times New Roman" w:eastAsia="Times New Roman" w:hAnsi="Times New Roman"/>
          <w:sz w:val="18"/>
          <w:szCs w:val="18"/>
          <w:i w:val="1"/>
          <w:iCs w:val="1"/>
          <w:color w:val="auto"/>
        </w:rPr>
        <w:t>“Plan of Distribution.”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w:t>
      </w:r>
    </w:p>
    <w:p>
      <w:pPr>
        <w:spacing w:after="0" w:line="14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The Ordinary Shares and the Public Warrants (as defined herein) are traded on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under the symbols “RZLV." On July 29, 2025, the closing price of the Ordinary Shares was $2.75 per share.</w:t>
      </w:r>
    </w:p>
    <w:p>
      <w:pPr>
        <w:spacing w:after="0" w:line="9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Given the substantial amount of redemptions in connection with the Business Combination, and the relative lack of liquidity in our stock, sales of the Ordinary Shares under the registration statement of which this prospectus is a part could result in a significant decline in the market price of our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10 and in any applicable prospectus supplement.</w:t>
      </w:r>
    </w:p>
    <w:p>
      <w:pPr>
        <w:spacing w:after="0" w:line="158"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or any state securities commission has approved or disapproved of the securities or determined if this prospectus is accurate or adequate.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412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4010"/>
              <w:spacing w:after="0"/>
              <w:rPr>
                <w:sz w:val="20"/>
                <w:szCs w:val="20"/>
                <w:color w:val="auto"/>
              </w:rPr>
            </w:pPr>
            <w:r>
              <w:rPr>
                <w:rFonts w:ascii="Times New Roman" w:cs="Times New Roman" w:eastAsia="Times New Roman" w:hAnsi="Times New Roman"/>
                <w:sz w:val="18"/>
                <w:szCs w:val="18"/>
                <w:b w:val="1"/>
                <w:bCs w:val="1"/>
                <w:color w:val="auto"/>
              </w:rPr>
              <w:t>, 2025.</w:t>
            </w:r>
          </w:p>
        </w:tc>
      </w:tr>
      <w:tr>
        <w:trPr>
          <w:trHeight w:val="1411"/>
        </w:trPr>
        <w:tc>
          <w:tcPr>
            <w:tcW w:w="650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20" w:type="dxa"/>
            <w:vAlign w:val="bottom"/>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40" w:type="dxa"/>
            <w:vAlign w:val="bottom"/>
          </w:tcPr>
          <w:p>
            <w:pPr>
              <w:spacing w:after="0"/>
              <w:rPr>
                <w:sz w:val="20"/>
                <w:szCs w:val="20"/>
                <w:color w:val="auto"/>
              </w:rPr>
            </w:pPr>
          </w:p>
        </w:tc>
      </w:tr>
      <w:tr>
        <w:trPr>
          <w:trHeight w:val="391"/>
        </w:trPr>
        <w:tc>
          <w:tcPr>
            <w:tcW w:w="99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ABOUT THIS PROSPECTUS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TRADEMARKS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MARKET AND INDUSTRY DATA</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SELECTED DEFINITIONS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PROSPECTUS SUMMARY</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THE OFFERING</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USE OF PROCEEDS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DIVIDEND POLICY</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MARKET PRICE OF OUR SECURITIES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CAPITALIZATION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UNAUDITED PRO FORMA CONDENSED COMBINED FINANCIAL INFORMATION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tcBorders>
              <w:right w:val="single" w:sz="8" w:color="0000EE"/>
            </w:tcBorders>
            <w:gridSpan w:val="2"/>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BUSINESS OF REZOLVE</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MANAGEMENT AND COMPENSATION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BENEFICIAL OWNERSHIP OF SECURITIES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SELLING HOLDERS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DESCRIPTION OF ORDINARY SHARES, ARTICLES OF ASSOCIATION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MATERIAL INCOME TAX CONSIDERATIONS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PLAN OF DISTRIBUTION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EXPENSES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LEGAL MATTERS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EXPERTS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20"/>
        </w:trPr>
        <w:tc>
          <w:tcPr>
            <w:tcW w:w="8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400" w:type="dxa"/>
            <w:vAlign w:val="bottom"/>
            <w:gridSpan w:val="9"/>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ENFORCEABILITY OF CIVIL LIABILITY</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20"/>
        </w:trPr>
        <w:tc>
          <w:tcPr>
            <w:tcW w:w="2200" w:type="dxa"/>
            <w:vAlign w:val="bottom"/>
            <w:tcBorders>
              <w:left w:val="single" w:sz="8" w:color="0000EE"/>
              <w:right w:val="single" w:sz="8" w:color="0000FF"/>
            </w:tcBorders>
            <w:gridSpan w:val="10"/>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WHERE YOU CAN FIND MORE INFORMATION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20"/>
        </w:trPr>
        <w:tc>
          <w:tcPr>
            <w:tcW w:w="2200" w:type="dxa"/>
            <w:vAlign w:val="bottom"/>
            <w:tcBorders>
              <w:left w:val="single" w:sz="8" w:color="0000EE"/>
              <w:right w:val="single" w:sz="8" w:color="0000FF"/>
            </w:tcBorders>
            <w:gridSpan w:val="10"/>
            <w:shd w:val="clear" w:color="auto" w:fill="0000FF"/>
          </w:tcPr>
          <w:p>
            <w:pPr>
              <w:spacing w:after="0" w:line="20" w:lineRule="exact"/>
              <w:rPr>
                <w:sz w:val="1"/>
                <w:szCs w:val="1"/>
                <w:color w:val="auto"/>
              </w:rPr>
            </w:pPr>
          </w:p>
        </w:tc>
        <w:tc>
          <w:tcPr>
            <w:tcW w:w="1640" w:type="dxa"/>
            <w:vAlign w:val="bottom"/>
            <w:tcBorders>
              <w:left w:val="single" w:sz="8" w:color="0000FF"/>
            </w:tcBorders>
            <w:gridSpan w:val="7"/>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2200" w:type="dxa"/>
            <w:vAlign w:val="bottom"/>
            <w:tcBorders>
              <w:left w:val="single" w:sz="8" w:color="0000EE"/>
              <w:right w:val="single" w:sz="8" w:color="0000EE"/>
            </w:tcBorders>
            <w:gridSpan w:val="10"/>
            <w:shd w:val="clear" w:color="auto" w:fill="0000FF"/>
          </w:tcPr>
          <w:p>
            <w:pPr>
              <w:spacing w:after="0" w:line="20" w:lineRule="exact"/>
              <w:rPr>
                <w:sz w:val="1"/>
                <w:szCs w:val="1"/>
                <w:color w:val="auto"/>
              </w:rPr>
            </w:pPr>
          </w:p>
        </w:tc>
        <w:tc>
          <w:tcPr>
            <w:tcW w:w="1840" w:type="dxa"/>
            <w:vAlign w:val="bottom"/>
            <w:gridSpan w:val="8"/>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INFORMATION NOT REQUIRED IN PROSPECTUS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08" w:right="3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F-l that we filed with the SEC using a “shelf’ registration process. Under this shelf registration process, we and the Selling Holders may, from time to time, issue, offer and sell, as applicable, any combination of the securities described in this prospectus in one or more offerings. The Selling Holders may use the shelf registration statement to sell up to an aggregate of 20,000,000 Ordinary Shares from time to time through any means described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More specific terms of any securities that the Selling Holders offer and sell may be provided in a prospectus supplement that describes, among other things, the specific amounts and prices of the Ordinary Shares being offered and the terms of the offering the Selling Holders may, from time to time, issue, offer and sell, as applicable, any combination of the securities described in this prospectus in one or more offerings.</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8"/>
          <w:szCs w:val="18"/>
          <w:i w:val="1"/>
          <w:iCs w:val="1"/>
          <w:color w:val="auto"/>
        </w:rPr>
        <w:t>“Where You Can Find More Information.”</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Neither we nor the Selling Holders have authorized anyone to provide any information or to make any representations other than those contained in this prospectus, any accompanying prospectus supplement or any free writing prospectus we have prepared. We and the Selling 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More Information.”</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directors of the Company have taken all reasonable care to ensure that the facts stated in this prospectus are true and accurate in all material respects, and that there are no other facts the omission of which would make misleading any statement in the document, whether or facts or of opinion. The directors accept responsibility accordingly.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should be remembered that the price of securities and the income from them can go down as well as 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in any doubt about the contents of this prospectus, you should consult your stockbroker, bank manager, solicitor, accountant or financial adviser.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“Rezolve,” “we,” “us” and “our”, prior to the Pre-Closing Demerger, refer to Rezolve Limited and after the Pre-Closing Demerger, Rezolve AI plc (formerly Rezolve AI Limited), including its subsidiaries.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0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4" w:name="page5"/>
    <w:bookmarkEnd w:id="4"/>
    <w:p>
      <w:pPr>
        <w:spacing w:after="0" w:line="256" w:lineRule="auto"/>
        <w:rPr>
          <w:sz w:val="20"/>
          <w:szCs w:val="20"/>
          <w:color w:val="auto"/>
        </w:rPr>
      </w:pPr>
      <w:r>
        <w:rPr>
          <w:rFonts w:ascii="Times New Roman" w:cs="Times New Roman" w:eastAsia="Times New Roman" w:hAnsi="Times New Roman"/>
          <w:sz w:val="18"/>
          <w:szCs w:val="18"/>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229" w:lineRule="exact"/>
        <w:rPr>
          <w:sz w:val="20"/>
          <w:szCs w:val="20"/>
          <w:color w:val="auto"/>
        </w:rPr>
      </w:pPr>
    </w:p>
    <w:p>
      <w:pPr>
        <w:ind w:right="180" w:firstLine="576"/>
        <w:spacing w:after="0" w:line="282" w:lineRule="auto"/>
        <w:rPr>
          <w:sz w:val="20"/>
          <w:szCs w:val="20"/>
          <w:color w:val="auto"/>
        </w:rPr>
      </w:pPr>
      <w:r>
        <w:rPr>
          <w:rFonts w:ascii="Times New Roman" w:cs="Times New Roman" w:eastAsia="Times New Roman" w:hAnsi="Times New Roman"/>
          <w:sz w:val="18"/>
          <w:szCs w:val="18"/>
          <w:color w:val="auto"/>
        </w:rPr>
        <w:t>Terms defined in the body of this document shall have the meanings attributed to them therein and in addition the following terms shall have the following meanings:</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means Rezolve’s articles of association;</w:t>
      </w:r>
    </w:p>
    <w:p>
      <w:pPr>
        <w:spacing w:after="0" w:line="225" w:lineRule="exact"/>
        <w:rPr>
          <w:sz w:val="20"/>
          <w:szCs w:val="20"/>
          <w:color w:val="auto"/>
        </w:rPr>
      </w:pPr>
    </w:p>
    <w:p>
      <w:pPr>
        <w:ind w:right="140" w:firstLine="57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means the business combination agreement dated as of December 17, 2021, as amended on November 10, 2022 and as further amended and restated on June 16, 2023, as amended on August 4, 2023, and as may be amended from time to time, by and among Armada, Rezolve Limited, Rezolve and Rezolve Merger Sub;</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Channels</w:t>
      </w:r>
      <w:r>
        <w:rPr>
          <w:rFonts w:ascii="Times New Roman" w:cs="Times New Roman" w:eastAsia="Times New Roman" w:hAnsi="Times New Roman"/>
          <w:sz w:val="18"/>
          <w:szCs w:val="18"/>
          <w:color w:val="auto"/>
        </w:rPr>
        <w:t>” means the Rezolve’s distribution partners who distribute Rezolve’s offerings and services;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has the meaning given to it in the Business Combination Agreement;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has the meaning given to it in the Business Combination Agreement;;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Notes</w:t>
      </w:r>
      <w:r>
        <w:rPr>
          <w:rFonts w:ascii="Times New Roman" w:cs="Times New Roman" w:eastAsia="Times New Roman" w:hAnsi="Times New Roman"/>
          <w:sz w:val="18"/>
          <w:szCs w:val="18"/>
          <w:color w:val="auto"/>
        </w:rPr>
        <w:t>” means the convertible loan notes issued on the terms of the Loan Note Instrument;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GeoZone</w:t>
      </w:r>
      <w:r>
        <w:rPr>
          <w:rFonts w:ascii="Times New Roman" w:cs="Times New Roman" w:eastAsia="Times New Roman" w:hAnsi="Times New Roman"/>
          <w:sz w:val="18"/>
          <w:szCs w:val="18"/>
          <w:color w:val="auto"/>
        </w:rPr>
        <w:t>” means a location-based marketing tool which is a feature of Rezolve’s platform;</w:t>
      </w:r>
    </w:p>
    <w:p>
      <w:pPr>
        <w:spacing w:after="0" w:line="225" w:lineRule="exact"/>
        <w:rPr>
          <w:sz w:val="20"/>
          <w:szCs w:val="20"/>
          <w:color w:val="auto"/>
        </w:rPr>
      </w:pPr>
    </w:p>
    <w:p>
      <w:pPr>
        <w:ind w:right="34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 Rights Agreement</w:t>
      </w:r>
      <w:r>
        <w:rPr>
          <w:rFonts w:ascii="Times New Roman" w:cs="Times New Roman" w:eastAsia="Times New Roman" w:hAnsi="Times New Roman"/>
          <w:sz w:val="18"/>
          <w:szCs w:val="18"/>
          <w:color w:val="auto"/>
        </w:rPr>
        <w:t>” means the amended form investor rights agreements entered into by Rezolve, Armada, the Sponsor and certain stockholders of Rezolve;</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JVB Note</w:t>
      </w:r>
      <w:r>
        <w:rPr>
          <w:rFonts w:ascii="Times New Roman" w:cs="Times New Roman" w:eastAsia="Times New Roman" w:hAnsi="Times New Roman"/>
          <w:sz w:val="18"/>
          <w:szCs w:val="18"/>
          <w:color w:val="auto"/>
        </w:rPr>
        <w:t>” means the convertible note issued by Rezolve to J.V.B. Financial Group, LLC, a registered broker-dealer,on August 14, 2024.</w:t>
      </w:r>
    </w:p>
    <w:p>
      <w:pPr>
        <w:spacing w:after="0" w:line="225" w:lineRule="exact"/>
        <w:rPr>
          <w:sz w:val="20"/>
          <w:szCs w:val="20"/>
          <w:color w:val="auto"/>
        </w:rPr>
      </w:pPr>
    </w:p>
    <w:p>
      <w:pPr>
        <w:ind w:right="18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 Note Instrument</w:t>
      </w:r>
      <w:r>
        <w:rPr>
          <w:rFonts w:ascii="Times New Roman" w:cs="Times New Roman" w:eastAsia="Times New Roman" w:hAnsi="Times New Roman"/>
          <w:sz w:val="18"/>
          <w:szCs w:val="18"/>
          <w:color w:val="auto"/>
        </w:rPr>
        <w:t>” means the secured convertible loan note instrument dated December 16, 2021, as amended and restated on November 21, 2022 and May 23, 2023 and further amended on and on December 18, 2023, December 29, 2023 and January 26, 2024, to which Rezolve is party;</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Major Investor</w:t>
      </w:r>
      <w:r>
        <w:rPr>
          <w:rFonts w:ascii="Times New Roman" w:cs="Times New Roman" w:eastAsia="Times New Roman" w:hAnsi="Times New Roman"/>
          <w:sz w:val="18"/>
          <w:szCs w:val="18"/>
          <w:color w:val="auto"/>
        </w:rPr>
        <w:t>” has the meaning given to it in the Loan Note Instrument.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ind w:right="26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Noteholder Majority</w:t>
      </w:r>
      <w:r>
        <w:rPr>
          <w:rFonts w:ascii="Times New Roman" w:cs="Times New Roman" w:eastAsia="Times New Roman" w:hAnsi="Times New Roman"/>
          <w:sz w:val="18"/>
          <w:szCs w:val="18"/>
          <w:color w:val="auto"/>
        </w:rPr>
        <w:t>” means the prior consent of holders of more than two-thirds of the aggregate principal amount of the Convertible Notes outstanding from time to time;</w:t>
      </w:r>
    </w:p>
    <w:p>
      <w:pPr>
        <w:spacing w:after="0" w:line="155" w:lineRule="exact"/>
        <w:rPr>
          <w:sz w:val="20"/>
          <w:szCs w:val="20"/>
          <w:color w:val="auto"/>
        </w:rPr>
      </w:pPr>
    </w:p>
    <w:p>
      <w:pPr>
        <w:ind w:right="40" w:firstLine="57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Pre-Closing Demerger</w:t>
      </w:r>
      <w:r>
        <w:rPr>
          <w:rFonts w:ascii="Times New Roman" w:cs="Times New Roman" w:eastAsia="Times New Roman" w:hAnsi="Times New Roman"/>
          <w:sz w:val="18"/>
          <w:szCs w:val="18"/>
          <w:color w:val="auto"/>
        </w:rPr>
        <w:t>” means the demerger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1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Registerable Securities</w:t>
      </w:r>
      <w:r>
        <w:rPr>
          <w:rFonts w:ascii="Times New Roman" w:cs="Times New Roman" w:eastAsia="Times New Roman" w:hAnsi="Times New Roman"/>
          <w:sz w:val="18"/>
          <w:szCs w:val="18"/>
          <w:color w:val="auto"/>
        </w:rPr>
        <w:t>” has the meaning given to it in the Investor Rights Agreement.</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8" w:right="419" w:bottom="1440" w:gutter="0" w:footer="0" w:header="0"/>
        </w:sectPr>
      </w:pPr>
    </w:p>
    <w:bookmarkStart w:id="5" w:name="page6"/>
    <w:bookmarkEnd w:id="5"/>
    <w:p>
      <w:pPr>
        <w:ind w:right="22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Rezolve AI Limited, a private limited liability company registered under the laws of England and Wales with registration number 14573691 and, following its re-registration as a public limited company, Rezolve AI plc;</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Founder</w:t>
      </w:r>
      <w:r>
        <w:rPr>
          <w:rFonts w:ascii="Times New Roman" w:cs="Times New Roman" w:eastAsia="Times New Roman" w:hAnsi="Times New Roman"/>
          <w:sz w:val="18"/>
          <w:szCs w:val="18"/>
          <w:color w:val="auto"/>
        </w:rPr>
        <w:t>” means Daniel Wagner;</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Incentive Equity Plan</w:t>
      </w:r>
      <w:r>
        <w:rPr>
          <w:rFonts w:ascii="Times New Roman" w:cs="Times New Roman" w:eastAsia="Times New Roman" w:hAnsi="Times New Roman"/>
          <w:sz w:val="18"/>
          <w:szCs w:val="18"/>
          <w:color w:val="auto"/>
        </w:rPr>
        <w:t>” means the incentive equity plan adopted by Rezolve;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means Rezolve Limited, a private limited company organized under the laws of England and Wales;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Merger Sub</w:t>
      </w:r>
      <w:r>
        <w:rPr>
          <w:rFonts w:ascii="Times New Roman" w:cs="Times New Roman" w:eastAsia="Times New Roman" w:hAnsi="Times New Roman"/>
          <w:sz w:val="18"/>
          <w:szCs w:val="18"/>
          <w:color w:val="auto"/>
        </w:rPr>
        <w:t>” means Rezolve Merger Sub, Inc., a Delaware corporation;</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means the ordinary shares of Rezolve, par value £0.0001;</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Options</w:t>
      </w:r>
      <w:r>
        <w:rPr>
          <w:rFonts w:ascii="Times New Roman" w:cs="Times New Roman" w:eastAsia="Times New Roman" w:hAnsi="Times New Roman"/>
          <w:sz w:val="18"/>
          <w:szCs w:val="18"/>
          <w:color w:val="auto"/>
        </w:rPr>
        <w:t>” means options to subscribe for Ordinary Shares;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Shareholder</w:t>
      </w:r>
      <w:r>
        <w:rPr>
          <w:rFonts w:ascii="Times New Roman" w:cs="Times New Roman" w:eastAsia="Times New Roman" w:hAnsi="Times New Roman"/>
          <w:sz w:val="18"/>
          <w:szCs w:val="18"/>
          <w:color w:val="auto"/>
        </w:rPr>
        <w:t>” means a holder of shares of stock in the capital of Rezolve;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Warrant</w:t>
      </w:r>
      <w:r>
        <w:rPr>
          <w:rFonts w:ascii="Times New Roman" w:cs="Times New Roman" w:eastAsia="Times New Roman" w:hAnsi="Times New Roman"/>
          <w:sz w:val="18"/>
          <w:szCs w:val="18"/>
          <w:color w:val="auto"/>
        </w:rPr>
        <w:t>” means a private warrant to purchase one Ordinary Share;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Warrant</w:t>
      </w:r>
      <w:r>
        <w:rPr>
          <w:rFonts w:ascii="Times New Roman" w:cs="Times New Roman" w:eastAsia="Times New Roman" w:hAnsi="Times New Roman"/>
          <w:sz w:val="18"/>
          <w:szCs w:val="18"/>
          <w:color w:val="auto"/>
        </w:rPr>
        <w:t>” means a public warrant to purchase one Ordinary Share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mean, collectively, the Private Warrants and the Public Warrants;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means the selling security holders named in this Registration Statement on Form F-1;</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SMBs</w:t>
      </w:r>
      <w:r>
        <w:rPr>
          <w:rFonts w:ascii="Times New Roman" w:cs="Times New Roman" w:eastAsia="Times New Roman" w:hAnsi="Times New Roman"/>
          <w:sz w:val="18"/>
          <w:szCs w:val="18"/>
          <w:color w:val="auto"/>
        </w:rPr>
        <w:t>” means small and medium-sized businesses;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means Armada Sponsor LLC;</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means the United Kingdom;</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means the UK Companies Act 2006 (as amended from time to time);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refers to the United States of America; and</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USD</w:t>
      </w:r>
      <w:r>
        <w:rPr>
          <w:rFonts w:ascii="Times New Roman" w:cs="Times New Roman" w:eastAsia="Times New Roman" w:hAnsi="Times New Roman"/>
          <w:sz w:val="18"/>
          <w:szCs w:val="18"/>
          <w:color w:val="auto"/>
        </w:rPr>
        <w:t>” refers to the U.S. Dollar.</w:t>
      </w:r>
    </w:p>
    <w:p>
      <w:pPr>
        <w:spacing w:after="0" w:line="229"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all references in this prospectus to the Warrants include such Ordinary Shares underlying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believe that certain of the information in this 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spacing w:after="0" w:line="203" w:lineRule="exact"/>
        <w:rPr>
          <w:sz w:val="20"/>
          <w:szCs w:val="20"/>
          <w:color w:val="auto"/>
        </w:rPr>
      </w:pPr>
    </w:p>
    <w:p>
      <w:pPr>
        <w:ind w:left="960" w:hanging="367"/>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future expectations;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projections of future results of operations or financial condition; or</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other “forward-looking” information.</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believe it is important to communicate our expectations to our security holders. However, there may be events in the future that we are not able to predict accurately or over which we have no control. The risk factors and cautionary language discussed in this</w:t>
      </w:r>
    </w:p>
    <w:p>
      <w:pPr>
        <w:spacing w:after="0" w:line="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4" w:right="439" w:bottom="1440" w:gutter="0" w:footer="0" w:header="0"/>
        </w:sectPr>
      </w:pPr>
    </w:p>
    <w:bookmarkStart w:id="6" w:name="page7"/>
    <w:bookmarkEnd w:id="6"/>
    <w:p>
      <w:pPr>
        <w:ind w:right="620"/>
        <w:spacing w:after="0" w:line="284" w:lineRule="auto"/>
        <w:rPr>
          <w:sz w:val="20"/>
          <w:szCs w:val="20"/>
          <w:color w:val="auto"/>
        </w:rPr>
      </w:pPr>
      <w:r>
        <w:rPr>
          <w:rFonts w:ascii="Times New Roman" w:cs="Times New Roman" w:eastAsia="Times New Roman" w:hAnsi="Times New Roman"/>
          <w:sz w:val="18"/>
          <w:szCs w:val="18"/>
          <w:color w:val="auto"/>
        </w:rPr>
        <w:t>prospectus, including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provide examples of risks, uncertainties and events that may cause actual results to differ materially from the expectations we described in such forward-looking statements, including among other things:</w:t>
      </w:r>
    </w:p>
    <w:p>
      <w:pPr>
        <w:spacing w:after="0" w:line="187" w:lineRule="exact"/>
        <w:rPr>
          <w:sz w:val="20"/>
          <w:szCs w:val="20"/>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meet Nasdaq’s listing standards;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adversely affecting our business;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political and economic uncertainties, including public health crises, geopolitical conflicts and inflation;</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us;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conflict in Ukraine, the Middle East or other hostilities;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 or regulations;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plans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future financing efforts; and</w:t>
      </w:r>
    </w:p>
    <w:p>
      <w:pPr>
        <w:spacing w:after="0" w:line="250"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detailed in the section entitled </w:t>
      </w:r>
      <w:r>
        <w:rPr>
          <w:rFonts w:ascii="Times New Roman" w:cs="Times New Roman" w:eastAsia="Times New Roman" w:hAnsi="Times New Roman"/>
          <w:sz w:val="18"/>
          <w:szCs w:val="18"/>
          <w:i w:val="1"/>
          <w:iCs w:val="1"/>
          <w:color w:val="auto"/>
        </w:rPr>
        <w:t>“Risk Factors.”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speak only as of the date of this prospectus.</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All forward-looking statements included herein are expressly qualified in their entirety by the cautionary statements contained or referred to in this section. Except to the extent required by applicable laws and regulations, Rezolve undertakes no obligations to update these forward-looking statements to reflect events or circumstances after the date of this prospectus or to reflect the occurrence of unanticipated events.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forward-looking statements contained in this prospectus and in any document incorporated by reference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12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please see the section of this 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6" w:right="37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i w:val="1"/>
          <w:iCs w:val="1"/>
          <w:color w:val="auto"/>
        </w:rPr>
        <w:t>summary highlights, and is qualified in its entirety by, the more detailed information and financial statements included elsewhere in this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This summary does not contain all of the information that may be important to you in making your investment decision. You should read this entire prospectus carefully, including our financial statements and the related notes included in this prospectus and the information set forth under the headings “Risk Factors,” and “Management’s Discussion and Analysis of Financial Condition and Results of Operations,” before deciding to invest in the Ordinary Shares.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w:t>
      </w:r>
    </w:p>
    <w:p>
      <w:pPr>
        <w:spacing w:after="0" w:line="12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3 of 2025, initially in Europe and the USA. Revenues from braincommerce are also forecast to begin in Q3 2025, increasing significantly in Q4 2025. We also expect to generate revenues in Q4 2025 in South America and Asia. We expect revenues to increase in 2026 through our signed partner agreements with Microsoft, Google and others. For additional information regarding the partner agreements see “</w:t>
      </w:r>
      <w:r>
        <w:rPr>
          <w:rFonts w:ascii="Times New Roman" w:cs="Times New Roman" w:eastAsia="Times New Roman" w:hAnsi="Times New Roman"/>
          <w:sz w:val="18"/>
          <w:szCs w:val="18"/>
          <w:i w:val="1"/>
          <w:iCs w:val="1"/>
          <w:color w:val="auto"/>
        </w:rPr>
        <w:t>Business of Rezolve-Partner Agreements</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w:t>
      </w:r>
    </w:p>
    <w:p>
      <w:pPr>
        <w:spacing w:after="0" w:line="29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mailing address of Rezolve AI plc’s registered office is 21 Sackville Street, London, W1S 3DN, United Kingdom, +44 204 625 9700 and its principal executive office is 21 Sackville Street, London, W1S 3DN, United Kingdom.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On August 15, 2024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Armada Acquisition Corp. I, a Delaware corporation (“</w:t>
      </w:r>
      <w:r>
        <w:rPr>
          <w:rFonts w:ascii="Times New Roman" w:cs="Times New Roman" w:eastAsia="Times New Roman" w:hAnsi="Times New Roman"/>
          <w:sz w:val="18"/>
          <w:szCs w:val="18"/>
          <w:b w:val="1"/>
          <w:bCs w:val="1"/>
          <w:i w:val="1"/>
          <w:iCs w:val="1"/>
          <w:color w:val="auto"/>
        </w:rPr>
        <w:t>Armada</w:t>
      </w:r>
      <w:r>
        <w:rPr>
          <w:rFonts w:ascii="Times New Roman" w:cs="Times New Roman" w:eastAsia="Times New Roman" w:hAnsi="Times New Roman"/>
          <w:sz w:val="18"/>
          <w:szCs w:val="18"/>
          <w:color w:val="auto"/>
        </w:rPr>
        <w:t>”), Rezolve AI Limited, a private limited company registered under the laws of England and Wales with registration number 14573691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Rezolve Merger Sub, Inc., a Delaware corporation (“</w:t>
      </w:r>
      <w:r>
        <w:rPr>
          <w:rFonts w:ascii="Times New Roman" w:cs="Times New Roman" w:eastAsia="Times New Roman" w:hAnsi="Times New Roman"/>
          <w:sz w:val="18"/>
          <w:szCs w:val="18"/>
          <w:b w:val="1"/>
          <w:bCs w:val="1"/>
          <w:i w:val="1"/>
          <w:iCs w:val="1"/>
          <w:color w:val="auto"/>
        </w:rPr>
        <w:t>Rezolve Merger Sub</w:t>
      </w:r>
      <w:r>
        <w:rPr>
          <w:rFonts w:ascii="Times New Roman" w:cs="Times New Roman" w:eastAsia="Times New Roman" w:hAnsi="Times New Roman"/>
          <w:sz w:val="18"/>
          <w:szCs w:val="18"/>
          <w:color w:val="auto"/>
        </w:rPr>
        <w:t>”), consummated the business combination pursuant to the terms of the Business Combination Agreement, dated as of December 17, 2021 (as amended or supplemented from time to time,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pursuant to which, among other things, (i) on July 4, 2024, Rezolve Limited,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16884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17" w:lineRule="exact"/>
        <w:rPr>
          <w:sz w:val="20"/>
          <w:szCs w:val="20"/>
          <w:color w:val="auto"/>
        </w:rPr>
      </w:pPr>
    </w:p>
    <w:p>
      <w:pPr>
        <w:ind w:right="440" w:firstLine="8"/>
        <w:spacing w:after="0" w:line="223" w:lineRule="auto"/>
        <w:tabs>
          <w:tab w:leader="none" w:pos="105"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 brain-heralds-new-era-of-commerce-enabled-ai/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p>
      <w:pPr>
        <w:spacing w:after="0" w:line="254" w:lineRule="auto"/>
        <w:rPr>
          <w:sz w:val="20"/>
          <w:szCs w:val="20"/>
          <w:color w:val="auto"/>
        </w:rPr>
      </w:pPr>
      <w:r>
        <w:rPr>
          <w:rFonts w:ascii="Times New Roman" w:cs="Times New Roman" w:eastAsia="Times New Roman" w:hAnsi="Times New Roman"/>
          <w:sz w:val="18"/>
          <w:szCs w:val="18"/>
          <w:color w:val="auto"/>
        </w:rPr>
        <w:t>private limited company organized under the laws of England and Wales ("</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effected a pre-Closing demerger (the “</w:t>
      </w:r>
      <w:r>
        <w:rPr>
          <w:rFonts w:ascii="Times New Roman" w:cs="Times New Roman" w:eastAsia="Times New Roman" w:hAnsi="Times New Roman"/>
          <w:sz w:val="18"/>
          <w:szCs w:val="18"/>
          <w:b w:val="1"/>
          <w:bCs w:val="1"/>
          <w:i w:val="1"/>
          <w:iCs w:val="1"/>
          <w:color w:val="auto"/>
        </w:rPr>
        <w:t>Pre-Closing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Demerger</w:t>
      </w:r>
      <w:r>
        <w:rPr>
          <w:rFonts w:ascii="Times New Roman" w:cs="Times New Roman" w:eastAsia="Times New Roman" w:hAnsi="Times New Roman"/>
          <w:sz w:val="18"/>
          <w:szCs w:val="18"/>
          <w:color w:val="auto"/>
        </w:rPr>
        <w:t>”) pursuant to UK legislation under which (x) part of Rezolve Limited’s business and assets (being all of its business and assets except for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 (ii) on the Closing Date, the Company effected a company reorganization whereby the Company’s series A shares were reclassified as Ordinary Shares and (iii) on the Closing Date,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Upon the closing of the Business Combination, the Company became the direct parent of Armada.</w:t>
      </w:r>
    </w:p>
    <w:p>
      <w:pPr>
        <w:spacing w:after="0" w:line="2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holders of an aggregate of 1,300,391 shares of Armada common stock exercised their right to redeem such shares for a pro rata portion of the funds in Armada’s Trust Account. Following redemptions and the payment of transaction expenses, Armada delivered an aggregate of approximately $14.8 million to the Company on the Closing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Bluedot Acquisition</w:t>
      </w:r>
    </w:p>
    <w:p>
      <w:pPr>
        <w:spacing w:after="0" w:line="22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On February 4, 2025, Rezolve entered into a Purchase Agreement (the “</w:t>
      </w:r>
      <w:r>
        <w:rPr>
          <w:rFonts w:ascii="Times New Roman" w:cs="Times New Roman" w:eastAsia="Times New Roman" w:hAnsi="Times New Roman"/>
          <w:sz w:val="18"/>
          <w:szCs w:val="18"/>
          <w:b w:val="1"/>
          <w:bCs w:val="1"/>
          <w:i w:val="1"/>
          <w:iCs w:val="1"/>
          <w:color w:val="auto"/>
        </w:rPr>
        <w:t>First Bluedot Purchase Agreement</w:t>
      </w:r>
      <w:r>
        <w:rPr>
          <w:rFonts w:ascii="Times New Roman" w:cs="Times New Roman" w:eastAsia="Times New Roman" w:hAnsi="Times New Roman"/>
          <w:sz w:val="18"/>
          <w:szCs w:val="18"/>
          <w:color w:val="auto"/>
        </w:rPr>
        <w:t>”), by and between the Company and DBLP Sea Cow Ltd, a limited company organized under the laws of the Seychelles (“</w:t>
      </w:r>
      <w:r>
        <w:rPr>
          <w:rFonts w:ascii="Times New Roman" w:cs="Times New Roman" w:eastAsia="Times New Roman" w:hAnsi="Times New Roman"/>
          <w:sz w:val="18"/>
          <w:szCs w:val="18"/>
          <w:b w:val="1"/>
          <w:bCs w:val="1"/>
          <w:i w:val="1"/>
          <w:iCs w:val="1"/>
          <w:color w:val="auto"/>
        </w:rPr>
        <w:t>DBLP</w:t>
      </w:r>
      <w:r>
        <w:rPr>
          <w:rFonts w:ascii="Times New Roman" w:cs="Times New Roman" w:eastAsia="Times New Roman" w:hAnsi="Times New Roman"/>
          <w:sz w:val="18"/>
          <w:szCs w:val="18"/>
          <w:color w:val="auto"/>
        </w:rPr>
        <w:t>”), pursuant to which the Company agreed to purchase, and DBLP agreed to sell, the entire issued and to be issued share capital of each of Bluedot Industries, Inc., a Delaware corporation, and Bluedot Industries Pty. Ltd, an Australian proprietary limited company registered in Victoria on 7 December 2013 with Australian Company Number 165 206 566 (the “</w:t>
      </w:r>
      <w:r>
        <w:rPr>
          <w:rFonts w:ascii="Times New Roman" w:cs="Times New Roman" w:eastAsia="Times New Roman" w:hAnsi="Times New Roman"/>
          <w:sz w:val="18"/>
          <w:szCs w:val="18"/>
          <w:b w:val="1"/>
          <w:bCs w:val="1"/>
          <w:i w:val="1"/>
          <w:iCs w:val="1"/>
          <w:color w:val="auto"/>
        </w:rPr>
        <w:t>First Bluedot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February 20, 2025, Rezolve closed the First Bluedot Acquisition. As consideration for the First Bluedot Acquisition, Rezolve issued 819,737 ordinary shares of the Company in a private placement to DBLP.</w:t>
      </w:r>
    </w:p>
    <w:p>
      <w:pPr>
        <w:spacing w:after="0" w:line="15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7"/>
          <w:szCs w:val="17"/>
          <w:color w:val="auto"/>
        </w:rPr>
        <w:t>On March 17, 2025, Rezolve entered into a Purchase Agreement (the “</w:t>
      </w:r>
      <w:r>
        <w:rPr>
          <w:rFonts w:ascii="Times New Roman" w:cs="Times New Roman" w:eastAsia="Times New Roman" w:hAnsi="Times New Roman"/>
          <w:sz w:val="17"/>
          <w:szCs w:val="17"/>
          <w:b w:val="1"/>
          <w:bCs w:val="1"/>
          <w:i w:val="1"/>
          <w:iCs w:val="1"/>
          <w:color w:val="auto"/>
        </w:rPr>
        <w:t>Second Bluedot Purchase Agreement</w:t>
      </w:r>
      <w:r>
        <w:rPr>
          <w:rFonts w:ascii="Times New Roman" w:cs="Times New Roman" w:eastAsia="Times New Roman" w:hAnsi="Times New Roman"/>
          <w:sz w:val="17"/>
          <w:szCs w:val="17"/>
          <w:color w:val="auto"/>
        </w:rPr>
        <w:t>”), by and between the Company and Tanist Group Limited, a limited company organized under the laws of the British Virgin Islands (“</w:t>
      </w:r>
      <w:r>
        <w:rPr>
          <w:rFonts w:ascii="Times New Roman" w:cs="Times New Roman" w:eastAsia="Times New Roman" w:hAnsi="Times New Roman"/>
          <w:sz w:val="17"/>
          <w:szCs w:val="17"/>
          <w:b w:val="1"/>
          <w:bCs w:val="1"/>
          <w:i w:val="1"/>
          <w:iCs w:val="1"/>
          <w:color w:val="auto"/>
        </w:rPr>
        <w:t>Tanist</w:t>
      </w:r>
      <w:r>
        <w:rPr>
          <w:rFonts w:ascii="Times New Roman" w:cs="Times New Roman" w:eastAsia="Times New Roman" w:hAnsi="Times New Roman"/>
          <w:sz w:val="17"/>
          <w:szCs w:val="17"/>
          <w:color w:val="auto"/>
        </w:rPr>
        <w:t>”), pursuant to which the Company agreed to purchase, and Tanist agreed to sell, the entire issued and to be issued share capital of Bluedot Innovation Pty. Ltd, an Australian proprietary limited company registered in South Australia 161 734 621 (the “</w:t>
      </w:r>
      <w:r>
        <w:rPr>
          <w:rFonts w:ascii="Times New Roman" w:cs="Times New Roman" w:eastAsia="Times New Roman" w:hAnsi="Times New Roman"/>
          <w:sz w:val="17"/>
          <w:szCs w:val="17"/>
          <w:b w:val="1"/>
          <w:bCs w:val="1"/>
          <w:i w:val="1"/>
          <w:iCs w:val="1"/>
          <w:color w:val="auto"/>
        </w:rPr>
        <w:t>Second Bluedot Acquisition</w:t>
      </w:r>
      <w:r>
        <w:rPr>
          <w:rFonts w:ascii="Times New Roman" w:cs="Times New Roman" w:eastAsia="Times New Roman" w:hAnsi="Times New Roman"/>
          <w:sz w:val="17"/>
          <w:szCs w:val="17"/>
          <w:color w:val="auto"/>
        </w:rPr>
        <w:t>, and together with the First Bluedot Acquisition, the “</w:t>
      </w:r>
      <w:r>
        <w:rPr>
          <w:rFonts w:ascii="Times New Roman" w:cs="Times New Roman" w:eastAsia="Times New Roman" w:hAnsi="Times New Roman"/>
          <w:sz w:val="17"/>
          <w:szCs w:val="17"/>
          <w:b w:val="1"/>
          <w:bCs w:val="1"/>
          <w:i w:val="1"/>
          <w:iCs w:val="1"/>
          <w:color w:val="auto"/>
        </w:rPr>
        <w:t>Bluedot Acquisition</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 March 17, 2025, Rezolve closed the Second Bluedot Acquisition. As consideration for the Second Bluedot Acquisition, Rezolve issued 1,941,111 ordinary shares of the Company in a private placement to Tanist.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GroupBy Acquisition</w:t>
      </w:r>
    </w:p>
    <w:p>
      <w:pPr>
        <w:spacing w:after="0" w:line="22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On February 11, 2025, Rezolve entered into a Purchase Agreement (the “</w:t>
      </w:r>
      <w:r>
        <w:rPr>
          <w:rFonts w:ascii="Times New Roman" w:cs="Times New Roman" w:eastAsia="Times New Roman" w:hAnsi="Times New Roman"/>
          <w:sz w:val="18"/>
          <w:szCs w:val="18"/>
          <w:b w:val="1"/>
          <w:bCs w:val="1"/>
          <w:i w:val="1"/>
          <w:iCs w:val="1"/>
          <w:color w:val="auto"/>
        </w:rPr>
        <w:t>GroupBy Purchase Agreement</w:t>
      </w:r>
      <w:r>
        <w:rPr>
          <w:rFonts w:ascii="Times New Roman" w:cs="Times New Roman" w:eastAsia="Times New Roman" w:hAnsi="Times New Roman"/>
          <w:sz w:val="18"/>
          <w:szCs w:val="18"/>
          <w:color w:val="auto"/>
        </w:rPr>
        <w:t>”), by and among the Company, GroupBy Inc., an Ontario, Canada corporation (“</w:t>
      </w:r>
      <w:r>
        <w:rPr>
          <w:rFonts w:ascii="Times New Roman" w:cs="Times New Roman" w:eastAsia="Times New Roman" w:hAnsi="Times New Roman"/>
          <w:sz w:val="18"/>
          <w:szCs w:val="18"/>
          <w:b w:val="1"/>
          <w:bCs w:val="1"/>
          <w:i w:val="1"/>
          <w:iCs w:val="1"/>
          <w:color w:val="auto"/>
        </w:rPr>
        <w:t>GroupBy</w:t>
      </w:r>
      <w:r>
        <w:rPr>
          <w:rFonts w:ascii="Times New Roman" w:cs="Times New Roman" w:eastAsia="Times New Roman" w:hAnsi="Times New Roman"/>
          <w:sz w:val="18"/>
          <w:szCs w:val="18"/>
          <w:color w:val="auto"/>
        </w:rPr>
        <w:t>”), GroupBy International Ltd., an Ontario, Canada corporation (“</w:t>
      </w:r>
      <w:r>
        <w:rPr>
          <w:rFonts w:ascii="Times New Roman" w:cs="Times New Roman" w:eastAsia="Times New Roman" w:hAnsi="Times New Roman"/>
          <w:sz w:val="18"/>
          <w:szCs w:val="18"/>
          <w:b w:val="1"/>
          <w:bCs w:val="1"/>
          <w:i w:val="1"/>
          <w:iCs w:val="1"/>
          <w:color w:val="auto"/>
        </w:rPr>
        <w:t>GroupBy International</w:t>
      </w:r>
      <w:r>
        <w:rPr>
          <w:rFonts w:ascii="Times New Roman" w:cs="Times New Roman" w:eastAsia="Times New Roman" w:hAnsi="Times New Roman"/>
          <w:sz w:val="18"/>
          <w:szCs w:val="18"/>
          <w:color w:val="auto"/>
        </w:rPr>
        <w:t>”) and Fortis Advisors LLC, a Delaware limited liability company, as the representative of the sellers party thereto (the “Sellers”), pursuant to which the Company agreed to purchase, and the Sellers agreed to sell, the entire issued and to be issued share capital of each of GroupBy and GroupBy International (the “</w:t>
      </w:r>
      <w:r>
        <w:rPr>
          <w:rFonts w:ascii="Times New Roman" w:cs="Times New Roman" w:eastAsia="Times New Roman" w:hAnsi="Times New Roman"/>
          <w:sz w:val="18"/>
          <w:szCs w:val="18"/>
          <w:b w:val="1"/>
          <w:bCs w:val="1"/>
          <w:i w:val="1"/>
          <w:iCs w:val="1"/>
          <w:color w:val="auto"/>
        </w:rPr>
        <w:t>GroupBy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 Financing</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color w:val="auto"/>
        </w:rPr>
        <w:t>On July 24, 2025, Rezolve entered into certain securities purchase agreements (the "</w:t>
      </w:r>
      <w:r>
        <w:rPr>
          <w:rFonts w:ascii="Times New Roman" w:cs="Times New Roman" w:eastAsia="Times New Roman" w:hAnsi="Times New Roman"/>
          <w:sz w:val="18"/>
          <w:szCs w:val="18"/>
          <w:b w:val="1"/>
          <w:bCs w:val="1"/>
          <w:i w:val="1"/>
          <w:iCs w:val="1"/>
          <w:color w:val="auto"/>
        </w:rPr>
        <w:t>Purchase Agreements</w:t>
      </w:r>
      <w:r>
        <w:rPr>
          <w:rFonts w:ascii="Times New Roman" w:cs="Times New Roman" w:eastAsia="Times New Roman" w:hAnsi="Times New Roman"/>
          <w:sz w:val="18"/>
          <w:szCs w:val="18"/>
          <w:color w:val="auto"/>
        </w:rPr>
        <w:t>") with the Selling Holders, for the purchase and sale of 20,000,000 Ordinary Shares (the "</w:t>
      </w:r>
      <w:r>
        <w:rPr>
          <w:rFonts w:ascii="Times New Roman" w:cs="Times New Roman" w:eastAsia="Times New Roman" w:hAnsi="Times New Roman"/>
          <w:sz w:val="18"/>
          <w:szCs w:val="18"/>
          <w:b w:val="1"/>
          <w:bCs w:val="1"/>
          <w:i w:val="1"/>
          <w:iCs w:val="1"/>
          <w:color w:val="auto"/>
        </w:rPr>
        <w:t>PIPE Shares</w:t>
      </w:r>
      <w:r>
        <w:rPr>
          <w:rFonts w:ascii="Times New Roman" w:cs="Times New Roman" w:eastAsia="Times New Roman" w:hAnsi="Times New Roman"/>
          <w:sz w:val="18"/>
          <w:szCs w:val="18"/>
          <w:color w:val="auto"/>
        </w:rPr>
        <w:t>") in a private placement at a price of $2.50 per share (the "</w:t>
      </w:r>
      <w:r>
        <w:rPr>
          <w:rFonts w:ascii="Times New Roman" w:cs="Times New Roman" w:eastAsia="Times New Roman" w:hAnsi="Times New Roman"/>
          <w:sz w:val="18"/>
          <w:szCs w:val="18"/>
          <w:b w:val="1"/>
          <w:bCs w:val="1"/>
          <w:i w:val="1"/>
          <w:iCs w:val="1"/>
          <w:color w:val="auto"/>
        </w:rPr>
        <w:t>PIPE Financing</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Concurrently with the Purchase Agreements, on July 24, 2025, Rezolve and the Selling Holders entered into a Registration Rights Agreement (the “</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In accordance with Rezolve's obligations under the Registration Rights Agreement, among other things, Rezolve has filed the registration statement of which this prospectus forms a part with the SEC.</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 w:name="page10"/>
    <w:bookmarkEnd w:id="9"/>
    <w:p>
      <w:pPr>
        <w:spacing w:after="0" w:line="266" w:lineRule="auto"/>
        <w:rPr>
          <w:sz w:val="20"/>
          <w:szCs w:val="20"/>
          <w:color w:val="auto"/>
        </w:rPr>
      </w:pPr>
      <w:r>
        <w:rPr>
          <w:rFonts w:ascii="Times New Roman" w:cs="Times New Roman" w:eastAsia="Times New Roman" w:hAnsi="Times New Roman"/>
          <w:sz w:val="18"/>
          <w:szCs w:val="18"/>
          <w:color w:val="auto"/>
        </w:rPr>
        <w:t>On July 25, Rezolve closed the PIPE Financing and received aggregate gross proceeds of approximately $50 million, before deducting placement agent fees and other offering expenses. The PIPE Shares were offered pursuant to the exemption from registration under Section 4(a)(2) of the Securities Act and Rule 506(b) of Regulation D promulgated thereunder, and applicable state securities laws.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Ordinary Shares and Public Warrants are listed on Nasdaq under the symbols “RZLV” and “RZLVW,” respectively. The mailing address of the Company’s registered office is 21 Sackville Street, London, W1S 3DN, United Kingdom, +44 204 625 9700 and its principal executive office is 21 Sackville Street, London, W1S 3DN, United Kingdom. Our website address is </w:t>
      </w:r>
      <w:r>
        <w:rPr>
          <w:rFonts w:ascii="Times New Roman" w:cs="Times New Roman" w:eastAsia="Times New Roman" w:hAnsi="Times New Roman"/>
          <w:sz w:val="18"/>
          <w:szCs w:val="18"/>
          <w:i w:val="1"/>
          <w:iCs w:val="1"/>
          <w:color w:val="auto"/>
        </w:rPr>
        <w:t>www.rezolve.com.</w:t>
      </w:r>
      <w:r>
        <w:rPr>
          <w:rFonts w:ascii="Times New Roman" w:cs="Times New Roman" w:eastAsia="Times New Roman" w:hAnsi="Times New Roman"/>
          <w:sz w:val="18"/>
          <w:szCs w:val="18"/>
          <w:color w:val="auto"/>
        </w:rPr>
        <w:t xml:space="preserve"> Our website and the information contained on, or that can be accessed through, our website is not deemed to be incorporated by reference in, and is not considered part of, this 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(i) the last day of the fiscal year (a) following the fifth anniversary of the closing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 References herein to “emerging growth company” shall have the meaning associated with it in the JOBS Act.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Exchange Act including, but not limited to, those related to the solicitations of proxies, consents or authorizations, those related to the public reporting of insider stock ownership and trading activities, and those requiring the filing with the SEC of quarterly reports on Form 10-Q or current reports on Form 8-K.</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the rules adopted by the SEC and the Nasdaq corporate governance rules and listing standards. 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 w:name="page11"/>
    <w:bookmarkEnd w:id="10"/>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We may utilize these exemptions until such time as we are longer a foreign private issuer. We would cease to be a foreign private issuer at such time as more than 50% of our outstanding voting securities are directly or indirectly held of record by U.S. holders and any one of the following is true: (i) the majority of our executive officers or directors are U.S. citizens or residents; (ii) more than 50% of our assets are located in the United States; or (iii) our business is administered principally in the United States.</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 xml:space="preserve">You should consider carefully the risks and uncertainties described in this prospectus before investing in our securities. These risks are discussed more fully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following this summary. If any of these risks actually occur, our business, financial condition or results of operations would likely be materially adversely affected. These risks include, but are not limited to, the following:</w:t>
      </w:r>
    </w:p>
    <w:p>
      <w:pPr>
        <w:spacing w:after="0" w:line="68" w:lineRule="exact"/>
        <w:rPr>
          <w:sz w:val="20"/>
          <w:szCs w:val="20"/>
          <w:color w:val="auto"/>
        </w:rPr>
      </w:pPr>
    </w:p>
    <w:p>
      <w:pPr>
        <w:ind w:left="1020" w:right="6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generated limited revenues from existing Channels and there is no guarantee that it will be able to attract and retain new merchants and increase sales to new merchants.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an early-stage company with a history of financial losses and expects to incur significant expenses and continuing losses for the foreseeable future.</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 including the resulting effect on spending by small and medium-sized businesses (“SMBs”) and spending on technology, may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Uneven economic growth or downturns or international trade and other global disruptions, geopolitical tensions, or disputes could adversely affect our business and operating results.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limited operating history in a new and developing market makes it difficult to evaluate its current business and future prospects and may increase the risk that it will not be successful.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growth depends in part on the success of its strategic relationships with third parties.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could be harmed if it fails to manage its growth effectively.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have the history with its solutions or pricing models necessary to accurately predict optimal pricing necessary to attract new merchants and retain existing merchants.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Rezolve’s business model, it may not be able to accurately assess its financial position and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is susceptible to risks associated with international sales and the use of its platform in various countries.</w:t>
      </w:r>
    </w:p>
    <w:p>
      <w:pPr>
        <w:spacing w:after="0" w:line="117" w:lineRule="exact"/>
        <w:rPr>
          <w:rFonts w:ascii="Times New Roman" w:cs="Times New Roman" w:eastAsia="Times New Roman" w:hAnsi="Times New Roman"/>
          <w:sz w:val="18"/>
          <w:szCs w:val="18"/>
          <w:color w:val="auto"/>
        </w:rPr>
      </w:pPr>
    </w:p>
    <w:p>
      <w:pPr>
        <w:jc w:val="both"/>
        <w:ind w:left="1020" w:right="3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may negatively affect Rezolve’s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operating results are expected to be subject to seasonal fluctuations.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not be able to compete successfully against current and future competitors.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1" w:name="page12"/>
    <w:bookmarkEnd w:id="11"/>
    <w:p>
      <w:pPr>
        <w:ind w:left="503" w:right="26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transactions on Rezolve’s platform may be subject to regulatory requirements and other risks that could be costly and difficult to comply with or that could harm Rezolve’s business.</w:t>
      </w:r>
    </w:p>
    <w:p>
      <w:pPr>
        <w:spacing w:after="0" w:line="53" w:lineRule="exact"/>
        <w:rPr>
          <w:rFonts w:ascii="Times New Roman" w:cs="Times New Roman" w:eastAsia="Times New Roman" w:hAnsi="Times New Roman"/>
          <w:sz w:val="18"/>
          <w:szCs w:val="18"/>
          <w:color w:val="auto"/>
        </w:rPr>
      </w:pPr>
    </w:p>
    <w:p>
      <w:pPr>
        <w:ind w:left="503" w:right="80" w:hanging="503"/>
        <w:spacing w:after="0" w:line="266"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rFonts w:ascii="Times New Roman" w:cs="Times New Roman" w:eastAsia="Times New Roman" w:hAnsi="Times New Roman"/>
          <w:sz w:val="18"/>
          <w:szCs w:val="18"/>
          <w:color w:val="auto"/>
        </w:rPr>
      </w:pPr>
    </w:p>
    <w:p>
      <w:pPr>
        <w:ind w:left="503" w:right="48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need to raise additional funds to pursue its growth strategy or continue its operations, and Rezolve may be unable to raise capital when needed or on acceptable terms.</w:t>
      </w:r>
    </w:p>
    <w:p>
      <w:pPr>
        <w:spacing w:after="0" w:line="53"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3"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availability of Rezolve’s platform does not meet its service-level commitments to customers, Rezolve’s current and future revenues may be negatively impacted.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intend to pay dividends for the foreseeable future.</w:t>
      </w:r>
    </w:p>
    <w:p>
      <w:pPr>
        <w:spacing w:after="0" w:line="117"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503" w:right="54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regional or global health pandemic, including the global COVID-19 pandemic, may adversely impact Rezolve’s business, results of operations and financial performance.</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hire, retain and motivate qualified personnel, its business will be adversely affected.</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expects to be dependent upon consumers’ and merchants’ willingness to use the internet and internet-enabled mobile devices for commerce.</w:t>
      </w:r>
    </w:p>
    <w:p>
      <w:pPr>
        <w:spacing w:after="0" w:line="53"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software or platform contains serious errors or defects, Rezolve may lose revenues and market acceptance and may incur costs to defend or settle claims with its merchants.</w:t>
      </w:r>
    </w:p>
    <w:p>
      <w:pPr>
        <w:spacing w:after="0" w:line="53"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denial of service attack or security breach or incident could delay or interrupt service to Rezolve’s merchants and their customers, harm Rezolve’s reputation and subject Rezolve to significant liability.</w:t>
      </w:r>
    </w:p>
    <w:p>
      <w:pPr>
        <w:spacing w:after="0" w:line="53" w:lineRule="exact"/>
        <w:rPr>
          <w:rFonts w:ascii="Times New Roman" w:cs="Times New Roman" w:eastAsia="Times New Roman" w:hAnsi="Times New Roman"/>
          <w:sz w:val="18"/>
          <w:szCs w:val="18"/>
          <w:color w:val="auto"/>
        </w:rPr>
      </w:pPr>
    </w:p>
    <w:p>
      <w:pPr>
        <w:ind w:left="503" w:right="52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uses a limited number of data centers to deliver its services. Any disruption of service at these facilities could harm Rezolve’s business.</w:t>
      </w:r>
    </w:p>
    <w:p>
      <w:pPr>
        <w:spacing w:after="0" w:line="53"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3" w:lineRule="exact"/>
        <w:rPr>
          <w:rFonts w:ascii="Times New Roman" w:cs="Times New Roman" w:eastAsia="Times New Roman" w:hAnsi="Times New Roman"/>
          <w:sz w:val="18"/>
          <w:szCs w:val="18"/>
          <w:color w:val="auto"/>
        </w:rPr>
      </w:pPr>
    </w:p>
    <w:p>
      <w:pPr>
        <w:ind w:left="503" w:right="42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in order to provide its solutions and run its business.</w:t>
      </w:r>
    </w:p>
    <w:p>
      <w:pPr>
        <w:spacing w:after="0" w:line="53" w:lineRule="exact"/>
        <w:rPr>
          <w:rFonts w:ascii="Times New Roman" w:cs="Times New Roman" w:eastAsia="Times New Roman" w:hAnsi="Times New Roman"/>
          <w:sz w:val="18"/>
          <w:szCs w:val="18"/>
          <w:color w:val="auto"/>
        </w:rPr>
      </w:pPr>
    </w:p>
    <w:p>
      <w:pPr>
        <w:ind w:left="503" w:right="80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does not or cannot maintain the compatibility of its platform with third-party applications that its customers use in their businesses, Rezolve’s revenues will decline.</w:t>
      </w:r>
    </w:p>
    <w:p>
      <w:pPr>
        <w:spacing w:after="0" w:line="53" w:lineRule="exact"/>
        <w:rPr>
          <w:rFonts w:ascii="Times New Roman" w:cs="Times New Roman" w:eastAsia="Times New Roman" w:hAnsi="Times New Roman"/>
          <w:sz w:val="18"/>
          <w:szCs w:val="18"/>
          <w:color w:val="auto"/>
        </w:rPr>
      </w:pPr>
    </w:p>
    <w:p>
      <w:pPr>
        <w:ind w:left="503" w:right="200" w:hanging="503"/>
        <w:spacing w:after="0" w:line="266"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67"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3" w:lineRule="exact"/>
        <w:rPr>
          <w:rFonts w:ascii="Times New Roman" w:cs="Times New Roman" w:eastAsia="Times New Roman" w:hAnsi="Times New Roman"/>
          <w:sz w:val="18"/>
          <w:szCs w:val="18"/>
          <w:color w:val="auto"/>
        </w:rPr>
      </w:pPr>
    </w:p>
    <w:p>
      <w:pPr>
        <w:ind w:left="503" w:right="60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brand is important to its success. If Rezolve fails to effectively maintain, promote and enhance Rezolve’s brand, Rezolve’s business and competitive advantage may be harmed.</w:t>
      </w:r>
    </w:p>
    <w:p>
      <w:pPr>
        <w:spacing w:after="0" w:line="53"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merchants or the content of their shops could damage Rezolve’s brand, subject Rezolve to liability and harm its business and financial results.</w:t>
      </w:r>
    </w:p>
    <w:p>
      <w:pPr>
        <w:spacing w:after="0" w:line="54"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20" w:right="359" w:bottom="1440" w:gutter="0" w:footer="0" w:header="0"/>
        </w:sectPr>
      </w:pPr>
    </w:p>
    <w:bookmarkStart w:id="12" w:name="page13"/>
    <w:bookmarkEnd w:id="12"/>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maintain a consistently high level of customer service, Rezolve’s brand, business and financial results may be harmed.</w:t>
      </w:r>
    </w:p>
    <w:p>
      <w:pPr>
        <w:spacing w:after="0" w:line="117"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subject to claims by third parties of intellectual property infringement.</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use of “open source” software could negatively affect its ability to sell its solutions and subject Rezolve to possible litigation.</w:t>
      </w:r>
    </w:p>
    <w:p>
      <w:pPr>
        <w:spacing w:after="0" w:line="117"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indemnification by Rezolve’s directors and officers may reduce Rezolve’s available funds to satisfy successful third-party claims against Rezolve and may reduce the amount of money available to Rezolve.</w:t>
      </w:r>
    </w:p>
    <w:p>
      <w:pPr>
        <w:spacing w:after="0" w:line="53" w:lineRule="exact"/>
        <w:rPr>
          <w:rFonts w:ascii="Times New Roman" w:cs="Times New Roman" w:eastAsia="Times New Roman" w:hAnsi="Times New Roman"/>
          <w:sz w:val="18"/>
          <w:szCs w:val="18"/>
          <w:color w:val="auto"/>
        </w:rPr>
      </w:pPr>
    </w:p>
    <w:p>
      <w:pPr>
        <w:jc w:val="both"/>
        <w:ind w:left="503" w:right="42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trade tariffs, import restrictions, export restrictions, United States regulations or other trade barriers may materially harm Rezolve’s business.</w:t>
      </w:r>
    </w:p>
    <w:p>
      <w:pPr>
        <w:spacing w:after="0" w:line="53"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Rezolve may be involved in legal proceedings and commercial or contractual disputes, which could have an adverse impact on Rezolve’s profitability and consolidated financial position.</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the Articles and English law could deter takeover attempts.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Ordinary Shares could be volatile, and the value of Ordinary Shares may decline.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 for our securities may not be sustained, which would adversely affect the liquidity and price of Ordinary Shares.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Rezolve will be able to comply with the continued listing standards of Nasdaq.</w:t>
      </w:r>
    </w:p>
    <w:p>
      <w:pPr>
        <w:spacing w:after="0" w:line="117" w:lineRule="exact"/>
        <w:rPr>
          <w:rFonts w:ascii="Times New Roman" w:cs="Times New Roman" w:eastAsia="Times New Roman" w:hAnsi="Times New Roman"/>
          <w:sz w:val="18"/>
          <w:szCs w:val="18"/>
          <w:color w:val="auto"/>
        </w:rPr>
      </w:pPr>
    </w:p>
    <w:p>
      <w:pPr>
        <w:ind w:left="503" w:right="3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publish reports that are interpreted negatively by the investment community or publish negative research reports about our business, our share price and trading volume could decline.</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our election to comply with the reduced disclosure requirements as a public company may make our Ordinary Shares less attractive to investors.</w:t>
      </w:r>
    </w:p>
    <w:p>
      <w:pPr>
        <w:spacing w:after="0" w:line="53" w:lineRule="exact"/>
        <w:rPr>
          <w:rFonts w:ascii="Times New Roman" w:cs="Times New Roman" w:eastAsia="Times New Roman" w:hAnsi="Times New Roman"/>
          <w:sz w:val="18"/>
          <w:szCs w:val="18"/>
          <w:color w:val="auto"/>
        </w:rPr>
      </w:pPr>
    </w:p>
    <w:p>
      <w:pPr>
        <w:ind w:left="503" w:right="7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our foreign private issuer status in the future, which could result in significant additional cost and expense.</w:t>
      </w:r>
    </w:p>
    <w:p>
      <w:pPr>
        <w:spacing w:after="0" w:line="117"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additional Ordinary Shares in connection with financings, acquisitions, investments, our stock incentive plans, or otherwise will dilute all other shareholders.</w:t>
      </w:r>
    </w:p>
    <w:p>
      <w:pPr>
        <w:spacing w:after="0" w:line="53" w:lineRule="exact"/>
        <w:rPr>
          <w:rFonts w:ascii="Times New Roman" w:cs="Times New Roman" w:eastAsia="Times New Roman" w:hAnsi="Times New Roman"/>
          <w:sz w:val="18"/>
          <w:szCs w:val="18"/>
          <w:color w:val="auto"/>
        </w:rPr>
      </w:pPr>
    </w:p>
    <w:p>
      <w:pPr>
        <w:ind w:left="503" w:right="7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3" w:lineRule="exact"/>
        <w:rPr>
          <w:rFonts w:ascii="Times New Roman" w:cs="Times New Roman" w:eastAsia="Times New Roman" w:hAnsi="Times New Roman"/>
          <w:sz w:val="18"/>
          <w:szCs w:val="18"/>
          <w:color w:val="auto"/>
        </w:rPr>
      </w:pPr>
    </w:p>
    <w:p>
      <w:pPr>
        <w:ind w:left="503" w:right="8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directly or indirectly own 10% or more of our equity interests may be subject to adverse U.S. federal income tax consequences under rules applicable to U.S. shareholders of controlled foreign corporations.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 shareholders may suffer adverse tax consequences if we are classified as a “passive foreign investment company.”</w:t>
      </w:r>
    </w:p>
    <w:p>
      <w:pPr>
        <w:spacing w:after="0" w:line="117" w:lineRule="exact"/>
        <w:rPr>
          <w:rFonts w:ascii="Times New Roman" w:cs="Times New Roman" w:eastAsia="Times New Roman" w:hAnsi="Times New Roman"/>
          <w:sz w:val="18"/>
          <w:szCs w:val="18"/>
          <w:color w:val="auto"/>
        </w:rPr>
      </w:pPr>
    </w:p>
    <w:p>
      <w:pPr>
        <w:ind w:left="5063" w:right="160" w:hanging="5063"/>
        <w:spacing w:after="0" w:line="407" w:lineRule="auto"/>
        <w:tabs>
          <w:tab w:leader="none" w:pos="5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Revenue Service may not agree that Rezolve should be treated as a non-U.S. corporation for U.S. federal income tax purposes.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375920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20" w:right="339" w:bottom="1440" w:gutter="0" w:footer="0" w:header="0"/>
        </w:sectPr>
      </w:pPr>
    </w:p>
    <w:bookmarkStart w:id="13" w:name="page14"/>
    <w:bookmarkEnd w:id="13"/>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0" w:lineRule="exact"/>
        <w:rPr>
          <w:sz w:val="20"/>
          <w:szCs w:val="20"/>
          <w:color w:val="auto"/>
        </w:rPr>
      </w:pPr>
    </w:p>
    <w:p>
      <w:pPr>
        <w:spacing w:after="0" w:line="24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We are registering the resale by the Selling Holders or their permitted transferees of up to 20,000,000 Ordinary Shares. Any investment in the securities offered hereby is speculative and involves a high degree of risk. You should carefully consider the 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on page 12 of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as of July 30, 2025 and does not give effect to issuances of Ordinary Shares after such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Resale of Ordinary Shares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Ordinary Shares</w:t>
            </w:r>
          </w:p>
        </w:tc>
        <w:tc>
          <w:tcPr>
            <w:tcW w:w="9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Up to 20,000,000 Ordinary Shares issued in connection with the PIPE Financing.</w:t>
            </w:r>
          </w:p>
        </w:tc>
        <w:tc>
          <w:tcPr>
            <w:tcW w:w="0" w:type="dxa"/>
            <w:vAlign w:val="bottom"/>
          </w:tcPr>
          <w:p>
            <w:pPr>
              <w:spacing w:after="0"/>
              <w:rPr>
                <w:sz w:val="1"/>
                <w:szCs w:val="1"/>
                <w:color w:val="auto"/>
              </w:rPr>
            </w:pPr>
          </w:p>
        </w:tc>
      </w:tr>
      <w:tr>
        <w:trPr>
          <w:trHeight w:val="216"/>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offered by the Selling</w:t>
            </w:r>
          </w:p>
        </w:tc>
        <w:tc>
          <w:tcPr>
            <w:tcW w:w="9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Holders</w:t>
            </w:r>
          </w:p>
        </w:tc>
        <w:tc>
          <w:tcPr>
            <w:tcW w:w="9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 of proceeds</w:t>
            </w:r>
          </w:p>
        </w:tc>
        <w:tc>
          <w:tcPr>
            <w:tcW w:w="9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 will not receive any proceeds from the sale of the Ordinary Shares to be offered by the Selling Holders.</w:t>
            </w:r>
          </w:p>
        </w:tc>
        <w:tc>
          <w:tcPr>
            <w:tcW w:w="0" w:type="dxa"/>
            <w:vAlign w:val="bottom"/>
          </w:tcPr>
          <w:p>
            <w:pPr>
              <w:spacing w:after="0"/>
              <w:rPr>
                <w:sz w:val="1"/>
                <w:szCs w:val="1"/>
                <w:color w:val="auto"/>
              </w:rPr>
            </w:pPr>
          </w:p>
        </w:tc>
      </w:tr>
      <w:tr>
        <w:trPr>
          <w:trHeight w:val="414"/>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factors</w:t>
            </w: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12 of this prospectus and other information included in this prospectus for a</w:t>
            </w:r>
          </w:p>
        </w:tc>
        <w:tc>
          <w:tcPr>
            <w:tcW w:w="0" w:type="dxa"/>
            <w:vAlign w:val="bottom"/>
          </w:tcPr>
          <w:p>
            <w:pPr>
              <w:spacing w:after="0"/>
              <w:rPr>
                <w:sz w:val="1"/>
                <w:szCs w:val="1"/>
                <w:color w:val="auto"/>
              </w:rPr>
            </w:pPr>
          </w:p>
        </w:tc>
      </w:tr>
      <w:tr>
        <w:trPr>
          <w:trHeight w:val="234"/>
        </w:trPr>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Nasdaq symbol for</w:t>
            </w: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discussion of factors that you should consider carefully before deciding to invest in Ordinary Shares and Warrants.</w:t>
            </w:r>
          </w:p>
        </w:tc>
        <w:tc>
          <w:tcPr>
            <w:tcW w:w="0" w:type="dxa"/>
            <w:vAlign w:val="bottom"/>
          </w:tcPr>
          <w:p>
            <w:pPr>
              <w:spacing w:after="0"/>
              <w:rPr>
                <w:sz w:val="1"/>
                <w:szCs w:val="1"/>
                <w:color w:val="auto"/>
              </w:rPr>
            </w:pPr>
          </w:p>
        </w:tc>
      </w:tr>
      <w:tr>
        <w:trPr>
          <w:trHeight w:val="198"/>
        </w:trPr>
        <w:tc>
          <w:tcPr>
            <w:tcW w:w="1600" w:type="dxa"/>
            <w:vAlign w:val="bottom"/>
            <w:vMerge w:val="continue"/>
          </w:tcPr>
          <w:p>
            <w:pPr>
              <w:spacing w:after="0"/>
              <w:rPr>
                <w:sz w:val="17"/>
                <w:szCs w:val="17"/>
                <w:color w:val="auto"/>
              </w:rPr>
            </w:pPr>
          </w:p>
        </w:tc>
        <w:tc>
          <w:tcPr>
            <w:tcW w:w="9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Ordinary Shares</w:t>
            </w: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“RZLV.”</w:t>
            </w:r>
          </w:p>
        </w:tc>
        <w:tc>
          <w:tcPr>
            <w:tcW w:w="0" w:type="dxa"/>
            <w:vAlign w:val="bottom"/>
          </w:tcPr>
          <w:p>
            <w:pPr>
              <w:spacing w:after="0"/>
              <w:rPr>
                <w:sz w:val="1"/>
                <w:szCs w:val="1"/>
                <w:color w:val="auto"/>
              </w:rPr>
            </w:pPr>
          </w:p>
        </w:tc>
      </w:tr>
      <w:tr>
        <w:trPr>
          <w:trHeight w:val="756"/>
        </w:trPr>
        <w:tc>
          <w:tcPr>
            <w:tcW w:w="1600" w:type="dxa"/>
            <w:vAlign w:val="bottom"/>
          </w:tcPr>
          <w:p>
            <w:pPr>
              <w:spacing w:after="0"/>
              <w:rPr>
                <w:sz w:val="24"/>
                <w:szCs w:val="24"/>
                <w:color w:val="auto"/>
              </w:rPr>
            </w:pPr>
          </w:p>
        </w:tc>
        <w:tc>
          <w:tcPr>
            <w:tcW w:w="964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763"/>
        </w:trPr>
        <w:tc>
          <w:tcPr>
            <w:tcW w:w="1600" w:type="dxa"/>
            <w:vAlign w:val="bottom"/>
            <w:tcBorders>
              <w:bottom w:val="single" w:sz="8" w:color="9A9A9A"/>
            </w:tcBorders>
          </w:tcPr>
          <w:p>
            <w:pPr>
              <w:spacing w:after="0"/>
              <w:rPr>
                <w:sz w:val="24"/>
                <w:szCs w:val="24"/>
                <w:color w:val="auto"/>
              </w:rPr>
            </w:pPr>
          </w:p>
        </w:tc>
        <w:tc>
          <w:tcPr>
            <w:tcW w:w="9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the Ordinary Shares involves a high degree of risk. You should consider carefully the following risks, together with the financial and other information contained in this prospectus, including “Management’s Discussion and Analysis of Financial Condition and Results of Operations,” before you decide to purchase Ordinary Shares. If any of the following risks actually occur, our business, financial condition and operating results could be materially and adversely affected. In that case, the market price of the Ordinary Shares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and operating results. See “Cautionary Note Regarding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has generated limited revenues from existing channels and there is no guarantee that it will be able to attract and retain new merchants and increase sales to new merchants.</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Rezolve expects to generate revenues principally through subscription fees and one-time transaction fees. Rezolve expects to be dependent on agreements with certain business partners to service merchants and remit subscription fees to Rezolve, including Microsoft, Google and ACI in North America and Europe,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may also fail to attract new partners and retain existing partners as a result of a number of other factors, including</w:t>
      </w:r>
    </w:p>
    <w:p>
      <w:pPr>
        <w:spacing w:after="0" w:line="117" w:lineRule="exact"/>
        <w:rPr>
          <w:sz w:val="20"/>
          <w:szCs w:val="20"/>
          <w:color w:val="auto"/>
        </w:rPr>
      </w:pPr>
    </w:p>
    <w:p>
      <w:pPr>
        <w:ind w:left="1140" w:right="560" w:hanging="519"/>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affecting the software as a service, or SaaS, business software applications market, including the introduction of competing platforms, discount pricing and other strategies that may be implemented by Rezolve’s competitors;</w:t>
      </w:r>
    </w:p>
    <w:p>
      <w:pPr>
        <w:spacing w:after="0" w:line="53"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execute on Rezolve’s growth strategy and operating plans;</w:t>
      </w:r>
    </w:p>
    <w:p>
      <w:pPr>
        <w:spacing w:after="0" w:line="117"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Rezolve’s partners’ level of satisfaction with Rezolve’s platform and usage of Rezolve’s platform;</w:t>
      </w:r>
    </w:p>
    <w:p>
      <w:pPr>
        <w:spacing w:after="0" w:line="117" w:lineRule="exact"/>
        <w:rPr>
          <w:rFonts w:ascii="Times New Roman" w:cs="Times New Roman" w:eastAsia="Times New Roman" w:hAnsi="Times New Roman"/>
          <w:sz w:val="18"/>
          <w:szCs w:val="18"/>
          <w:color w:val="auto"/>
        </w:rPr>
      </w:pPr>
    </w:p>
    <w:p>
      <w:pPr>
        <w:ind w:left="1140" w:right="180" w:hanging="519"/>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Rezolve’s relationships with third parties, including Rezolve’s partners, app developers, theme designers, referral sources and payment processors;</w:t>
      </w:r>
    </w:p>
    <w:p>
      <w:pPr>
        <w:spacing w:after="0" w:line="53"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timeliness and success of Rezolve’s solutions;</w:t>
      </w:r>
    </w:p>
    <w:p>
      <w:pPr>
        <w:spacing w:after="0" w:line="117"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any system outages</w:t>
      </w:r>
    </w:p>
    <w:p>
      <w:pPr>
        <w:spacing w:after="0" w:line="117"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 and</w:t>
      </w:r>
    </w:p>
    <w:p>
      <w:pPr>
        <w:spacing w:after="0" w:line="117" w:lineRule="exact"/>
        <w:rPr>
          <w:rFonts w:ascii="Times New Roman" w:cs="Times New Roman" w:eastAsia="Times New Roman" w:hAnsi="Times New Roman"/>
          <w:sz w:val="18"/>
          <w:szCs w:val="18"/>
          <w:color w:val="auto"/>
        </w:rPr>
      </w:pPr>
    </w:p>
    <w:p>
      <w:pPr>
        <w:jc w:val="both"/>
        <w:ind w:left="1140" w:right="300" w:hanging="519"/>
        <w:spacing w:after="0" w:line="266"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spacing w:after="0" w:line="2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an early-stage company with a history of financial losses and expects to incur significant expenses and continuing losses for the foreseeable future.</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Rezolve incurred a net loss of $172.6 million in the year ended December 31, 2024 and $30.7 million in the year ended December 31, 2023, respectively. At December 31, 2024, Rezolve had a total shareholders’ deficit of $38.0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 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 will make it</w:t>
      </w:r>
    </w:p>
    <w:p>
      <w:pPr>
        <w:spacing w:after="0" w:line="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5" w:name="page16"/>
    <w:bookmarkEnd w:id="15"/>
    <w:p>
      <w:pPr>
        <w:ind w:right="80"/>
        <w:spacing w:after="0" w:line="258" w:lineRule="auto"/>
        <w:rPr>
          <w:sz w:val="20"/>
          <w:szCs w:val="20"/>
          <w:color w:val="auto"/>
        </w:rPr>
      </w:pPr>
      <w:r>
        <w:rPr>
          <w:rFonts w:ascii="Times New Roman" w:cs="Times New Roman" w:eastAsia="Times New Roman" w:hAnsi="Times New Roman"/>
          <w:sz w:val="18"/>
          <w:szCs w:val="18"/>
          <w:color w:val="auto"/>
        </w:rPr>
        <w:t>harder for Rezolve to achieve profitability, and Rezolve cannot predict if it will achieve profitability in the near-term or at all. Historically, Rezolve’s costs have increased each year due to these factors and Rezolve expects to continue to incur increasing costs to support its anticipated future growth. Rezolve also expects to incur additional general and administrative expenses as a result of both 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w:t>
      </w:r>
    </w:p>
    <w:p>
      <w:pPr>
        <w:spacing w:after="0" w:line="28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worldwide economic conditions, including the resulting effect on spending by SMBs and spending on technology, may adversely affect Rezolve’s business, operating results and financial condition.</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Weak global economic conditions, changes in consumer behavior or a reduction in technology spending even if economic 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 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Uneven economic growth or downturns or international trade and other global disruptions, geopolitical tensions, or disputes could adversely affect our business and operating results.</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Trade and other global disputes and interruptions, including related to tariffs, trade protection measures, import or export licensing requirements, the imposition of trade sanctions or similar restrictions by the U.S. or other governments, international tension and conflicts, as well as economic stagnation, cost inflation, strains on global transportation, manufacturing, and labor markets, and public health outbreaks, epidemics, or pandemics affect our ability to do business. Among other risks, the use of tariffs and other trade restrictions increase costs and may impact or otherwise complicate aspects of our business.</w:t>
      </w:r>
    </w:p>
    <w:p>
      <w:pPr>
        <w:spacing w:after="0" w:line="28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limited operating history in a new and developing market makes it difficult to evaluate its current business and future prospects and may increase the risk that it will not be successful.</w:t>
      </w:r>
    </w:p>
    <w:p>
      <w:pPr>
        <w:spacing w:after="0" w:line="5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growth depends in part on the success of its strategic relationships with third parties.</w:t>
      </w:r>
    </w:p>
    <w:p>
      <w:pPr>
        <w:spacing w:after="0" w:line="1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6" w:name="page17"/>
    <w:bookmarkEnd w:id="16"/>
    <w:p>
      <w:pPr>
        <w:spacing w:after="0" w:line="253" w:lineRule="auto"/>
        <w:rPr>
          <w:sz w:val="20"/>
          <w:szCs w:val="20"/>
          <w:color w:val="auto"/>
        </w:rPr>
      </w:pPr>
      <w:r>
        <w:rPr>
          <w:rFonts w:ascii="Times New Roman" w:cs="Times New Roman" w:eastAsia="Times New Roman" w:hAnsi="Times New Roman"/>
          <w:sz w:val="18"/>
          <w:szCs w:val="18"/>
          <w:color w:val="auto"/>
        </w:rPr>
        <w:t>Rezolve anticipates that the growth of its business will continue to depend on third-party relationships, including relationships with its referral sources, resellers, payment processors and other partners. Identifying, negotiating and documenting relationships with third parties requires significant time and resources as does integrating third-party content and technology. Rezolve’s agreements with 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 Rezolve’s merchants, and Rezolve or its merchants may in the future have disagreements or disputes with such providers. If Rezolve loses 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w:t>
      </w:r>
    </w:p>
    <w:p>
      <w:pPr>
        <w:spacing w:after="0" w:line="29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 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 the COVID-19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could be harmed if it fails to manage its growth effectively.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7" w:name="page18"/>
    <w:bookmarkEnd w:id="17"/>
    <w:p>
      <w:pPr>
        <w:spacing w:after="0" w:line="258" w:lineRule="auto"/>
        <w:rPr>
          <w:sz w:val="20"/>
          <w:szCs w:val="20"/>
          <w:color w:val="auto"/>
        </w:rPr>
      </w:pPr>
      <w:r>
        <w:rPr>
          <w:rFonts w:ascii="Times New Roman" w:cs="Times New Roman" w:eastAsia="Times New Roman" w:hAnsi="Times New Roman"/>
          <w:sz w:val="18"/>
          <w:szCs w:val="18"/>
          <w:color w:val="auto"/>
        </w:rPr>
        <w:t>Rezolve’s growth will likely continue to place, a significant strain on its managerial, administrative, operational, financial and other resources. Rezolve has grown from 21 employees at December 31, 2019 to 26 employees at December 31, 2024.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spacing w:after="0" w:line="183" w:lineRule="exact"/>
        <w:rPr>
          <w:sz w:val="20"/>
          <w:szCs w:val="20"/>
          <w:color w:val="auto"/>
        </w:rPr>
      </w:pPr>
    </w:p>
    <w:p>
      <w:pPr>
        <w:jc w:val="both"/>
        <w:ind w:right="340"/>
        <w:spacing w:after="0" w:line="256" w:lineRule="auto"/>
        <w:rPr>
          <w:sz w:val="20"/>
          <w:szCs w:val="20"/>
          <w:color w:val="auto"/>
        </w:rPr>
      </w:pPr>
      <w:r>
        <w:rPr>
          <w:rFonts w:ascii="Times New Roman" w:cs="Times New Roman" w:eastAsia="Times New Roman" w:hAnsi="Times New Roman"/>
          <w:sz w:val="18"/>
          <w:szCs w:val="18"/>
          <w:color w:val="auto"/>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spacing w:after="0" w:line="291"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does not have the history with its solutions or pricing models necessary to accurately predict optimal pricing necessary to attract new merchants and retain existing merchants.</w:t>
      </w:r>
    </w:p>
    <w:p>
      <w:pPr>
        <w:spacing w:after="0" w:line="5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result of Rezolve’s business model, it may not be able to accurately assess its financial position and results of operations.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operations until future periods. Rezolve’s subscription model also may make it difficult for Rezolve to rapidly increase its total revenues and deferred revenues balance through additional sales in any period, as revenues from new customers must be recognized over the applicable subscription term. These factors may have an adverse effect on Rezolve’s business, results of operations and financial condition.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is susceptible to risks associated with international sales and the use of its platform in various countries.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Rezolve’s international sales and the use of its platform in various countries subject Rezolve to risks that include, but are not limited to:</w:t>
      </w:r>
    </w:p>
    <w:p>
      <w:pPr>
        <w:spacing w:after="0" w:line="117" w:lineRule="exact"/>
        <w:rPr>
          <w:sz w:val="20"/>
          <w:szCs w:val="20"/>
          <w:color w:val="auto"/>
        </w:rPr>
      </w:pPr>
    </w:p>
    <w:p>
      <w:pPr>
        <w:ind w:left="1020" w:right="320" w:hanging="503"/>
        <w:spacing w:after="0" w:line="282" w:lineRule="auto"/>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lack of familiarity and burdens and complexity involved with complying with multiple, conflicting and changing foreign laws, standards, regulatory requirements, tariffs, export controls and other barriers;</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in ensuring compliance with countries’ multiple, conflicting and changing international trade, customs and sanctions laws;</w:t>
      </w:r>
    </w:p>
    <w:p>
      <w:pPr>
        <w:spacing w:after="0" w:line="117" w:lineRule="exact"/>
        <w:rPr>
          <w:rFonts w:ascii="Times New Roman" w:cs="Times New Roman" w:eastAsia="Times New Roman" w:hAnsi="Times New Roman"/>
          <w:sz w:val="18"/>
          <w:szCs w:val="18"/>
          <w:b w:val="1"/>
          <w:bCs w:val="1"/>
          <w:color w:val="auto"/>
        </w:rPr>
      </w:pPr>
    </w:p>
    <w:p>
      <w:pPr>
        <w:ind w:left="1020" w:right="660" w:hanging="503"/>
        <w:spacing w:after="0" w:line="282" w:lineRule="auto"/>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in complying with laws relating to privacy, data protection, and cybersecurity, including the UK General Data Protection Regulation, some of which may require that merchant and customer data be stored and processed in a designated territory;</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in managing systems integrators and technology partners;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differing technology standards;</w:t>
      </w:r>
    </w:p>
    <w:p>
      <w:pPr>
        <w:spacing w:after="0" w:line="117" w:lineRule="exact"/>
        <w:rPr>
          <w:rFonts w:ascii="Times New Roman" w:cs="Times New Roman" w:eastAsia="Times New Roman" w:hAnsi="Times New Roman"/>
          <w:sz w:val="18"/>
          <w:szCs w:val="18"/>
          <w:b w:val="1"/>
          <w:bCs w:val="1"/>
          <w:color w:val="auto"/>
        </w:rPr>
      </w:pPr>
    </w:p>
    <w:p>
      <w:pPr>
        <w:ind w:left="1020" w:right="360" w:hanging="503"/>
        <w:spacing w:after="0" w:line="282" w:lineRule="auto"/>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potentially adverse tax consequences, including the complexities of foreign value added tax (or other tax) systems and restrictions on the repatriation of earnings;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8" w:name="page19"/>
    <w:bookmarkEnd w:id="18"/>
    <w:p>
      <w:pPr>
        <w:ind w:left="1020" w:hanging="503"/>
        <w:spacing w:after="0"/>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greater difficulty in enforcing contracts, including Rezolve’s universal terms of service and other agreements;</w:t>
      </w:r>
    </w:p>
    <w:p>
      <w:pPr>
        <w:spacing w:after="0" w:line="117" w:lineRule="exact"/>
        <w:rPr>
          <w:rFonts w:ascii="Times New Roman" w:cs="Times New Roman" w:eastAsia="Times New Roman" w:hAnsi="Times New Roman"/>
          <w:sz w:val="18"/>
          <w:szCs w:val="18"/>
          <w:b w:val="1"/>
          <w:bCs w:val="1"/>
          <w:color w:val="auto"/>
        </w:rPr>
      </w:pPr>
    </w:p>
    <w:p>
      <w:pPr>
        <w:ind w:left="1020" w:right="80" w:hanging="503"/>
        <w:spacing w:after="0" w:line="266" w:lineRule="auto"/>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w:t>
      </w:r>
    </w:p>
    <w:p>
      <w:pPr>
        <w:spacing w:after="0" w:line="6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currency exchange rates;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reduced or uncertain protection for intellectual property rights in some countries; and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spacing w:after="0" w:line="280"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 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w:t>
      </w:r>
    </w:p>
    <w:p>
      <w:pPr>
        <w:spacing w:after="0" w:line="1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negatively affect Rezolve’s results of operations.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operating results are expected to be subject to seasonal fluctuations.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 solutions offerings, Rezolve cannot guarantee that its business will not become more seasonal in the future, and historical patterns in its business may not be a reliable indicator of Rezolve’s future sales activity or performance.</w:t>
      </w:r>
    </w:p>
    <w:p>
      <w:pPr>
        <w:spacing w:after="0" w:line="28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9" w:name="page20"/>
    <w:bookmarkEnd w:id="19"/>
    <w:p>
      <w:pPr>
        <w:ind w:right="80"/>
        <w:spacing w:after="0" w:line="254" w:lineRule="auto"/>
        <w:rPr>
          <w:sz w:val="20"/>
          <w:szCs w:val="20"/>
          <w:color w:val="auto"/>
        </w:rPr>
      </w:pPr>
      <w:r>
        <w:rPr>
          <w:rFonts w:ascii="Times New Roman" w:cs="Times New Roman" w:eastAsia="Times New Roman" w:hAnsi="Times New Roman"/>
          <w:sz w:val="18"/>
          <w:szCs w:val="18"/>
          <w:color w:val="auto"/>
        </w:rPr>
        <w:t>Rezolve may experience difficulties with software development that could delay or prevent the development, introduction or implementation of new solutions and enhancements. Software development 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not be able to compete successfully against current and future competitors.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Payment transactions on Rezolve’s platform may be subject to regulatory requirements and other risks that could be costly and difficult to comply with or that could harm Rezolve’s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may become subject to a number of risks related to payments processed through Instant Buy, including:</w:t>
      </w:r>
    </w:p>
    <w:p>
      <w:pPr>
        <w:spacing w:after="0" w:line="117"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interchange and other fees, which may increase Rezolve’s operating expenses;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maintain its chargeback rate at acceptable levels, its credit card fees may increase or credit card issuers may terminate their relationship with Rezolve;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diversion of management time and effort and other resources to deal with fraudulent transactions or chargeback disputes;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fraudulent or otherwise illegal activity by merchants, their customers, developers, employees or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funds or required reserves related to payments;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disclosure and other requirements, including new reporting regulations and new credit card association rules.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Rezolve is currently subject to a variety of laws and regulations in the U.S., Mexico, the UK, Europe, India and elsewhere related to payment processing, including those governing cross-border and domestic money transmission, electronic funds transfers, foreign</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20" w:name="page21"/>
    <w:bookmarkEnd w:id="20"/>
    <w:p>
      <w:pPr>
        <w:ind w:right="100"/>
        <w:spacing w:after="0" w:line="254" w:lineRule="auto"/>
        <w:rPr>
          <w:sz w:val="20"/>
          <w:szCs w:val="20"/>
          <w:color w:val="auto"/>
        </w:rPr>
      </w:pPr>
      <w:r>
        <w:rPr>
          <w:rFonts w:ascii="Times New Roman" w:cs="Times New Roman" w:eastAsia="Times New Roman" w:hAnsi="Times New Roman"/>
          <w:sz w:val="18"/>
          <w:szCs w:val="18"/>
          <w:color w:val="auto"/>
        </w:rPr>
        <w:t>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spacing w:after="0" w:line="2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spacing w:after="0" w:line="68"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areas of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implementation or remediation of controls, procedures and policies of the acquired company;</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difficulty integrating the accounting systems and operations of the acquired company, including potential risks to Rezolve’s corporate culture;</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retention and integration of employees from the acquired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or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Rezolve’s existing business relationships with partners and merchants as a result of the acquisition or investment;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adverse tax consequences;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arising in connection with the acquired company or investment; and</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that Rezolve acquires may be allocated to acquired goodwill and other intangible assets, which must be assessed for impairment on at least an annual basis. In the future, if Rezolve’s acquisitions do not yield expected returns, Rezolve may be required to take charges to its operating results based on this impairment assessment process, which could adversely affect Rezolve’s results of operations.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w:t>
      </w:r>
    </w:p>
    <w:p>
      <w:pPr>
        <w:spacing w:after="0" w:line="26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need to raise additional funds to pursue its growth strategy or continue its operations, and Rezolve may be unable to raise capital when needed or on acceptable terms.</w:t>
      </w:r>
    </w:p>
    <w:p>
      <w:pPr>
        <w:spacing w:after="0" w:line="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21" w:name="page22"/>
    <w:bookmarkEnd w:id="21"/>
    <w:p>
      <w:pPr>
        <w:spacing w:after="0" w:line="255" w:lineRule="auto"/>
        <w:rPr>
          <w:sz w:val="20"/>
          <w:szCs w:val="20"/>
          <w:color w:val="auto"/>
        </w:rPr>
      </w:pPr>
      <w:r>
        <w:rPr>
          <w:rFonts w:ascii="Times New Roman" w:cs="Times New Roman" w:eastAsia="Times New Roman" w:hAnsi="Times New Roman"/>
          <w:sz w:val="18"/>
          <w:szCs w:val="18"/>
          <w:color w:val="auto"/>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spacing w:after="0" w:line="29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availability of Rezolve’s platform does not meet its service-level commitments to customers, Rezolve’s current and future revenues may be negatively impacted.</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Rezolve typically commits to its customers that its platform will maintain a minimum service-level of availability. If Rezolve is unable to meet these commitments, Rezolve may be obligated to provide customers with additional capacity, which could significantly affect its revenues. Further, any failure to meet its service-level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does not intend to pay dividends for the foreseeable future.</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spacing w:after="0" w:line="28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spacing w:after="0" w:line="29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regional or global health pandemic, including the global COVID-19 pandemic, may adversely impact Rezolve’s business, results of operations and financial performance.</w:t>
      </w:r>
    </w:p>
    <w:p>
      <w:pPr>
        <w:spacing w:after="0" w:line="5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 regional or global health pandemic, depending upon its duration and severity, could have a material adverse effect on our business. For example, in March 2020, the World Health Organization characterized COVID-19 as a global pandemic, which has had numerous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2" w:name="page23"/>
    <w:bookmarkEnd w:id="22"/>
    <w:p>
      <w:pPr>
        <w:ind w:right="40"/>
        <w:spacing w:after="0" w:line="261" w:lineRule="auto"/>
        <w:rPr>
          <w:sz w:val="20"/>
          <w:szCs w:val="20"/>
          <w:color w:val="auto"/>
        </w:rPr>
      </w:pPr>
      <w:r>
        <w:rPr>
          <w:rFonts w:ascii="Times New Roman" w:cs="Times New Roman" w:eastAsia="Times New Roman" w:hAnsi="Times New Roman"/>
          <w:sz w:val="18"/>
          <w:szCs w:val="18"/>
          <w:color w:val="auto"/>
        </w:rPr>
        <w:t>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Although Rezolve’s results have not been materially affected by COVID-19 to date, Rezolve is unable to accurately predict the impact that other global health crises will have on Rezolve’s or its business partners’ or customers’ operations.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is unable to hire, retain and motivate qualified personnel, its business will be adversely affected.</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its ability to continue to attract and retain highly skilled personnel. The inability to attract or retain qualified personnel or delays in hiring required personnel may seriously harm 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w:t>
      </w:r>
    </w:p>
    <w:p>
      <w:pPr>
        <w:spacing w:after="0" w:line="29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expects to be dependent upon consumers’ and merchants’ willingness to use the internet and internet-enabled mobile devices for commerce.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Rezolve’s Software, Platform, and Security</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Rezolve’s software or platform contains serious errors or defects, Rezolve may lose revenues and market acceptance and may incur costs to defend or settle claims with its merchants.</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3" w:name="page24"/>
    <w:bookmarkEnd w:id="23"/>
    <w:p>
      <w:pPr>
        <w:ind w:right="120"/>
        <w:spacing w:after="0" w:line="254" w:lineRule="auto"/>
        <w:rPr>
          <w:sz w:val="20"/>
          <w:szCs w:val="20"/>
          <w:color w:val="auto"/>
        </w:rPr>
      </w:pPr>
      <w:r>
        <w:rPr>
          <w:rFonts w:ascii="Times New Roman" w:cs="Times New Roman" w:eastAsia="Times New Roman" w:hAnsi="Times New Roman"/>
          <w:sz w:val="18"/>
          <w:szCs w:val="18"/>
          <w:color w:val="auto"/>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 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w:t>
      </w:r>
    </w:p>
    <w:p>
      <w:pPr>
        <w:spacing w:after="0" w:line="188"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spacing w:after="0" w:line="2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denial of service attack or security breach or incident could delay or interrupt service to Rezolve’s merchants and their customers, harm Rezolve’s reputation and subject Rezolve to significant liability.</w:t>
      </w:r>
    </w:p>
    <w:p>
      <w:pPr>
        <w:spacing w:after="0" w:line="4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Rezolve’s platform and systems may be subject to distributed denial-of-service (“</w:t>
      </w:r>
      <w:r>
        <w:rPr>
          <w:rFonts w:ascii="Times New Roman" w:cs="Times New Roman" w:eastAsia="Times New Roman" w:hAnsi="Times New Roman"/>
          <w:sz w:val="18"/>
          <w:szCs w:val="18"/>
          <w:b w:val="1"/>
          <w:bCs w:val="1"/>
          <w:i w:val="1"/>
          <w:iCs w:val="1"/>
          <w:color w:val="auto"/>
        </w:rPr>
        <w:t>DDoS</w:t>
      </w:r>
      <w:r>
        <w:rPr>
          <w:rFonts w:ascii="Times New Roman" w:cs="Times New Roman" w:eastAsia="Times New Roman" w:hAnsi="Times New Roman"/>
          <w:sz w:val="18"/>
          <w:szCs w:val="18"/>
          <w:color w:val="auto"/>
        </w:rPr>
        <w:t>”)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security breaches and incidents. Rezolve engages third-party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spacing w:after="0" w:line="19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Certain jurisdictions have enacted laws requiring companies to notify individuals of data security breaches involving certain types of personal data and Rezolve’s agreements with certain customers require Rezolve to 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uses a limited number of data centers to deliver its services. Any disruption of service at these facilities could harm Rezolve’s business.</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4" w:name="page25"/>
    <w:bookmarkEnd w:id="24"/>
    <w:p>
      <w:pPr>
        <w:spacing w:after="0" w:line="253" w:lineRule="auto"/>
        <w:rPr>
          <w:sz w:val="20"/>
          <w:szCs w:val="20"/>
          <w:color w:val="auto"/>
        </w:rPr>
      </w:pPr>
      <w:r>
        <w:rPr>
          <w:rFonts w:ascii="Times New Roman" w:cs="Times New Roman" w:eastAsia="Times New Roman" w:hAnsi="Times New Roman"/>
          <w:sz w:val="18"/>
          <w:szCs w:val="18"/>
          <w:color w:val="auto"/>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spacing w:after="0" w:line="29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relies on computer hardware, purchased or leased, and software licensed from and services rendered by third parties in order to provide its solutions and run its business.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 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spacing w:after="0" w:line="292"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does not or cannot maintain the compatibility of its platform with third-party applications that its customers use in their businesses, Rezolve’s revenues will decline.</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 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spacing w:after="0" w:line="28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5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 Effective mobile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5" w:name="page26"/>
    <w:bookmarkEnd w:id="25"/>
    <w:p>
      <w:pPr>
        <w:ind w:right="360"/>
        <w:spacing w:after="0" w:line="266" w:lineRule="auto"/>
        <w:rPr>
          <w:sz w:val="20"/>
          <w:szCs w:val="20"/>
          <w:color w:val="auto"/>
        </w:rPr>
      </w:pPr>
      <w:r>
        <w:rPr>
          <w:rFonts w:ascii="Times New Roman" w:cs="Times New Roman" w:eastAsia="Times New Roman" w:hAnsi="Times New Roman"/>
          <w:sz w:val="18"/>
          <w:szCs w:val="18"/>
          <w:color w:val="auto"/>
        </w:rPr>
        <w:t>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spacing w:after="0" w:line="28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Rezolve is also subject to laws and regulations regarding privacy, data protection, and cybersecurity, including the EU General Data Protection Regulation, the UK General Data Protection Regulation, and the ePrivacy Directive (collectively, “</w:t>
      </w:r>
      <w:r>
        <w:rPr>
          <w:rFonts w:ascii="Times New Roman" w:cs="Times New Roman" w:eastAsia="Times New Roman" w:hAnsi="Times New Roman"/>
          <w:sz w:val="18"/>
          <w:szCs w:val="18"/>
          <w:b w:val="1"/>
          <w:bCs w:val="1"/>
          <w:i w:val="1"/>
          <w:iCs w:val="1"/>
          <w:color w:val="auto"/>
        </w:rPr>
        <w:t>European Data Protection Laws</w:t>
      </w:r>
      <w:r>
        <w:rPr>
          <w:rFonts w:ascii="Times New Roman" w:cs="Times New Roman" w:eastAsia="Times New Roman" w:hAnsi="Times New Roman"/>
          <w:sz w:val="18"/>
          <w:szCs w:val="18"/>
          <w:color w:val="auto"/>
        </w:rPr>
        <w:t>”). European Data Protection Laws regulate the collection, use and other processing of personal data, and impose requirements in connection with such processing that often are more restrictive than in other jurisdictions. For example, European Data 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w:t>
      </w:r>
    </w:p>
    <w:p>
      <w:pPr>
        <w:spacing w:after="0" w:line="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6" w:name="page27"/>
    <w:bookmarkEnd w:id="26"/>
    <w:p>
      <w:pPr>
        <w:spacing w:after="0" w:line="252" w:lineRule="auto"/>
        <w:rPr>
          <w:sz w:val="20"/>
          <w:szCs w:val="20"/>
          <w:color w:val="auto"/>
        </w:rPr>
      </w:pPr>
      <w:r>
        <w:rPr>
          <w:rFonts w:ascii="Times New Roman" w:cs="Times New Roman" w:eastAsia="Times New Roman" w:hAnsi="Times New Roman"/>
          <w:sz w:val="18"/>
          <w:szCs w:val="18"/>
          <w:color w:val="auto"/>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 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Rezolve’s Brand</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brand is important to its success. If Rezolve fails to effectively maintain, promote and enhance Rezolve’s brand, Rezolve’s business and competitive advantage may be harmed.</w:t>
      </w:r>
    </w:p>
    <w:p>
      <w:pPr>
        <w:spacing w:after="0" w:line="5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spacing w:after="0" w:line="17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spacing w:after="0" w:line="29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Activities of merchants or the content of their shops could damage Rezolve’s brand, subject Rezolve to liability and harm its business and financial results.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fails to maintain a consistently high level of customer service, Rezolve’s brand, business and financial results may be harmed.</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Rezolve believes its focus on customer service and support is critical to onboarding new merchants and growing its business. As a result, Rezolve has invested heavily in the quality and training of its support team along with the tools used to provide this service. If</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7" w:name="page28"/>
    <w:bookmarkEnd w:id="27"/>
    <w:p>
      <w:pPr>
        <w:ind w:right="260"/>
        <w:spacing w:after="0" w:line="261" w:lineRule="auto"/>
        <w:rPr>
          <w:sz w:val="20"/>
          <w:szCs w:val="20"/>
          <w:color w:val="auto"/>
        </w:rPr>
      </w:pPr>
      <w:r>
        <w:rPr>
          <w:rFonts w:ascii="Times New Roman" w:cs="Times New Roman" w:eastAsia="Times New Roman" w:hAnsi="Times New Roman"/>
          <w:sz w:val="18"/>
          <w:szCs w:val="18"/>
          <w:color w:val="auto"/>
        </w:rPr>
        <w:t>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Rezolve’s Intellectual Property</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spacing w:after="0" w:line="19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 countersuits challenging or opposing Rezolve’s right to use and otherwise exploit particular intellectual property rights, services and technology or the enforceability of Rezolve’s intellectual property rights. Rezolve’s inability to protect its proprietary technology against 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 Furthermore, many of Rezolve’s current and potential competitors have the ability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to dedicate substantially greater resources to developing and protecting their technology or intellectual property rights than Rezolve does.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be subject to claims by third parties of intellectual property infringement.</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and frequent claims and related litigation regarding patents and other intellectual property rights. Third parties may have in the past asserted, and may in the future assert, that 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non-infringing technology, enter into royalty-bearing licensing agreements, stop selling or marketing some or all of Rezolve’s solutions or re-brand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use of “open source” software could negatively affect its ability to sell its solutions and subject Rezolve to possible litigation.</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 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spacing w:after="0" w:line="1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addition to risks related to license requirements, usage of open-source software can lead to greater risks than the use of third-party commercial software, as open source licensors generally do not provide warranties, controls on the origin or development of the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9" w:name="page30"/>
    <w:bookmarkEnd w:id="29"/>
    <w:p>
      <w:pPr>
        <w:ind w:right="420"/>
        <w:spacing w:after="0" w:line="282" w:lineRule="auto"/>
        <w:rPr>
          <w:sz w:val="20"/>
          <w:szCs w:val="20"/>
          <w:color w:val="auto"/>
        </w:rPr>
      </w:pPr>
      <w:r>
        <w:rPr>
          <w:rFonts w:ascii="Times New Roman" w:cs="Times New Roman" w:eastAsia="Times New Roman" w:hAnsi="Times New Roman"/>
          <w:sz w:val="18"/>
          <w:szCs w:val="18"/>
          <w:color w:val="auto"/>
        </w:rPr>
        <w:t>software, or remedies against the licensors. Many of the risks associated with usage of open source software cannot be eliminated and could adversely affect Rezolve’s business.</w:t>
      </w:r>
    </w:p>
    <w:p>
      <w:pPr>
        <w:spacing w:after="0" w:line="16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Although Rezolve believes that it has complied with its obligations under the various applicable licenses for open source software, it is possible that Rezolve may not be aware of all instances where open-source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 licenses for open-source software, Rezolve may lose the right to continue to use and exploit such open-source software in connection with its operations and solutions, which could disrupt and adversely affect its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and Regulatory Compliance</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Rezolve’s directors and officers may reduce Rezolve’s available funds to satisfy successful third-party claims against Rezolve and may reduce the amount of money available to Rezolve.</w:t>
      </w:r>
    </w:p>
    <w:p>
      <w:pPr>
        <w:spacing w:after="0" w:line="5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Rezolve’s Memorandum and Articles of Association provide that Rezolve will indemnify its directors and officers, in each case to the fullest extent permitted by English law. 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 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spacing w:after="0" w:line="293"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These laws also require that Rezolve keeps accurate books and records and maintains internal controls and compliance procedures designed to prevent any such actions. While Rezolve has policies and procedures to address compliance with such laws, Rezolve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0" w:name="page31"/>
    <w:bookmarkEnd w:id="30"/>
    <w:p>
      <w:pPr>
        <w:ind w:right="560"/>
        <w:spacing w:after="0" w:line="282" w:lineRule="auto"/>
        <w:rPr>
          <w:sz w:val="20"/>
          <w:szCs w:val="20"/>
          <w:color w:val="auto"/>
        </w:rPr>
      </w:pPr>
      <w:r>
        <w:rPr>
          <w:rFonts w:ascii="Times New Roman" w:cs="Times New Roman" w:eastAsia="Times New Roman" w:hAnsi="Times New Roman"/>
          <w:sz w:val="18"/>
          <w:szCs w:val="18"/>
          <w:color w:val="auto"/>
        </w:rPr>
        <w:t>cannot assure you that none of its employees, agents, representatives, business partners or third-party intermediaries will take actions in violation of Rezolve’s policies and applicable law, for which Rezolve may be ultimately held responsible.</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spacing w:after="0" w:line="287"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Enhanced trade tariffs, import restrictions, export restrictions, United States regulations or other trade barriers may materially harm Rezolve’s business.</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spacing w:after="0" w:line="29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Rezolve may be involved in legal proceedings and commercial or contractual disputes, which could have an adverse impact on Rezolve’s profitability and consolidated financial position.</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For example, Rezolve has been notified that a civil complaint was filed against the Company and Daniel Wagner in the Supreme Court of the State of New York, New York County, by JBAAM Special Opportunities Fund II LLC and YA II PN, Ltd., in connection with the parties’ securities purchase agreement dated February 21, 2025. Efforts to defend against such claims may entail significant costs and harm Rezolve’s reputation, all of which could adversely affect Rezolve’s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the Articles and English law could deter takeover attempts.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Certain provisions in the Articles and the application of the UK Takeover Code to Rezolve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Ordinary Shares and Rezolve Operating as a Public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Ordinary Shares could be volatile, and the value of Ordinary Shares may decline.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cannot predict the prices at which Ordinary Shares will trade. The price of Ordinary Shares s is likely to be volatile and could be subject to fluctuations in response to various factors, some of which are beyond our control. These fluctuations could cause you to lose all or part of your investment in Ordinary Shares as you might be unable to sell your shares at or above the price you paid. Factors that could cause fluctuations in the trading price of Ordinary Shares include the following:</w:t>
      </w:r>
    </w:p>
    <w:p>
      <w:pPr>
        <w:spacing w:after="0" w:line="72" w:lineRule="exact"/>
        <w:rPr>
          <w:sz w:val="20"/>
          <w:szCs w:val="20"/>
          <w:color w:val="auto"/>
        </w:rPr>
      </w:pPr>
    </w:p>
    <w:p>
      <w:pPr>
        <w:ind w:left="760" w:hanging="513"/>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prices and trading volumes of technology company stocks;</w:t>
      </w:r>
    </w:p>
    <w:p>
      <w:pPr>
        <w:spacing w:after="0" w:line="117" w:lineRule="exact"/>
        <w:rPr>
          <w:rFonts w:ascii="Times New Roman" w:cs="Times New Roman" w:eastAsia="Times New Roman" w:hAnsi="Times New Roman"/>
          <w:sz w:val="18"/>
          <w:szCs w:val="18"/>
          <w:color w:val="auto"/>
        </w:rPr>
      </w:pPr>
    </w:p>
    <w:p>
      <w:pPr>
        <w:ind w:left="760" w:right="520" w:hanging="513"/>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Rezolve’s industry in particular;</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Ordinary Shares by shareholders;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31" w:name="page32"/>
    <w:bookmarkEnd w:id="31"/>
    <w:p>
      <w:pPr>
        <w:ind w:left="760" w:right="580" w:hanging="513"/>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Rezolve, changes in financial estimates by securities analysts who follow Rezolve, or Rezolve’s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Rezolve may provide to the public, any changes in those projections, or Rezolve’s failure to meet those projections;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Rezolve or its competitors of new offerings or contracts;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Rezolve’s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how customers perceive the benefits of Rezolve’s offerings and services, and future offerings;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payment systems;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Rezolve or other companies in the same or similar industry;</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Rezolve’s results of operations or fluctuations in Rezolve’s results of operations;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Rezolve’s business, Rezolve’s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760" w:right="640" w:hanging="513"/>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Rezolve, Rezolve’s industry or both, or investigations by regulators into Rezolve’s operations or those of Rezolve’s competitors;</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Rezolve’s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breach or incident involving our offerings, services or site or data stored or processed by us or on our behalf;</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commercial relationships, offerings, services, or technologies by Rezolve or its competitors;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Rezolve’s business;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760" w:right="60" w:hanging="513"/>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consequences related to the Rezolve Founder weighted voting capital structure, such as stock index providers excluding companies with weighted voting capital structures from certain indices;</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Rezolve’s management; and</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Rezolve’s markets and war or other hostilities.</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a loss of investor confidence, the trading price of Ordinary Shares could decline for reasons unrelated to our business, financial condition or results of operations. The trading price of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 securities litigation. Securities litigation could result in substantial costs and divert our management’s attention and resources from our business. This could have an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be sustained, which would adversely affect the liquidity and price of Ordinary Shares.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An active trading market for our securities may not be sustained. In addition, the price of our securities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or Rezolve’s securities are not listed on the Nasdaq and are quoted on the OTC Bulletin Board,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Rezolve will be able to comply with the continued listing standards of Nasdaq.</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Nasdaq delists Rezolve’s securities from trading on its exchange for failure to continue to comply with its listing standards, Rezolve and its stockholders could face significant material adverse consequences including:</w:t>
      </w:r>
    </w:p>
    <w:p>
      <w:pPr>
        <w:spacing w:after="0" w:line="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0" w:right="419" w:bottom="1440" w:gutter="0" w:footer="0" w:header="0"/>
        </w:sectPr>
      </w:pPr>
    </w:p>
    <w:bookmarkStart w:id="32" w:name="page33"/>
    <w:bookmarkEnd w:id="32"/>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Rezolve’s securities;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Ordinary Shares are a “penny stock” which will require brokers trading in our Ordinary Shares to adhere to more stringent rules, possibly resulting in a reduced level of trading activity in the secondary trading market for the Ordinary Shares;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32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reports that are interpreted negatively by the investment community or publish negative research reports about our business, our share price and trading volume could decline.</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trading market for our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spacing w:after="0" w:line="28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election to comply with the reduced disclosure requirements as a public company may make our Ordinary Shares less attractive to investors.</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that term is used in the JOBS Act, and we may remain an emerging growth company until the earlier of (i) the last day of the fiscal year (A) following the fifth anniversary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spacing w:after="0" w:line="29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a foreign private issuer whose ordinary shares are listed on the Nasdaq, we are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spacing w:after="0" w:line="72" w:lineRule="exact"/>
        <w:rPr>
          <w:sz w:val="20"/>
          <w:szCs w:val="20"/>
          <w:color w:val="auto"/>
        </w:rPr>
      </w:pPr>
    </w:p>
    <w:p>
      <w:pPr>
        <w:ind w:left="760" w:hanging="513"/>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17" w:lineRule="exact"/>
        <w:rPr>
          <w:rFonts w:ascii="Times New Roman" w:cs="Times New Roman" w:eastAsia="Times New Roman" w:hAnsi="Times New Roman"/>
          <w:sz w:val="18"/>
          <w:szCs w:val="18"/>
          <w:color w:val="auto"/>
        </w:rPr>
      </w:pPr>
    </w:p>
    <w:p>
      <w:pPr>
        <w:ind w:left="760" w:right="300" w:hanging="513"/>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ind w:left="760" w:right="180" w:hanging="513"/>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53" w:lineRule="exact"/>
        <w:rPr>
          <w:rFonts w:ascii="Times New Roman" w:cs="Times New Roman" w:eastAsia="Times New Roman" w:hAnsi="Times New Roman"/>
          <w:sz w:val="18"/>
          <w:szCs w:val="18"/>
          <w:color w:val="auto"/>
        </w:rPr>
      </w:pPr>
    </w:p>
    <w:p>
      <w:pPr>
        <w:ind w:left="760" w:right="480" w:hanging="513"/>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Rule 5635 requiring that a listed company obtain shareholder approval prior to an issuance of securities, including for acquisitions, equity-based compensation, changes of control, and private placements.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semi-yearly basis as press releases, distributed pursuant to the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As a result, you may not be afforded the same protections or information that would be made available to you were you investing in a U.S. domestic issuer.</w:t>
      </w:r>
    </w:p>
    <w:p>
      <w:pPr>
        <w:spacing w:after="0" w:line="221"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In addition, as a foreign private issuer we will be exempt from the provisions of Regulation Fair Disclosure (“</w:t>
      </w:r>
      <w:r>
        <w:rPr>
          <w:rFonts w:ascii="Times New Roman" w:cs="Times New Roman" w:eastAsia="Times New Roman" w:hAnsi="Times New Roman"/>
          <w:sz w:val="18"/>
          <w:szCs w:val="18"/>
          <w:b w:val="1"/>
          <w:bCs w:val="1"/>
          <w:i w:val="1"/>
          <w:iCs w:val="1"/>
          <w:color w:val="auto"/>
        </w:rPr>
        <w:t>Regulation FD</w:t>
      </w:r>
      <w:r>
        <w:rPr>
          <w:rFonts w:ascii="Times New Roman" w:cs="Times New Roman" w:eastAsia="Times New Roman" w:hAnsi="Times New Roman"/>
          <w:sz w:val="18"/>
          <w:szCs w:val="18"/>
          <w:color w:val="auto"/>
        </w:rPr>
        <w:t>”),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 and expense.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 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spacing w:after="0" w:line="29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Ordinary Shares in connection with financings, acquisitions, investments, our stock incentive plans, or otherwise will dilute all other shareholders.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shareholders. We expect to grant equity awards to employees, directors, consultants and contractors under our stock incentive plans. We may issue shares in the future and pursuant to the Standby Purchase Agreement and other convertible securities.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Ordinary Shares to decline.</w:t>
      </w:r>
    </w:p>
    <w:p>
      <w:pPr>
        <w:spacing w:after="0" w:line="29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which we expect to further increase after we are no longer an “emerging growth company” 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are required to devote a substantial amount of time to compliance with these requirements. Moreover, these rules and regulations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2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that directly or indirectly own 10% or more of our equity interests may be subject to adverse U.S. federal income tax consequences under rules applicable to U.S. shareholders of controlled foreign corporations.</w:t>
      </w:r>
    </w:p>
    <w:p>
      <w:pPr>
        <w:spacing w:after="0" w:line="4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 non-U.S. corporation generally will be classified as a controlled foreign corporation for U.S. federal income tax purposes (a “</w:t>
      </w:r>
      <w:r>
        <w:rPr>
          <w:rFonts w:ascii="Times New Roman" w:cs="Times New Roman" w:eastAsia="Times New Roman" w:hAnsi="Times New Roman"/>
          <w:sz w:val="18"/>
          <w:szCs w:val="18"/>
          <w:b w:val="1"/>
          <w:bCs w:val="1"/>
          <w:i w:val="1"/>
          <w:iCs w:val="1"/>
          <w:color w:val="auto"/>
        </w:rPr>
        <w:t>CFC</w:t>
      </w:r>
      <w:r>
        <w:rPr>
          <w:rFonts w:ascii="Times New Roman" w:cs="Times New Roman" w:eastAsia="Times New Roman" w:hAnsi="Times New Roman"/>
          <w:sz w:val="18"/>
          <w:szCs w:val="18"/>
          <w:color w:val="auto"/>
        </w:rPr>
        <w:t>”),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but CFC status is determined after taking into account complex constructive ownership rules, the application of which may depend on circumstances we are not aware of, and, accordingly, there can be no assurance in this regard. However, certain of Rezolve’s non-U.S. subsidiaries may be classified as CFCs (including, for taxable years beginning before January 1, 2026, as a result of the application of certain constructive ownership rules which treat Rezolve’s U.S. subsidiaries as owning the equity of those non-U.S. subsidiaries), and it is possible that we may be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4" w:name="page35"/>
    <w:bookmarkEnd w:id="34"/>
    <w:p>
      <w:pPr>
        <w:spacing w:after="0" w:line="252" w:lineRule="auto"/>
        <w:rPr>
          <w:sz w:val="20"/>
          <w:szCs w:val="20"/>
          <w:color w:val="auto"/>
        </w:rPr>
      </w:pPr>
      <w:r>
        <w:rPr>
          <w:rFonts w:ascii="Times New Roman" w:cs="Times New Roman" w:eastAsia="Times New Roman" w:hAnsi="Times New Roman"/>
          <w:sz w:val="18"/>
          <w:szCs w:val="18"/>
          <w:color w:val="auto"/>
        </w:rPr>
        <w:t>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 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 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 shareholders may suffer adverse tax consequences if we are classified as a “passive foreign investment company.”</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non-U.S. corporation generally will be treated as a “passive foreign investment company” (“PFIC”),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 PFIC for the taxable year ending December 31, 2025.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holds our Ordinary Shares, certain adverse U.S. federal income tax consequences could apply to such U.S. holder (as defined in “Material Tax Considerations - Material U.S. Federal Income Tax Considerations”). Prospective U.S. holders should consult their tax advisors regarding the potential application of the PFIC rules to them.</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Internal Revenue Service may not agree that Rezolve should be treated as a non-U.S. corporation for U.S. federal income tax purposes.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Although Rezolve is incorporated in England and Wales, the Internal Revenue Service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spacing w:after="0" w:line="18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Rezolve does not currently expect to be treated as a U.S. corporation for U.S. federal income tax purposes under Section 7874 of the Code.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spacing w:after="0" w:line="183"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If Rezolve were treated as a U.S. corporation for U.S. federal income tax purposes under Section 7874 of the Code, Rezolve and certain Rezolve shareholders would be subject to significant adverse tax consequences, including a higher effective corporate income tax rate on Rezolve and future withholding taxes on certain Rezolve shareholders, depending on the application of any income tax treaty that might apply to reduce such withholding taxes.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5" w:name="page36"/>
    <w:bookmarkEnd w:id="35"/>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All of the securities offered by the Selling Holders pursuant to this prospectus will be sold by the Selling Holders for their respective accounts. We will not receive any of the proceeds from these sales.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Selling Holders will pay any underwriting commissions and discounts, and expenses incurred by the Selling Holders for brokerage, marketing costs, or legal services (other than those detailed below). We will bear the costs, fees and expenses incurred in effecting the registration of the securities covered by this prospectus, including all registration and filing fees, securities or blue sky law compliance fees, Nasdaq listing fees and expenses of our counsel and our independent registered public accounting firm, and fees and expenses of one legal counsel.</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the Ordinary Shares to date and do not intend to pay cash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we or our subsidiaries enter into from time to time.</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MARKET PRICE OF OUR SECURITIES</w:t>
      </w:r>
    </w:p>
    <w:p>
      <w:pPr>
        <w:spacing w:after="0" w:line="20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Ordinary Shares began trading on Nasdaq under the symbol “RZLV” on August 15, 2024. The Public Warrants began trading on Nasdaq under the symbol “RZLVW” on August 15, 2024. The Armada common stock, Armada warrants and Armada units were previously listed on Nasdaq under the symbols “AACI,” “AACIW,” and “AACIU,” respectively. The Armada units began trading on Nasdaq on August 13, 2021 and the Armada common stock and Armada warrants began trading on Nasdaq on November 16, 2021. The Armada units automatically separated into the component securities upon consummation of the Business Combination. Prior to the Closing Date, each Armada unit consisted of one Armada common stock and one half of one Armada warrant, whereby each whole warrant entitled the holder to purchase one share of Armada common stock at an exercise price of $11.50 per share. Upon the closing of the Business Combination, the Armada common stock were converted into Ordinary Shares. As of July 30, 2025, there were approximately 2 shareholders of record of Ordinary Shares and one shareholder of record of Warrants. Such numbers do not include beneficial owners holding our securities through nominee names. On July 29, 2025, the last reported closing sale prices of our Ordinary Shares and Public Warrants were $2.75 and $0.6999 respectively.</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181818"/>
        </w:rPr>
        <w:t>CAPITALIZATION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December 31, 2024:</w:t>
      </w:r>
    </w:p>
    <w:p>
      <w:pPr>
        <w:spacing w:after="0" w:line="225" w:lineRule="exact"/>
        <w:rPr>
          <w:sz w:val="20"/>
          <w:szCs w:val="20"/>
          <w:color w:val="auto"/>
        </w:rPr>
      </w:pPr>
    </w:p>
    <w:p>
      <w:pPr>
        <w:ind w:left="680" w:hanging="213"/>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225"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(i) the Bluedot Acquisition and the GroupBy Acquisition; and (2) the PIPE Financing for aggregate gross</w:t>
      </w:r>
    </w:p>
    <w:p>
      <w:pPr>
        <w:spacing w:after="0" w:line="27" w:lineRule="exact"/>
        <w:rPr>
          <w:rFonts w:ascii="Times New Roman" w:cs="Times New Roman" w:eastAsia="Times New Roman" w:hAnsi="Times New Roman"/>
          <w:sz w:val="18"/>
          <w:szCs w:val="18"/>
          <w:color w:val="auto"/>
        </w:rPr>
      </w:pPr>
    </w:p>
    <w:p>
      <w:pPr>
        <w:ind w:left="680" w:right="380" w:hanging="213"/>
        <w:spacing w:after="0" w:line="26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of approximately $50 million, before deducting placement agent fees and other offering expenses, as if such events had occurred on December 31, 2024.</w:t>
      </w:r>
    </w:p>
    <w:p>
      <w:pPr>
        <w:spacing w:after="0" w:line="181"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following table should be read in conjunction our financial statements and related notes that are incorporated by reference into this prospectus and the other financial information included or incorporated by reference into this prospectus. Our historical results do not necessarily indicate our expected results for any future periods.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9"/>
        </w:trPr>
        <w:tc>
          <w:tcPr>
            <w:tcW w:w="50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r>
      <w:tr>
        <w:trPr>
          <w:trHeight w:val="194"/>
        </w:trPr>
        <w:tc>
          <w:tcPr>
            <w:tcW w:w="5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Groupby &amp;</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6"/>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Bluedot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PIPE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Proforma</w:t>
            </w:r>
          </w:p>
        </w:tc>
      </w:tr>
      <w:tr>
        <w:trPr>
          <w:trHeight w:val="259"/>
        </w:trPr>
        <w:tc>
          <w:tcPr>
            <w:tcW w:w="50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(Audited)</w:t>
            </w: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Acquisitions</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(Unaudited)</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9,450,944</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6,760,931</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47,245,000</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63,456,875</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98"/>
        </w:trPr>
        <w:tc>
          <w:tcPr>
            <w:tcW w:w="50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Ordinary shares, £0.0001 nominal value 208,260,754 shares issued</w:t>
            </w: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outstanding as of December 31, 2024; 256,365,817 shares</w:t>
            </w: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34"/>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authorized as of December 31, 2024</w:t>
            </w: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26,816</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1,978</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2,680</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31,474</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194,062,767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18,181,663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47,242,320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259,486,750</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subscription receivable</w:t>
            </w: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(232,075,815)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(12,262,770)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(244,338,585)</w:t>
            </w:r>
          </w:p>
        </w:tc>
      </w:tr>
      <w:tr>
        <w:trPr>
          <w:trHeight w:val="216"/>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(10,270)</w:t>
            </w: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(deficit)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(37,996,582)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5,920,871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47,245,000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15,169,289</w:t>
            </w:r>
          </w:p>
        </w:tc>
      </w:tr>
      <w:tr>
        <w:trPr>
          <w:trHeight w:val="20"/>
        </w:trPr>
        <w:tc>
          <w:tcPr>
            <w:tcW w:w="5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(37,996,582)</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5,920,871</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47,245,000</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15,169,289</w:t>
            </w:r>
          </w:p>
        </w:tc>
      </w:tr>
      <w:tr>
        <w:trPr>
          <w:trHeight w:val="20"/>
        </w:trPr>
        <w:tc>
          <w:tcPr>
            <w:tcW w:w="50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-316230</wp:posOffset>
            </wp:positionV>
            <wp:extent cx="939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-316230</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-316230</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-24765</wp:posOffset>
            </wp:positionV>
            <wp:extent cx="93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939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857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857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857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4"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i w:val="1"/>
          <w:iCs w:val="1"/>
          <w:color w:val="auto"/>
        </w:rPr>
        <w:t>Defined terms included below have the same meaning as terms defined and included elsewhere in this prospectus.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As previously disclosed in its Current Reports on Form 6-K furnished with the Securities and Exchange Commission (“SEC”) on March 31, 2025, March 6, 2025, February 21, 2025 and February 7, 2025, Rezolve AI plc (“Rezolve” or “the Company”) completed two acquisitions after December 31, 2024 but before the consolidated financial statements of the Company as of and for the year ended December 31, 2024 were issued.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Bluedot Acquisition</w:t>
      </w:r>
    </w:p>
    <w:p>
      <w:pPr>
        <w:spacing w:after="0" w:line="11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On February 4, 2025, the Company entered into a purchase agreement with DBLP Sea Cow Ltd (“DBLP”), to acquire the entire issued and to be issued share capital of each of Bluedot Industries, Inc. and Bluedot Industries Pty. Ltd. As consideration for this acquisition, the Company issued 819,737 ordinary shares of the Company in a private placement to DBLP.</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and beneficially owned by John Wagner. Both Daniel Wagner and John Wagner are directors of DBLP.</w:t>
      </w:r>
    </w:p>
    <w:p>
      <w:pPr>
        <w:spacing w:after="0" w:line="5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On March 17, 2025, the Company entered into a share purchase agreement with Tanist Group Limited (“Tanist Group”) pursuant to which the Company acquired 100% of the issued and outstanding shares of Bluedot Innovation Pty. Ltd. As consideration for this acquisition, the Company issued 1,941,111 ordinary shares of the Company to the Tanist Group.</w:t>
      </w:r>
    </w:p>
    <w:p>
      <w:pPr>
        <w:spacing w:after="0" w:line="6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Bluedot Industries, Inc., Bluedot Industries Pty. Ltd. and Bluedot Innovation Pty. Ltd, together “Bluedot”, is a developer of mobile location technology to enhance customer experiences.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37" w:name="page38"/>
    <w:bookmarkEnd w:id="37"/>
    <w:p>
      <w:pPr>
        <w:ind w:right="940"/>
        <w:spacing w:after="0" w:line="282" w:lineRule="auto"/>
        <w:rPr>
          <w:sz w:val="20"/>
          <w:szCs w:val="20"/>
          <w:color w:val="auto"/>
        </w:rPr>
      </w:pPr>
      <w:r>
        <w:rPr>
          <w:rFonts w:ascii="Times New Roman" w:cs="Times New Roman" w:eastAsia="Times New Roman" w:hAnsi="Times New Roman"/>
          <w:sz w:val="18"/>
          <w:szCs w:val="18"/>
          <w:color w:val="auto"/>
        </w:rPr>
        <w:t>On February 20, 2025 and March 17, 2025, the Company closed the acquisition of Bluedot and issued the above mentioned ordinary shares as consideration to DBLP and the Tanist Group,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of Bluedot was not deemed significant under Rule 3-05 of Regulation S-X (“Rule 3-05”).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1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February 11, 2025, the Company entered into a purchase agreement with GroupBy Inc., GroupBy International Ltd., and Fortis Advisors LLC, as the representative of the sellers party thereto (“the Sellers”), to acquire the entire issued and to be issued share capital of each of GroupBy Inc., GroupBy International Ltd., GroupBy USA Inc., and GroupBy UK Ltd (together “GroupBy”).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GroupBy is an eCommerce Search and Product Discovery SaaS technology provider that powers some of the largest B2B and B2C brands.</w:t>
      </w:r>
    </w:p>
    <w:p>
      <w:pPr>
        <w:spacing w:after="0" w:line="22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acquisition of GroupBy was deemed significant under Rule 3-05 and separate financial statements for GroupBy are included elsewhere in this prospectus.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 Forma Condensed Combined Financial Information</w:t>
      </w:r>
    </w:p>
    <w:p>
      <w:pPr>
        <w:spacing w:after="0" w:line="22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2024 gives effect to the Bluedot acquisition and the GroupBy acquisition as if both acquisitions had been completed on December 31, 2024. The Unaudited Pro Forma Condensed Combined Statement of Operations for the year ended December 31, 2024 gives effect to the Bluedot acquisition and the GroupBy acquisition as if both acquisitions had been completed on January 1, 2024. As such the adjustments reflected in the Unaudited Pro Forma Condensed Combined Balance Sheet will not necessarily reconcile with the adjustments in the Unaudited Pro Forma Condensed Combined Statements of Operations. Assumptions and estimates underlying the pro forma adjustments are described in the accompanying notes, which should be read in conjunction with the unaudited pro forma condensed combined financial statements.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provided for illustrative purposes only and does not purport to represent what the actual consolidated results of operations of Rezolve would have been had the Bluedot acquisition and the GroupBy acquisition occurred on the dates noted above, nor are they necessarily indicative of future consolidated results of operations. Future results may vary significantly from the results reflected because of various factors. In Rezolve’s opinion, all adjustments that are necessary to present fairly the unaudited pro forma condensed combined financial information have been made.</w:t>
      </w:r>
    </w:p>
    <w:p>
      <w:pPr>
        <w:spacing w:after="0" w:line="183"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reflect the benefits of potential cost savings or the costs that may be necessary to achieve such savings, opportunities to increase revenue generation or other factors that may result from the Bluedot acquisition and the GroupBy acquisition and does not attempt to predict or suggest future results.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unaudited pro forma financial statements have been developed from and should be read in conjunction with:</w:t>
      </w:r>
    </w:p>
    <w:p>
      <w:pPr>
        <w:spacing w:after="0" w:line="117" w:lineRule="exact"/>
        <w:rPr>
          <w:sz w:val="20"/>
          <w:szCs w:val="20"/>
          <w:color w:val="auto"/>
        </w:rPr>
      </w:pPr>
    </w:p>
    <w:p>
      <w:pPr>
        <w:ind w:left="1020" w:right="3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Rezolve as of, and for the years ended, December 31, 2024 and 2023, included elsewhere in this prospectus;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combined consolidated financial statements for GroupBy as of, and for the years ended, December 31, 2024 and 2023, included elsewhere in this prospectus;</w:t>
      </w:r>
    </w:p>
    <w:p>
      <w:pPr>
        <w:spacing w:after="0" w:line="51" w:lineRule="exact"/>
        <w:rPr>
          <w:rFonts w:ascii="Times New Roman" w:cs="Times New Roman" w:eastAsia="Times New Roman" w:hAnsi="Times New Roman"/>
          <w:sz w:val="18"/>
          <w:szCs w:val="18"/>
          <w:color w:val="auto"/>
        </w:rPr>
      </w:pPr>
    </w:p>
    <w:p>
      <w:pPr>
        <w:ind w:left="1020" w:right="140" w:hanging="503"/>
        <w:spacing w:after="0" w:line="284"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entitled “</w:t>
      </w:r>
      <w:r>
        <w:rPr>
          <w:rFonts w:ascii="Times New Roman" w:cs="Times New Roman" w:eastAsia="Times New Roman" w:hAnsi="Times New Roman"/>
          <w:sz w:val="18"/>
          <w:szCs w:val="18"/>
          <w:i w:val="1"/>
          <w:iCs w:val="1"/>
          <w:color w:val="auto"/>
        </w:rPr>
        <w:t>Management’s Discussion and Analysis of Financial Condition and Results of Operation</w:t>
      </w:r>
      <w:r>
        <w:rPr>
          <w:rFonts w:ascii="Times New Roman" w:cs="Times New Roman" w:eastAsia="Times New Roman" w:hAnsi="Times New Roman"/>
          <w:sz w:val="18"/>
          <w:szCs w:val="18"/>
          <w:color w:val="auto"/>
        </w:rPr>
        <w:t>s.” included elsewhere in this prospectus.</w:t>
      </w:r>
    </w:p>
    <w:p>
      <w:pPr>
        <w:spacing w:after="0" w:line="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5"/>
          <w:szCs w:val="15"/>
          <w:b w:val="1"/>
          <w:bCs w:val="1"/>
          <w:color w:val="auto"/>
        </w:rPr>
        <w:t>REZOLVE AI plc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 PRO FORMA CONDENSED COMBINED BALANCE SHEET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Proforma Combined</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jc w:val="center"/>
              <w:ind w:right="102"/>
              <w:spacing w:after="0" w:line="125" w:lineRule="exact"/>
              <w:rPr>
                <w:sz w:val="20"/>
                <w:szCs w:val="20"/>
                <w:color w:val="auto"/>
              </w:rPr>
            </w:pPr>
            <w:r>
              <w:rPr>
                <w:rFonts w:ascii="Times New Roman" w:cs="Times New Roman" w:eastAsia="Times New Roman" w:hAnsi="Times New Roman"/>
                <w:sz w:val="12"/>
                <w:szCs w:val="12"/>
                <w:b w:val="1"/>
                <w:bCs w:val="1"/>
                <w:color w:val="auto"/>
                <w:w w:val="99"/>
              </w:rPr>
              <w:t>Rezolve AI plc</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ind w:right="142"/>
              <w:spacing w:after="0" w:line="125" w:lineRule="exact"/>
              <w:rPr>
                <w:sz w:val="20"/>
                <w:szCs w:val="20"/>
                <w:color w:val="auto"/>
              </w:rPr>
            </w:pPr>
            <w:r>
              <w:rPr>
                <w:rFonts w:ascii="Times New Roman" w:cs="Times New Roman" w:eastAsia="Times New Roman" w:hAnsi="Times New Roman"/>
                <w:sz w:val="12"/>
                <w:szCs w:val="12"/>
                <w:b w:val="1"/>
                <w:bCs w:val="1"/>
                <w:color w:val="auto"/>
                <w:w w:val="99"/>
              </w:rPr>
              <w:t>Bluedot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320"/>
              <w:spacing w:after="0" w:line="125" w:lineRule="exact"/>
              <w:rPr>
                <w:sz w:val="20"/>
                <w:szCs w:val="20"/>
                <w:color w:val="auto"/>
              </w:rPr>
            </w:pPr>
            <w:r>
              <w:rPr>
                <w:rFonts w:ascii="Times New Roman" w:cs="Times New Roman" w:eastAsia="Times New Roman" w:hAnsi="Times New Roman"/>
                <w:sz w:val="12"/>
                <w:szCs w:val="12"/>
                <w:b w:val="1"/>
                <w:bCs w:val="1"/>
                <w:color w:val="auto"/>
                <w:w w:val="99"/>
              </w:rPr>
              <w:t>Bluedot</w:t>
            </w:r>
          </w:p>
        </w:tc>
        <w:tc>
          <w:tcPr>
            <w:tcW w:w="100" w:type="dxa"/>
            <w:vAlign w:val="bottom"/>
          </w:tcPr>
          <w:p>
            <w:pPr>
              <w:spacing w:after="0"/>
              <w:rPr>
                <w:sz w:val="10"/>
                <w:szCs w:val="10"/>
                <w:color w:val="auto"/>
              </w:rPr>
            </w:pPr>
          </w:p>
        </w:tc>
        <w:tc>
          <w:tcPr>
            <w:tcW w:w="980" w:type="dxa"/>
            <w:vAlign w:val="bottom"/>
          </w:tcPr>
          <w:p>
            <w:pPr>
              <w:jc w:val="center"/>
              <w:ind w:right="182"/>
              <w:spacing w:after="0" w:line="125" w:lineRule="exact"/>
              <w:rPr>
                <w:sz w:val="20"/>
                <w:szCs w:val="20"/>
                <w:color w:val="auto"/>
              </w:rPr>
            </w:pPr>
            <w:r>
              <w:rPr>
                <w:rFonts w:ascii="Times New Roman" w:cs="Times New Roman" w:eastAsia="Times New Roman" w:hAnsi="Times New Roman"/>
                <w:sz w:val="12"/>
                <w:szCs w:val="12"/>
                <w:b w:val="1"/>
                <w:bCs w:val="1"/>
                <w:color w:val="auto"/>
                <w:w w:val="95"/>
              </w:rPr>
              <w:t>GroupBy</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right="162"/>
              <w:spacing w:after="0" w:line="125" w:lineRule="exact"/>
              <w:rPr>
                <w:sz w:val="20"/>
                <w:szCs w:val="20"/>
                <w:color w:val="auto"/>
              </w:rPr>
            </w:pPr>
            <w:r>
              <w:rPr>
                <w:rFonts w:ascii="Times New Roman" w:cs="Times New Roman" w:eastAsia="Times New Roman" w:hAnsi="Times New Roman"/>
                <w:sz w:val="12"/>
                <w:szCs w:val="12"/>
                <w:b w:val="1"/>
                <w:bCs w:val="1"/>
                <w:color w:val="auto"/>
                <w:w w:val="99"/>
              </w:rPr>
              <w:t>Bluedot</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040" w:type="dxa"/>
            <w:vAlign w:val="bottom"/>
            <w:gridSpan w:val="2"/>
          </w:tcPr>
          <w:p>
            <w:pPr>
              <w:jc w:val="center"/>
              <w:ind w:right="42"/>
              <w:spacing w:after="0" w:line="135" w:lineRule="exact"/>
              <w:rPr>
                <w:sz w:val="20"/>
                <w:szCs w:val="20"/>
                <w:color w:val="auto"/>
              </w:rPr>
            </w:pPr>
            <w:r>
              <w:rPr>
                <w:rFonts w:ascii="Times New Roman" w:cs="Times New Roman" w:eastAsia="Times New Roman" w:hAnsi="Times New Roman"/>
                <w:sz w:val="12"/>
                <w:szCs w:val="12"/>
                <w:b w:val="1"/>
                <w:bCs w:val="1"/>
                <w:color w:val="auto"/>
                <w:w w:val="96"/>
              </w:rPr>
              <w:t>and Subsidiaries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182"/>
              <w:spacing w:after="0" w:line="135" w:lineRule="exact"/>
              <w:rPr>
                <w:sz w:val="20"/>
                <w:szCs w:val="20"/>
                <w:color w:val="auto"/>
              </w:rPr>
            </w:pPr>
            <w:r>
              <w:rPr>
                <w:rFonts w:ascii="Times New Roman" w:cs="Times New Roman" w:eastAsia="Times New Roman" w:hAnsi="Times New Roman"/>
                <w:sz w:val="12"/>
                <w:szCs w:val="12"/>
                <w:b w:val="1"/>
                <w:bCs w:val="1"/>
                <w:color w:val="auto"/>
                <w:w w:val="95"/>
              </w:rPr>
              <w:t>GroupBy</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62"/>
              <w:spacing w:after="0" w:line="135" w:lineRule="exact"/>
              <w:rPr>
                <w:sz w:val="20"/>
                <w:szCs w:val="20"/>
                <w:color w:val="auto"/>
              </w:rPr>
            </w:pPr>
            <w:r>
              <w:rPr>
                <w:rFonts w:ascii="Times New Roman" w:cs="Times New Roman" w:eastAsia="Times New Roman" w:hAnsi="Times New Roman"/>
                <w:sz w:val="12"/>
                <w:szCs w:val="12"/>
                <w:b w:val="1"/>
                <w:bCs w:val="1"/>
                <w:color w:val="auto"/>
                <w:w w:val="96"/>
              </w:rPr>
              <w:t>Industries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2"/>
                <w:szCs w:val="12"/>
                <w:b w:val="1"/>
                <w:bCs w:val="1"/>
                <w:color w:val="auto"/>
              </w:rPr>
              <w:t>Innovation</w:t>
            </w:r>
          </w:p>
        </w:tc>
        <w:tc>
          <w:tcPr>
            <w:tcW w:w="100" w:type="dxa"/>
            <w:vAlign w:val="bottom"/>
          </w:tcPr>
          <w:p>
            <w:pPr>
              <w:spacing w:after="0"/>
              <w:rPr>
                <w:sz w:val="11"/>
                <w:szCs w:val="11"/>
                <w:color w:val="auto"/>
              </w:rPr>
            </w:pPr>
          </w:p>
        </w:tc>
        <w:tc>
          <w:tcPr>
            <w:tcW w:w="980" w:type="dxa"/>
            <w:vAlign w:val="bottom"/>
          </w:tcPr>
          <w:p>
            <w:pPr>
              <w:jc w:val="center"/>
              <w:ind w:right="182"/>
              <w:spacing w:after="0" w:line="135" w:lineRule="exact"/>
              <w:rPr>
                <w:sz w:val="20"/>
                <w:szCs w:val="20"/>
                <w:color w:val="auto"/>
              </w:rPr>
            </w:pPr>
            <w:r>
              <w:rPr>
                <w:rFonts w:ascii="Times New Roman" w:cs="Times New Roman" w:eastAsia="Times New Roman" w:hAnsi="Times New Roman"/>
                <w:sz w:val="12"/>
                <w:szCs w:val="12"/>
                <w:b w:val="1"/>
                <w:bCs w:val="1"/>
                <w:color w:val="auto"/>
                <w:w w:val="99"/>
              </w:rPr>
              <w:t>Transaction</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162"/>
              <w:spacing w:after="0" w:line="135" w:lineRule="exact"/>
              <w:rPr>
                <w:sz w:val="20"/>
                <w:szCs w:val="20"/>
                <w:color w:val="auto"/>
              </w:rPr>
            </w:pPr>
            <w:r>
              <w:rPr>
                <w:rFonts w:ascii="Times New Roman" w:cs="Times New Roman" w:eastAsia="Times New Roman" w:hAnsi="Times New Roman"/>
                <w:sz w:val="12"/>
                <w:szCs w:val="12"/>
                <w:b w:val="1"/>
                <w:bCs w:val="1"/>
                <w:color w:val="auto"/>
                <w:w w:val="96"/>
              </w:rPr>
              <w:t>Transaction</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center"/>
              <w:ind w:right="102"/>
              <w:spacing w:after="0" w:line="135" w:lineRule="exact"/>
              <w:rPr>
                <w:sz w:val="20"/>
                <w:szCs w:val="20"/>
                <w:color w:val="auto"/>
              </w:rPr>
            </w:pPr>
            <w:r>
              <w:rPr>
                <w:rFonts w:ascii="Times New Roman" w:cs="Times New Roman" w:eastAsia="Times New Roman" w:hAnsi="Times New Roman"/>
                <w:sz w:val="12"/>
                <w:szCs w:val="12"/>
                <w:b w:val="1"/>
                <w:bCs w:val="1"/>
                <w:color w:val="auto"/>
                <w:w w:val="95"/>
              </w:rPr>
              <w:t>(Historical as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142"/>
              <w:spacing w:after="0" w:line="135" w:lineRule="exact"/>
              <w:rPr>
                <w:sz w:val="20"/>
                <w:szCs w:val="20"/>
                <w:color w:val="auto"/>
              </w:rPr>
            </w:pPr>
            <w:r>
              <w:rPr>
                <w:rFonts w:ascii="Times New Roman" w:cs="Times New Roman" w:eastAsia="Times New Roman" w:hAnsi="Times New Roman"/>
                <w:sz w:val="12"/>
                <w:szCs w:val="12"/>
                <w:b w:val="1"/>
                <w:bCs w:val="1"/>
                <w:color w:val="auto"/>
                <w:w w:val="95"/>
              </w:rPr>
              <w:t>(Historical as 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42"/>
              <w:spacing w:after="0" w:line="135" w:lineRule="exact"/>
              <w:rPr>
                <w:sz w:val="20"/>
                <w:szCs w:val="20"/>
                <w:color w:val="auto"/>
              </w:rPr>
            </w:pPr>
            <w:r>
              <w:rPr>
                <w:rFonts w:ascii="Times New Roman" w:cs="Times New Roman" w:eastAsia="Times New Roman" w:hAnsi="Times New Roman"/>
                <w:sz w:val="12"/>
                <w:szCs w:val="12"/>
                <w:b w:val="1"/>
                <w:bCs w:val="1"/>
                <w:color w:val="auto"/>
                <w:w w:val="99"/>
              </w:rPr>
              <w:t>(Historical as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(Historical as of</w:t>
            </w:r>
          </w:p>
        </w:tc>
        <w:tc>
          <w:tcPr>
            <w:tcW w:w="100" w:type="dxa"/>
            <w:vAlign w:val="bottom"/>
          </w:tcPr>
          <w:p>
            <w:pPr>
              <w:spacing w:after="0"/>
              <w:rPr>
                <w:sz w:val="11"/>
                <w:szCs w:val="11"/>
                <w:color w:val="auto"/>
              </w:rPr>
            </w:pPr>
          </w:p>
        </w:tc>
        <w:tc>
          <w:tcPr>
            <w:tcW w:w="980" w:type="dxa"/>
            <w:vAlign w:val="bottom"/>
          </w:tcPr>
          <w:p>
            <w:pPr>
              <w:jc w:val="center"/>
              <w:ind w:right="182"/>
              <w:spacing w:after="0" w:line="135" w:lineRule="exact"/>
              <w:rPr>
                <w:sz w:val="20"/>
                <w:szCs w:val="20"/>
                <w:color w:val="auto"/>
              </w:rPr>
            </w:pPr>
            <w:r>
              <w:rPr>
                <w:rFonts w:ascii="Times New Roman" w:cs="Times New Roman" w:eastAsia="Times New Roman" w:hAnsi="Times New Roman"/>
                <w:sz w:val="12"/>
                <w:szCs w:val="12"/>
                <w:b w:val="1"/>
                <w:bCs w:val="1"/>
                <w:color w:val="auto"/>
                <w:w w:val="98"/>
              </w:rPr>
              <w:t>Accounting</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182"/>
              <w:spacing w:after="0" w:line="135" w:lineRule="exact"/>
              <w:rPr>
                <w:sz w:val="20"/>
                <w:szCs w:val="20"/>
                <w:color w:val="auto"/>
              </w:rPr>
            </w:pPr>
            <w:r>
              <w:rPr>
                <w:rFonts w:ascii="Times New Roman" w:cs="Times New Roman" w:eastAsia="Times New Roman" w:hAnsi="Times New Roman"/>
                <w:sz w:val="12"/>
                <w:szCs w:val="12"/>
                <w:b w:val="1"/>
                <w:bCs w:val="1"/>
                <w:color w:val="auto"/>
                <w:w w:val="98"/>
              </w:rPr>
              <w:t>Accounting</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2"/>
                <w:szCs w:val="12"/>
                <w:b w:val="1"/>
                <w:bCs w:val="1"/>
                <w:color w:val="auto"/>
                <w:w w:val="95"/>
              </w:rPr>
              <w:t>Pro Forma</w:t>
            </w:r>
          </w:p>
        </w:tc>
        <w:tc>
          <w:tcPr>
            <w:tcW w:w="0" w:type="dxa"/>
            <w:vAlign w:val="bottom"/>
          </w:tcPr>
          <w:p>
            <w:pPr>
              <w:spacing w:after="0"/>
              <w:rPr>
                <w:sz w:val="1"/>
                <w:szCs w:val="1"/>
                <w:color w:val="auto"/>
              </w:rPr>
            </w:pPr>
          </w:p>
        </w:tc>
      </w:tr>
      <w:tr>
        <w:trPr>
          <w:trHeight w:val="166"/>
        </w:trPr>
        <w:tc>
          <w:tcPr>
            <w:tcW w:w="2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2"/>
                <w:szCs w:val="12"/>
                <w:b w:val="1"/>
                <w:bCs w:val="1"/>
                <w:color w:val="auto"/>
                <w:w w:val="98"/>
              </w:rPr>
              <w:t>12/31/2024)</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2"/>
                <w:szCs w:val="12"/>
                <w:b w:val="1"/>
                <w:bCs w:val="1"/>
                <w:color w:val="auto"/>
                <w:w w:val="98"/>
              </w:rPr>
              <w:t>12/31/2024)</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2"/>
                <w:szCs w:val="12"/>
                <w:b w:val="1"/>
                <w:bCs w:val="1"/>
                <w:color w:val="auto"/>
                <w:w w:val="97"/>
              </w:rPr>
              <w:t>of 12/31/2024)</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2"/>
                <w:szCs w:val="12"/>
                <w:b w:val="1"/>
                <w:bCs w:val="1"/>
                <w:color w:val="auto"/>
                <w:w w:val="95"/>
              </w:rPr>
              <w:t>12/31/2024)</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2"/>
                <w:szCs w:val="12"/>
                <w:b w:val="1"/>
                <w:bCs w:val="1"/>
                <w:color w:val="auto"/>
                <w:w w:val="94"/>
              </w:rPr>
              <w:t>Adjustments</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2"/>
                <w:szCs w:val="12"/>
                <w:b w:val="1"/>
                <w:bCs w:val="1"/>
                <w:color w:val="auto"/>
                <w:w w:val="97"/>
              </w:rPr>
              <w:t>Adjustments</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7"/>
              </w:rPr>
              <w:t>Combined</w:t>
            </w:r>
          </w:p>
        </w:tc>
        <w:tc>
          <w:tcPr>
            <w:tcW w:w="0" w:type="dxa"/>
            <w:vAlign w:val="bottom"/>
          </w:tcPr>
          <w:p>
            <w:pPr>
              <w:spacing w:after="0"/>
              <w:rPr>
                <w:sz w:val="1"/>
                <w:szCs w:val="1"/>
                <w:color w:val="auto"/>
              </w:rPr>
            </w:pPr>
          </w:p>
        </w:tc>
      </w:tr>
      <w:tr>
        <w:trPr>
          <w:trHeight w:val="125"/>
        </w:trPr>
        <w:tc>
          <w:tcPr>
            <w:tcW w:w="2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vMerge w:val="restart"/>
          </w:tcPr>
          <w:p>
            <w:pPr>
              <w:jc w:val="center"/>
              <w:ind w:right="122"/>
              <w:spacing w:after="0"/>
              <w:rPr>
                <w:sz w:val="20"/>
                <w:szCs w:val="20"/>
                <w:color w:val="auto"/>
              </w:rPr>
            </w:pPr>
            <w:r>
              <w:rPr>
                <w:rFonts w:ascii="Times New Roman" w:cs="Times New Roman" w:eastAsia="Times New Roman" w:hAnsi="Times New Roman"/>
                <w:sz w:val="12"/>
                <w:szCs w:val="12"/>
                <w:b w:val="1"/>
                <w:bCs w:val="1"/>
                <w:color w:val="auto"/>
                <w:w w:val="91"/>
              </w:rPr>
              <w:t>A</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vMerge w:val="restart"/>
          </w:tcPr>
          <w:p>
            <w:pPr>
              <w:jc w:val="right"/>
              <w:ind w:right="522"/>
              <w:spacing w:after="0"/>
              <w:rPr>
                <w:sz w:val="20"/>
                <w:szCs w:val="20"/>
                <w:color w:val="auto"/>
              </w:rPr>
            </w:pPr>
            <w:r>
              <w:rPr>
                <w:rFonts w:ascii="Times New Roman" w:cs="Times New Roman" w:eastAsia="Times New Roman" w:hAnsi="Times New Roman"/>
                <w:sz w:val="12"/>
                <w:szCs w:val="12"/>
                <w:b w:val="1"/>
                <w:bCs w:val="1"/>
                <w:color w:val="auto"/>
              </w:rPr>
              <w:t>B</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restart"/>
          </w:tcPr>
          <w:p>
            <w:pPr>
              <w:jc w:val="center"/>
              <w:ind w:right="142"/>
              <w:spacing w:after="0"/>
              <w:rPr>
                <w:sz w:val="20"/>
                <w:szCs w:val="20"/>
                <w:color w:val="auto"/>
              </w:rPr>
            </w:pPr>
            <w:r>
              <w:rPr>
                <w:rFonts w:ascii="Times New Roman" w:cs="Times New Roman" w:eastAsia="Times New Roman" w:hAnsi="Times New Roman"/>
                <w:sz w:val="12"/>
                <w:szCs w:val="12"/>
                <w:b w:val="1"/>
                <w:bCs w:val="1"/>
                <w:color w:val="auto"/>
                <w:w w:val="91"/>
              </w:rPr>
              <w:t>C</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1"/>
              </w:rPr>
              <w:t>D</w:t>
            </w:r>
          </w:p>
        </w:tc>
        <w:tc>
          <w:tcPr>
            <w:tcW w:w="100" w:type="dxa"/>
            <w:vAlign w:val="bottom"/>
          </w:tcPr>
          <w:p>
            <w:pPr>
              <w:spacing w:after="0"/>
              <w:rPr>
                <w:sz w:val="10"/>
                <w:szCs w:val="10"/>
                <w:color w:val="auto"/>
              </w:rPr>
            </w:pPr>
          </w:p>
        </w:tc>
        <w:tc>
          <w:tcPr>
            <w:tcW w:w="980" w:type="dxa"/>
            <w:vAlign w:val="bottom"/>
            <w:vMerge w:val="restart"/>
          </w:tcPr>
          <w:p>
            <w:pPr>
              <w:jc w:val="center"/>
              <w:ind w:right="162"/>
              <w:spacing w:after="0"/>
              <w:rPr>
                <w:sz w:val="20"/>
                <w:szCs w:val="20"/>
                <w:color w:val="auto"/>
              </w:rPr>
            </w:pPr>
            <w:r>
              <w:rPr>
                <w:rFonts w:ascii="Times New Roman" w:cs="Times New Roman" w:eastAsia="Times New Roman" w:hAnsi="Times New Roman"/>
                <w:sz w:val="12"/>
                <w:szCs w:val="12"/>
                <w:b w:val="1"/>
                <w:bCs w:val="1"/>
                <w:color w:val="auto"/>
                <w:w w:val="99"/>
              </w:rPr>
              <w:t>E</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restart"/>
          </w:tcPr>
          <w:p>
            <w:pPr>
              <w:jc w:val="center"/>
              <w:ind w:right="162"/>
              <w:spacing w:after="0"/>
              <w:rPr>
                <w:sz w:val="20"/>
                <w:szCs w:val="20"/>
                <w:color w:val="auto"/>
              </w:rPr>
            </w:pPr>
            <w:r>
              <w:rPr>
                <w:rFonts w:ascii="Times New Roman" w:cs="Times New Roman" w:eastAsia="Times New Roman" w:hAnsi="Times New Roman"/>
                <w:sz w:val="12"/>
                <w:szCs w:val="12"/>
                <w:b w:val="1"/>
                <w:bCs w:val="1"/>
                <w:color w:val="auto"/>
              </w:rPr>
              <w:t>F</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360"/>
              <w:spacing w:after="0" w:line="125" w:lineRule="exact"/>
              <w:rPr>
                <w:sz w:val="20"/>
                <w:szCs w:val="20"/>
                <w:color w:val="auto"/>
              </w:rPr>
            </w:pPr>
            <w:r>
              <w:rPr>
                <w:rFonts w:ascii="Times New Roman" w:cs="Times New Roman" w:eastAsia="Times New Roman" w:hAnsi="Times New Roman"/>
                <w:sz w:val="12"/>
                <w:szCs w:val="12"/>
                <w:b w:val="1"/>
                <w:bCs w:val="1"/>
                <w:color w:val="auto"/>
                <w:w w:val="93"/>
              </w:rPr>
              <w:t>G =</w:t>
            </w:r>
          </w:p>
        </w:tc>
        <w:tc>
          <w:tcPr>
            <w:tcW w:w="0" w:type="dxa"/>
            <w:vAlign w:val="bottom"/>
          </w:tcPr>
          <w:p>
            <w:pPr>
              <w:spacing w:after="0"/>
              <w:rPr>
                <w:sz w:val="1"/>
                <w:szCs w:val="1"/>
                <w:color w:val="auto"/>
              </w:rPr>
            </w:pPr>
          </w:p>
        </w:tc>
      </w:tr>
      <w:tr>
        <w:trPr>
          <w:trHeight w:val="85"/>
        </w:trPr>
        <w:tc>
          <w:tcPr>
            <w:tcW w:w="266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A+B+C+D+E+F</w:t>
            </w:r>
          </w:p>
        </w:tc>
        <w:tc>
          <w:tcPr>
            <w:tcW w:w="0" w:type="dxa"/>
            <w:vAlign w:val="bottom"/>
          </w:tcPr>
          <w:p>
            <w:pPr>
              <w:spacing w:after="0"/>
              <w:rPr>
                <w:sz w:val="1"/>
                <w:szCs w:val="1"/>
                <w:color w:val="auto"/>
              </w:rPr>
            </w:pPr>
          </w:p>
        </w:tc>
      </w:tr>
      <w:tr>
        <w:trPr>
          <w:trHeight w:val="61"/>
        </w:trPr>
        <w:tc>
          <w:tcPr>
            <w:tcW w:w="266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Assets</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Current assets:</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Cash and cash equivalents</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9,450,944</w:t>
            </w:r>
          </w:p>
        </w:tc>
        <w:tc>
          <w:tcPr>
            <w:tcW w:w="20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6,482,298</w:t>
            </w:r>
          </w:p>
        </w:tc>
        <w:tc>
          <w:tcPr>
            <w:tcW w:w="18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278,602</w:t>
            </w:r>
          </w:p>
        </w:tc>
        <w:tc>
          <w:tcPr>
            <w:tcW w:w="18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16,211,875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Accounts receivable, net</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21,274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1,148,861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682,433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1,852,568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Prepaid expenses and other current assets</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960,848</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1,146,327</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41,269</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10,000</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9"/>
              </w:rPr>
              <w:t>a</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2,158,444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Derivative asset</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2,587,581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2,587,581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Income taxes receivable</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222,222</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222,222</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current assets</w:t>
            </w:r>
          </w:p>
        </w:tc>
        <w:tc>
          <w:tcPr>
            <w:tcW w:w="6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13,020,647</w:t>
            </w: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8,999,708</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1,002,304</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31</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10,000</w:t>
            </w:r>
          </w:p>
        </w:tc>
        <w:tc>
          <w:tcPr>
            <w:tcW w:w="32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23,032,690</w:t>
            </w: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Non-current assets:</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Property and equipment, net</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17,332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4,987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4,082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26,401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Intangible assets, net</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6,750,178</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68,304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34,400,000</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89"/>
              </w:rPr>
              <w:t>b</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3,436,731</w:t>
            </w:r>
          </w:p>
        </w:tc>
        <w:tc>
          <w:tcPr>
            <w:tcW w:w="2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74"/>
              </w:rPr>
              <w:t>c</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44,655,213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Goodwill</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4,580,673</w:t>
            </w:r>
          </w:p>
        </w:tc>
        <w:tc>
          <w:tcPr>
            <w:tcW w:w="4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89"/>
              </w:rPr>
              <w:t>d</w:t>
            </w: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4,580,673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Right-of-use asset</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174,568</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9,771</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rPr>
              <w:t>e</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184,339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Deferred tax asset</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373,445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373,445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Other assets</w:t>
            </w:r>
          </w:p>
        </w:tc>
        <w:tc>
          <w:tcPr>
            <w:tcW w:w="6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02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04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non-current assets</w:t>
            </w:r>
          </w:p>
        </w:tc>
        <w:tc>
          <w:tcPr>
            <w:tcW w:w="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6,767,510</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174,568</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378,432</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72,386</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38,990,444</w:t>
            </w: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3,436,731</w:t>
            </w: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49,820,071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19,788,157</w:t>
            </w:r>
          </w:p>
        </w:tc>
        <w:tc>
          <w:tcPr>
            <w:tcW w:w="2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2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9,174,276</w:t>
            </w:r>
          </w:p>
        </w:tc>
        <w:tc>
          <w:tcPr>
            <w:tcW w:w="1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1,380,736</w:t>
            </w:r>
          </w:p>
        </w:tc>
        <w:tc>
          <w:tcPr>
            <w:tcW w:w="1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72,417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39,000,444</w:t>
            </w:r>
          </w:p>
        </w:tc>
        <w:tc>
          <w:tcPr>
            <w:tcW w:w="4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3,436,731</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72,852,761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66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Liabilities and Equity</w:t>
            </w:r>
          </w:p>
        </w:tc>
        <w:tc>
          <w:tcPr>
            <w:tcW w:w="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3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Current liabilities:</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Accounts payable</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7,303,060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21,598,041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758,538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3,966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1,371,844</w:t>
            </w:r>
          </w:p>
        </w:tc>
        <w:tc>
          <w:tcPr>
            <w:tcW w:w="4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3"/>
              </w:rPr>
              <w:t>a,g</w:t>
            </w: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295,847</w:t>
            </w:r>
          </w:p>
        </w:tc>
        <w:tc>
          <w:tcPr>
            <w:tcW w:w="2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h</w:t>
            </w: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31,331,296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Due to related party</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1,054,429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584,989</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1,639,418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Accrued expenses and other payables</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9,513,932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2,138,314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11,652,246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Short term debt to related party</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5,102,211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5,102,211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Short term convertible debt</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10,288,123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10,288,123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Short term convertible debt to related party</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95,309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95,309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Convertible promissory notes</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6,428,825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6,428,825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Ordinary Shares Payable</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1,206,609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1,206,609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Share-based payment liability</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1,400,000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1,400,000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Advisors loans</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12,812,366</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12,812,366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Derivative liabilities</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2,579,875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2,579,875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Bank indebtedness</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12,000,000</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(12,000,000)</w:t>
            </w:r>
          </w:p>
        </w:tc>
        <w:tc>
          <w:tcPr>
            <w:tcW w:w="440" w:type="dxa"/>
            <w:vAlign w:val="bottom"/>
            <w:gridSpan w:val="2"/>
            <w:shd w:val="clear" w:color="auto" w:fill="CFF0FC"/>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f</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Deferred revenue</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8,584,886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1,172,056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9,756,942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Warrant liability</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20,149</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(20,149)</w:t>
            </w:r>
          </w:p>
        </w:tc>
        <w:tc>
          <w:tcPr>
            <w:tcW w:w="440" w:type="dxa"/>
            <w:vAlign w:val="bottom"/>
            <w:gridSpan w:val="2"/>
            <w:shd w:val="clear" w:color="auto" w:fill="CFF0FC"/>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rPr>
              <w:t>i</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Current portion of lease liabilities</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43,069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43,069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98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57,784,739</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02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42,246,145</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92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4,653,897</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04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3,966</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980" w:type="dxa"/>
            <w:vAlign w:val="bottom"/>
            <w:tcBorders>
              <w:top w:val="single" w:sz="8" w:color="auto"/>
              <w:bottom w:val="single" w:sz="8" w:color="auto"/>
            </w:tcBorders>
            <w:shd w:val="clear" w:color="auto" w:fill="CFF0FC"/>
          </w:tcPr>
          <w:p>
            <w:pPr>
              <w:jc w:val="right"/>
              <w:ind w:right="22"/>
              <w:spacing w:after="0" w:line="129" w:lineRule="exact"/>
              <w:rPr>
                <w:sz w:val="20"/>
                <w:szCs w:val="20"/>
                <w:color w:val="auto"/>
              </w:rPr>
            </w:pPr>
            <w:r>
              <w:rPr>
                <w:rFonts w:ascii="Times New Roman" w:cs="Times New Roman" w:eastAsia="Times New Roman" w:hAnsi="Times New Roman"/>
                <w:sz w:val="12"/>
                <w:szCs w:val="12"/>
                <w:b w:val="1"/>
                <w:bCs w:val="1"/>
                <w:color w:val="auto"/>
              </w:rPr>
              <w:t>(10,648,305)</w:t>
            </w: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94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295,847</w:t>
            </w:r>
          </w:p>
        </w:tc>
        <w:tc>
          <w:tcPr>
            <w:tcW w:w="2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90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94,336,289</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Non-current liabilities:</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Deferred tax liability</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10,335,000</w:t>
            </w:r>
          </w:p>
        </w:tc>
        <w:tc>
          <w:tcPr>
            <w:tcW w:w="440" w:type="dxa"/>
            <w:vAlign w:val="bottom"/>
            <w:gridSpan w:val="2"/>
            <w:shd w:val="clear" w:color="auto" w:fill="CFF0FC"/>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j</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10,335,000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Debt</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108,238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108,238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Lease liabilities</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148,945</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148,945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Other liabilities</w:t>
            </w:r>
          </w:p>
        </w:tc>
        <w:tc>
          <w:tcPr>
            <w:tcW w:w="6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6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non-current liabilities</w:t>
            </w: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98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02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148,945</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92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04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108,238</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98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10,335,000</w:t>
            </w: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94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90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10,592,183</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57,784,739</w:t>
            </w:r>
          </w:p>
        </w:tc>
        <w:tc>
          <w:tcPr>
            <w:tcW w:w="2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2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42,395,090</w:t>
            </w:r>
          </w:p>
        </w:tc>
        <w:tc>
          <w:tcPr>
            <w:tcW w:w="1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4,653,897</w:t>
            </w:r>
          </w:p>
        </w:tc>
        <w:tc>
          <w:tcPr>
            <w:tcW w:w="1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112,204</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ind w:right="22"/>
              <w:spacing w:after="0" w:line="129" w:lineRule="exact"/>
              <w:rPr>
                <w:sz w:val="20"/>
                <w:szCs w:val="20"/>
                <w:color w:val="auto"/>
              </w:rPr>
            </w:pPr>
            <w:r>
              <w:rPr>
                <w:rFonts w:ascii="Times New Roman" w:cs="Times New Roman" w:eastAsia="Times New Roman" w:hAnsi="Times New Roman"/>
                <w:sz w:val="12"/>
                <w:szCs w:val="12"/>
                <w:b w:val="1"/>
                <w:bCs w:val="1"/>
                <w:color w:val="auto"/>
              </w:rPr>
              <w:t>(313,305)</w:t>
            </w:r>
          </w:p>
        </w:tc>
        <w:tc>
          <w:tcPr>
            <w:tcW w:w="4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295,847</w:t>
            </w:r>
          </w:p>
        </w:tc>
        <w:tc>
          <w:tcPr>
            <w:tcW w:w="28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104,928,472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Stockholders' Equity:</w:t>
            </w:r>
          </w:p>
        </w:tc>
        <w:tc>
          <w:tcPr>
            <w:tcW w:w="6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66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Ordinary shares, £0.0001 nominal value 208,260,754</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shares issued and outstanding as of December 31,</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l</w:t>
            </w:r>
          </w:p>
        </w:tc>
        <w:tc>
          <w:tcPr>
            <w:tcW w:w="940" w:type="dxa"/>
            <w:vAlign w:val="bottom"/>
          </w:tcPr>
          <w:p>
            <w:pPr>
              <w:spacing w:after="0"/>
              <w:rPr>
                <w:sz w:val="11"/>
                <w:szCs w:val="11"/>
                <w:color w:val="auto"/>
              </w:rPr>
            </w:pPr>
          </w:p>
        </w:tc>
        <w:tc>
          <w:tcPr>
            <w:tcW w:w="2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k</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2024; 152,262,295 shares issued and outstanding as</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of December 31, 2023; 256,365,817 and 161,710,480</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60" w:type="dxa"/>
            <w:vAlign w:val="bottom"/>
          </w:tcPr>
          <w:p>
            <w:pPr>
              <w:spacing w:after="0"/>
              <w:rPr>
                <w:sz w:val="20"/>
                <w:szCs w:val="20"/>
                <w:color w:val="auto"/>
              </w:rPr>
            </w:pPr>
            <w:r>
              <w:rPr>
                <w:rFonts w:ascii="Times New Roman" w:cs="Times New Roman" w:eastAsia="Times New Roman" w:hAnsi="Times New Roman"/>
                <w:sz w:val="12"/>
                <w:szCs w:val="12"/>
                <w:color w:val="auto"/>
              </w:rPr>
              <w:t>shares authorized as of December 31, 2024 and 2023</w:t>
            </w:r>
          </w:p>
        </w:tc>
        <w:tc>
          <w:tcPr>
            <w:tcW w:w="60" w:type="dxa"/>
            <w:vAlign w:val="bottom"/>
          </w:tcPr>
          <w:p>
            <w:pPr>
              <w:spacing w:after="0"/>
              <w:rPr>
                <w:sz w:val="12"/>
                <w:szCs w:val="12"/>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26,816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1,623</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355</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28,794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Ordinary shares/Common Stock</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14,005,728</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50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(14,005,728)</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9"/>
              </w:rPr>
              <w:t>m</w:t>
            </w:r>
          </w:p>
        </w:tc>
        <w:tc>
          <w:tcPr>
            <w:tcW w:w="94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(1,050)</w:t>
            </w:r>
          </w:p>
        </w:tc>
        <w:tc>
          <w:tcPr>
            <w:tcW w:w="2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m</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66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Additional paid-in capital</w:t>
            </w: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l,m</w:t>
            </w:r>
          </w:p>
        </w:tc>
        <w:tc>
          <w:tcPr>
            <w:tcW w:w="940" w:type="dxa"/>
            <w:vAlign w:val="bottom"/>
          </w:tcPr>
          <w:p>
            <w:pPr>
              <w:spacing w:after="0"/>
              <w:rPr>
                <w:sz w:val="10"/>
                <w:szCs w:val="10"/>
                <w:color w:val="auto"/>
              </w:rPr>
            </w:pPr>
          </w:p>
        </w:tc>
        <w:tc>
          <w:tcPr>
            <w:tcW w:w="2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rPr>
              <w:t>k,m,</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66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194,062,767</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6,291,080</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22,815,832</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3,324,360</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11,767,156</w:t>
            </w:r>
          </w:p>
        </w:tc>
        <w:tc>
          <w:tcPr>
            <w:tcW w:w="440" w:type="dxa"/>
            <w:vAlign w:val="bottom"/>
            <w:gridSpan w:val="2"/>
            <w:vMerge w:val="continue"/>
          </w:tcPr>
          <w:p>
            <w:pPr>
              <w:spacing w:after="0"/>
              <w:rPr>
                <w:sz w:val="7"/>
                <w:szCs w:val="7"/>
                <w:color w:val="auto"/>
              </w:rPr>
            </w:pPr>
          </w:p>
        </w:tc>
        <w:tc>
          <w:tcPr>
            <w:tcW w:w="9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(26,016,765)</w:t>
            </w:r>
          </w:p>
        </w:tc>
        <w:tc>
          <w:tcPr>
            <w:tcW w:w="2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n</w:t>
            </w:r>
          </w:p>
        </w:tc>
        <w:tc>
          <w:tcPr>
            <w:tcW w:w="120" w:type="dxa"/>
            <w:vAlign w:val="bottom"/>
          </w:tcPr>
          <w:p>
            <w:pPr>
              <w:spacing w:after="0"/>
              <w:rPr>
                <w:sz w:val="7"/>
                <w:szCs w:val="7"/>
                <w:color w:val="auto"/>
              </w:rPr>
            </w:pPr>
          </w:p>
        </w:tc>
        <w:tc>
          <w:tcPr>
            <w:tcW w:w="90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212,244,430</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66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Stock subscription receivable</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(80)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(79,003)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79,003</w:t>
            </w:r>
          </w:p>
        </w:tc>
        <w:tc>
          <w:tcPr>
            <w:tcW w:w="2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m</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(80)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66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Accumulated deficit</w:t>
            </w: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2"/>
                <w:szCs w:val="12"/>
                <w:b w:val="1"/>
                <w:bCs w:val="1"/>
                <w:color w:val="auto"/>
                <w:w w:val="93"/>
              </w:rPr>
              <w:t>e,f,g</w:t>
            </w:r>
          </w:p>
        </w:tc>
        <w:tc>
          <w:tcPr>
            <w:tcW w:w="940" w:type="dxa"/>
            <w:vAlign w:val="bottom"/>
          </w:tcPr>
          <w:p>
            <w:pPr>
              <w:spacing w:after="0"/>
              <w:rPr>
                <w:sz w:val="10"/>
                <w:szCs w:val="10"/>
                <w:color w:val="auto"/>
              </w:rPr>
            </w:pPr>
          </w:p>
        </w:tc>
        <w:tc>
          <w:tcPr>
            <w:tcW w:w="2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h,m</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66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(232,075,815)</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(58,196,350)</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vMerge w:val="restart"/>
          </w:tcPr>
          <w:p>
            <w:pPr>
              <w:jc w:val="right"/>
              <w:ind w:right="22"/>
              <w:spacing w:after="0"/>
              <w:rPr>
                <w:sz w:val="20"/>
                <w:szCs w:val="20"/>
                <w:color w:val="auto"/>
              </w:rPr>
            </w:pPr>
            <w:r>
              <w:rPr>
                <w:rFonts w:ascii="Times New Roman" w:cs="Times New Roman" w:eastAsia="Times New Roman" w:hAnsi="Times New Roman"/>
                <w:sz w:val="12"/>
                <w:szCs w:val="12"/>
                <w:color w:val="auto"/>
              </w:rPr>
              <w:t>(26,133,930)</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(3,285,194)</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46,229,426</w:t>
            </w:r>
          </w:p>
        </w:tc>
        <w:tc>
          <w:tcPr>
            <w:tcW w:w="4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i,j,m</w:t>
            </w:r>
          </w:p>
        </w:tc>
        <w:tc>
          <w:tcPr>
            <w:tcW w:w="94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29,123,278</w:t>
            </w:r>
          </w:p>
        </w:tc>
        <w:tc>
          <w:tcPr>
            <w:tcW w:w="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restart"/>
          </w:tcPr>
          <w:p>
            <w:pPr>
              <w:jc w:val="right"/>
              <w:ind w:right="22"/>
              <w:spacing w:after="0"/>
              <w:rPr>
                <w:sz w:val="20"/>
                <w:szCs w:val="20"/>
                <w:color w:val="auto"/>
              </w:rPr>
            </w:pPr>
            <w:r>
              <w:rPr>
                <w:rFonts w:ascii="Times New Roman" w:cs="Times New Roman" w:eastAsia="Times New Roman" w:hAnsi="Times New Roman"/>
                <w:sz w:val="12"/>
                <w:szCs w:val="12"/>
                <w:color w:val="auto"/>
              </w:rPr>
              <w:t>(244,338,585)</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66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Accumulated other comprehensive loss</w:t>
            </w: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(10,270)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43,937</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(43,937)</w:t>
            </w:r>
          </w:p>
        </w:tc>
        <w:tc>
          <w:tcPr>
            <w:tcW w:w="2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m</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(10,270)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Warrants</w:t>
            </w:r>
          </w:p>
        </w:tc>
        <w:tc>
          <w:tcPr>
            <w:tcW w:w="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4,678,728</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(4,678,728)</w:t>
            </w:r>
          </w:p>
        </w:tc>
        <w:tc>
          <w:tcPr>
            <w:tcW w:w="3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o</w:t>
            </w: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shareholders' equity (deficit)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shd w:val="clear" w:color="auto" w:fill="CFF0FC"/>
          </w:tcPr>
          <w:p>
            <w:pPr>
              <w:jc w:val="right"/>
              <w:ind w:right="2"/>
              <w:spacing w:after="0" w:line="129" w:lineRule="exact"/>
              <w:rPr>
                <w:sz w:val="20"/>
                <w:szCs w:val="20"/>
                <w:color w:val="auto"/>
              </w:rPr>
            </w:pPr>
            <w:r>
              <w:rPr>
                <w:rFonts w:ascii="Times New Roman" w:cs="Times New Roman" w:eastAsia="Times New Roman" w:hAnsi="Times New Roman"/>
                <w:sz w:val="12"/>
                <w:szCs w:val="12"/>
                <w:b w:val="1"/>
                <w:bCs w:val="1"/>
                <w:color w:val="auto"/>
              </w:rPr>
              <w:t>(37,996,582)</w:t>
            </w:r>
          </w:p>
        </w:tc>
        <w:tc>
          <w:tcPr>
            <w:tcW w:w="2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20" w:type="dxa"/>
            <w:vAlign w:val="bottom"/>
            <w:shd w:val="clear" w:color="auto" w:fill="CFF0FC"/>
          </w:tcPr>
          <w:p>
            <w:pPr>
              <w:jc w:val="right"/>
              <w:ind w:right="2"/>
              <w:spacing w:after="0" w:line="129" w:lineRule="exact"/>
              <w:rPr>
                <w:sz w:val="20"/>
                <w:szCs w:val="20"/>
                <w:color w:val="auto"/>
              </w:rPr>
            </w:pPr>
            <w:r>
              <w:rPr>
                <w:rFonts w:ascii="Times New Roman" w:cs="Times New Roman" w:eastAsia="Times New Roman" w:hAnsi="Times New Roman"/>
                <w:sz w:val="12"/>
                <w:szCs w:val="12"/>
                <w:b w:val="1"/>
                <w:bCs w:val="1"/>
                <w:color w:val="auto"/>
              </w:rPr>
              <w:t>(33,220,814)</w:t>
            </w:r>
          </w:p>
        </w:tc>
        <w:tc>
          <w:tcPr>
            <w:tcW w:w="1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shd w:val="clear" w:color="auto" w:fill="CFF0FC"/>
          </w:tcPr>
          <w:p>
            <w:pPr>
              <w:jc w:val="right"/>
              <w:ind w:right="22"/>
              <w:spacing w:after="0" w:line="129" w:lineRule="exact"/>
              <w:rPr>
                <w:sz w:val="20"/>
                <w:szCs w:val="20"/>
                <w:color w:val="auto"/>
              </w:rPr>
            </w:pPr>
            <w:r>
              <w:rPr>
                <w:rFonts w:ascii="Times New Roman" w:cs="Times New Roman" w:eastAsia="Times New Roman" w:hAnsi="Times New Roman"/>
                <w:sz w:val="12"/>
                <w:szCs w:val="12"/>
                <w:b w:val="1"/>
                <w:bCs w:val="1"/>
                <w:color w:val="auto"/>
              </w:rPr>
              <w:t>(3,273,161)</w:t>
            </w:r>
          </w:p>
        </w:tc>
        <w:tc>
          <w:tcPr>
            <w:tcW w:w="1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shd w:val="clear" w:color="auto" w:fill="CFF0FC"/>
          </w:tcPr>
          <w:p>
            <w:pPr>
              <w:jc w:val="right"/>
              <w:ind w:right="2"/>
              <w:spacing w:after="0" w:line="129" w:lineRule="exact"/>
              <w:rPr>
                <w:sz w:val="20"/>
                <w:szCs w:val="20"/>
                <w:color w:val="auto"/>
              </w:rPr>
            </w:pPr>
            <w:r>
              <w:rPr>
                <w:rFonts w:ascii="Times New Roman" w:cs="Times New Roman" w:eastAsia="Times New Roman" w:hAnsi="Times New Roman"/>
                <w:sz w:val="12"/>
                <w:szCs w:val="12"/>
                <w:b w:val="1"/>
                <w:bCs w:val="1"/>
                <w:color w:val="auto"/>
              </w:rPr>
              <w:t>(39,787)</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39,313,749</w:t>
            </w:r>
          </w:p>
        </w:tc>
        <w:tc>
          <w:tcPr>
            <w:tcW w:w="4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3,140,884</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shd w:val="clear" w:color="auto" w:fill="CFF0FC"/>
          </w:tcPr>
          <w:p>
            <w:pPr>
              <w:jc w:val="right"/>
              <w:ind w:right="22"/>
              <w:spacing w:after="0" w:line="129" w:lineRule="exact"/>
              <w:rPr>
                <w:sz w:val="20"/>
                <w:szCs w:val="20"/>
                <w:color w:val="auto"/>
              </w:rPr>
            </w:pPr>
            <w:r>
              <w:rPr>
                <w:rFonts w:ascii="Times New Roman" w:cs="Times New Roman" w:eastAsia="Times New Roman" w:hAnsi="Times New Roman"/>
                <w:sz w:val="12"/>
                <w:szCs w:val="12"/>
                <w:b w:val="1"/>
                <w:bCs w:val="1"/>
                <w:color w:val="auto"/>
              </w:rPr>
              <w:t>(32,075,711)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liabilities and stockholders’ deficit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19,788,157</w:t>
            </w:r>
          </w:p>
        </w:tc>
        <w:tc>
          <w:tcPr>
            <w:tcW w:w="2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2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9,174,276</w:t>
            </w:r>
          </w:p>
        </w:tc>
        <w:tc>
          <w:tcPr>
            <w:tcW w:w="1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1,380,736</w:t>
            </w:r>
          </w:p>
        </w:tc>
        <w:tc>
          <w:tcPr>
            <w:tcW w:w="1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72,417</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39,000,444</w:t>
            </w:r>
          </w:p>
        </w:tc>
        <w:tc>
          <w:tcPr>
            <w:tcW w:w="4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3,436,731</w:t>
            </w:r>
          </w:p>
        </w:tc>
        <w:tc>
          <w:tcPr>
            <w:tcW w:w="28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72,852,761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-4533900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-4533900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-4533900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-4533900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-4533900</wp:posOffset>
            </wp:positionV>
            <wp:extent cx="2146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-4533900</wp:posOffset>
            </wp:positionV>
            <wp:extent cx="1797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-4533900</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-3830955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-3830955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-3830955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-3830955</wp:posOffset>
            </wp:positionV>
            <wp:extent cx="2146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-3830955</wp:posOffset>
            </wp:positionV>
            <wp:extent cx="1797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-3830955</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-3642995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-3625215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-3642995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-3625215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-3642995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-3625215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-3642995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-3625215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-3642995</wp:posOffset>
            </wp:positionV>
            <wp:extent cx="2146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-3625215</wp:posOffset>
            </wp:positionV>
            <wp:extent cx="2146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-3642995</wp:posOffset>
            </wp:positionV>
            <wp:extent cx="1797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-3625215</wp:posOffset>
            </wp:positionV>
            <wp:extent cx="1797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-3642995</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-3625215</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-2065020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-2065020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-2065020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-2065020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-2065020</wp:posOffset>
            </wp:positionV>
            <wp:extent cx="2146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-2065020</wp:posOffset>
            </wp:positionV>
            <wp:extent cx="1797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-2065020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-1533525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-1533525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-1533525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-1533525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-1533525</wp:posOffset>
            </wp:positionV>
            <wp:extent cx="2146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-1533525</wp:posOffset>
            </wp:positionV>
            <wp:extent cx="1797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-1533525</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-119380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-119380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-119380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-119380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-119380</wp:posOffset>
            </wp:positionV>
            <wp:extent cx="2146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-119380</wp:posOffset>
            </wp:positionV>
            <wp:extent cx="1797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-119380</wp:posOffset>
            </wp:positionV>
            <wp:extent cx="774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3"/>
          <w:szCs w:val="13"/>
          <w:i w:val="1"/>
          <w:iCs w:val="1"/>
          <w:color w:val="auto"/>
        </w:rPr>
        <w:t>See accompanying notes to the unaudited pro forma condensed combined financial information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Proforma Combined</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jc w:val="center"/>
              <w:ind w:right="157"/>
              <w:spacing w:after="0" w:line="115" w:lineRule="exact"/>
              <w:rPr>
                <w:sz w:val="20"/>
                <w:szCs w:val="20"/>
                <w:color w:val="auto"/>
              </w:rPr>
            </w:pPr>
            <w:r>
              <w:rPr>
                <w:rFonts w:ascii="Times New Roman" w:cs="Times New Roman" w:eastAsia="Times New Roman" w:hAnsi="Times New Roman"/>
                <w:sz w:val="13"/>
                <w:szCs w:val="13"/>
                <w:b w:val="1"/>
                <w:bCs w:val="1"/>
                <w:color w:val="auto"/>
                <w:w w:val="94"/>
              </w:rPr>
              <w:t>Rezolve AI</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plc and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Subsidiaries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GroupBy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Industries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Innovation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(Historical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(Historical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(Historical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(Historical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GroupBy</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Year ended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Year ended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Year ended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Year ended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8"/>
              </w:rPr>
              <w:t>Transaction</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8"/>
              </w:rPr>
              <w:t>Transaction</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Pro Forma</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8"/>
              </w:rPr>
              <w:t>2024)</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8"/>
              </w:rPr>
              <w:t>2024)</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8"/>
              </w:rPr>
              <w:t>2024)</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3"/>
              </w:rPr>
              <w:t>Combined</w:t>
            </w: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vMerge w:val="restart"/>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rPr>
              <w:t>A</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vMerge w:val="restart"/>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1"/>
              </w:rPr>
              <w:t>B</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vMerge w:val="restart"/>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rPr>
              <w:t>C</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vMerge w:val="restart"/>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rPr>
              <w:t>D</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vMerge w:val="restart"/>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1"/>
              </w:rPr>
              <w:t>E</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vMerge w:val="restart"/>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rPr>
              <w:t>F</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center"/>
              <w:ind w:right="177"/>
              <w:spacing w:after="0" w:line="115" w:lineRule="exact"/>
              <w:rPr>
                <w:sz w:val="20"/>
                <w:szCs w:val="20"/>
                <w:color w:val="auto"/>
              </w:rPr>
            </w:pPr>
            <w:r>
              <w:rPr>
                <w:rFonts w:ascii="Times New Roman" w:cs="Times New Roman" w:eastAsia="Times New Roman" w:hAnsi="Times New Roman"/>
                <w:sz w:val="13"/>
                <w:szCs w:val="13"/>
                <w:b w:val="1"/>
                <w:bCs w:val="1"/>
                <w:color w:val="auto"/>
              </w:rPr>
              <w:t>G =</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gridSpan w:val="2"/>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A+B+C+D+E+F</w:t>
            </w: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Revenue</w:t>
            </w:r>
          </w:p>
        </w:tc>
        <w:tc>
          <w:tcPr>
            <w:tcW w:w="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187,788</w:t>
            </w:r>
          </w:p>
        </w:tc>
        <w:tc>
          <w:tcPr>
            <w:tcW w:w="2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18,890,934</w:t>
            </w:r>
          </w:p>
        </w:tc>
        <w:tc>
          <w:tcPr>
            <w:tcW w:w="2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1,825,779</w:t>
            </w:r>
          </w:p>
        </w:tc>
        <w:tc>
          <w:tcPr>
            <w:tcW w:w="1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485,860</w:t>
            </w:r>
          </w:p>
        </w:tc>
        <w:tc>
          <w:tcPr>
            <w:tcW w:w="220" w:type="dxa"/>
            <w:vAlign w:val="bottom"/>
            <w:gridSpan w:val="3"/>
            <w:shd w:val="clear" w:color="auto" w:fill="CFF0FC"/>
          </w:tcPr>
          <w:p>
            <w:pPr>
              <w:jc w:val="right"/>
              <w:ind w:right="88"/>
              <w:spacing w:after="0" w:line="135" w:lineRule="exact"/>
              <w:rPr>
                <w:sz w:val="20"/>
                <w:szCs w:val="20"/>
                <w:color w:val="auto"/>
              </w:rPr>
            </w:pPr>
            <w:r>
              <w:rPr>
                <w:rFonts w:ascii="Times New Roman" w:cs="Times New Roman" w:eastAsia="Times New Roman" w:hAnsi="Times New Roman"/>
                <w:sz w:val="13"/>
                <w:szCs w:val="13"/>
                <w:b w:val="1"/>
                <w:bCs w:val="1"/>
                <w:color w:val="auto"/>
              </w:rPr>
              <w:t>r</w:t>
            </w: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21,390,361</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Cost of revenue</w:t>
            </w: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34,053</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11,874,137</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158,776</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12,066,966</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Sales and marketing expense</w:t>
            </w:r>
          </w:p>
        </w:tc>
        <w:tc>
          <w:tcPr>
            <w:tcW w:w="8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6,285,446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4,906,824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399,422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11,591,692</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General and administrative expenses</w:t>
            </w: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131,430,412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2,789,811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592,728</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23,979</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112,554</w:t>
            </w:r>
          </w:p>
        </w:tc>
        <w:tc>
          <w:tcPr>
            <w:tcW w:w="36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y</w:t>
            </w: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134,949,484</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operating expenses</w:t>
            </w:r>
          </w:p>
        </w:tc>
        <w:tc>
          <w:tcPr>
            <w:tcW w:w="8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255,412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255,412</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Depreciation and amortization expenses</w:t>
            </w: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225,251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200,370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38,022</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5,652,966</w:t>
            </w:r>
          </w:p>
        </w:tc>
        <w:tc>
          <w:tcPr>
            <w:tcW w:w="36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s,y</w:t>
            </w: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343,673</w:t>
            </w:r>
          </w:p>
        </w:tc>
        <w:tc>
          <w:tcPr>
            <w:tcW w:w="1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t</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6,460,282</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Research and development</w:t>
            </w: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6,835,367</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1,152,807</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7,988,174</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80" w:type="dxa"/>
            <w:vAlign w:val="bottom"/>
            <w:tcBorders>
              <w:bottom w:val="single" w:sz="8" w:color="auto"/>
            </w:tcBorders>
            <w:shd w:val="clear" w:color="auto" w:fill="CFF0FC"/>
          </w:tcPr>
          <w:p>
            <w:pPr>
              <w:spacing w:after="0"/>
              <w:rPr>
                <w:sz w:val="11"/>
                <w:szCs w:val="11"/>
                <w:color w:val="auto"/>
              </w:rPr>
            </w:pPr>
          </w:p>
        </w:tc>
        <w:tc>
          <w:tcPr>
            <w:tcW w:w="100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138,230,574</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26,606,509</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00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2,303,733</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62,001</w:t>
            </w:r>
          </w:p>
        </w:tc>
        <w:tc>
          <w:tcPr>
            <w:tcW w:w="2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5,765,520</w:t>
            </w:r>
          </w:p>
        </w:tc>
        <w:tc>
          <w:tcPr>
            <w:tcW w:w="2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343,673</w:t>
            </w:r>
          </w:p>
        </w:tc>
        <w:tc>
          <w:tcPr>
            <w:tcW w:w="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173,312,010</w:t>
            </w:r>
          </w:p>
        </w:tc>
        <w:tc>
          <w:tcPr>
            <w:tcW w:w="2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loss</w:t>
            </w: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(138,042,786)</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(7,715,575)</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(477,954)</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423,859</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(5,765,520)</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(343,673)</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(151,921,649)</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Other (expense) income</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Interest (expense)/income</w:t>
            </w: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(10,557,714)</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(1,152,396)</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(244,644)</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(1,990)</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1,173,596</w:t>
            </w:r>
          </w:p>
        </w:tc>
        <w:tc>
          <w:tcPr>
            <w:tcW w:w="36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u,y</w:t>
            </w: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(10,783,148)</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Gain/(loss) on derivatives</w:t>
            </w:r>
          </w:p>
        </w:tc>
        <w:tc>
          <w:tcPr>
            <w:tcW w:w="8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19,001,681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19,001,681</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Gain/(loss) on extinguishment</w:t>
            </w: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(44,332,819)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(279,851)</w:t>
            </w:r>
          </w:p>
        </w:tc>
        <w:tc>
          <w:tcPr>
            <w:tcW w:w="36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v,z</w:t>
            </w: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(44,612,670)</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non-operating income (expense), net</w:t>
            </w:r>
          </w:p>
        </w:tc>
        <w:tc>
          <w:tcPr>
            <w:tcW w:w="8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1,329,781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(31,362)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(39,837)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(1,361,844)</w:t>
            </w:r>
          </w:p>
        </w:tc>
        <w:tc>
          <w:tcPr>
            <w:tcW w:w="3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x</w:t>
            </w: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(295,847)</w:t>
            </w:r>
          </w:p>
        </w:tc>
        <w:tc>
          <w:tcPr>
            <w:tcW w:w="14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x</w:t>
            </w:r>
          </w:p>
        </w:tc>
        <w:tc>
          <w:tcPr>
            <w:tcW w:w="1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(399,109)</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0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other (expenses) / income, net</w:t>
            </w: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000" w:type="dxa"/>
            <w:vAlign w:val="bottom"/>
            <w:tcBorders>
              <w:top w:val="single" w:sz="8" w:color="auto"/>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(34,559,071)</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980" w:type="dxa"/>
            <w:vAlign w:val="bottom"/>
            <w:tcBorders>
              <w:top w:val="single" w:sz="8" w:color="auto"/>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(1,183,758)</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000" w:type="dxa"/>
            <w:vAlign w:val="bottom"/>
            <w:tcBorders>
              <w:top w:val="single" w:sz="8" w:color="auto"/>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(284,481)</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9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(1,990)</w:t>
            </w:r>
          </w:p>
        </w:tc>
        <w:tc>
          <w:tcPr>
            <w:tcW w:w="20" w:type="dxa"/>
            <w:vAlign w:val="bottom"/>
            <w:tcBorders>
              <w:top w:val="single" w:sz="8" w:color="auto"/>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9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(468,099)</w:t>
            </w:r>
          </w:p>
        </w:tc>
        <w:tc>
          <w:tcPr>
            <w:tcW w:w="2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9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(295,847)</w:t>
            </w:r>
          </w:p>
        </w:tc>
        <w:tc>
          <w:tcPr>
            <w:tcW w:w="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940" w:type="dxa"/>
            <w:vAlign w:val="bottom"/>
            <w:tcBorders>
              <w:top w:val="single" w:sz="8" w:color="auto"/>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Income (loss) before taxes</w:t>
            </w:r>
          </w:p>
        </w:tc>
        <w:tc>
          <w:tcPr>
            <w:tcW w:w="80" w:type="dxa"/>
            <w:vAlign w:val="bottom"/>
          </w:tcPr>
          <w:p>
            <w:pPr>
              <w:spacing w:after="0"/>
              <w:rPr>
                <w:sz w:val="11"/>
                <w:szCs w:val="11"/>
                <w:color w:val="auto"/>
              </w:rPr>
            </w:pPr>
          </w:p>
        </w:tc>
        <w:tc>
          <w:tcPr>
            <w:tcW w:w="100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(172,601,857)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(8,899,333)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(762,435)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421,869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(6,233,619)</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(639,520)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(188,714,895)</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Income tax expense</w:t>
            </w: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(44,933)</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(33,524)</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(41,908)</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(50,067)</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(10,335,000)</w:t>
            </w:r>
          </w:p>
        </w:tc>
        <w:tc>
          <w:tcPr>
            <w:tcW w:w="36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aa</w:t>
            </w: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(10,505,432)</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Net (loss) income</w:t>
            </w: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bottom w:val="single" w:sz="8" w:color="auto"/>
            </w:tcBorders>
          </w:tcPr>
          <w:p>
            <w:pPr>
              <w:jc w:val="right"/>
              <w:ind w:right="17"/>
              <w:spacing w:after="0" w:line="115" w:lineRule="exact"/>
              <w:rPr>
                <w:sz w:val="20"/>
                <w:szCs w:val="20"/>
                <w:color w:val="auto"/>
              </w:rPr>
            </w:pPr>
            <w:r>
              <w:rPr>
                <w:rFonts w:ascii="Times New Roman" w:cs="Times New Roman" w:eastAsia="Times New Roman" w:hAnsi="Times New Roman"/>
                <w:sz w:val="13"/>
                <w:szCs w:val="13"/>
                <w:b w:val="1"/>
                <w:bCs w:val="1"/>
                <w:color w:val="auto"/>
              </w:rPr>
              <w:t>(172,646,790)</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tcBorders>
              <w:top w:val="single" w:sz="8" w:color="auto"/>
              <w:bottom w:val="single" w:sz="8" w:color="auto"/>
            </w:tcBorders>
          </w:tcPr>
          <w:p>
            <w:pPr>
              <w:jc w:val="right"/>
              <w:ind w:right="17"/>
              <w:spacing w:after="0" w:line="115" w:lineRule="exact"/>
              <w:rPr>
                <w:sz w:val="20"/>
                <w:szCs w:val="20"/>
                <w:color w:val="auto"/>
              </w:rPr>
            </w:pPr>
            <w:r>
              <w:rPr>
                <w:rFonts w:ascii="Times New Roman" w:cs="Times New Roman" w:eastAsia="Times New Roman" w:hAnsi="Times New Roman"/>
                <w:sz w:val="13"/>
                <w:szCs w:val="13"/>
                <w:b w:val="1"/>
                <w:bCs w:val="1"/>
                <w:color w:val="auto"/>
              </w:rPr>
              <w:t>(8,932,857)</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00" w:type="dxa"/>
            <w:vAlign w:val="bottom"/>
            <w:tcBorders>
              <w:top w:val="single" w:sz="8" w:color="auto"/>
              <w:bottom w:val="single" w:sz="8" w:color="auto"/>
            </w:tcBorders>
          </w:tcPr>
          <w:p>
            <w:pPr>
              <w:jc w:val="right"/>
              <w:ind w:right="17"/>
              <w:spacing w:after="0" w:line="115" w:lineRule="exact"/>
              <w:rPr>
                <w:sz w:val="20"/>
                <w:szCs w:val="20"/>
                <w:color w:val="auto"/>
              </w:rPr>
            </w:pPr>
            <w:r>
              <w:rPr>
                <w:rFonts w:ascii="Times New Roman" w:cs="Times New Roman" w:eastAsia="Times New Roman" w:hAnsi="Times New Roman"/>
                <w:sz w:val="13"/>
                <w:szCs w:val="13"/>
                <w:b w:val="1"/>
                <w:bCs w:val="1"/>
                <w:color w:val="auto"/>
              </w:rPr>
              <w:t>(804,343)</w:t>
            </w: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20" w:type="dxa"/>
            <w:vAlign w:val="bottom"/>
            <w:tcBorders>
              <w:top w:val="single" w:sz="8" w:color="auto"/>
              <w:bottom w:val="single" w:sz="8" w:color="auto"/>
            </w:tcBorders>
          </w:tcPr>
          <w:p>
            <w:pPr>
              <w:jc w:val="right"/>
              <w:ind w:right="37"/>
              <w:spacing w:after="0" w:line="115" w:lineRule="exact"/>
              <w:rPr>
                <w:sz w:val="20"/>
                <w:szCs w:val="20"/>
                <w:color w:val="auto"/>
              </w:rPr>
            </w:pPr>
            <w:r>
              <w:rPr>
                <w:rFonts w:ascii="Times New Roman" w:cs="Times New Roman" w:eastAsia="Times New Roman" w:hAnsi="Times New Roman"/>
                <w:sz w:val="13"/>
                <w:szCs w:val="13"/>
                <w:b w:val="1"/>
                <w:bCs w:val="1"/>
                <w:color w:val="auto"/>
              </w:rPr>
              <w:t>371,802</w:t>
            </w: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(16,568,619)</w:t>
            </w:r>
          </w:p>
        </w:tc>
        <w:tc>
          <w:tcPr>
            <w:tcW w:w="2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(639,520)</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(199,220,327)</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70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color w:val="auto"/>
              </w:rPr>
              <w:t>Earnings Per Share</w:t>
            </w:r>
          </w:p>
        </w:tc>
        <w:tc>
          <w:tcPr>
            <w:tcW w:w="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17"/>
              <w:spacing w:after="0" w:line="116" w:lineRule="exact"/>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shd w:val="clear" w:color="auto" w:fill="CFF0FC"/>
          </w:tcPr>
          <w:p>
            <w:pPr>
              <w:jc w:val="right"/>
              <w:ind w:right="7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7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(1.1)</w:t>
            </w:r>
          </w:p>
        </w:tc>
        <w:tc>
          <w:tcPr>
            <w:tcW w:w="260" w:type="dxa"/>
            <w:vAlign w:val="bottom"/>
            <w:shd w:val="clear" w:color="auto" w:fill="CFF0FC"/>
          </w:tcPr>
          <w:p>
            <w:pPr>
              <w:ind w:left="40"/>
              <w:spacing w:after="0" w:line="116" w:lineRule="exact"/>
              <w:rPr>
                <w:sz w:val="20"/>
                <w:szCs w:val="20"/>
                <w:color w:val="auto"/>
              </w:rPr>
            </w:pPr>
            <w:r>
              <w:rPr>
                <w:rFonts w:ascii="Times New Roman" w:cs="Times New Roman" w:eastAsia="Times New Roman" w:hAnsi="Times New Roman"/>
                <w:sz w:val="13"/>
                <w:szCs w:val="13"/>
                <w:b w:val="1"/>
                <w:bCs w:val="1"/>
                <w:color w:val="auto"/>
              </w:rPr>
              <w:t>bb</w:t>
            </w:r>
          </w:p>
        </w:tc>
        <w:tc>
          <w:tcPr>
            <w:tcW w:w="0" w:type="dxa"/>
            <w:vAlign w:val="bottom"/>
          </w:tcPr>
          <w:p>
            <w:pPr>
              <w:spacing w:after="0"/>
              <w:rPr>
                <w:sz w:val="1"/>
                <w:szCs w:val="1"/>
                <w:color w:val="auto"/>
              </w:rPr>
            </w:pPr>
          </w:p>
        </w:tc>
      </w:tr>
      <w:tr>
        <w:trPr>
          <w:trHeight w:val="117"/>
        </w:trPr>
        <w:tc>
          <w:tcPr>
            <w:tcW w:w="27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Basic and diluted weighted average shares</w:t>
            </w: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bb</w:t>
            </w:r>
          </w:p>
        </w:tc>
        <w:tc>
          <w:tcPr>
            <w:tcW w:w="0" w:type="dxa"/>
            <w:vAlign w:val="bottom"/>
          </w:tcPr>
          <w:p>
            <w:pPr>
              <w:spacing w:after="0"/>
              <w:rPr>
                <w:sz w:val="1"/>
                <w:szCs w:val="1"/>
                <w:color w:val="auto"/>
              </w:rPr>
            </w:pPr>
          </w:p>
        </w:tc>
      </w:tr>
      <w:tr>
        <w:trPr>
          <w:trHeight w:val="164"/>
        </w:trPr>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outstanding</w:t>
            </w:r>
          </w:p>
        </w:tc>
        <w:tc>
          <w:tcPr>
            <w:tcW w:w="8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162,855,146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178,157,563</w:t>
            </w: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-1266825</wp:posOffset>
            </wp:positionV>
            <wp:extent cx="768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-1266825</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-1266825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-1266825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-1266825</wp:posOffset>
            </wp:positionV>
            <wp:extent cx="16319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-1266825</wp:posOffset>
            </wp:positionV>
            <wp:extent cx="857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-1266825</wp:posOffset>
            </wp:positionV>
            <wp:extent cx="16319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-563245</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-563245</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-563245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-563245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-563245</wp:posOffset>
            </wp:positionV>
            <wp:extent cx="1631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-563245</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-563245</wp:posOffset>
            </wp:positionV>
            <wp:extent cx="1631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the unaudited pro forma condensed combined financial information.</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0" w:name="page41"/>
    <w:bookmarkEnd w:id="40"/>
    <w:p>
      <w:pPr>
        <w:ind w:left="168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1—Basis of Presentation</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accounted for the GroupBy acquisition using the acquisition method of accounting under ASC 805. The acquisition method of accounting requires that purchase price of the acquisition be allocated to the assets acquired and liabilities assumed using the fair values determined by management as of the acquisition date, with any excess of the purchase price over the estimated fair value of the identifiable net assets acquired recorded to goodwill.</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preliminary estimates of fair values of the net assets acquired are based on the information that was available at the date of the GroupBy acquisition, and the Company is continuing to evaluate the underlying inputs and assumptions used in its valuations. Accordingly, these preliminary estimates are subject to change during the measurement period, which is up to one year from the date of the acquisition. A decrease in the fair value of assets acquired or an increase in the fair value of liabilities assumed in the acquisition from those valuations would result in a corresponding increase in the amount of goodwill from the acquisition. The acquisition-related transaction costs incurred by the Company were accounted for as expenses in the periods in which the costs were incurred and the services were received.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Bluedot acquisition</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accounted for the acquisition of Bluedot Industries, Inc. and Bluedot Industries Pty. Ltd as a common control transaction as it was an exchange of the equity interests in Bluedot Industries, Inc. and Bluedot Industries Pty. Ltd between two entities, the Company and DBLP, both under the control of Daniel Wagner. As noted above, DBLP is wholly legally owned by Daniel Wagner and beneficially owned by John Wagner. Additionally, as disclosed elsewhere in this prospectus, Daniel Wagner controls 75% of the voting power of the Company’s outstanding capital stock. Under ASC 810-10-15-8, a controlling financial interest is defined as ownership of a majority voting interest, which as a general rule is ownership by one reporting entity or individual, directly or indirectly, of more than 50 percent of the outstanding voting shares of another entity. Therefore under ASC 805, Daniel Wagner has the power to control the Company. The Company initially recognized the assets and liabilities of Bluedot Industries, Inc. and Bluedot Industries Pty. Ltd in the unaudited pro forma condensed combined balance sheet at their carrying amounts on the date of transfer. The Company recognized the difference between the proceeds transferred and the carrying amounts of the net assets received in Additional Paid-in Capital.</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accounted for the acquisition of Bluedot Innovation Pty. Ltd as an asset acquisition under ASC 805. The Company evaluates acquisitions of assets and other similar transactions to assess whether or not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is met, the transaction is accounted for as an asset acquisition. The Company used a cost accumulation model to determine the cost of the asset acquisition. The Ordinary Shares issued as consideration in this asset acquisition were measured based on the acquisition date fair value of the equity interests issued. Direct transaction costs were recognized as part of the cost of an asset acquisition. The cost of an asset acquisition, including transaction costs, were allocated to identifiable assets acquired and liabilities assumed based on a relative fair value basis. Goodwill is not recognized in an asset acquisition. If applicable, any difference between the cost of an asset acquisition and the fair value of the net assets acquired is allocated to the non-monetary identifiable assets based on their relative fair values. However, as of the date of acquisition, if certain assets are carried at fair value under other applicable GAAP the consideration is first allocated to those assets with the remainder allocated to the non-monetary identifiable assets based on relative fair value basis.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22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2024 gives effect to the Bluedot acquisition and the GroupBy acquisition as if both acquisitions had been completed on December 31, 2024. The Unaudited Pro Forma Condensed Combined Statement of Operations for the year ended December 31, 2024 gives effect to the Bluedot acquisition and the GroupBy acquisition as if both acquisitions had been completed on January 1, 2024.</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41" w:name="page42"/>
    <w:bookmarkEnd w:id="41"/>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utilized the services of an independent valuation consultant, along with estimates and assumptions determined by management, to estimate the fair value of the assets acquired and liabilities assumed. Given the timing of the GroupBy acquisition, the assets acquired are still in process of being valued by an independent valuation consultant. The preliminary allocation of the purchase price was based on an evaluation of the appropriate fair values and represents management’s best estimate based on available data. The purchase price allocation of the assets acquired and liabilities assumed is preliminary until the contractual post-closing adjustments are finalized, the final independent valuation consultant report is issued, and the measurement period allowed for under ASC 805 has closed. The final determination of the fair value of assets acquired and liabilities assumed will be completed within the one-year measurement period as allowed by ASC 805. Changes during the measurement period could be material.</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reflects transaction related adjustments management believes are necessary to present fairly Rezolve’s pro forma results of operations and financial position following the closing of the Bluedot acquisition and the GroupBy acquisition and related transactions as of and for the periods indicated above.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Bluedot acquisition and the GroupBy acquisition was completed on the dates mentioned above. Therefore, the unaudited pro forma condensed combined financial information and related notes are presented for illustrative purposes only. If the Bluedot acquisition and the GroupBy acquisition and other transactions contemplated herein had occurred in the past, Rezolve's operating results might have been materially different from those presented in this unaudited pro forma condensed combined financial information.</w:t>
      </w:r>
    </w:p>
    <w:p>
      <w:pPr>
        <w:spacing w:after="0" w:line="18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should not be relied upon as an indication of operating results that Rezolve would have achieved if the Bluedot acquisition and the GroupBy acquisition had taken place on the specified date. In addition, future results may vary significantly from the results reflected in the unaudited pro forma condensed combined financial statement of operations and should not be relied upon as an indication of the future results Rezolve will have after the contemplation of the Bluedot acquisition and the GroupBy acquisition.</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Bluedot acquisition and the GroupBy acquisition.</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unaudited condensed pro forma adjustments, which are described in the accompanying notes, may be revised as additional information becomes available and is evaluated. The unaudited pro forma condensed combined financial information should be read in conjunction with the audited financial statements and notes thereto of each of GroupBy and Rezolve included elsewhere in this prospectus.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historical audited combined consolidated financial statements for GroupBy as of, and for the years ended, December 31, 2024 and 2023 have been prepared in accordance with International Financial Reporting Standards (“IFRS”) and interpretations adopted by the International Accounting Standards Board (“IASB”). See note 2 and note 3 for more information on adjustments resulting from material differences between IFRS and US GAAP.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2—Unaudited pro forma condensed combined balance sheet adjustments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addition to the pro forma adjustments listed below, the unaudited pro forma condensed combined balance sheet as of December 31, 2024 presented also include adjustments to conform Bluedot’s and GroupBy's historical presentation of certain line items to the presentation of those line items by Rezolve.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adjustments to the unaudited pro forma condensed combined balance sheet as of December 31, 2024 are as follows:</w:t>
      </w:r>
    </w:p>
    <w:p>
      <w:pPr>
        <w:spacing w:after="0" w:line="117" w:lineRule="exact"/>
        <w:rPr>
          <w:sz w:val="20"/>
          <w:szCs w:val="20"/>
          <w:color w:val="auto"/>
        </w:rPr>
      </w:pPr>
    </w:p>
    <w:p>
      <w:pPr>
        <w:ind w:left="1020" w:right="6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reflect the purchase of a prepaid insurance tail policy by GroupBy (as required in the purchase agreement) for (i) directors’ and officers’ liability (including fiduciary and employment practices liability) insurance policy and (ii) cyber liability insurance policy, in each case providing coverage for a 6-year period commencing on the closing date of the GroupBy acquisition with respect to claims arising from acts, events or omissions that occurred at or prior to the closing of the GroupBy acquisition.</w:t>
      </w:r>
    </w:p>
    <w:p>
      <w:pPr>
        <w:spacing w:after="0" w:line="71"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intangible assets of GroupBy based on the fair values assigned in the preliminary purchase price allocation to: (1) Technology intellectual property and (2) Customer contract and related relationships.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intangible assets of Bluedot Innovation Pty. Ltd based on the preliminary allocation of costs for the asset acquisition.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goodwill for GroupBy based on the preliminary purchase price allocation.</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2" w:name="page43"/>
    <w:bookmarkEnd w:id="42"/>
    <w:p>
      <w:pPr>
        <w:ind w:left="1020" w:hanging="503"/>
        <w:spacing w:after="0" w:line="255"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to the right-of use asset and lease liability resulting from (1) the application of the guidance in ASC 805-20-30-24 which requires Rezolve to measure the lease liability at the present value of the remaining lease payments, as if the acquired lease were a new lease of the acquirer at the acquisition date and (2) differences between IFRS and US GAAP. There is only a single accounting model for leases under IFRS, i.e., all leases are effectively equivalent to finance leases under ASC 842, therefore lease classification is unnecessary under IFRS. The leases of GroupBy were classified as operating leases under ASC 842 which resulted in the recognition of a straight-line rent expense in the income statement under ASC 842 rather than the recognition of an amortization expense and interest expense under IFRS 16.</w:t>
      </w:r>
    </w:p>
    <w:p>
      <w:pPr>
        <w:spacing w:after="0" w:line="80"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the GroupBy acquisition, the Company entered into a subscription letter with Western Alliance Bank (“WAB”) pursuant to which the Company agreed to issue to WAB a number of Ordinary Shares which is equal to $12,300,000. In consideration for the allotment of these Ordinary Shares, WAB will irrevocably and unconditionally release and discharge the Company from the obligations owed by the Company to WAB. The pro forma adjustment assumes a price of $1.44 per share which is the closing price per share on March 25, 2025, the date on which Rezolve closed the GroupBy acquisition.</w:t>
      </w:r>
    </w:p>
    <w:p>
      <w:pPr>
        <w:spacing w:after="0" w:line="75"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GroupBy,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Bluedot Industries, Inc. and Bluedot Industries Pty. Ltd ,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 liabilities to which GroupBy is a party as one of the conditions for the closing of the GroupBy acquisition.</w:t>
      </w:r>
    </w:p>
    <w:p>
      <w:pPr>
        <w:spacing w:after="0" w:line="53"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ordinary shares as consideration for the acquisitions of Bluedot: the Company issued 819,737 ordinary shares of the Company to DBLP and 1,941,111 ordinary shares of the Company to the Tanist Group.</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ordinary shares as consideration for the acquisition of GroupBy: the Company issued 3,999,902 of its ordinary shares to the Sellers (as defined above). The pro forma adjustment assumes a price of $1.44 per share which is the closing price per share on March 25, 2025, the date on which the Company closed the GroupBy acquisition.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accumulated deficit and other consolidation adjustments as a result of acquisition accounting.</w:t>
      </w:r>
    </w:p>
    <w:p>
      <w:pPr>
        <w:spacing w:after="0" w:line="117" w:lineRule="exact"/>
        <w:rPr>
          <w:rFonts w:ascii="Times New Roman" w:cs="Times New Roman" w:eastAsia="Times New Roman" w:hAnsi="Times New Roman"/>
          <w:sz w:val="18"/>
          <w:szCs w:val="18"/>
          <w:color w:val="auto"/>
        </w:rPr>
      </w:pPr>
    </w:p>
    <w:p>
      <w:pPr>
        <w:ind w:left="1020" w:right="340" w:hanging="503"/>
        <w:spacing w:after="0" w:line="312" w:lineRule="auto"/>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an adjustment for difference between the proceeds transferred and the carrying amounts of the net assets received in Additional Paid-in Capital for the transfer of Bluedot Industries, Inc. and Bluedot Industries Pty. Ltd accounted for as a common control transaction.</w:t>
      </w:r>
    </w:p>
    <w:p>
      <w:pPr>
        <w:spacing w:after="0" w:line="31" w:lineRule="exact"/>
        <w:rPr>
          <w:rFonts w:ascii="Times New Roman" w:cs="Times New Roman" w:eastAsia="Times New Roman" w:hAnsi="Times New Roman"/>
          <w:sz w:val="17"/>
          <w:szCs w:val="17"/>
          <w:color w:val="auto"/>
        </w:rPr>
      </w:pPr>
    </w:p>
    <w:p>
      <w:pPr>
        <w:ind w:left="1020" w:right="3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warrants recognized in equity to which GroupBy is a party as one of the conditions for the closing of the GroupBy acquisition.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3—Unaudited pro forma condensed combined statements of operations adjustments</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addition to the pro forma adjustments listed below, the unaudited pro forma condensed combined statement of operations for the year ended December 31, 2024 also include adjustments to conform Bluedot’s and GroupBy's historical presentation of certain line items to the presentation of those line items by Rezolve.</w:t>
      </w:r>
    </w:p>
    <w:p>
      <w:pPr>
        <w:spacing w:after="0" w:line="68"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for Bluedot Innovation Pty. Ltd for the year ended December 31, 2024 represents revenue from a government grant.</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add incremental depreciation expense for GroupBy based on the fair values assigned in the preliminary purchase price allocation to technology intellectual property and customer contract and related relationships.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add incremental depreciation expense for Bluedot Innovation Pty. Ltd based on the values assigned to technology intellectual property based on the preliminary allocation of costs for the asset acquisition.</w:t>
      </w:r>
    </w:p>
    <w:p>
      <w:pPr>
        <w:spacing w:after="0" w:line="53"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remove GroupBy's historical interest expense for the year ended December 31, 2024, as a result of the settlement of $12 million of outstanding debt due to Western Alliance Bank. Refer to the unaudited pro forma condensed combined balance sheet adjustments above for more information.</w:t>
      </w:r>
    </w:p>
    <w:p>
      <w:pPr>
        <w:spacing w:after="0" w:line="6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the GroupBy acquisition, the Company entered into a subscription letter with Western Alliance Bank ("WAB") pursuant to which the Company agreed to issue to WAB a number of Ordinary Shares which is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3" w:name="page44"/>
    <w:bookmarkEnd w:id="43"/>
    <w:p>
      <w:pPr>
        <w:ind w:left="503" w:right="320"/>
        <w:spacing w:after="0" w:line="266" w:lineRule="auto"/>
        <w:rPr>
          <w:sz w:val="20"/>
          <w:szCs w:val="20"/>
          <w:color w:val="auto"/>
        </w:rPr>
      </w:pPr>
      <w:r>
        <w:rPr>
          <w:rFonts w:ascii="Times New Roman" w:cs="Times New Roman" w:eastAsia="Times New Roman" w:hAnsi="Times New Roman"/>
          <w:sz w:val="18"/>
          <w:szCs w:val="18"/>
          <w:color w:val="auto"/>
        </w:rPr>
        <w:t>equal to $12,300,000. In consideration for the allotment of these Ordinary Shares, WAB will irrevocably and unconditionally release and discharge the Company from the obligations owed by the Company to WAB. The pro forma adjustment uses the share price of Rezolve Ordinary shares of $1.44 on March 25, 2025, the date on which Rezolve closed the GroupBy acquisition.</w:t>
      </w:r>
    </w:p>
    <w:p>
      <w:pPr>
        <w:spacing w:after="0" w:line="68" w:lineRule="exact"/>
        <w:rPr>
          <w:sz w:val="20"/>
          <w:szCs w:val="20"/>
          <w:color w:val="auto"/>
        </w:rPr>
      </w:pPr>
    </w:p>
    <w:p>
      <w:pPr>
        <w:ind w:left="503" w:right="160" w:hanging="503"/>
        <w:spacing w:after="0" w:line="282"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GroupBy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transfer under common control of Bluedot Industries, Inc. and Bluedot Industries Pty. Ltd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503" w:right="20" w:hanging="503"/>
        <w:spacing w:after="0" w:line="258"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lease expense for the difference between IFRS and US GAAP. There is only a single accounting model for leases under IFRS, i.e., all leases are effectively equivalent to finance leases under ASC 842, therefore lease classification is unnecessary under IFRS. The leases of GroupBy were classified as operating leases under ASC 842 which resulted in the recognition of a straight-line rent expense in the income statement under ASC 842 rather than the recognition of an amortization expense and interest expense under IFRS 16, for the year ended December 31, 2024.</w:t>
      </w:r>
    </w:p>
    <w:p>
      <w:pPr>
        <w:spacing w:after="0" w:line="75" w:lineRule="exact"/>
        <w:rPr>
          <w:rFonts w:ascii="Times New Roman" w:cs="Times New Roman" w:eastAsia="Times New Roman" w:hAnsi="Times New Roman"/>
          <w:sz w:val="18"/>
          <w:szCs w:val="18"/>
          <w:color w:val="auto"/>
        </w:rPr>
      </w:pPr>
    </w:p>
    <w:p>
      <w:pPr>
        <w:ind w:left="503" w:right="200" w:hanging="503"/>
        <w:spacing w:after="0" w:line="282"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 liabilities to which GroupBy is a party as one of the conditions for the closing of the GroupBy acquisition.</w:t>
      </w:r>
    </w:p>
    <w:p>
      <w:pPr>
        <w:spacing w:after="0" w:line="54" w:lineRule="exact"/>
        <w:rPr>
          <w:sz w:val="20"/>
          <w:szCs w:val="20"/>
          <w:color w:val="auto"/>
        </w:rPr>
      </w:pPr>
    </w:p>
    <w:p>
      <w:pPr>
        <w:jc w:val="both"/>
        <w:ind w:left="503" w:hanging="503"/>
        <w:spacing w:after="0" w:line="266"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ind w:left="503" w:right="60" w:hanging="503"/>
        <w:spacing w:after="0" w:line="258"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net loss per share calculated using the historical weighted average shares outstanding, and the issuance of additional shares in connection with the Bluedot and GroupBy acquisitions, assuming the shares were outstanding since January 1, 2024. As the Bluedot and GroupBy acquisitions are being reflected in the unaudited pro forma condensed combined statement of operations as if both acquisitions had occurred on January 1, 2024, the calculation of weighted average shares outstanding for basic and diluted net loss per share assumes that the shares issuable in connection with the Blue Dot and GroupBy acquisitions have been outstanding for the entire period presented.</w:t>
      </w:r>
    </w:p>
    <w:p>
      <w:pPr>
        <w:spacing w:after="0" w:line="75"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20" w:right="359" w:bottom="1440" w:gutter="0" w:footer="0" w:header="0"/>
        </w:sectPr>
      </w:pPr>
    </w:p>
    <w:bookmarkStart w:id="44" w:name="page45"/>
    <w:bookmarkEnd w:id="44"/>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13"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In this section, the "Company", “we,” “us,” “our” and “Rezolve” refer to Rezolve Limited and its subsidiaries prior to the consummation of the Pre-Closing Demerger and to Rezolve AI PLC (formerly Rezolve AI Limited) and its subsidiaries following the consummation of the Pre-Closing Demerger.</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3 of 2025, initially in Europe and the USA. Revenues from braincommerce are also forecast to begin in Q3 2025, increasing significantly in Q4 2025. We also expect to generate revenues in Q4 2025 in South America and the Asia. We expect revenues to increase in 2026 through our signed partner agreements with Microsoft, Google and others. For additional information regarding the partner agreements, see “—</w:t>
      </w:r>
      <w:r>
        <w:rPr>
          <w:rFonts w:ascii="Times New Roman" w:cs="Times New Roman" w:eastAsia="Times New Roman" w:hAnsi="Times New Roman"/>
          <w:sz w:val="18"/>
          <w:szCs w:val="18"/>
          <w:i w:val="1"/>
          <w:iCs w:val="1"/>
          <w:color w:val="auto"/>
        </w:rPr>
        <w:t>Partner Agreements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 On March 28, 2025, the Company altered its legal status under English law from a private limited company and re-registered as a public limited company. In connection with the re-registration as a public limited company, the Company changed its name from Rezolve AI Limited to Rezolve AI plc.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derive our revenue through the transaction fees based on sales of ticketing for La Liga football events in Spain.</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consolidated financial statements. The assessment includes knowledge of the Company’s subsequent financial position, the estimated economic outlook and identified risks and uncertainties in relation there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1688465" cy="508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10" w:lineRule="exact"/>
        <w:rPr>
          <w:sz w:val="20"/>
          <w:szCs w:val="20"/>
          <w:color w:val="auto"/>
        </w:rPr>
      </w:pPr>
    </w:p>
    <w:p>
      <w:pPr>
        <w:ind w:right="520" w:firstLine="8"/>
        <w:spacing w:after="0" w:line="223" w:lineRule="auto"/>
        <w:tabs>
          <w:tab w:leader="none" w:pos="105"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https://www.rezolve.com/investors/britainsbrain-heralds-new-era-of-commerce-enabled-ai/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Seeking additional capital through the issuance of debtor equity securities.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Limiting capital expenditures.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future performance will depend on many factors, including the following:</w:t>
      </w:r>
    </w:p>
    <w:p>
      <w:pPr>
        <w:spacing w:after="0" w:line="113" w:lineRule="exact"/>
        <w:rPr>
          <w:sz w:val="20"/>
          <w:szCs w:val="20"/>
          <w:color w:val="auto"/>
        </w:rPr>
      </w:pPr>
    </w:p>
    <w:p>
      <w:pPr>
        <w:ind w:left="1020" w:right="340" w:hanging="503"/>
        <w:spacing w:after="0" w:line="286" w:lineRule="auto"/>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Growth from Transactions</w:t>
      </w:r>
      <w:r>
        <w:rPr>
          <w:rFonts w:ascii="Times New Roman" w:cs="Times New Roman" w:eastAsia="Times New Roman" w:hAnsi="Times New Roman"/>
          <w:sz w:val="18"/>
          <w:szCs w:val="18"/>
          <w:color w:val="auto"/>
        </w:rPr>
        <w:t>: Our growth depends on SaaS subscription fees and commissions earned from merchant’s transactions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customers.</w:t>
      </w:r>
    </w:p>
    <w:p>
      <w:pPr>
        <w:spacing w:after="0" w:line="46" w:lineRule="exact"/>
        <w:rPr>
          <w:rFonts w:ascii="Times New Roman" w:cs="Times New Roman" w:eastAsia="Times New Roman" w:hAnsi="Times New Roman"/>
          <w:sz w:val="18"/>
          <w:szCs w:val="18"/>
          <w:b w:val="1"/>
          <w:bCs w:val="1"/>
          <w:color w:val="auto"/>
        </w:rPr>
      </w:pPr>
    </w:p>
    <w:p>
      <w:pPr>
        <w:ind w:left="1020" w:hanging="503"/>
        <w:spacing w:after="0" w:line="259" w:lineRule="auto"/>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Merchant Acquisition</w:t>
      </w:r>
      <w:r>
        <w:rPr>
          <w:rFonts w:ascii="Times New Roman" w:cs="Times New Roman" w:eastAsia="Times New Roman" w:hAnsi="Times New Roman"/>
          <w:sz w:val="18"/>
          <w:szCs w:val="18"/>
          <w:color w:val="auto"/>
        </w:rPr>
        <w:t>: Our growth depends in part on our ability to attract merchants to our platform. A key avenue of merchant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71" w:lineRule="exact"/>
        <w:rPr>
          <w:rFonts w:ascii="Times New Roman" w:cs="Times New Roman" w:eastAsia="Times New Roman" w:hAnsi="Times New Roman"/>
          <w:sz w:val="18"/>
          <w:szCs w:val="18"/>
          <w:b w:val="1"/>
          <w:bCs w:val="1"/>
          <w:color w:val="auto"/>
        </w:rPr>
      </w:pPr>
    </w:p>
    <w:p>
      <w:pPr>
        <w:ind w:left="1020" w:right="160" w:hanging="503"/>
        <w:spacing w:after="0" w:line="259" w:lineRule="auto"/>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Successful Expansion to Additional Geographies</w:t>
      </w:r>
      <w:r>
        <w:rPr>
          <w:rFonts w:ascii="Times New Roman" w:cs="Times New Roman" w:eastAsia="Times New Roman" w:hAnsi="Times New Roman"/>
          <w:sz w:val="18"/>
          <w:szCs w:val="18"/>
          <w:color w:val="auto"/>
        </w:rPr>
        <w:t>: We believe our platform can compete successfully in various geographic regions.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71" w:lineRule="exact"/>
        <w:rPr>
          <w:rFonts w:ascii="Times New Roman" w:cs="Times New Roman" w:eastAsia="Times New Roman" w:hAnsi="Times New Roman"/>
          <w:sz w:val="18"/>
          <w:szCs w:val="18"/>
          <w:b w:val="1"/>
          <w:bCs w:val="1"/>
          <w:color w:val="auto"/>
        </w:rPr>
      </w:pPr>
    </w:p>
    <w:p>
      <w:pPr>
        <w:ind w:left="1020" w:right="180" w:hanging="503"/>
        <w:spacing w:after="0" w:line="278" w:lineRule="auto"/>
        <w:tabs>
          <w:tab w:leader="none" w:pos="1020"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Merchant Retention and Expansion</w:t>
      </w:r>
      <w:r>
        <w:rPr>
          <w:rFonts w:ascii="Times New Roman" w:cs="Times New Roman" w:eastAsia="Times New Roman" w:hAnsi="Times New Roman"/>
          <w:sz w:val="17"/>
          <w:szCs w:val="17"/>
          <w:color w:val="auto"/>
        </w:rPr>
        <w:t>: We care deeply about merchants. Our commitment to their success, we believe, increases retention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55" w:lineRule="exact"/>
        <w:rPr>
          <w:rFonts w:ascii="Times New Roman" w:cs="Times New Roman" w:eastAsia="Times New Roman" w:hAnsi="Times New Roman"/>
          <w:sz w:val="17"/>
          <w:szCs w:val="17"/>
          <w:b w:val="1"/>
          <w:bCs w:val="1"/>
          <w:color w:val="auto"/>
        </w:rPr>
      </w:pPr>
    </w:p>
    <w:p>
      <w:pPr>
        <w:ind w:left="1020" w:right="140" w:hanging="503"/>
        <w:spacing w:after="0" w:line="286" w:lineRule="auto"/>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Offering and service enhancement</w:t>
      </w:r>
      <w:r>
        <w:rPr>
          <w:rFonts w:ascii="Times New Roman" w:cs="Times New Roman" w:eastAsia="Times New Roman" w:hAnsi="Times New Roman"/>
          <w:sz w:val="18"/>
          <w:szCs w:val="18"/>
          <w:color w:val="auto"/>
        </w:rPr>
        <w:t>: We intend to continue investing in the capabilities of our offerings and services to deliver better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our users and merchants and address new market opportunities. Additionally, we will work to perfect our platform service</w:t>
      </w:r>
    </w:p>
    <w:p>
      <w:pPr>
        <w:spacing w:after="0" w:line="46" w:lineRule="exact"/>
        <w:rPr>
          <w:rFonts w:ascii="Times New Roman" w:cs="Times New Roman" w:eastAsia="Times New Roman" w:hAnsi="Times New Roman"/>
          <w:sz w:val="18"/>
          <w:szCs w:val="18"/>
          <w:b w:val="1"/>
          <w:bCs w:val="1"/>
          <w:color w:val="auto"/>
        </w:rPr>
      </w:pPr>
    </w:p>
    <w:p>
      <w:pPr>
        <w:ind w:left="1020" w:right="280" w:hanging="503"/>
        <w:spacing w:after="0" w:line="286" w:lineRule="auto"/>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Growth through Mergers &amp; Acquisitions</w:t>
      </w:r>
      <w:r>
        <w:rPr>
          <w:rFonts w:ascii="Times New Roman" w:cs="Times New Roman" w:eastAsia="Times New Roman" w:hAnsi="Times New Roman"/>
          <w:sz w:val="18"/>
          <w:szCs w:val="18"/>
          <w:color w:val="auto"/>
        </w:rPr>
        <w:t>: The growth of our business can be supported by access to financing through capital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Additionally, our growth may be supported by acquisitions of businesses where management identifies synergistic growth opportunities.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generate transaction revenues through the sale of ticketing of football events using our technology with La Liga in Spain.</w:t>
      </w:r>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52" w:lineRule="exact"/>
        <w:rPr>
          <w:sz w:val="20"/>
          <w:szCs w:val="20"/>
          <w:color w:val="auto"/>
        </w:rPr>
      </w:pPr>
    </w:p>
    <w:p>
      <w:pPr>
        <w:ind w:left="5540" w:right="3580" w:hanging="5023"/>
        <w:spacing w:after="0" w:line="409" w:lineRule="auto"/>
        <w:tabs>
          <w:tab w:leader="none" w:pos="1032"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Our cost of revenues consists primarily of the materials and consumables.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375285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6" w:name="page47"/>
    <w:bookmarkEnd w:id="46"/>
    <w:p>
      <w:pPr>
        <w:ind w:left="1020" w:right="200" w:hanging="503"/>
        <w:spacing w:after="0" w:line="284" w:lineRule="auto"/>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Costs primarily consist of consulting fees as well as salaries, pension contributions and share-based compensation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employees.</w:t>
      </w:r>
    </w:p>
    <w:p>
      <w:pPr>
        <w:spacing w:after="0" w:line="50" w:lineRule="exact"/>
        <w:rPr>
          <w:rFonts w:ascii="Times New Roman" w:cs="Times New Roman" w:eastAsia="Times New Roman" w:hAnsi="Times New Roman"/>
          <w:sz w:val="18"/>
          <w:szCs w:val="18"/>
          <w:b w:val="1"/>
          <w:bCs w:val="1"/>
          <w:color w:val="auto"/>
        </w:rPr>
      </w:pPr>
    </w:p>
    <w:p>
      <w:pPr>
        <w:ind w:left="1020" w:right="20" w:hanging="503"/>
        <w:spacing w:after="0" w:line="267" w:lineRule="auto"/>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Costs consist primarily of finance, legal, listing and other non-specific costs as well as salaries,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share-based compensation for employees and nonrecurring share-based payments for non-employees. General and administrative also consists of payments made to developers who contract with Rezolve and fees and share-based compensation for directors.</w:t>
      </w:r>
    </w:p>
    <w:p>
      <w:pPr>
        <w:spacing w:after="0" w:line="65" w:lineRule="exact"/>
        <w:rPr>
          <w:rFonts w:ascii="Times New Roman" w:cs="Times New Roman" w:eastAsia="Times New Roman" w:hAnsi="Times New Roman"/>
          <w:sz w:val="18"/>
          <w:szCs w:val="18"/>
          <w:b w:val="1"/>
          <w:bCs w:val="1"/>
          <w:color w:val="auto"/>
        </w:rPr>
      </w:pPr>
    </w:p>
    <w:p>
      <w:pPr>
        <w:ind w:left="1020" w:right="120" w:hanging="503"/>
        <w:spacing w:after="0" w:line="284" w:lineRule="auto"/>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primarily consists of amortization of software and acquired information technology intangible assets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depreciation of fixed tangible assets.</w:t>
      </w:r>
    </w:p>
    <w:p>
      <w:pPr>
        <w:spacing w:after="0" w:line="50"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consists of an impairment charges on loan receivables.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primarily of costs associated with short term debt and convertible debt.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(Expense)</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years ended December 31, 2024 and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our consolidated statements of operations for the years ended December 31, 2024 and December 31,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4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187,788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145,051</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6,285,446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131,430,412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6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138,230,574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6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(138,042,786)</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(26,006,274)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(expense)/income</w:t>
            </w: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(10,557,714)</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(4,791,782)</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Gain/(loss) on derivatives</w:t>
            </w:r>
          </w:p>
        </w:tc>
        <w:tc>
          <w:tcPr>
            <w:tcW w:w="16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Gain/(loss) on extinguishment</w:t>
            </w:r>
          </w:p>
        </w:tc>
        <w:tc>
          <w:tcPr>
            <w:tcW w:w="16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(44,332,819)</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6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1,329,781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(34,559,071)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(4,666,416)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48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6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(172,601,857)</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(30,672,690)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(44,933)</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(63,408)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48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for the year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(172,646,790)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(30,736,098)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4"/>
        </w:trPr>
        <w:tc>
          <w:tcPr>
            <w:tcW w:w="17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40</w:t>
            </w:r>
          </w:p>
        </w:tc>
        <w:tc>
          <w:tcPr>
            <w:tcW w:w="1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-2407920</wp:posOffset>
            </wp:positionV>
            <wp:extent cx="514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-2407920</wp:posOffset>
            </wp:positionV>
            <wp:extent cx="603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-1285240</wp:posOffset>
            </wp:positionV>
            <wp:extent cx="514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-1285240</wp:posOffset>
            </wp:positionV>
            <wp:extent cx="60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-993775</wp:posOffset>
            </wp:positionV>
            <wp:extent cx="514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-993775</wp:posOffset>
            </wp:positionV>
            <wp:extent cx="60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shows total revenues from ticketing transactions for the year ended December 31, 2024, as compared to the year ended December 31, 2023:</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3"/>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tcPr>
          <w:p>
            <w:pPr>
              <w:jc w:val="right"/>
              <w:ind w:right="9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187,788</w:t>
            </w:r>
          </w:p>
        </w:tc>
        <w:tc>
          <w:tcPr>
            <w:tcW w:w="6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82"/>
              <w:spacing w:after="0"/>
              <w:rPr>
                <w:sz w:val="20"/>
                <w:szCs w:val="20"/>
                <w:color w:val="auto"/>
              </w:rPr>
            </w:pPr>
            <w:r>
              <w:rPr>
                <w:rFonts w:ascii="Times New Roman" w:cs="Times New Roman" w:eastAsia="Times New Roman" w:hAnsi="Times New Roman"/>
                <w:sz w:val="18"/>
                <w:szCs w:val="18"/>
                <w:color w:val="auto"/>
              </w:rPr>
              <w:t>42,737</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increase in revenue from $145,051 for the year ended December 31, 2023 as compared to $187,788 for the year ended December 31, 2024 is attributable to increased transaction revenues through the sale of ticketing of football events using our technology with La Liga in Spain.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shows operating expenses for the year ended December 31, 2024, as compared to the year ended December 31,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2"/>
                <w:szCs w:val="12"/>
                <w:color w:val="auto"/>
              </w:rPr>
            </w:pPr>
          </w:p>
        </w:tc>
        <w:tc>
          <w:tcPr>
            <w:tcW w:w="840" w:type="dxa"/>
            <w:vAlign w:val="bottom"/>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34,053</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(738)</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6,285,446</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(445,808)</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131,430,412</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113,443,884</w:t>
            </w:r>
          </w:p>
        </w:tc>
        <w:tc>
          <w:tcPr>
            <w:tcW w:w="4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(900,904)</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(17,185)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138,230,574</w:t>
            </w:r>
          </w:p>
        </w:tc>
        <w:tc>
          <w:tcPr>
            <w:tcW w:w="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112,079,249</w:t>
            </w:r>
          </w:p>
        </w:tc>
        <w:tc>
          <w:tcPr>
            <w:tcW w:w="4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429%</w:t>
            </w: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-25400</wp:posOffset>
            </wp:positionV>
            <wp:extent cx="768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-8255</wp:posOffset>
            </wp:positionV>
            <wp:extent cx="768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-25400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Percentages have been rounded for presentation purposes and may differ from unrounded results.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 have remained unchanged at $34,053, for the year ended December 31, 2024 compared to $34,791 for the year ended December 31, 2023.</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$0.45 million, for the year ended December 31, 2024 compared to the year ended December 31, 2023. This was primarily due lower share-based payments expense related to a decrease in the number of stock options granted to employees within sales and marketing during the year ended December 31, 2024 as compared to the year ended December 31, 2023.</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$113.44 million, for the year ended December 31, 2024 compared to the year ended December 31, 2023. This was primarily due to an increase in share-based payments expenses of $60.5 million from 2023 to 2024 related to stock options granted to DBLP Sea Cow Ltd during the year ended December 31, 2024. DBLP Sea Cow Ltd is wholly legally owned by Dan Wagner, Chief Executive Officer of Rezolve. An increase of $34.2 million in legal and professional fees incurred as a result of the Pre-Closing Demerger transaction and the Business Combination transaction with Armada Acquisition Corp. I. also contributed to the increase in general and administrative expenses during the year ended December 31, 2024 as compared to the year ended December 31,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1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Other operating expenses decreased by $0.90 million for the year ended December 31, 2024 compared to the year ended December 31, 2023 . The higher operating expenses during the year ended December 31, 2023 as compared to the year ended December 31,</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2024 was driven by higher impairment charges related to loan receivables from Swipeby and Moneymatic recognized in 2023 as compared to 2024.</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remained materially unchanged at $225,251, for the year ended December 31, 2024 compared to $242,436 for the year ended December 31, 2023.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and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shows interest expense and other non-operating income and expenses for the year ended December 31, 2024, as compared to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vMerge w:val="continue"/>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2"/>
                <w:szCs w:val="12"/>
                <w:color w:val="auto"/>
              </w:rPr>
            </w:pPr>
          </w:p>
        </w:tc>
        <w:tc>
          <w:tcPr>
            <w:tcW w:w="800" w:type="dxa"/>
            <w:vAlign w:val="bottom"/>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(10,557,714)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(4,791,782)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(5,765,932)</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Gain/(loss) on derivatives</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4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Gain/(loss) on extinguishment</w:t>
            </w:r>
          </w:p>
        </w:tc>
        <w:tc>
          <w:tcPr>
            <w:tcW w:w="2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(44,332,819)</w:t>
            </w: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(44,332,819)</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1,329,781</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1,204,415</w:t>
            </w:r>
          </w:p>
        </w:tc>
        <w:tc>
          <w:tcPr>
            <w:tcW w:w="4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(34,559,071)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(4,666,416)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(29,892,655)</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-170815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-170815</wp:posOffset>
            </wp:positionV>
            <wp:extent cx="603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03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Interest expense increased by $5.77 million for the year ended December 31, 2024, as compared to the year ended December 31, 2023. This was primarily due to interest expense of $6.99 million on the senior secured convertible notes and unsecured convertible loans. Refer to the Liquidity and Resources section below for more information.</w:t>
      </w:r>
    </w:p>
    <w:p>
      <w:pPr>
        <w:spacing w:after="0" w:line="2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net gain on derivatives of $19.00 million is primarily due to the remeasurement of a derivative asset and derivative liabilities at fair value through profit and loss. The derivative asset pertains to an option held by the Company to convert a promissory note payable to Northland Securities. The Company had The outstanding derivative liabilities as at December 31, 2024 were triggered by conversion features embedded in promissory notes held by investors Cohen &amp; Company Financial Management LLC, J.V.B. Financial Group and Northlands Securities. The Company previously did not bifurcate the embedded conversion features as derivatives due to the lack of an underlying share price prior to the Company's acquisition of Armada and listing of its Ordinary Shares on the NASDAQ. Refer to the Liquidity and Resources section below for more information.</w:t>
      </w:r>
    </w:p>
    <w:p>
      <w:pPr>
        <w:spacing w:after="0" w:line="25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loss on extinguishment of $44.33 million is primarily due to an agreement entered into by the Company, Apeiron Investment Group Ltd. and Bradley Wickens, the beneficial holders of the majority of senior secured convertible notes to amend</w:t>
      </w:r>
    </w:p>
    <w:p>
      <w:pPr>
        <w:spacing w:after="0" w:line="253" w:lineRule="auto"/>
        <w:rPr>
          <w:sz w:val="20"/>
          <w:szCs w:val="20"/>
          <w:color w:val="auto"/>
        </w:rPr>
      </w:pPr>
      <w:r>
        <w:rPr>
          <w:rFonts w:ascii="Times New Roman" w:cs="Times New Roman" w:eastAsia="Times New Roman" w:hAnsi="Times New Roman"/>
          <w:sz w:val="18"/>
          <w:szCs w:val="18"/>
          <w:color w:val="auto"/>
        </w:rPr>
        <w:t>the conversion price of approximately $41,892,080 of their outstanding senior secured convertible notes to $2 per ordinary share. Apeiron Investment Group Ltd. and Bradley Wickens exercised their option to convert all their outstanding senior secured convertible notes which resulted in the recognition of a debt conversion expense of $39,658,290, equal to the fair value of the ordinary shares given up less the carrying value of the debt including accrued interest. Refer to the Liquidity and Resources section below for more information.</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Other non-operating (income) expense increased to $1.33 million for the year ended December 31, 2024, as compared to $0.13 million year ended December 31, 2023. This was primarily due a foreign exchange gain of $1.33 million during year ended December 31, 2024 as compared to a foreign exchange loss of $0.38 million during the year ended December 31, 2023. The Company's exposure to currencies other than its functional currency of the US Dollar, changed during the year ended December 31, 2024 as compared to the year ended December 31, 2023 due to events such as the board of directors decision to abandon operations in China completely and the Business Combination transaction with Armada Acquisition Corp. I.</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Losses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Operating losses increased to $138.04 million for the year ended December 31, 2024, as compared to $26.01 million for the year ended December 31, 2023. This was primarily due to the increase in general and administrative expenses as detailed above.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Business Metrics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w:t>
      </w:r>
      <w:r>
        <w:rPr>
          <w:rFonts w:ascii="Times New Roman" w:cs="Times New Roman" w:eastAsia="Times New Roman" w:hAnsi="Times New Roman"/>
          <w:sz w:val="18"/>
          <w:szCs w:val="18"/>
          <w:i w:val="1"/>
          <w:iCs w:val="1"/>
          <w:color w:val="auto"/>
        </w:rPr>
        <w:t>Components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Results of Operations</w:t>
      </w:r>
      <w:r>
        <w:rPr>
          <w:rFonts w:ascii="Times New Roman" w:cs="Times New Roman" w:eastAsia="Times New Roman" w:hAnsi="Times New Roman"/>
          <w:sz w:val="18"/>
          <w:szCs w:val="18"/>
          <w:color w:val="auto"/>
        </w:rPr>
        <w:t>.” Period-on-period revenues growth, EBITDA and total number of merchants are discussed immediately below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table.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metrics are used by management to monitor and analyze the operational performance of our business.</w:t>
      </w:r>
    </w:p>
    <w:p>
      <w:pPr>
        <w:spacing w:after="0" w:line="115" w:lineRule="exact"/>
        <w:rPr>
          <w:sz w:val="20"/>
          <w:szCs w:val="20"/>
          <w:color w:val="auto"/>
        </w:rPr>
      </w:pPr>
    </w:p>
    <w:p>
      <w:pPr>
        <w:ind w:left="1020" w:right="360" w:hanging="503"/>
        <w:spacing w:after="0" w:line="284"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Ticketing: </w:t>
      </w:r>
      <w:r>
        <w:rPr>
          <w:rFonts w:ascii="Times New Roman" w:cs="Times New Roman" w:eastAsia="Times New Roman" w:hAnsi="Times New Roman"/>
          <w:sz w:val="18"/>
          <w:szCs w:val="18"/>
          <w:color w:val="auto"/>
        </w:rPr>
        <w:t>Total Ticketing revenue transactions reflect the number of loyalty card transactions in a calendar year, loyalty is linked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football ticket. We track ticketing transactions as an indicator of customer transactions and as a key driver of revenues.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EBITDA is a non-GAAP financial measure. 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72"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changes in, or cash requirements for, our working capital needs or contractual commitments;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our interest expense, or the cash requirements to service interest or principal payments on, our indebtedness;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our tax expense or the cash requirements to pay our taxes;</w:t>
      </w:r>
    </w:p>
    <w:p>
      <w:pPr>
        <w:spacing w:after="0" w:line="117" w:lineRule="exact"/>
        <w:rPr>
          <w:rFonts w:ascii="Times New Roman" w:cs="Times New Roman" w:eastAsia="Times New Roman" w:hAnsi="Times New Roman"/>
          <w:sz w:val="18"/>
          <w:szCs w:val="18"/>
          <w:b w:val="1"/>
          <w:bCs w:val="1"/>
          <w:color w:val="auto"/>
        </w:rPr>
      </w:pPr>
    </w:p>
    <w:p>
      <w:pPr>
        <w:ind w:left="1020" w:right="600" w:hanging="503"/>
        <w:spacing w:after="0" w:line="282" w:lineRule="auto"/>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the impact on earnings or changes resulting from matters that we consider not to be indicative of our future operations;</w:t>
      </w:r>
    </w:p>
    <w:p>
      <w:pPr>
        <w:spacing w:after="0" w:line="53" w:lineRule="exact"/>
        <w:rPr>
          <w:rFonts w:ascii="Times New Roman" w:cs="Times New Roman" w:eastAsia="Times New Roman" w:hAnsi="Times New Roman"/>
          <w:sz w:val="18"/>
          <w:szCs w:val="18"/>
          <w:b w:val="1"/>
          <w:bCs w:val="1"/>
          <w:color w:val="auto"/>
        </w:rPr>
      </w:pPr>
    </w:p>
    <w:p>
      <w:pPr>
        <w:ind w:left="1020" w:right="100" w:hanging="503"/>
        <w:spacing w:after="0" w:line="282" w:lineRule="auto"/>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EBITDA does not reflect any cash requirements for these replacements; and</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companies may calculate EBITDA differently than we do.</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EBITDA (non GAAP):</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(172,646,790)</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(30,736,098)</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10,557,714</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 (non-GAAP)</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(161,818,892)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(25,638,472)</w:t>
            </w: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-153670</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-153670</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have booked transaction-related costs in each of the years ended December 31, 2024 and 2023. PCAOB audit and U.S. legal counsel costs for the periods under review have been accrued as incurred in the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Adjusted EBITDA is a non-GAAP financial measure. 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32" w:right="399" w:bottom="1440" w:gutter="0" w:footer="0" w:header="0"/>
        </w:sectPr>
      </w:pPr>
    </w:p>
    <w:bookmarkStart w:id="50" w:name="page51"/>
    <w:bookmarkEnd w:id="50"/>
    <w:p>
      <w:pPr>
        <w:ind w:left="1020" w:hanging="503"/>
        <w:spacing w:after="0"/>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changes in, or cash requirements for, our working capital needs or contractual commitments;</w:t>
      </w:r>
    </w:p>
    <w:p>
      <w:pPr>
        <w:spacing w:after="0" w:line="117" w:lineRule="exact"/>
        <w:rPr>
          <w:rFonts w:ascii="Times New Roman" w:cs="Times New Roman" w:eastAsia="Times New Roman" w:hAnsi="Times New Roman"/>
          <w:sz w:val="18"/>
          <w:szCs w:val="18"/>
          <w:b w:val="1"/>
          <w:bCs w:val="1"/>
          <w:color w:val="auto"/>
        </w:rPr>
      </w:pPr>
    </w:p>
    <w:p>
      <w:pPr>
        <w:ind w:left="1020" w:right="780" w:hanging="503"/>
        <w:spacing w:after="0" w:line="282" w:lineRule="auto"/>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our interest expense, or the cash requirements to service interest or principal payments on, our indebtedness;</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our tax expense or the cash requirements to pay our taxes;</w:t>
      </w:r>
    </w:p>
    <w:p>
      <w:pPr>
        <w:spacing w:after="0" w:line="117" w:lineRule="exact"/>
        <w:rPr>
          <w:rFonts w:ascii="Times New Roman" w:cs="Times New Roman" w:eastAsia="Times New Roman" w:hAnsi="Times New Roman"/>
          <w:sz w:val="18"/>
          <w:szCs w:val="18"/>
          <w:b w:val="1"/>
          <w:bCs w:val="1"/>
          <w:color w:val="auto"/>
        </w:rPr>
      </w:pPr>
    </w:p>
    <w:p>
      <w:pPr>
        <w:ind w:left="1020" w:right="340" w:hanging="503"/>
        <w:spacing w:after="0" w:line="282" w:lineRule="auto"/>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the impact on earnings or changes resulting from matters that we consider not to be indicative of our future operations;</w:t>
      </w:r>
    </w:p>
    <w:p>
      <w:pPr>
        <w:spacing w:after="0" w:line="53" w:lineRule="exact"/>
        <w:rPr>
          <w:rFonts w:ascii="Times New Roman" w:cs="Times New Roman" w:eastAsia="Times New Roman" w:hAnsi="Times New Roman"/>
          <w:sz w:val="18"/>
          <w:szCs w:val="18"/>
          <w:b w:val="1"/>
          <w:bCs w:val="1"/>
          <w:color w:val="auto"/>
        </w:rPr>
      </w:pPr>
    </w:p>
    <w:p>
      <w:pPr>
        <w:ind w:left="1020" w:right="60" w:hanging="503"/>
        <w:spacing w:after="0" w:line="282" w:lineRule="auto"/>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Adjusted EBITDA does not reflect any cash requirements for these replacements; and</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companies may calculate Adjusted EBITDA differently than we do.</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Adjusted EBITDA is used by management to understand and track underlying earnings performance by excluding one-time and non-recurring costs. The Company believe it is appropriate to exclude these costs from Adjusted EBITDA as they relate to:</w:t>
      </w:r>
    </w:p>
    <w:p>
      <w:pPr>
        <w:spacing w:after="0" w:line="54"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the China Business;</w:t>
      </w:r>
    </w:p>
    <w:p>
      <w:pPr>
        <w:spacing w:after="0" w:line="117"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loans and accounts receivable;</w:t>
      </w:r>
    </w:p>
    <w:p>
      <w:pPr>
        <w:spacing w:after="0" w:line="117"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related only to initial employees, consultants and related parties; and</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7"/>
          <w:szCs w:val="17"/>
          <w:color w:val="auto"/>
        </w:rPr>
        <w:t>Unrealized foreign exchange (gain)/loss are one-time costs.</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Loss/(gain) resulting from the remeasurement of derivative assets and derivative liabilities at fair value at the end of each reporting period.</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7"/>
          <w:szCs w:val="17"/>
          <w:color w:val="auto"/>
        </w:rPr>
        <w:t>Loss/(gain) resulting from extinguishment of debt obligations.</w:t>
      </w:r>
    </w:p>
    <w:p>
      <w:pPr>
        <w:spacing w:after="0" w:line="117" w:lineRule="exact"/>
        <w:rPr>
          <w:sz w:val="20"/>
          <w:szCs w:val="20"/>
          <w:color w:val="auto"/>
        </w:rPr>
      </w:pPr>
    </w:p>
    <w:p>
      <w:pPr>
        <w:ind w:left="520" w:right="2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payment expense of $18,836,099 related to restricted employee shares. The articles of incorporation of the Company were amended to remove these restrictions prior to the completion of the Pre-Closing Demerger transaction.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Internally adjusted EBITDA and contribution margin by reportable segment are significant measures used by management for purposes of:</w:t>
      </w:r>
    </w:p>
    <w:p>
      <w:pPr>
        <w:spacing w:after="0" w:line="117"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the financial results and forecasts reported to the Company’s board of directors;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operating performance of which includes direct and incrementally controllable revenue and costs of operations but excludes items considered by management to be non-cash or non-operating;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internal operating budgets and target.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Business development expenses reflect the costs incurred by Rezolve Limited in funding our platform activities in China in 2024, prior to the Pre-Closing Demerger, and 2023 and are recorded within General and Administrative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Adjusted EBITDA (non-GAAP):</w:t>
      </w:r>
    </w:p>
    <w:p>
      <w:pPr>
        <w:spacing w:after="0" w:line="3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20" w:right="439" w:bottom="1440" w:gutter="0" w:footer="0" w:header="0"/>
        </w:sectPr>
      </w:pPr>
    </w:p>
    <w:bookmarkStart w:id="51" w:name="page52"/>
    <w:bookmarkEnd w:id="51"/>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(172,646,790)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(30,736,098)</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10,557,714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 (non-GAAP)</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(161,818,892) $</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(25,638,472)</w:t>
            </w:r>
          </w:p>
        </w:tc>
      </w:tr>
      <w:tr>
        <w:trPr>
          <w:trHeight w:val="209"/>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1,329,775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(375,298)</w:t>
            </w: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loan and accounts receivable</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4,750,430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777,161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based compensation issued to related parties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63,001,392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3,270,040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 for consultancy services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485,080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for employees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4,314,649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5,238,117</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Gain on derivatives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(19,001,681)</w:t>
            </w: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44,332,819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 employees shares restrictions lifted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18,836,099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(43,782,632)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(15,087,056)</w:t>
            </w:r>
          </w:p>
        </w:tc>
      </w:tr>
      <w:tr>
        <w:trPr>
          <w:trHeight w:val="20"/>
        </w:trPr>
        <w:tc>
          <w:tcPr>
            <w:tcW w:w="20" w:type="dxa"/>
            <w:vAlign w:val="bottom"/>
          </w:tcPr>
          <w:p>
            <w:pPr>
              <w:spacing w:after="0" w:line="20" w:lineRule="exact"/>
              <w:rPr>
                <w:sz w:val="1"/>
                <w:szCs w:val="1"/>
                <w:color w:val="auto"/>
              </w:rPr>
            </w:pPr>
          </w:p>
        </w:tc>
        <w:tc>
          <w:tcPr>
            <w:tcW w:w="47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-1679575</wp:posOffset>
            </wp:positionV>
            <wp:extent cx="514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-1679575</wp:posOffset>
            </wp:positionV>
            <wp:extent cx="514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514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Number of Merchants</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based compensation</w:t>
      </w:r>
    </w:p>
    <w:p>
      <w:pPr>
        <w:spacing w:after="0" w:line="1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As of December 31, 2023, 9,513,181 restricted employee shares were outstanding due to an unofficial and unapproved equity incentive plan. These shares par value of £0.0001 per share were unpaid by the employees. The employee shares had significant restrictions including management’s and or the board’s rights to cancel the shares any time, restrictions on right to transfer, to vote and cumulative dividends. There were no vesting conditions including service conditions in relation to the shares issued. Considering the restrictions imposed on these shares, these shares were considered to be ungranted to the employees. The amount receivable for these employee shares and such employee shares issued were adjusted from the share subscription receivable and number of ordinary shares, respectively in the Company’s consolidated statement of changes in shareholder’s deficit as of and for the year ended December 31, 2023. The articles of incorporation of the Company were amended to remove these restrictions prior to the completion of the Pre-Closing Demerger transaction. The removal of these restrictions triggered a “grant date” as defined in ASC 718. As there were no vesting conditions, the shares were fully vested at grant date. The Company recognized a share-based payment expense of $18,836,099 during the year ended December 31, 2024 using a fair value of ordinary shares of $1.98. The fair value of the ordinary shares was estimated using a recent funding of the Company, historical discounts to share prices following an initial public offering through a Special Purpose Acquisition Corp ("SPAC"), while also considering the risk that the Company may not successfully close its Business Combination with Armada or complete the Demerger. The valuation used an estimated discount for lack of marketability using an average from the results of a Black-Scholes Protective Put Option Analysis, Asian Put Option Analysis and the Finnerty Put Option Analysis.</w:t>
      </w:r>
    </w:p>
    <w:p>
      <w:pPr>
        <w:spacing w:after="0" w:line="280"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consolidated financial statements. The assessment includes knowledge of the Company’s subsequent financial position, the estimated economic outlook and identified risks and uncertainties in relation.</w:t>
      </w:r>
    </w:p>
    <w:p>
      <w:pPr>
        <w:spacing w:after="0" w:line="17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5540" w:right="4140" w:hanging="4380"/>
        <w:spacing w:after="0" w:line="407" w:lineRule="auto"/>
        <w:tabs>
          <w:tab w:leader="none" w:pos="167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 or equity securities.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6" w:right="359" w:bottom="1440" w:gutter="0" w:footer="0" w:header="0"/>
        </w:sectPr>
      </w:pPr>
    </w:p>
    <w:bookmarkStart w:id="52" w:name="page53"/>
    <w:bookmarkEnd w:id="52"/>
    <w:p>
      <w:pPr>
        <w:ind w:left="1660" w:hanging="500"/>
        <w:spacing w:after="0"/>
        <w:tabs>
          <w:tab w:leader="none" w:pos="1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3The ability to generate revenue from our technology.</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the review of the strategic plan and budget, including expected developments in liquidity and capital from definitive agreements entered into, were considered. As of the date of issuance of these consolidated financial statements, the Company has a further $234.4 million remaining on the Standby Equity Purchase Agreement ("SEPA") capital commitment facility with YA II PN, LTD ("YA"), a Cayman Island exempt limited company. The SEPA is a share subscription facility which was signed and executed on February 23, 2023 and amended and restated on February 2, 2024 to provide for, inter alia, Rezolve AI Limited joining as a party to the agreement and the subscription by YA of a promissory convertible note (“YA Agreement”, note 7.6). The Company may continue to seek capital through the issuance of equity securities using the remaining undrawn capital commitment facility. Consequently, it has been concluded that adequate resources and liquidity to meet the cash flow requirements for the next twelve months are present, and it is reasonable to apply the going concern basis as the underlying assumption for the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19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2024, we financed our operations in large part with cash flows from financing activities through cash proceeds from issuance of convertible debt, short term-debt and a rights issue.</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Short-term debt and other liabilities</w:t>
            </w:r>
          </w:p>
        </w:tc>
        <w:tc>
          <w:tcPr>
            <w:tcW w:w="140" w:type="dxa"/>
            <w:vAlign w:val="bottom"/>
          </w:tcPr>
          <w:p>
            <w:pPr>
              <w:spacing w:after="0"/>
              <w:rPr>
                <w:sz w:val="15"/>
                <w:szCs w:val="15"/>
                <w:color w:val="auto"/>
              </w:rPr>
            </w:pPr>
          </w:p>
        </w:tc>
        <w:tc>
          <w:tcPr>
            <w:tcW w:w="17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0"/>
        </w:trPr>
        <w:tc>
          <w:tcPr>
            <w:tcW w:w="714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 to related parties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5,102,211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payable</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1,206,609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8,223,928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10,288,123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6,428,825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Advisors loans</w:t>
            </w: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12,812,366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CFF0FC"/>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37,333,443</w:t>
            </w: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46,981,299</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-170815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debt to related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Unsecured interest free loans taken from related parties DBLP Sea Cow Ltd of $447,067 and Daniel Wagner of $4,655,144 are repayable on demand.</w:t>
      </w:r>
    </w:p>
    <w:p>
      <w:pPr>
        <w:spacing w:after="0" w:line="22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w:t>
      </w:r>
    </w:p>
    <w:p>
      <w:pPr>
        <w:spacing w:after="0" w:line="252" w:lineRule="auto"/>
        <w:rPr>
          <w:sz w:val="20"/>
          <w:szCs w:val="20"/>
          <w:color w:val="auto"/>
        </w:rPr>
      </w:pPr>
      <w:r>
        <w:rPr>
          <w:rFonts w:ascii="Times New Roman" w:cs="Times New Roman" w:eastAsia="Times New Roman" w:hAnsi="Times New Roman"/>
          <w:sz w:val="18"/>
          <w:szCs w:val="18"/>
          <w:color w:val="auto"/>
        </w:rPr>
        <w:t>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were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8.3). The loan principal and accrued borrowing fees were rounded to a sum of $8,000,000. The key terms of the loan amendment include that of the senior secured convertible notes, as noted below:</w:t>
      </w:r>
    </w:p>
    <w:p>
      <w:pPr>
        <w:spacing w:after="0" w:line="80" w:lineRule="exact"/>
        <w:rPr>
          <w:sz w:val="20"/>
          <w:szCs w:val="20"/>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1" w:lineRule="auto"/>
        <w:tabs>
          <w:tab w:leader="none" w:pos="10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 As a result of the loan amendment and addition to the Company’s senior secured convertible notes, the default was remediated.</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3" w:name="page54"/>
    <w:bookmarkEnd w:id="53"/>
    <w:p>
      <w:pPr>
        <w:ind w:right="700"/>
        <w:spacing w:after="0" w:line="282" w:lineRule="auto"/>
        <w:rPr>
          <w:sz w:val="20"/>
          <w:szCs w:val="20"/>
          <w:color w:val="auto"/>
        </w:rPr>
      </w:pPr>
      <w:r>
        <w:rPr>
          <w:rFonts w:ascii="Times New Roman" w:cs="Times New Roman" w:eastAsia="Times New Roman" w:hAnsi="Times New Roman"/>
          <w:sz w:val="18"/>
          <w:szCs w:val="18"/>
          <w:color w:val="auto"/>
        </w:rPr>
        <w:t>On December 5, 2024, all $8,000,000 of the senior secured convertible notes in favor of Igor Lychagov were converted into ordinary shares of the Company at a conversion price of $7 per ordinary share.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payable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May 25, 2023, the Company offered to all existing investors and employees of the Company an advanced subscription agreement for ordinary shares of the Company at a discount from the pre-close equity value of the Company per share (“the Rights Issue”) in connection with its business combination with Armada Acquisition Corp I. The Company issued 11,052,716 ordinary shares in December 2024 to subscribers of the rights issue. On January 24, 2025, the Company issued a further 171,429 ordinary shares to a subscriber of the rights issue to whom they were owed ordinary shares payable as at December 31,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debt</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Agreement, on December 16, 2021, Rezolve Limited entered into a secured convertible loan note instrument, as amended and restated on November 21, 2022 and May 23, 2023 and as further amended on December 18, 2023, December 29, 2023 and January 26, 2024 (the “</w:t>
      </w:r>
      <w:r>
        <w:rPr>
          <w:rFonts w:ascii="Times New Roman" w:cs="Times New Roman" w:eastAsia="Times New Roman" w:hAnsi="Times New Roman"/>
          <w:sz w:val="18"/>
          <w:szCs w:val="18"/>
          <w:b w:val="1"/>
          <w:bCs w:val="1"/>
          <w:i w:val="1"/>
          <w:iCs w:val="1"/>
          <w:color w:val="auto"/>
        </w:rPr>
        <w:t>Loan Note Instrument</w:t>
      </w:r>
      <w:r>
        <w:rPr>
          <w:rFonts w:ascii="Times New Roman" w:cs="Times New Roman" w:eastAsia="Times New Roman" w:hAnsi="Times New Roman"/>
          <w:sz w:val="18"/>
          <w:szCs w:val="18"/>
          <w:color w:val="auto"/>
        </w:rPr>
        <w:t>”). Upon the closing of the Pre-Closing Demerger, the Loan Note Instrument was novated to Rezolve and was secured by a debenture over the assets of Rezolve. As of December 5, 2024, there was outstanding an aggregate amount of approximately $49 million of convertible notes (the "Convertible Notes") outstanding under the Loan Note Instrument.</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December 5, 2024, pursuant to the terms of the Loan Note Instrument, one of the holders of the Convertible Notes converted all of his approximately $8 million of outstanding Convertible Notes at a conversion price of $7 per ordinary share.</w:t>
      </w:r>
    </w:p>
    <w:p>
      <w:pPr>
        <w:spacing w:after="0" w:line="16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On December 17, 2024, the Company, Apeiron Investment Group Ltd. and Bradley Wickens, the beneficial holders of the majority of Convertible Notes entered into an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amend the Loan Note Instrument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and that the beneficial holders shall procure that the registered nominees holding their Convertible Notes provide the necessary consents to the Amendment. Pursuant to the Amendment, the conversion price with respect to approximately $41 million of outstanding Convertible Notes was revised to equal $2 per ordinary share.</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December 2024, all of the remaining Convertible Note holders elected to convert. As of December 31, 2024, $0.4 million of the Convertible Notes remained outstanding under the Loan Note Instrument.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term convertible debt to a related party</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 Short term convertible debt to a related party of $132,269 was also added to the Company’s senior secured convertible note including $125,000 of convertible debt and $7,269 of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 liability</w:t>
      </w:r>
    </w:p>
    <w:p>
      <w:pPr>
        <w:spacing w:after="0" w:line="22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On October 7, 2021, the Group acquired Jaymax International Service Inc. (“Jaymax”) (later renamed to “Rezolve Taiwan Limited”). As part of the acquisition of Jaymax, the Company agreed to issue $1,400,000 in Rezolve ordinary share to Jaymax’s former owner for completion of a 3-year noncompete period which began on the October 7, 2021. The cost of the share-based payment is considered to have vested immediately upon commencement of the non-compete period as the Company’s assumption is that it is more likely than not that the former owner will not breach the non-compete agreement. The share-based payment liability is to be settled by a fixed dollar amount of shares and therefore represents a liability in accordance with ASC 480. As at December 31, 2023, the liability has been measured at fair value using a discounted cash-flow model and a market participant borrowing rate of 10.8%. At December 31, 2024 the liability is equal its present value of $1,400,000 as the term of the non-compete agreement ended on October 7, 2024. The Company has yet to settle it in ordinary shares as at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notes</w:t>
            </w:r>
          </w:p>
        </w:tc>
        <w:tc>
          <w:tcPr>
            <w:tcW w:w="36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YA notes</w:t>
            </w:r>
          </w:p>
        </w:tc>
        <w:tc>
          <w:tcPr>
            <w:tcW w:w="3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2,250,245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3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1,146,966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 from sponsor</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3,031,614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5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6,428,825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520"/>
        </w:trPr>
        <w:tc>
          <w:tcPr>
            <w:tcW w:w="3900" w:type="dxa"/>
            <w:vAlign w:val="bottom"/>
            <w:tcBorders>
              <w:top w:val="single" w:sz="8" w:color="CFF0FC"/>
            </w:tcBorders>
          </w:tcPr>
          <w:p>
            <w:pPr>
              <w:spacing w:after="0"/>
              <w:rPr>
                <w:sz w:val="24"/>
                <w:szCs w:val="24"/>
                <w:color w:val="auto"/>
              </w:rPr>
            </w:pPr>
          </w:p>
        </w:tc>
        <w:tc>
          <w:tcPr>
            <w:tcW w:w="3620" w:type="dxa"/>
            <w:vAlign w:val="bottom"/>
            <w:tcBorders>
              <w:top w:val="single" w:sz="8" w:color="CFF0FC"/>
            </w:tcBorders>
          </w:tcPr>
          <w:p>
            <w:pPr>
              <w:jc w:val="right"/>
              <w:ind w:right="171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Borders>
              <w:top w:val="single" w:sz="8" w:color="CFF0FC"/>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90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-864870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-847725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color w:val="auto"/>
        </w:rPr>
        <w:t>Yorkville Standby Equity Purchase Agreement</w:t>
      </w:r>
    </w:p>
    <w:p>
      <w:pPr>
        <w:spacing w:after="0" w:line="331"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212529"/>
        </w:rPr>
        <w:t>On February 23, 2023, Rezolve Limited entered into a $250 million standby equity purchase agreement with YA II PN, LTD (“</w:t>
      </w:r>
      <w:r>
        <w:rPr>
          <w:rFonts w:ascii="Times New Roman" w:cs="Times New Roman" w:eastAsia="Times New Roman" w:hAnsi="Times New Roman"/>
          <w:sz w:val="18"/>
          <w:szCs w:val="18"/>
          <w:b w:val="1"/>
          <w:bCs w:val="1"/>
          <w:i w:val="1"/>
          <w:iCs w:val="1"/>
          <w:color w:val="212529"/>
        </w:rPr>
        <w:t>YA</w:t>
      </w:r>
      <w:r>
        <w:rPr>
          <w:rFonts w:ascii="Times New Roman" w:cs="Times New Roman" w:eastAsia="Times New Roman" w:hAnsi="Times New Roman"/>
          <w:sz w:val="18"/>
          <w:szCs w:val="18"/>
          <w:color w:val="212529"/>
        </w:rPr>
        <w:t>”), a Cayman Islands exempt limited company, which was amended and restated on February 2, 2024 to provide for, inter alia, Rezolve AI Limited joining as a party to the agreement (“</w:t>
      </w:r>
      <w:r>
        <w:rPr>
          <w:rFonts w:ascii="Times New Roman" w:cs="Times New Roman" w:eastAsia="Times New Roman" w:hAnsi="Times New Roman"/>
          <w:sz w:val="18"/>
          <w:szCs w:val="18"/>
          <w:b w:val="1"/>
          <w:bCs w:val="1"/>
          <w:i w:val="1"/>
          <w:iCs w:val="1"/>
          <w:color w:val="212529"/>
        </w:rPr>
        <w:t>YA Agreement</w:t>
      </w:r>
      <w:r>
        <w:rPr>
          <w:rFonts w:ascii="Times New Roman" w:cs="Times New Roman" w:eastAsia="Times New Roman" w:hAnsi="Times New Roman"/>
          <w:sz w:val="18"/>
          <w:szCs w:val="18"/>
          <w:color w:val="212529"/>
        </w:rPr>
        <w:t>”). Pursuant to the YA Agreement, Rezolve has the right to sell to YA up to $250,000,000 Ordinary Shares, subject to certain limitations and conditions set forth in the YA Agreement, from time to time during the term of the YA Agreement.</w:t>
      </w:r>
    </w:p>
    <w:p>
      <w:pPr>
        <w:spacing w:after="0" w:line="7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212529"/>
        </w:rPr>
        <w:t>In connection with the amendment and restatement of the YA Agreement, on February 2, 2024, Rezolve Limited and Rezolve issued a convertible note with a total principal amount of $2.5 million (the “</w:t>
      </w:r>
      <w:r>
        <w:rPr>
          <w:rFonts w:ascii="Times New Roman" w:cs="Times New Roman" w:eastAsia="Times New Roman" w:hAnsi="Times New Roman"/>
          <w:sz w:val="18"/>
          <w:szCs w:val="18"/>
          <w:b w:val="1"/>
          <w:bCs w:val="1"/>
          <w:i w:val="1"/>
          <w:iCs w:val="1"/>
          <w:color w:val="212529"/>
        </w:rPr>
        <w:t>YA Note</w:t>
      </w:r>
      <w:r>
        <w:rPr>
          <w:rFonts w:ascii="Times New Roman" w:cs="Times New Roman" w:eastAsia="Times New Roman" w:hAnsi="Times New Roman"/>
          <w:sz w:val="18"/>
          <w:szCs w:val="18"/>
          <w:color w:val="212529"/>
        </w:rPr>
        <w:t>”) to YA, pursuant to the terms of a convertible promissory note instrument entered into by Rezolve Limited and Rezolve (“</w:t>
      </w:r>
      <w:r>
        <w:rPr>
          <w:rFonts w:ascii="Times New Roman" w:cs="Times New Roman" w:eastAsia="Times New Roman" w:hAnsi="Times New Roman"/>
          <w:sz w:val="18"/>
          <w:szCs w:val="18"/>
          <w:b w:val="1"/>
          <w:bCs w:val="1"/>
          <w:i w:val="1"/>
          <w:iCs w:val="1"/>
          <w:color w:val="212529"/>
        </w:rPr>
        <w:t>YA Note Instrument</w:t>
      </w:r>
      <w:r>
        <w:rPr>
          <w:rFonts w:ascii="Times New Roman" w:cs="Times New Roman" w:eastAsia="Times New Roman" w:hAnsi="Times New Roman"/>
          <w:sz w:val="18"/>
          <w:szCs w:val="18"/>
          <w:color w:val="212529"/>
        </w:rPr>
        <w:t>”).</w:t>
      </w:r>
    </w:p>
    <w:p>
      <w:pPr>
        <w:spacing w:after="0" w:line="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September 6, 2024, YA and Rezolve amended and restated the YA Agreement (the “</w:t>
      </w:r>
      <w:r>
        <w:rPr>
          <w:rFonts w:ascii="Times New Roman" w:cs="Times New Roman" w:eastAsia="Times New Roman" w:hAnsi="Times New Roman"/>
          <w:sz w:val="18"/>
          <w:szCs w:val="18"/>
          <w:b w:val="1"/>
          <w:bCs w:val="1"/>
          <w:i w:val="1"/>
          <w:iCs w:val="1"/>
          <w:color w:val="auto"/>
        </w:rPr>
        <w:t>Second A&amp;R YA Agreement</w:t>
      </w:r>
      <w:r>
        <w:rPr>
          <w:rFonts w:ascii="Times New Roman" w:cs="Times New Roman" w:eastAsia="Times New Roman" w:hAnsi="Times New Roman"/>
          <w:sz w:val="18"/>
          <w:szCs w:val="18"/>
          <w:color w:val="auto"/>
        </w:rPr>
        <w:t>”) to incorporate an additional prepaid advance arrangement pursuant to which YA committed to provide Rezolve with prepaid advances in an aggregate original principal amount of an additional Seven Million Five Hundred Thousand Dollars ($7,500,000), payable in three tranches, with the first tranche in an original principal amount of Two Million Five Hundred Thousand Dollars ($2,500,000) that was funded as part of the Second YA Note (as defined below), the second tranche in an original principal amount of Two Million Five Hundred Thousand Dollars ($2,500,000) that was funded as part of the Second YA Note and the third tranche in an original principal amount of Two Million Five Hundred Thousand Dollars ($2,500,000) that was funded as part of the Third YA Note (as defined below). The Second A&amp;R YA Agreement superseded the original agreement.</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18"/>
          <w:szCs w:val="18"/>
          <w:b w:val="1"/>
          <w:bCs w:val="1"/>
          <w:i w:val="1"/>
          <w:iCs w:val="1"/>
          <w:color w:val="auto"/>
        </w:rPr>
        <w:t>YA Note Amendment</w:t>
      </w:r>
      <w:r>
        <w:rPr>
          <w:rFonts w:ascii="Times New Roman" w:cs="Times New Roman" w:eastAsia="Times New Roman" w:hAnsi="Times New Roman"/>
          <w:sz w:val="18"/>
          <w:szCs w:val="18"/>
          <w:color w:val="auto"/>
        </w:rPr>
        <w:t>” and the YA Note, as amended by the YA Note Amendment, the “</w:t>
      </w:r>
      <w:r>
        <w:rPr>
          <w:rFonts w:ascii="Times New Roman" w:cs="Times New Roman" w:eastAsia="Times New Roman" w:hAnsi="Times New Roman"/>
          <w:sz w:val="18"/>
          <w:szCs w:val="18"/>
          <w:b w:val="1"/>
          <w:bCs w:val="1"/>
          <w:i w:val="1"/>
          <w:iCs w:val="1"/>
          <w:color w:val="auto"/>
        </w:rPr>
        <w:t>Amended YA Note</w:t>
      </w:r>
      <w:r>
        <w:rPr>
          <w:rFonts w:ascii="Times New Roman" w:cs="Times New Roman" w:eastAsia="Times New Roman" w:hAnsi="Times New Roman"/>
          <w:sz w:val="18"/>
          <w:szCs w:val="18"/>
          <w:color w:val="auto"/>
        </w:rPr>
        <w:t>”)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in connection with the Second A&amp;R YA Agreement, on September 9, 2024, Rezolve issued YA a promissory note in the principal amount of</w:t>
      </w:r>
    </w:p>
    <w:p>
      <w:pPr>
        <w:spacing w:after="0" w:line="27"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8"/>
          <w:szCs w:val="18"/>
          <w:color w:val="auto"/>
        </w:rPr>
        <w:t>$5,000,000 (the “</w:t>
      </w:r>
      <w:r>
        <w:rPr>
          <w:rFonts w:ascii="Times New Roman" w:cs="Times New Roman" w:eastAsia="Times New Roman" w:hAnsi="Times New Roman"/>
          <w:sz w:val="18"/>
          <w:szCs w:val="18"/>
          <w:b w:val="1"/>
          <w:bCs w:val="1"/>
          <w:i w:val="1"/>
          <w:iCs w:val="1"/>
          <w:color w:val="auto"/>
        </w:rPr>
        <w:t>Second YA Note</w:t>
      </w:r>
      <w:r>
        <w:rPr>
          <w:rFonts w:ascii="Times New Roman" w:cs="Times New Roman" w:eastAsia="Times New Roman" w:hAnsi="Times New Roman"/>
          <w:sz w:val="18"/>
          <w:szCs w:val="18"/>
          <w:color w:val="auto"/>
        </w:rPr>
        <w:t>”), reflecting the first and second tranche of the prepaid advances, and on November 29, 2024, upon effectiveness of the F-1 Registration Statement originally filed with the U.S. Securities and Exchange Commission on September 6, 2024, and declared effective on November 27, 2024, Rezolve issued YA a promissory note in the principal amount of $2,500,000 (the "</w:t>
      </w:r>
      <w:r>
        <w:rPr>
          <w:rFonts w:ascii="Times New Roman" w:cs="Times New Roman" w:eastAsia="Times New Roman" w:hAnsi="Times New Roman"/>
          <w:sz w:val="18"/>
          <w:szCs w:val="18"/>
          <w:b w:val="1"/>
          <w:bCs w:val="1"/>
          <w:i w:val="1"/>
          <w:iCs w:val="1"/>
          <w:color w:val="auto"/>
        </w:rPr>
        <w:t>Third YA Note</w:t>
      </w:r>
      <w:r>
        <w:rPr>
          <w:rFonts w:ascii="Times New Roman" w:cs="Times New Roman" w:eastAsia="Times New Roman" w:hAnsi="Times New Roman"/>
          <w:sz w:val="18"/>
          <w:szCs w:val="18"/>
          <w:color w:val="auto"/>
        </w:rPr>
        <w:t>", and together with the Amended YA Note and Second YA Note, the "</w:t>
      </w:r>
      <w:r>
        <w:rPr>
          <w:rFonts w:ascii="Times New Roman" w:cs="Times New Roman" w:eastAsia="Times New Roman" w:hAnsi="Times New Roman"/>
          <w:sz w:val="18"/>
          <w:szCs w:val="18"/>
          <w:b w:val="1"/>
          <w:bCs w:val="1"/>
          <w:i w:val="1"/>
          <w:iCs w:val="1"/>
          <w:color w:val="auto"/>
        </w:rPr>
        <w:t>YA Notes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December 2024, the Company received the Noteholder's request to convert of all of the principal and interest outstanding under the YA Notes. In connection therewith, the Company issued an aggregate of 4,310,208 Ordinary Shares (including in payment of a fee to YA) in December 2024. A loss on extinguishment of $4,175,791 was recognized. As of December 31, 2024, $2,705,929 in principal and interest was outstanding, which was subsequently settled in 1,413,946 Ordinary Shares on February 5, 2025, and no further amounts remain outstanding.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the “Net Investment Amount”.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Promissory Notes were issued during the course of February, 2024, pursuant to the terms of the Promissory Note Instruments.</w:t>
      </w:r>
    </w:p>
    <w:p>
      <w:pPr>
        <w:spacing w:after="0" w:line="11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With effect from the completion of the Pre-Closing Demerger, the rights and obligations of Rezolve Limited under the Subscription Agreements and the Promissory Note Instruments were novated to Rezolve AI plc.</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(except if an event of default has occurred and is continuing, an 18% interest rate will apply). The Promissory Notes are freely transferable in whole or in part, subject to the terms of the Promissory Notes Instrument.</w:t>
      </w:r>
    </w:p>
    <w:p>
      <w:pPr>
        <w:spacing w:after="0" w:line="7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Promissory Notes are convertible into ordinary shares in Rezolve AI plc.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55" w:name="page56"/>
    <w:bookmarkEnd w:id="55"/>
    <w:p>
      <w:pPr>
        <w:ind w:right="20"/>
        <w:spacing w:after="0" w:line="258" w:lineRule="auto"/>
        <w:rPr>
          <w:sz w:val="20"/>
          <w:szCs w:val="20"/>
          <w:color w:val="auto"/>
        </w:rPr>
      </w:pPr>
      <w:r>
        <w:rPr>
          <w:rFonts w:ascii="Times New Roman" w:cs="Times New Roman" w:eastAsia="Times New Roman" w:hAnsi="Times New Roman"/>
          <w:sz w:val="18"/>
          <w:szCs w:val="18"/>
          <w:color w:val="auto"/>
        </w:rPr>
        <w:t>Rezolve has the right to redeem early a portion or all amounts outstanding under the Promissory Notes pursuant to a Redemption Notice, provided that on the date of the Redemption Notice the VWAP of the ordinary shares in Rezolve AI plc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Following the public listing of the ordinary shares in Rezolve AI plc, if a “Promissory Note Trigger Event” occurs (being where (i) the daily VWAP is less than the Floor Price for five (5) trading days during a period of seven (7) consecutive trading days (the “Promissory Note Floor Price Trigger”), or (ii) Rezolve AI plc has issued in excess of 99% of the ordinary shares available under the Exchange Cap unless Rezolve AI plc shareholders have approved such issuances, or if Rezolve AI plc is permitted to follow (and has elected to do so) its home country practices instead of the stockholder approval requirements of Nasdaq Rule 5635) (the “Promissory Note Exchange Cap Trigger”)), then Rezolve AI plc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plc reduces the Floor Price (in accordance with its rights to do so under the Promissory Note Instruments), or (ii) in the event of an Exchange Cap Trigger, the date Rezolve AI plc has obtained stockholder approval to increase the number of ordinary shares under the Exchange Cap (or if the Exchange Cap no longer applies), unless a subsequent Promissory Note Trigger Event occurs.</w:t>
      </w:r>
    </w:p>
    <w:p>
      <w:pPr>
        <w:spacing w:after="0" w:line="8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December 30, 2024, the Company repaid $1,472,231 of principal and interest to noteholders and related persons. As at December 31, 2024, certain noteholders and related parties have agreed to convert an aggregate of $1,189,096 of principal and interest into 425,288 Ordinary Shares. The outstanding balance at December 31, 2024 is $406,238, which the Company intends to settle by conversion into Ordinary Shares.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Cohen &amp; Company Financial Management LLC</w:t>
      </w:r>
    </w:p>
    <w:p>
      <w:pPr>
        <w:spacing w:after="0" w:line="1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August 14, 2024 Rezolve AI issued a promissory note to pay to Cohen &amp; Company Financial Management LLC (“Cohen”) as an agent for Armada, in the principal sum of $3,144,883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Cohen’s request, Rezolve AI shall pay Cohen the principal amount plus all of the accrued interest in increments of 1/18 of the outstanding principal amount (the “Amortization Payment”) on a date determined by Cohen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Cohen shall have the right, at Cohen’s sole option, on any business day, to convert at the conversion price described in the note all or any portion of the outstanding principal amount of the note up to an amount described in the note. The promissory note was settled on February 10, 2025 by issuing ordinary shares, and no further amounts remain outstanding.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Advisors loans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the following promissory notes to financial advisors which were contingently on the close of the Business Combination with Armada:</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Advisors loans</w:t>
            </w:r>
          </w:p>
        </w:tc>
        <w:tc>
          <w:tcPr>
            <w:tcW w:w="29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Northland Securities</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5,491,806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J.V.B Financial Group</w:t>
            </w:r>
          </w:p>
        </w:tc>
        <w:tc>
          <w:tcPr>
            <w:tcW w:w="29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7,320,560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12,812,366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Northland Securities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 (a) $25,000,000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 $20,000,000 in cash, cash</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6" w:name="page57"/>
    <w:bookmarkEnd w:id="56"/>
    <w:p>
      <w:pPr>
        <w:ind w:right="80"/>
        <w:spacing w:after="0" w:line="254" w:lineRule="auto"/>
        <w:rPr>
          <w:sz w:val="20"/>
          <w:szCs w:val="20"/>
          <w:color w:val="auto"/>
        </w:rPr>
      </w:pPr>
      <w:r>
        <w:rPr>
          <w:rFonts w:ascii="Times New Roman" w:cs="Times New Roman" w:eastAsia="Times New Roman" w:hAnsi="Times New Roman"/>
          <w:sz w:val="18"/>
          <w:szCs w:val="18"/>
          <w:color w:val="auto"/>
        </w:rPr>
        <w:t>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AI plc. The Company settled the promissory note with Northland on January 30, 2025 by issuing 391,681 ordinary shares and paying $3,500,000 in cash. No further amounts remain outstanding.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J.V.B. Financial Group</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volume weighted average share price (“VWP”)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 by Rezolve AI plc. On February 26, 2025, the Company issued 778,165 ordinary shares to settle $2,000,000 of principle outstanding to the JVB promissory note.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Cantor Fitzgerald</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November 20, 2023, the Company engaged Cantor Fitzgerald (“Cantor”) to act as its financial and capital markets advisor in connection with any transactions, placement agent and arranger in connection with any financing. A fee of $16,000,000 (“the Armada fee”) contingent on the close of the Business Combination with Armada payable in ordinary shares. The number of shares issuable in connection with the Armada fee was to be calculated using the greater of 1) 1.6 million and 2) the quotient obtained by dividing (x) $16,000,000 by (y) the daily VWAP of the ordinary shares over five trading days immediately preceding the date of the initial filing of the F-1 registration statement.</w:t>
      </w:r>
    </w:p>
    <w:p>
      <w:pPr>
        <w:spacing w:after="0" w:line="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December 5, 2024 the Company issued 17,354,231 ordinary shares to Cantor to settle the Armada fee. A loss on extinguishment of $1,804,814 was recognized. No further amounts remain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 and concentration of credit risk</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ind w:left="520" w:right="240"/>
        <w:spacing w:after="0" w:line="282" w:lineRule="auto"/>
        <w:rPr>
          <w:sz w:val="20"/>
          <w:szCs w:val="20"/>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4" w:lineRule="exact"/>
        <w:rPr>
          <w:sz w:val="20"/>
          <w:szCs w:val="20"/>
          <w:color w:val="auto"/>
        </w:rPr>
      </w:pPr>
    </w:p>
    <w:p>
      <w:pPr>
        <w:ind w:left="520" w:right="120"/>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7" w:name="page58"/>
    <w:bookmarkEnd w:id="57"/>
    <w:p>
      <w:pPr>
        <w:ind w:right="280"/>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5"/>
                <w:szCs w:val="15"/>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20" w:type="dxa"/>
            <w:vAlign w:val="bottom"/>
          </w:tcPr>
          <w:p>
            <w:pPr>
              <w:spacing w:after="0"/>
              <w:rPr>
                <w:sz w:val="18"/>
                <w:szCs w:val="18"/>
                <w:color w:val="auto"/>
              </w:rPr>
            </w:pPr>
          </w:p>
        </w:tc>
        <w:tc>
          <w:tcPr>
            <w:tcW w:w="480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2,579,875</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Derivative asset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2,587,581</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20"/>
                <w:szCs w:val="20"/>
                <w:color w:val="auto"/>
              </w:rPr>
            </w:pPr>
          </w:p>
        </w:tc>
      </w:tr>
    </w:tbl>
    <w:p>
      <w:pPr>
        <w:spacing w:after="0" w:line="179"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share-based payment liability was valued using a discounted cash flow method using a risk adjusted discount rate of 10.8%.</w:t>
      </w:r>
    </w:p>
    <w:p>
      <w:pPr>
        <w:spacing w:after="0" w:line="27" w:lineRule="exact"/>
        <w:rPr>
          <w:rFonts w:ascii="Times New Roman" w:cs="Times New Roman" w:eastAsia="Times New Roman" w:hAnsi="Times New Roman"/>
          <w:sz w:val="18"/>
          <w:szCs w:val="18"/>
          <w:color w:val="auto"/>
        </w:rPr>
      </w:pPr>
    </w:p>
    <w:p>
      <w:pPr>
        <w:ind w:left="520" w:right="80" w:hanging="512"/>
        <w:spacing w:after="0" w:line="253"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derivative asset and the derivative liability were valued by a third party valuation expert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derivative asset pertains to an option held by the Company to convert a promissory note payable to Northland Securities.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derivative liabilities were triggered by conversion features embedded in promissory notes held by investors Cohen &amp; Company Financial Management LLC, J.V.B. Financial Group and Northlands. On August 15, 2024, the Company recognized derivative liabilities and an offsetting debt discount associated with the embedded conversion features in its senior secured convertible notes, convertible promissory notes and advisors loans. The Company previously did not bifurcate the embedded conversion features as derivatives due to the lack of an underlying share price prior to the Company's acquisition of Armada and listing of is ordinary shares on the NASDAQ. The Company no longer recognizes a derivative liability associated with the following debt liabilities due to the investors having exercised their conversion features by December 31, 2024:</w:t>
      </w:r>
    </w:p>
    <w:p>
      <w:pPr>
        <w:spacing w:after="0" w:line="79"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secured convertible notes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 notes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notes</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unrestricted cash and cash equivalents on our balance sheet and undrawn amounts under our revolving credit facility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December 31, 2023:</w:t>
      </w:r>
    </w:p>
    <w:p>
      <w:pPr>
        <w:spacing w:after="0" w:line="2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r>
      <w:tr>
        <w:trPr>
          <w:trHeight w:val="21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Unrestricted cash and cash equivalents</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9,450,944</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80" w:type="dxa"/>
            <w:vAlign w:val="bottom"/>
            <w:shd w:val="clear" w:color="auto" w:fill="CFF0FC"/>
          </w:tcPr>
          <w:p>
            <w:pPr>
              <w:spacing w:after="0"/>
              <w:rPr>
                <w:sz w:val="18"/>
                <w:szCs w:val="18"/>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Available liquidity</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9,450,944</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80" w:type="dxa"/>
            <w:vAlign w:val="bottom"/>
          </w:tcPr>
          <w:p>
            <w:pPr>
              <w:spacing w:after="0"/>
              <w:rPr>
                <w:sz w:val="20"/>
                <w:szCs w:val="20"/>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8" w:name="page59"/>
    <w:bookmarkEnd w:id="58"/>
    <w:tbl>
      <w:tblPr>
        <w:tblLayout w:type="fixed"/>
        <w:tblInd w:w="170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(21,642,715)</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(13,001,875)</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(3,528,626)</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(1,781,524)</w:t>
            </w: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34,585,896</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14,712,061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 cash and</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25,948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42,399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9,440,503</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(28,939)</w:t>
            </w:r>
          </w:p>
        </w:tc>
        <w:tc>
          <w:tcPr>
            <w:tcW w:w="0" w:type="dxa"/>
            <w:vAlign w:val="bottom"/>
          </w:tcPr>
          <w:p>
            <w:pPr>
              <w:spacing w:after="0"/>
              <w:rPr>
                <w:sz w:val="1"/>
                <w:szCs w:val="1"/>
                <w:color w:val="auto"/>
              </w:rPr>
            </w:pPr>
          </w:p>
        </w:tc>
      </w:tr>
      <w:tr>
        <w:trPr>
          <w:trHeight w:val="20"/>
        </w:trPr>
        <w:tc>
          <w:tcPr>
            <w:tcW w:w="448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-7620</wp:posOffset>
            </wp:positionV>
            <wp:extent cx="51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$21.6 million for the year ended December 31, 2024, which resulted primarily from a net loss of $172.6 million from operating activities, adjusted for non-cash items such as share-based compensation expenses, advisor loans, interest expense, net gains on derivatives and net losses on extinguishments of debt.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$3.5 million for the year ended December 31, 2024, which resulted primarily from costs incurred to continue the development of our Rezolve platform and related technology.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$34.6 million for the year ended December 31, 2024 was primarily due to proceeds from convertible promissory notes, proceeds from the issuance ordinary shares and proceeds from short-term debt from related parties partially offset by repayments of debt obligations to related parties and repayments of promissory notes.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October 3, 2024, the Company announced that it entered into a commercial agreement with Microsoft Corporation. Through this collaboration, Rezolve’s Brain Suite, including Brain Commerce, Brain Checkout, and Brain Assistant, will be powered by Microsoft Azure and available globally via Microsoft’s Azure Marketplace and co-sell channels. The Company is committed to spend £117.98 million (approximately $147.66 million at December 31, 2024) under this agreement to purchase eligible services and offerings from Microsoft over the next 5 years.</w:t>
      </w:r>
    </w:p>
    <w:p>
      <w:pPr>
        <w:spacing w:after="0" w:line="7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On November 20, 2024, the Company announced that it entered into a commercial agreement with Google Cloud EMEA Ltd (“Google”). Through this collaboration, Google will resell Rezolve AI’s Brain Suite. The Company’s commitments to purchase eligible services and offerings from Google is summarized in the table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Commitment amount</w:t>
            </w:r>
          </w:p>
        </w:tc>
        <w:tc>
          <w:tcPr>
            <w:tcW w:w="100" w:type="dxa"/>
            <w:vAlign w:val="bottom"/>
          </w:tcPr>
          <w:p>
            <w:pPr>
              <w:spacing w:after="0"/>
              <w:rPr>
                <w:sz w:val="15"/>
                <w:szCs w:val="15"/>
                <w:color w:val="auto"/>
              </w:rPr>
            </w:pPr>
          </w:p>
        </w:tc>
      </w:tr>
      <w:tr>
        <w:trPr>
          <w:trHeight w:val="210"/>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1</w:t>
            </w:r>
          </w:p>
        </w:tc>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3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FF0FC"/>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Commitment period 2</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Pr>
          <w:p>
            <w:pPr>
              <w:spacing w:after="0"/>
              <w:rPr>
                <w:sz w:val="18"/>
                <w:szCs w:val="18"/>
                <w:color w:val="auto"/>
              </w:rPr>
            </w:pPr>
          </w:p>
        </w:tc>
      </w:tr>
      <w:tr>
        <w:trPr>
          <w:trHeight w:val="216"/>
        </w:trPr>
        <w:tc>
          <w:tcPr>
            <w:tcW w:w="1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3</w:t>
            </w:r>
          </w:p>
        </w:tc>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34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Commitment</w:t>
            </w:r>
          </w:p>
        </w:tc>
        <w:tc>
          <w:tcPr>
            <w:tcW w:w="3720" w:type="dxa"/>
            <w:vAlign w:val="bottom"/>
          </w:tcPr>
          <w:p>
            <w:pPr>
              <w:spacing w:after="0"/>
              <w:rPr>
                <w:sz w:val="18"/>
                <w:szCs w:val="18"/>
                <w:color w:val="auto"/>
              </w:rPr>
            </w:pPr>
          </w:p>
        </w:tc>
        <w:tc>
          <w:tcPr>
            <w:tcW w:w="3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w:t>
            </w:r>
          </w:p>
        </w:tc>
        <w:tc>
          <w:tcPr>
            <w:tcW w:w="100" w:type="dxa"/>
            <w:vAlign w:val="bottom"/>
          </w:tcPr>
          <w:p>
            <w:pPr>
              <w:spacing w:after="0"/>
              <w:rPr>
                <w:sz w:val="18"/>
                <w:szCs w:val="18"/>
                <w:color w:val="auto"/>
              </w:rPr>
            </w:pPr>
          </w:p>
        </w:tc>
      </w:tr>
      <w:tr>
        <w:trPr>
          <w:trHeight w:val="20"/>
        </w:trPr>
        <w:tc>
          <w:tcPr>
            <w:tcW w:w="16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760" w:hanging="243"/>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on November 15, 2024 and continuing for 12 months.</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1 and continuing for 12 months.</w:t>
      </w:r>
    </w:p>
    <w:p>
      <w:pPr>
        <w:spacing w:after="0" w:line="117" w:lineRule="exact"/>
        <w:rPr>
          <w:rFonts w:ascii="Times New Roman" w:cs="Times New Roman" w:eastAsia="Times New Roman" w:hAnsi="Times New Roman"/>
          <w:sz w:val="18"/>
          <w:szCs w:val="18"/>
          <w:color w:val="auto"/>
        </w:rPr>
      </w:pPr>
    </w:p>
    <w:p>
      <w:pPr>
        <w:ind w:left="760" w:hanging="243"/>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2 and continuing for 12 months.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we did not have any significant off-balance sheet arrangements, as defined in Item 303(a)(4)(ii) of Regulation S-K.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Rezolve AI plc and Subsidiaries Consolidated Financial Statements are prepared in conformity with U.S. generally accepted accounting principles. In preparing the Rezolve AI plc and Subsidiaries Consolidated Financial Statements, we make assumptions, judgments and estimates that can have a significant impact on amounts reported in the Rezolve AI plc and Subsidiaries Consolidated Financial Statements. We base our assumptions, judgments and estimates on historical experience and various other factors that we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59" w:name="page60"/>
    <w:bookmarkEnd w:id="59"/>
    <w:p>
      <w:pPr>
        <w:ind w:right="40"/>
        <w:spacing w:after="0" w:line="282" w:lineRule="auto"/>
        <w:rPr>
          <w:sz w:val="20"/>
          <w:szCs w:val="20"/>
          <w:color w:val="auto"/>
        </w:rPr>
      </w:pPr>
      <w:r>
        <w:rPr>
          <w:rFonts w:ascii="Times New Roman" w:cs="Times New Roman" w:eastAsia="Times New Roman" w:hAnsi="Times New Roman"/>
          <w:sz w:val="18"/>
          <w:szCs w:val="18"/>
          <w:color w:val="auto"/>
        </w:rPr>
        <w:t>believe to be reasonable under the circumstances. Actual results could differ materially from these estimates under different assumptions or conditions. We regularly reevaluate our assumptions, judgments and estimates.</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Critical accounting estimates are those estimates that involve a significant level of estimation uncertainty and could have a material impact on our financial condition or results of operations. We have critical accounting estimates in the areas of the valuation of acquisition-related assets and liabilities, deferred income taxes and related valuation allowances, fair value measurements, useful lives of long-lived assets, capitalized software and share-based compensation.</w:t>
      </w:r>
    </w:p>
    <w:p>
      <w:pPr>
        <w:spacing w:after="0" w:line="7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“Basis of presentation and summary of significant accounting policies” in the notes to the Rezolve AI plc and Subsidiaries Consolidated Financial Statements included elsewhere in this prospectus.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assets and liabilities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Accounting for business combinations requires significant judgments when allocating the purchase price to the estimated fair values of assets acquired and liabilities assumed at the acquisition date. Determination of fair value involves estimates and assumptions which can be complex. The valuation of certain assets and liabilities require significant judgment and assumptions such as estimation of future cash flows, discount rates, market data of comparable assets and companies, useful lives among others. While management’s estimates of fair value are based on assumptions that are believed to be reasonable, these assumptions are inherently uncertain as they pertain to forward-looking views of our business and market conditions. The judgments made in this valuation process could materially impact our consolidated financial statements.</w:t>
      </w:r>
    </w:p>
    <w:p>
      <w:pPr>
        <w:spacing w:after="0" w:line="7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Determining the useful life of intangible assets requires management judgment and is based on an evaluation of several factors including estimated design life, information from our research and development department and our overall strategy for the use of the assets. If the useful life of our significant assets changes, this change could impact our operating results.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 taxes and related valuation allowances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subject to income taxes in the United Kingdom and numerous foreign jurisdictions. Significant judgment is required in determining our deferred tax assets and liabilities and any valuation allowance recorded against our net deferred tax assets that are not more likely than not to be realized.</w:t>
      </w:r>
    </w:p>
    <w:p>
      <w:pPr>
        <w:spacing w:after="0" w:line="54"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Tax valuation allowances are established to reduce deferred tax assets, such as tax loss carryforwards, to net realizable value. Factors considered in estimating net realizable value include historical results by tax jurisdiction, carryforward periods, income tax strategies and forecasted taxable income.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software</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Costs incurred internally in researching and developing internal-use software are charged to expense until technological feasibility has been established for the product. Once technological feasibility is established, software costs are capitalized until the product is ready for its intended use. Judgment is required in determining when technological feasibility of a product is established. The Company has not commenced amortizing the in-development software as it not yet ready for its intended use. The Company reviews internal-use software for impairment when an event or changes in business circumstances indicate that the carrying amount of the asset may not be fully recoverable.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1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recognize the cost of employee services received in exchange for awards of equity instruments, such as share options (time-vested), based on the fair value of those awards at the date of grant. We use the Black-Scholes-Merton (“Black-Scholes”) option pricing model to estimate the fair value of stock option awards. The Black-Scholes model uses various assumptions to estimate the fair value of stock option awards. These assumptions include the expected term of stock option awards, expected volatility rate, risk-free interest rate and expected dividend yield. While these assumptions do not require significant judgment, as the significant inputs are determined from historical experience or independent third-party sources, changes in these inputs could result in significant changes in the fair value of stock option awards.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3 to the Rezolve AI plc and Subsidiaries Consolidated Financial Statements included elsewhere in this prospectus.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60" w:name="page61"/>
    <w:bookmarkEnd w:id="60"/>
    <w:p>
      <w:pPr>
        <w:spacing w:after="0" w:line="261" w:lineRule="auto"/>
        <w:rPr>
          <w:sz w:val="20"/>
          <w:szCs w:val="20"/>
          <w:color w:val="auto"/>
        </w:rPr>
      </w:pPr>
      <w:r>
        <w:rPr>
          <w:rFonts w:ascii="Times New Roman" w:cs="Times New Roman" w:eastAsia="Times New Roman" w:hAnsi="Times New Roman"/>
          <w:sz w:val="18"/>
          <w:szCs w:val="18"/>
          <w:color w:val="auto"/>
        </w:rPr>
        <w:t>We have no interest rate risk. Our short-term debt from related parties consist of an unsecured, interest free loan and a unsecured convertible loan with a fixed interest rate. The convertible debt and the convertible promissory notes have fixed interest rates and the accrued interest converts into ordinary shares upon maturity. The short term convertible debt to a related party accrues interest at a fixed rate which converts into ordinary shares upon maturity. Interest accrues at a fixed rate on the advisor loans and is payable in cash according to the terms of the loans.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All of the Company’s revenue is denominated in the Euro (“EUR”) since the sales of the Company are in Spain. Based upon the Company’s level of operations for the year ended December 31, 2024 and 2023, a sensitivity analysis shows that a 10% appreciation or depreciation in the EUR against the dollar would have increased or decreased, respectively, the Company’s revenue for the years ended December 31, 2024 and 2023 by approximately $18,779 and $14,505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61" w:name="page62"/>
    <w:bookmarkEnd w:id="6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BUSINESS OF REZOLVE</w:t>
      </w:r>
    </w:p>
    <w:p>
      <w:pPr>
        <w:spacing w:after="0" w:line="187" w:lineRule="exact"/>
        <w:rPr>
          <w:sz w:val="20"/>
          <w:szCs w:val="20"/>
          <w:color w:val="auto"/>
        </w:rPr>
      </w:pPr>
    </w:p>
    <w:p>
      <w:pPr>
        <w:ind w:right="120" w:firstLine="576"/>
        <w:spacing w:after="0" w:line="258" w:lineRule="auto"/>
        <w:rPr>
          <w:sz w:val="20"/>
          <w:szCs w:val="20"/>
          <w:color w:val="auto"/>
        </w:rPr>
      </w:pPr>
      <w:r>
        <w:rPr>
          <w:rFonts w:ascii="Times New Roman" w:cs="Times New Roman" w:eastAsia="Times New Roman" w:hAnsi="Times New Roman"/>
          <w:sz w:val="18"/>
          <w:szCs w:val="18"/>
          <w:i w:val="1"/>
          <w:iCs w:val="1"/>
          <w:color w:val="auto"/>
        </w:rPr>
        <w:t>Shareholders should read this section in conjunction with the more detailed information about Rezolve contained in this prospectus, including the Financial Statements and the other information appearing in the section entitled “Management’s Discussion &amp; Analysis of Financial Condition and Results of Operations.” In this section, references to “we,” “us,” the “Company,” “Rezolve” and “our” are intended to refer to Rezolve Limited and its subsidiaries prior to the Pre-Closing Demerger, and to Rezolve AI plc (formerly Rezolve AI Limited) and its subsidiaries following the Pre-Closing Demerger, unless the context clearly indicates otherwise.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Rezolve Ai: Redefining Conversational Commerce</w:t>
      </w:r>
    </w:p>
    <w:p>
      <w:pPr>
        <w:spacing w:after="0" w:line="22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Rezolve Ai is leading the Conversational Commerce revolution, delivering tailored Generative AI solutions for the retail and eCommerce sectors. Our mission is to drive sales, enhance customer satisfaction, and build loyalty through cutting-edge AI technologies.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flagship product, Brain Commerce, powered by our proprietary Large Language Model (LLM) brainpowa, transforms the online shopping experience. By surpassing traditional site search and product discovery tools, Brain Commerce improves conversion rates, increases average order value (AOV), and reduces cart abandonment. Its Conversational Commerce capabilities support both speech and text inputs, with instant translation across 96 languages, making it a truly global solution.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AI Solutions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AI’s suite of solutions includes:</w:t>
      </w:r>
    </w:p>
    <w:p>
      <w:pPr>
        <w:spacing w:after="0" w:line="117" w:lineRule="exact"/>
        <w:rPr>
          <w:sz w:val="20"/>
          <w:szCs w:val="20"/>
          <w:color w:val="auto"/>
        </w:rPr>
      </w:pPr>
    </w:p>
    <w:p>
      <w:pPr>
        <w:jc w:val="both"/>
        <w:ind w:left="1020" w:right="120" w:hanging="503"/>
        <w:spacing w:after="0" w:line="266" w:lineRule="auto"/>
        <w:tabs>
          <w:tab w:leader="none" w:pos="1020"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AI-Powered Site Search &amp; Discovery: Revolutionizing product discovery with advanced AI algorithms trained on vast datasets. Leveraging Google Vertex AI Search for Commerce, we deliver personalized, high-quality search experiences at scale, using shopping history and data insights to boost conversions while reducing IT costs.</w:t>
      </w:r>
    </w:p>
    <w:p>
      <w:pPr>
        <w:spacing w:after="0" w:line="67" w:lineRule="exact"/>
        <w:rPr>
          <w:rFonts w:ascii="Times New Roman" w:cs="Times New Roman" w:eastAsia="Times New Roman" w:hAnsi="Times New Roman"/>
          <w:sz w:val="18"/>
          <w:szCs w:val="18"/>
          <w:i w:val="1"/>
          <w:iCs w:val="1"/>
          <w:color w:val="auto"/>
        </w:rPr>
      </w:pPr>
    </w:p>
    <w:p>
      <w:pPr>
        <w:ind w:left="1020" w:hanging="503"/>
        <w:spacing w:after="0" w:line="266" w:lineRule="auto"/>
        <w:tabs>
          <w:tab w:leader="none" w:pos="1020"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Geolocation Campaign Activation: Engaging customers in real-time based on their location. From alerting consumers to nearby opportunities to enabling seamless order-ahead and collection interactions, our geolocation tools enhance mobile engagement across retail, QSR, grocery, travel, and hospitality.</w:t>
      </w:r>
    </w:p>
    <w:p>
      <w:pPr>
        <w:spacing w:after="0" w:line="6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AI-Powered Customer Support: Delivering intelligent, responsive, and personalized support to improve customer satisfaction and loyalty.</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Frictionless Checkout Solutions: Simplifying the checkout process to reduce friction and enhance the overall shopping experience.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Bridging the Gap Between Physical and Online Retail</w:t>
      </w:r>
    </w:p>
    <w:p>
      <w:pPr>
        <w:spacing w:after="0" w:line="227"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Conversational Commerce bridges the experiential and performance gap between high-end physical retail and its online counterpart. Traditional eCommerce relies on outdated methods like keyword searches and impersonal recommendations, resulting in a clunky experience. Rezolve Ai’s Brain Commerce is the only market-ready solution that delivers a superior, personal shopper experience for online customers, redefining how people shop online.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Partnerships and Global Reach</w:t>
      </w:r>
    </w:p>
    <w:p>
      <w:pPr>
        <w:spacing w:after="0" w:line="227"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Rezolve Ai has forged strategic partnerships with industry leaders like Microsoft and Google, enabling global scalability and reach. By leveraging Google’s expertise in personalized content delivery (e.g., Google Search, Google Shopping, and YouTube), we provide retailers with unparalleled AI-driven solutions. Additionally, Rezolve Ai is collaborating with Tether, the leading stablecoin platform, to bring cryptocurrency into mainstream commerce.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Future of AI-First Commerce</w:t>
      </w:r>
    </w:p>
    <w:p>
      <w:pPr>
        <w:spacing w:after="0" w:line="22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Rezolve Ai is shaping the future of retail with cutting-edge innovation and best-in-class technology. Our solutions power seamless product discovery, conversational commerce, and frictionless checkout, turning every step of the customer journey into a revenue-driving experience.</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62" w:name="page63"/>
    <w:bookmarkEnd w:id="62"/>
    <w:p>
      <w:pPr>
        <w:ind w:right="120"/>
        <w:spacing w:after="0" w:line="266" w:lineRule="auto"/>
        <w:rPr>
          <w:sz w:val="20"/>
          <w:szCs w:val="20"/>
          <w:color w:val="auto"/>
        </w:rPr>
      </w:pPr>
      <w:r>
        <w:rPr>
          <w:rFonts w:ascii="Times New Roman" w:cs="Times New Roman" w:eastAsia="Times New Roman" w:hAnsi="Times New Roman"/>
          <w:sz w:val="18"/>
          <w:szCs w:val="18"/>
          <w:color w:val="auto"/>
        </w:rPr>
        <w:t>Through deep collaboration with the world’s leading technology providers, Rezolve Ai empowers retailers to stay ahead in an ever-evolving market. With Rezolve Ai, businesses don’t just adapt to change—they lead it. We create shopping experiences so intuitive, engaging, and personalized that customers fall in love with retail all over again.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Ai is the future of commerce—where innovation meets customer delight.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154305</wp:posOffset>
            </wp:positionV>
            <wp:extent cx="5631815" cy="31889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31815"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Our total revenues were $0.19 million and $0.15 million, for the years ended December 31, 2024 and 2023, respectively. We currently generate our revenue from Transaction fees based on sales of ticketing for La Liga football events in 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14230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Financing</w:t>
      </w:r>
    </w:p>
    <w:p>
      <w:pPr>
        <w:spacing w:after="0" w:line="2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July 24, 2025, Rezolve entered into the Purchase Agreements with the PIPE Investors, for the purchase and sale of 20,000,000 Ordinary Shares in a private placement at a price of $2.50 per share.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July 25, Rezolve closed the PIPE Financing and received aggregate gross proceeds of approximately $50 million, before deducting placement agent fees and other offering expenses. The PIPE Shares were offered pursuant to the exemption from registration under Section 4(a)(2) of the Securities Act and Rule 506(b) of Regulation D promulgated thereunder, and applicable state securities laws.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Bluedot Acquisition</w:t>
      </w:r>
    </w:p>
    <w:p>
      <w:pPr>
        <w:spacing w:after="0" w:line="227"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On February 4, 2025, Rezolve entered into the First BlueDot Purchase Agreement, by and between the Company and DBLP, pursuant to which the Company agreed to purchase, and DBLP agreed to sell, the entire issued and to be issued share capital of each of Bluedot Industries, Inc., a Delaware corporation, and Bluedot Industries Pty. Ltd, an Australian proprietary limited company registered in Victoria on 7 December 2013 with Australian Company Number 165 206 566.</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February 20, 2025, Rezolve closed the First Bluedot Acquisition. As consideration for the First Bluedot Acquisition, Rezolve issued 819,737 ordinary shares of the Company in a private placement to DBLP.</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3" w:name="page64"/>
    <w:bookmarkEnd w:id="63"/>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On March 17, 2025, Rezolve entered into the Second Bluedot Purchase Agreement, by and between the Company and Tanist , pursuant to which the Company agreed to purchase, and Tanist agreed to sell, the entire issued and to be issued share capital of Bluedot Innovation Pty. Ltd, an Australian proprietary limited company registered in South Australia 161 734 621.</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March 17, 2025, Rezolve closed the Second Bluedot Acquisition. As consideration for the Second Bluedot Acquisition, Rezolve issued 1,941,111 ordinary shares of the Company in a private placement to Tanist.</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GroupBy Acquisition</w:t>
      </w:r>
    </w:p>
    <w:p>
      <w:pPr>
        <w:spacing w:after="0" w:line="22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On February 11, 2025, Rezolve entered into the GroupBy Purchase Agreement, by and among the Company, GroupBy, GroupBy International and the Sellers, pursuant to which the Company agreed to purchase, and the Sellers agreed to sell, the entire issued and to be issued share capital of each of GroupBy and GroupBy International.</w:t>
      </w:r>
    </w:p>
    <w:p>
      <w:pPr>
        <w:spacing w:after="0" w:line="17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Microsoft</w:t>
      </w:r>
    </w:p>
    <w:p>
      <w:pPr>
        <w:spacing w:after="0" w:line="33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On October 3, 2024, Rezolve entered into a strategic partnership with Microsoft Corporation ( "MSFT") to empower retailers with advanced capabilities for digital engagement. Through this collaboration, Rezolve AI’s Brain Suite – including Brain Commerce, Brain Checkout, and Brain Assistant – will be available on Microsoft Azure and available globally via Microsoft’s Azure Marketplace and co-sell channels.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partnership aims to empower retailers to transform their customer engagement and operations with advanced AI solutions from Rezolve supported by the Microsoft Cloud. In addition, Microsoft is providing extensive Go-to-Market (GTM) and co-sell support, providing marketing, sales, and technical support to accelerate Rezolve AI's market penetration over the next five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Google</w:t>
      </w:r>
    </w:p>
    <w:p>
      <w:pPr>
        <w:spacing w:after="0" w:line="227" w:lineRule="exact"/>
        <w:rPr>
          <w:sz w:val="20"/>
          <w:szCs w:val="20"/>
          <w:color w:val="auto"/>
        </w:rPr>
      </w:pPr>
    </w:p>
    <w:p>
      <w:pPr>
        <w:ind w:right="120" w:firstLine="45"/>
        <w:spacing w:after="0" w:line="261" w:lineRule="auto"/>
        <w:rPr>
          <w:sz w:val="20"/>
          <w:szCs w:val="20"/>
          <w:color w:val="auto"/>
        </w:rPr>
      </w:pPr>
      <w:r>
        <w:rPr>
          <w:rFonts w:ascii="Times New Roman" w:cs="Times New Roman" w:eastAsia="Times New Roman" w:hAnsi="Times New Roman"/>
          <w:sz w:val="18"/>
          <w:szCs w:val="18"/>
          <w:color w:val="auto"/>
        </w:rPr>
        <w:t>On November 20, 2024, Rezolve entered into a strategic partnership with Google to accelerate the transformation of retail and consumer commerce through advanced artificial intelligence (AI) and cloud infrastructure. Through this collaboration, Google Cloud will resell Rezolve Ai’s groundbreaking Brain Suite, offering retailers a comprehensive set of AI-powered solutions designed to optimize digital commerce experiences, reduce cart abandonment, and enhance customer lifetime value.</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Under this partnership, Google and Rezolve Ai expect that its sales channel will generate over 50% of Rezolve Ai’s forecasted revenues over the next several years. To support this ambitious goal, Google are incentivizing its customers to Google Cloud by enabling them to access Rezolve Ai’s solutions, with these commitments decrementing against their Google agreements.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Tether</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November 2024, Rezolve announced a groundbreaking partnership with Tether, the world’s most widely used stablecoin platform, to integrate digital currency capabilities into Rezolve Ai’s Brain Checkout wallet. This collaboration introduces a non-custodial crypto wallet that enables consumers to make purchases using a variety of cryptocurrencies while maintaining full control over their assets. The partnership aims to revolutionize retail payments by eliminating traditional merchant fees - empowering retailers to accept digital currencies directly without incurring high transaction costs. By leveraging Tether’s globally trusted stablecoin infrastructure, Rezolve is enabling instant, secure, and borderless commerce, expanding financial access and improving margins for merchants worldwide.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 and Trends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global proliferation of mobile devices has fundamentally altered the way in which consumers engage with brands and retailers. As of December 31, 2021, there were approximately 5.48 billion unique mobile phone users globally, representing approximately two-thirds of the entire worldwide population. Approximately 92% of these unique mobile users are estimated to have smart phones with internet connectivity. The number of unique mobile phone users with internet connectivity globally has tripled since December 2012.</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massive shift towards a global, mobile economy caused important paradigm shifts with regard to merchant strategy and consumer decision making. In conjunction with the trend of mobile proliferation, consumers tended to interact with merchants primarily through expensive third-party facilitators resulting in both limited consumer engagement and eroded profit margins for merchants. Regardless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64" w:name="page65"/>
    <w:bookmarkEnd w:id="64"/>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of the interaction, consumers prioritize seamless buying interactions and omnichannel purchasing experiences. Merchants prefer direct interactions with consumers to build relationships and better understand consumer purchasing trends; historically, merchants have struggled with meeting consumer needs while managing costs and addressing technical challenges.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Consumers Are Increasingly Engaging Through Digital Channels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Globally, mobile commerce sales during the year ended December 31, 2021 were expected to exceed $3.5 trillion, representing 73% of all e-commerce sales. How consumers discover, learn about and ultimately purchase products has transformed and continues to evolve as technology improves. A consumer may discover a product on social media, learn more about the product through reviews and blogs, physically see the product at a nearby brick-and-mortar store, assess price comparisons of the product using a mobile phone, and ultimately purchase the product from a different merchant.</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Given heightened access to information and data concern for rising inflation, consumers have become increasingly focused and educated on both products and pricing. For example, according to a March 2023 report by INMAR Intelligence, 52% of shoppers find grocery purchase inspiration on social media, almost matching in-store display inspiration at 54%. Consumers have more choices than ever before with regard to what they buy and who they buy from, which has set an extremely high bar for consumer expectations and merchant standards. We believe consumers want an experience and product that allows them to express their own unique personalities, styles and interests. Good consumer experiences drive consumer loyalty and attract new consumers through word of mouth and online reviews. A disappointing consumer experience may result in the permanent loss of customers and irreparable damage to the merchant’s reputation on social media.</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While the growth in digital consumption has increasingly become mainstream for shopping, it has not completely replaced traditional offline purchasing. Consumers have adopted an “Online to Offline,” or O2O model which lends itself to mobile applications. 38% of U.S shoppers start their journey on a smartphone and finish their purchase offline, according to an April 2019 report by RetailMeNot.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Merchants have Lost Connectivity to the End Consumer</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it is imperative for merchants to have a dynamic and comprehensive view of their customers, product, merchandising &amp; marketing strategy and associated data. The proliferation of intermediaries has resulted in a fragmented view of customer wants and needs. For example, according to a January 2022 report, 40% of brands say offering experiential retail would be a top priority for them in the next year, but 57% of these brands say coordinating it will be a top challenge, while 55% of retailers report concerns with respect to driving in-store traffic. To help boost sales, retailers look to sell through online marketplaces such as Amazon, which as of February 2021, represented about 40% of total US retail eCommerce sales. This limited connectivity to the end-consumer puts pressure on profit margins and allows proprietary data to spread to competing platforms. At the same time, the lost interaction deprives a merchant of critical data and direct relationships that help them market to and engage with their customers.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Merchants simultaneously try to interact with consumers at a local level. According to a September 2021 report, 47% of global consumers are likely to buy from brands with a local presence; however, retailers have experienced headwinds while seeking to increase consumer retention and generate repeat traffic to their local stores. Currently, geolocation services are limited given the complicated nature of engaging with local consumers daily. Marketing to multitudes of consumers while providing a frictionless platform from outreach to engagement to eventual purchase can be highly costly and difficult to execute. Merchants therefore seek to actively engage with consumers through omnichannel experiences to maximize connectivity in a cost-efficient manner.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Consumers Expect a Seamless Interaction Between Offline and Online Channels</w:t>
      </w:r>
    </w:p>
    <w:p>
      <w:pPr>
        <w:spacing w:after="0" w:line="1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Consumers expect to be able to seamlessly access a merchant’s online store from their mobile device, tablet and computer, and expect the same breadth of information from online channels as they would receive in a brick-and-mortar store. A merchant’s failure to deliver on any channel can frustrate consumers and lead them to shop elsewhere. The technical requirements to deliver seamless access are complex and ever evolving. As a result, according to a September 2021 report, approximately 53% of global brands are already investing in providing an omnichannel consumer experience, seeking to eliminate friction during the purchasing process and enhance sales. SMBs are also looking to adopt omnichannel strategies but face similar issues regarding complicated data integration and continuous investment. Improving marketing and consumer engagement is important for many brands irrespective of size.</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Merchants Are Struggling to Differentiate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 world where consumers have more choices than ever, differentiating a merchant’s brand takes on increased importance. A merchant needs to stand out from the crowd. If a consumer searches a third-party marketplace or e-Commerce site and selects a merchant’s product from among thousands of search results, the consumer is more likely to remember the brand of the third-party site than the brand of the merchant. The average shopper is increasingly paying close attention to the values of consumer-goods brands.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65" w:name="page66"/>
    <w:bookmarkEnd w:id="65"/>
    <w:p>
      <w:pPr>
        <w:spacing w:after="0" w:line="261" w:lineRule="auto"/>
        <w:rPr>
          <w:sz w:val="20"/>
          <w:szCs w:val="20"/>
          <w:color w:val="auto"/>
        </w:rPr>
      </w:pPr>
      <w:r>
        <w:rPr>
          <w:rFonts w:ascii="Times New Roman" w:cs="Times New Roman" w:eastAsia="Times New Roman" w:hAnsi="Times New Roman"/>
          <w:sz w:val="18"/>
          <w:szCs w:val="18"/>
          <w:color w:val="auto"/>
        </w:rPr>
        <w:t>82% of shoppers want a consumer brand’s values to align with their own, according to an April 2022 report, and 75% of shoppers reported parting ways with a brand over a conflict in values. Experiences that enable merchants to connect directly with consumers allow merchants to make a memorable impression. Globally, 60% of consumers say they will make repeat purchase at a retailer after a personalized shopping experience, according to a June 2021 report.</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 merchant’s brand and personality must shine through in every interaction to help build customer loyalty. Unfortunately, merchants have difficulty in getting consistent data due to fragmented interactions with consumers resulting in difficulties in creating personalized experiences.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Complicated Experiences Result in Lost Opportunities with Consumers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Consumers expect every interaction to be quick, problem-free, intuitive and secure. Consumers will abandon a website that is not loaded quickly and are reluctant to return to a website that has trouble with performance. Consumers tend to hold merchants responsible for the entire retail experience, regardless of whether a merchant or a third party provides the platform. Consumers value their time spent on making purchases and seek to find methods to reduce that time – 76% of consumers say they shop on mobile devices because it “saves them time,” according to a July 2020 report. However, even mobile apps can be time consuming if the sale process is not simple. Merchants that are able to offer one-click engagement, are far less likely to lose the attention of the consumer in the purchasing decision. If a consumer tries to purchase a product from a brick-and-mortar store but in-store inventory is unavailable, a merchant should be able to search its dynamic inventory count and ship the product to the consumer’s home before the consumer looks elsewhere. 46% of global online shoppers confirmed inventory online before shopping offline according to a February 2019 report. In fact, retailers that implemented personalized experiences on-site or through marketing efforts resulted in a 25% sales lift, according to a June 2019 report.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provide an AI- and cloud-based advertising, engagement and commerce platform designed for merchants of all sizes. We are bringing conversational AI to digital retail. Our proprietary LLM has been built specifically with retail in mind, allowing authentic, human-level conversations for sales interactions in any of 95 languages.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platform provides the following key benefits to merchants:</w:t>
      </w:r>
    </w:p>
    <w:p>
      <w:pPr>
        <w:spacing w:after="0" w:line="115" w:lineRule="exact"/>
        <w:rPr>
          <w:sz w:val="20"/>
          <w:szCs w:val="20"/>
          <w:color w:val="auto"/>
        </w:rPr>
      </w:pPr>
    </w:p>
    <w:p>
      <w:pPr>
        <w:ind w:left="1020" w:right="140" w:hanging="503"/>
        <w:spacing w:after="0" w:line="261" w:lineRule="auto"/>
        <w:tabs>
          <w:tab w:leader="none" w:pos="10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eCommerce-Specific AI Platform and Suite—</w:t>
      </w:r>
      <w:r>
        <w:rPr>
          <w:rFonts w:ascii="Times New Roman" w:cs="Times New Roman" w:eastAsia="Times New Roman" w:hAnsi="Times New Roman"/>
          <w:sz w:val="18"/>
          <w:szCs w:val="18"/>
          <w:color w:val="auto"/>
        </w:rPr>
        <w:t>Brain Commerce allows customers, either online or instore, to ask, via voice or text and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96 languages,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w:t>
      </w:r>
    </w:p>
    <w:p>
      <w:pPr>
        <w:spacing w:after="0" w:line="71" w:lineRule="exact"/>
        <w:rPr>
          <w:rFonts w:ascii="Times New Roman" w:cs="Times New Roman" w:eastAsia="Times New Roman" w:hAnsi="Times New Roman"/>
          <w:sz w:val="18"/>
          <w:szCs w:val="18"/>
          <w:b w:val="1"/>
          <w:bCs w:val="1"/>
          <w:color w:val="auto"/>
        </w:rPr>
      </w:pPr>
    </w:p>
    <w:p>
      <w:pPr>
        <w:ind w:left="1020" w:right="120" w:hanging="503"/>
        <w:spacing w:after="0" w:line="255" w:lineRule="auto"/>
        <w:tabs>
          <w:tab w:leader="none" w:pos="10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Instant Checkout. </w:t>
      </w:r>
      <w:r>
        <w:rPr>
          <w:rFonts w:ascii="Times New Roman" w:cs="Times New Roman" w:eastAsia="Times New Roman" w:hAnsi="Times New Roman"/>
          <w:sz w:val="18"/>
          <w:szCs w:val="18"/>
          <w:color w:val="auto"/>
        </w:rPr>
        <w:t>Rezolve’s Brain Checkout allows websites to convert passive browsers into actors or buyers with one click directly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product detail pages on merchant websites. Our Brain Checkout offering includes Buy Now, our commerce solution, and Act Now, our engagement solution. This capability bypasses traditional web checkout portals, collapsing multiple clicks into one or two, allowing our merchants to enable prospective purchasers to immediately convert web and social media browsers without the need for software on consumers’ phones. For example, through Act Now, a consumer could be offered the opportunity to schedule an appointment to test drive a new car immediately upon seeing a broadcast advertisement of the car, or through Buy Now, be offered the opportunity to purchase tickets for a Broadway show that starts in 30 minutes while in close proximity to the theatre. Our solution enables merchants to exploit the moment of maximum attention at the time leading to transactions which otherwise may result in lost transactions.</w:t>
      </w:r>
    </w:p>
    <w:p>
      <w:pPr>
        <w:spacing w:after="0" w:line="76" w:lineRule="exact"/>
        <w:rPr>
          <w:rFonts w:ascii="Times New Roman" w:cs="Times New Roman" w:eastAsia="Times New Roman" w:hAnsi="Times New Roman"/>
          <w:sz w:val="18"/>
          <w:szCs w:val="18"/>
          <w:b w:val="1"/>
          <w:bCs w:val="1"/>
          <w:color w:val="auto"/>
        </w:rPr>
      </w:pPr>
    </w:p>
    <w:p>
      <w:pPr>
        <w:ind w:left="1020" w:right="200" w:hanging="503"/>
        <w:spacing w:after="0" w:line="267" w:lineRule="auto"/>
        <w:tabs>
          <w:tab w:leader="none" w:pos="10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Brain Assistant. </w:t>
      </w:r>
      <w:r>
        <w:rPr>
          <w:rFonts w:ascii="Times New Roman" w:cs="Times New Roman" w:eastAsia="Times New Roman" w:hAnsi="Times New Roman"/>
          <w:sz w:val="18"/>
          <w:szCs w:val="18"/>
          <w:color w:val="auto"/>
        </w:rPr>
        <w:t>Rezolve's Brain Assistant's advanced training allows customers to accelerate onboarding and answer customer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questions directly. Customers can create knowledge bases via Brain Assistant which can be interrogated by staff members who can quickly become subject matter experts.</w:t>
      </w:r>
    </w:p>
    <w:p>
      <w:pPr>
        <w:spacing w:after="0" w:line="65" w:lineRule="exact"/>
        <w:rPr>
          <w:rFonts w:ascii="Times New Roman" w:cs="Times New Roman" w:eastAsia="Times New Roman" w:hAnsi="Times New Roman"/>
          <w:sz w:val="18"/>
          <w:szCs w:val="18"/>
          <w:b w:val="1"/>
          <w:bCs w:val="1"/>
          <w:color w:val="auto"/>
        </w:rPr>
      </w:pPr>
    </w:p>
    <w:p>
      <w:pPr>
        <w:ind w:left="1020" w:right="120" w:hanging="503"/>
        <w:spacing w:after="0" w:line="258" w:lineRule="auto"/>
        <w:tabs>
          <w:tab w:leader="none" w:pos="10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Brainpowa LLM. </w:t>
      </w:r>
      <w:r>
        <w:rPr>
          <w:rFonts w:ascii="Times New Roman" w:cs="Times New Roman" w:eastAsia="Times New Roman" w:hAnsi="Times New Roman"/>
          <w:sz w:val="18"/>
          <w:szCs w:val="18"/>
          <w:color w:val="auto"/>
        </w:rPr>
        <w:t>Rezolve's brainpowa LLM has been engineered for commerce. The propriety LLM harnesses over 300 billion tokens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billion parameters to deliver unmatched specialized results. Rezolve's model is the first to ensure accurate LLM responses by eliminating hallucinations through patented validation, while real-time monitoring and feedback loops control model drift and enable continuous fine tuning. This results in unmatched extraction capabilities for our key information, delivering precise classification and content creation while enhancing product enrichment and taxonomy for optimized performance.</w:t>
      </w:r>
    </w:p>
    <w:p>
      <w:pPr>
        <w:spacing w:after="0" w:line="75" w:lineRule="exact"/>
        <w:rPr>
          <w:rFonts w:ascii="Times New Roman" w:cs="Times New Roman" w:eastAsia="Times New Roman" w:hAnsi="Times New Roman"/>
          <w:sz w:val="18"/>
          <w:szCs w:val="18"/>
          <w:b w:val="1"/>
          <w:bCs w:val="1"/>
          <w:color w:val="auto"/>
        </w:rPr>
      </w:pPr>
    </w:p>
    <w:p>
      <w:pPr>
        <w:ind w:left="1020" w:right="40" w:hanging="503"/>
        <w:spacing w:after="0" w:line="258" w:lineRule="auto"/>
        <w:tabs>
          <w:tab w:leader="none" w:pos="10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Omnichannel Interactions. </w:t>
      </w:r>
      <w:r>
        <w:rPr>
          <w:rFonts w:ascii="Times New Roman" w:cs="Times New Roman" w:eastAsia="Times New Roman" w:hAnsi="Times New Roman"/>
          <w:sz w:val="18"/>
          <w:szCs w:val="18"/>
          <w:color w:val="auto"/>
        </w:rPr>
        <w:t>The Rezolve platform provides multiple opportunities for interaction. For example, triggers can include a location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GeoZone, which is a location-based marketing tool, an audio cue “watermarked” in broadcast or streaming media, a visual image cue in posters, print ads or product labels, proximity beacons, direct touch links or QR-codes. The resulting trigger can drive instant transactions on a consumer’s mobile device ranging from a product purchase, a reservation at a restaurant, an electronic ticketing for an event, or other promotional offers.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6" w:name="page67"/>
    <w:bookmarkEnd w:id="66"/>
    <w:p>
      <w:pPr>
        <w:ind w:left="503" w:hanging="503"/>
        <w:spacing w:after="0" w:line="261" w:lineRule="auto"/>
        <w:tabs>
          <w:tab w:leader="none" w:pos="503"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Direct Brand Engagement</w:t>
      </w:r>
      <w:r>
        <w:rPr>
          <w:rFonts w:ascii="Times New Roman" w:cs="Times New Roman" w:eastAsia="Times New Roman" w:hAnsi="Times New Roman"/>
          <w:sz w:val="18"/>
          <w:szCs w:val="18"/>
          <w:color w:val="auto"/>
        </w:rPr>
        <w:t>. We deliver a comprehensive commerce and engagement platform that allows merchants to easily create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engagements with consumers via their mobile phone. A merchant is able to manage user experience and encourage engagement with end-consumers based on personalized context. By incorporating Rezolve into a merchant’s application, a merchant can build brand awareness and loyalty within its customer base.</w:t>
      </w:r>
    </w:p>
    <w:p>
      <w:pPr>
        <w:spacing w:after="0" w:line="71" w:lineRule="exact"/>
        <w:rPr>
          <w:rFonts w:ascii="Times New Roman" w:cs="Times New Roman" w:eastAsia="Times New Roman" w:hAnsi="Times New Roman"/>
          <w:sz w:val="18"/>
          <w:szCs w:val="18"/>
          <w:b w:val="1"/>
          <w:bCs w:val="1"/>
          <w:color w:val="auto"/>
        </w:rPr>
      </w:pPr>
    </w:p>
    <w:p>
      <w:pPr>
        <w:ind w:left="503" w:hanging="503"/>
        <w:spacing w:after="0" w:line="254" w:lineRule="auto"/>
        <w:tabs>
          <w:tab w:leader="none" w:pos="503"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Seamless Integration with Existing Applications. </w:t>
      </w:r>
      <w:r>
        <w:rPr>
          <w:rFonts w:ascii="Times New Roman" w:cs="Times New Roman" w:eastAsia="Times New Roman" w:hAnsi="Times New Roman"/>
          <w:sz w:val="18"/>
          <w:szCs w:val="18"/>
          <w:color w:val="auto"/>
        </w:rPr>
        <w:t>We expect the Rezolve solution to be able to be integrated with a merchant’s application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expect it to require minimal time or training to implement and use. Once our solution is integrated, merchants can easily establish geographic triggers, called GeoZones, establish watermarks in an image or audio file, or activate another mobile trigger (such as a beacon) using our SaaS platform. Our consumer-friendly application </w:t>
      </w:r>
      <w:r>
        <w:rPr>
          <w:rFonts w:ascii="Times New Roman" w:cs="Times New Roman" w:eastAsia="Times New Roman" w:hAnsi="Times New Roman"/>
          <w:sz w:val="18"/>
          <w:szCs w:val="18"/>
          <w:i w:val="1"/>
          <w:iCs w:val="1"/>
          <w:color w:val="auto"/>
        </w:rPr>
        <w:t>Shop Beautiful</w:t>
      </w:r>
      <w:r>
        <w:rPr>
          <w:rFonts w:ascii="Times New Roman" w:cs="Times New Roman" w:eastAsia="Times New Roman" w:hAnsi="Times New Roman"/>
          <w:sz w:val="18"/>
          <w:szCs w:val="18"/>
          <w:color w:val="auto"/>
        </w:rPr>
        <w:t xml:space="preserve"> integrates seamlessly with brands helping generate immediate consumer engagement. Additionally, Rezolve’s interface is already available on a number of platforms such as Apple iOS and Google Android and is integrated with certain mobile applications available on those platforms, including WeChat. We expect that this will make it easy for both merchants and consumers to use the Rezolve platform. We expect merchants will be able to add Rezolve technology to their platforms and gain access to a self-service portal where they can manage their campaigns all on one dashboard, and consumers with access to existing and widely used mobile applications have the benefit of the Rezolve platform without additional installation.</w:t>
      </w:r>
    </w:p>
    <w:p>
      <w:pPr>
        <w:spacing w:after="0" w:line="80" w:lineRule="exact"/>
        <w:rPr>
          <w:rFonts w:ascii="Times New Roman" w:cs="Times New Roman" w:eastAsia="Times New Roman" w:hAnsi="Times New Roman"/>
          <w:sz w:val="18"/>
          <w:szCs w:val="18"/>
          <w:b w:val="1"/>
          <w:bCs w:val="1"/>
          <w:color w:val="auto"/>
        </w:rPr>
      </w:pPr>
    </w:p>
    <w:p>
      <w:pPr>
        <w:ind w:left="503" w:right="20" w:hanging="503"/>
        <w:spacing w:after="0" w:line="257" w:lineRule="auto"/>
        <w:tabs>
          <w:tab w:leader="none" w:pos="503"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Actionable Analytics and Insights</w:t>
      </w:r>
      <w:r>
        <w:rPr>
          <w:rFonts w:ascii="Times New Roman" w:cs="Times New Roman" w:eastAsia="Times New Roman" w:hAnsi="Times New Roman"/>
          <w:sz w:val="18"/>
          <w:szCs w:val="18"/>
          <w:color w:val="auto"/>
        </w:rPr>
        <w:t>. With our platform, we expect merchants will be able to receive direct insights into consumer behavior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often not shared by third-party intermediaries. For example, when consumers use a third-party service for food delivery, the third-party delivery service has access to information on the customers’ preferences on where to eat, what time they usually order food and the average amount spent per order. These are insights that merchants can use to improve their consumers’ experiences and to enhance their marketing targets. However, the third-party delivery service does not share all of this information with its merchants. Our platform aims to fix this gap in information access by equipping merchants with insights to make more informed decisions to drive further engagement and brand affinity.</w:t>
      </w:r>
    </w:p>
    <w:p>
      <w:pPr>
        <w:spacing w:after="0" w:line="74" w:lineRule="exact"/>
        <w:rPr>
          <w:rFonts w:ascii="Times New Roman" w:cs="Times New Roman" w:eastAsia="Times New Roman" w:hAnsi="Times New Roman"/>
          <w:sz w:val="18"/>
          <w:szCs w:val="18"/>
          <w:b w:val="1"/>
          <w:bCs w:val="1"/>
          <w:color w:val="auto"/>
        </w:rPr>
      </w:pPr>
    </w:p>
    <w:p>
      <w:pPr>
        <w:ind w:left="503" w:right="140" w:hanging="503"/>
        <w:spacing w:after="0" w:line="258" w:lineRule="auto"/>
        <w:tabs>
          <w:tab w:leader="none" w:pos="503"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 Frictionless Consumer Experience</w:t>
      </w:r>
      <w:r>
        <w:rPr>
          <w:rFonts w:ascii="Times New Roman" w:cs="Times New Roman" w:eastAsia="Times New Roman" w:hAnsi="Times New Roman"/>
          <w:sz w:val="18"/>
          <w:szCs w:val="18"/>
          <w:color w:val="auto"/>
        </w:rPr>
        <w:t>. We expect that our platform will provide consumers with an intuitive and immediate user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only need a mobile phone (for Rezolve Instant Checkout, SmartLinks and SmartCodes) or a device that has an application with our technology embedded to allow consumers to interact with a trigger such as location, audio, or a beacon to transact. The consumer can also be prompted with proximity-based notifications highlighting relevant advertisements or transactions. Consumers benefit from real time awareness and engagement with relevant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129540</wp:posOffset>
            </wp:positionV>
            <wp:extent cx="5349240" cy="37719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34924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18" w:right="359"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1348105</wp:posOffset>
            </wp:positionH>
            <wp:positionV relativeFrom="page">
              <wp:posOffset>791845</wp:posOffset>
            </wp:positionV>
            <wp:extent cx="5332095" cy="37630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332095" cy="376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654685</wp:posOffset>
            </wp:positionV>
            <wp:extent cx="5717540" cy="40290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17540" cy="402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agreements with distribution and consumer-facing networks, which we refer to as our Channels, to sign up merchants to the Rezolve platform.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Channels also receive significant benefits from deploying our solutions to their merchant base.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Opportunity</w:t>
      </w:r>
    </w:p>
    <w:p>
      <w:pPr>
        <w:spacing w:after="0" w:line="3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we have a significant opportunity to transform how retail customers discover, engage and shop online. Our mobile commerce provides a natural interactive experience for your customers where they may enjoy a conversational approach to shopping.</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enterprise SaaS commerce platform has a global reach including in our key geographies: United States, Latin America, and Europe. We believe that there are significant geographies and distribution channels to expand to as we establish new strategic alliances in new geographies.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3 of 2025, initially in Europe and the USA. Revenues from Brain Commerce are also forecast to begin in Q3 2025, increasing significantly in Q4 2025. We also expect to generate revenues in Q4 2025 in South America and the Asia. We expect revenues to increase in 2026 through our signed partner agreements with Microsoft, Google and others. For additional information regarding the partner agreements, see “—Partner Agreements”.</w:t>
      </w:r>
    </w:p>
    <w:p>
      <w:pPr>
        <w:spacing w:after="0" w:line="18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Following the completion of the Pre-Closing Demerger, we ceased operations in China and are currently focused on growing our footprint in other geographic markets, but at a future date, we will consider re-engaging with the Chinese market.</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initially entered the Chinese market in 2016 in order to trial the Rezolve platform on a large scale. This was done with support from China Union Pay (“CUP”) and Allinpay (“AP”). Rezolve’s former subsidiary, Rezolve Information Technology (Shanghai) Limited (“Rezolve Shanghai”) is a Wholly owned Foreign Entity (“WoFE”), which limits its influence locally in China. A WoFE in</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ind w:right="160"/>
        <w:spacing w:after="0" w:line="261" w:lineRule="auto"/>
        <w:rPr>
          <w:sz w:val="20"/>
          <w:szCs w:val="20"/>
          <w:color w:val="auto"/>
        </w:rPr>
      </w:pPr>
      <w:r>
        <w:rPr>
          <w:rFonts w:ascii="Times New Roman" w:cs="Times New Roman" w:eastAsia="Times New Roman" w:hAnsi="Times New Roman"/>
          <w:sz w:val="18"/>
          <w:szCs w:val="18"/>
          <w:color w:val="auto"/>
        </w:rPr>
        <w:t>China must generally contract with a local third-party company if it wants to do business with a state-owned enterprise (“SOE”), such as CUP. This requirement is part of the foreign investment restrictions and regulations in China that aim to protect local interests and limit foreign control over certain sectors of the economy.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in the future, a new Rezolve entity can be accredited to operate directly with CUP and AP, the board will consider re-entering the China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current focus is on rolling out our technologies with partners in other markets around the world.</w:t>
      </w:r>
    </w:p>
    <w:p>
      <w:pPr>
        <w:spacing w:after="0" w:line="207"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 believe Rezolve’s Brain Commerce, Brain Checkout and Brain Assistant offerings will operate in large global market opportunities. We believe Rezolve’s Brain Commerce can supplement existing retailer site search platforms and that AI enabled search platforms, like Rezolve’s will replace all existing retailer site search platforms.</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 the global economy becomes more connected and transactions become increasingly digital, retail spend is expected to continue growing in the coming years. Buy Now participates in a $250 billion retail sales market (applying Rezolve’s 1.0% transaction fee to the $25 trillion in global retail sales in 2021). According to eMarketer’s 2021 Global Ecommerce Forecast, global retail sales are projected to grow at a 5% CAGR to $30 trillion by 2025.</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believe that the market for our GeoZone offering can be measured as a proxy of global location based advertising, which is poised for rapid growth over the next few years as it is expected to become a widespread advertising practice. Global location based advertising spending was approximately $80.5 billion in 2022 and is expected to grow at a 13.3% CAGR to $219.4 billion in 2027 according to a Global Industry Analysts report.</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Location-based advertising allows organizations to target consumers at a granular, consumer level with online or offline messaging based on their physical location. Location-based marketing has become an important and high ROI method of customer engagement as smartphone user penetration rates increase globally. Using location data through smartphone geolocators, marketing teams are able to reach consumers based on qualifiers like proximity to a store, events happening in their region, and more.</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Location-based marketing has proven effective across customer lifecycles from discovery and purchase to engagement and retention. When used properly, location-based marketing allows marketers to focus on specific customer segments with targeted offers, while improving customer experience for a population that increasingly values instant gratification.</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Search advertising, which is targeted marketing based on search terms, or keywords, entered on a search engine, allows advertisers to target consumers and tailor advertisements based on their search history and consumer profiles. Search advertising has expanded over the recent years as mobile search has started to outpace desktop searches in 2021 according to Statista’s Digital Market Outlook. Consumers continue to use search engines as a primary means of buying decisions and is a mainstay for most businesses.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web search statistics:</w:t>
      </w:r>
    </w:p>
    <w:p>
      <w:pPr>
        <w:spacing w:after="0" w:line="117"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98% of consumers use the Internet to find a local business in 2022. (BrightLocal survey)</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76% of consumers “always” or “regularly” read online reviews for local businesses. (BrightLocal survey)</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29% of consumers search for local businesses at least every week. (BrightLocal survey)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our strategy include:</w:t>
      </w:r>
    </w:p>
    <w:p>
      <w:pPr>
        <w:spacing w:after="0" w:line="115" w:lineRule="exact"/>
        <w:rPr>
          <w:sz w:val="20"/>
          <w:szCs w:val="20"/>
          <w:color w:val="auto"/>
        </w:rPr>
      </w:pPr>
    </w:p>
    <w:p>
      <w:pPr>
        <w:ind w:left="1020" w:right="140" w:hanging="503"/>
        <w:spacing w:after="0" w:line="267" w:lineRule="auto"/>
        <w:tabs>
          <w:tab w:leader="none" w:pos="102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Scaling Existing Channels. </w:t>
      </w:r>
      <w:r>
        <w:rPr>
          <w:rFonts w:ascii="Times New Roman" w:cs="Times New Roman" w:eastAsia="Times New Roman" w:hAnsi="Times New Roman"/>
          <w:sz w:val="18"/>
          <w:szCs w:val="18"/>
          <w:color w:val="auto"/>
        </w:rPr>
        <w:t>We believe that we have a significant opportunity to work with our existing Channels to grow their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We intend to continue to strategically invest in marketing and strategic relationships. Our existing Channels deliver an opportunity for growth in the near term within our existing geographies and current platform.</w:t>
      </w:r>
    </w:p>
    <w:p>
      <w:pPr>
        <w:spacing w:after="0" w:line="65" w:lineRule="exact"/>
        <w:rPr>
          <w:rFonts w:ascii="Times New Roman" w:cs="Times New Roman" w:eastAsia="Times New Roman" w:hAnsi="Times New Roman"/>
          <w:sz w:val="18"/>
          <w:szCs w:val="18"/>
          <w:i w:val="1"/>
          <w:iCs w:val="1"/>
          <w:color w:val="auto"/>
        </w:rPr>
      </w:pPr>
    </w:p>
    <w:p>
      <w:pPr>
        <w:ind w:left="1020" w:right="40" w:hanging="503"/>
        <w:spacing w:after="0" w:line="267" w:lineRule="auto"/>
        <w:tabs>
          <w:tab w:leader="none" w:pos="102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Win New Channels</w:t>
      </w:r>
      <w:r>
        <w:rPr>
          <w:rFonts w:ascii="Times New Roman" w:cs="Times New Roman" w:eastAsia="Times New Roman" w:hAnsi="Times New Roman"/>
          <w:sz w:val="18"/>
          <w:szCs w:val="18"/>
          <w:color w:val="auto"/>
        </w:rPr>
        <w:t>. We see significant potential in opening up new distribution channels in other markets, such as Telcos and banks, who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will be able to replicate the success we are experiencing in our current markets. Opening new distribution channels will allow us to accelerate our growth.</w:t>
      </w:r>
    </w:p>
    <w:p>
      <w:pPr>
        <w:spacing w:after="0" w:line="65" w:lineRule="exact"/>
        <w:rPr>
          <w:rFonts w:ascii="Times New Roman" w:cs="Times New Roman" w:eastAsia="Times New Roman" w:hAnsi="Times New Roman"/>
          <w:sz w:val="18"/>
          <w:szCs w:val="18"/>
          <w:i w:val="1"/>
          <w:iCs w:val="1"/>
          <w:color w:val="auto"/>
        </w:rPr>
      </w:pPr>
    </w:p>
    <w:p>
      <w:pPr>
        <w:ind w:left="1020" w:right="380" w:hanging="503"/>
        <w:spacing w:after="0" w:line="267" w:lineRule="auto"/>
        <w:tabs>
          <w:tab w:leader="none" w:pos="102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New Offering Features</w:t>
      </w:r>
      <w:r>
        <w:rPr>
          <w:rFonts w:ascii="Times New Roman" w:cs="Times New Roman" w:eastAsia="Times New Roman" w:hAnsi="Times New Roman"/>
          <w:sz w:val="18"/>
          <w:szCs w:val="18"/>
          <w:color w:val="auto"/>
        </w:rPr>
        <w:t>. We plan to add to and expand our platform with further functionality including live event notifications, dynamic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coupons, more personalization and personal experiences as well as provided artificial intelligence layers to enable more convenient and segmented merchandising.</w:t>
      </w:r>
    </w:p>
    <w:p>
      <w:pPr>
        <w:spacing w:after="0" w:line="65" w:lineRule="exact"/>
        <w:rPr>
          <w:rFonts w:ascii="Times New Roman" w:cs="Times New Roman" w:eastAsia="Times New Roman" w:hAnsi="Times New Roman"/>
          <w:sz w:val="18"/>
          <w:szCs w:val="18"/>
          <w:i w:val="1"/>
          <w:iCs w:val="1"/>
          <w:color w:val="auto"/>
        </w:rPr>
      </w:pPr>
    </w:p>
    <w:p>
      <w:pPr>
        <w:ind w:left="1020" w:hanging="503"/>
        <w:spacing w:after="0" w:line="284" w:lineRule="auto"/>
        <w:tabs>
          <w:tab w:leader="none" w:pos="102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Upsell/Cross Sell</w:t>
      </w:r>
      <w:r>
        <w:rPr>
          <w:rFonts w:ascii="Times New Roman" w:cs="Times New Roman" w:eastAsia="Times New Roman" w:hAnsi="Times New Roman"/>
          <w:sz w:val="18"/>
          <w:szCs w:val="18"/>
          <w:color w:val="auto"/>
        </w:rPr>
        <w:t>. We expect to further penetrate our customer base. We intend to expand direct and indirect sales capabilities, drive dynamic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segmentation capabilities, introduce analytics to improve customer insights and</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0" w:name="page71"/>
    <w:bookmarkEnd w:id="70"/>
    <w:p>
      <w:pPr>
        <w:ind w:left="1020" w:right="60"/>
        <w:spacing w:after="0" w:line="282" w:lineRule="auto"/>
        <w:rPr>
          <w:sz w:val="20"/>
          <w:szCs w:val="20"/>
          <w:color w:val="auto"/>
        </w:rPr>
      </w:pPr>
      <w:r>
        <w:rPr>
          <w:rFonts w:ascii="Times New Roman" w:cs="Times New Roman" w:eastAsia="Times New Roman" w:hAnsi="Times New Roman"/>
          <w:sz w:val="18"/>
          <w:szCs w:val="18"/>
          <w:color w:val="auto"/>
        </w:rPr>
        <w:t>improve customer lifetime value. Combined with additional functionalities and offering capabilities, we expect to upsell and cross sell across our new merchants, increasing our revenues.</w:t>
      </w:r>
    </w:p>
    <w:p>
      <w:pPr>
        <w:spacing w:after="0" w:line="52" w:lineRule="exact"/>
        <w:rPr>
          <w:sz w:val="20"/>
          <w:szCs w:val="20"/>
          <w:color w:val="auto"/>
        </w:rPr>
      </w:pPr>
    </w:p>
    <w:p>
      <w:pPr>
        <w:ind w:left="1020" w:right="480" w:hanging="503"/>
        <w:spacing w:after="0" w:line="284" w:lineRule="auto"/>
        <w:tabs>
          <w:tab w:leader="none" w:pos="102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Enter New Geographies</w:t>
      </w:r>
      <w:r>
        <w:rPr>
          <w:rFonts w:ascii="Times New Roman" w:cs="Times New Roman" w:eastAsia="Times New Roman" w:hAnsi="Times New Roman"/>
          <w:sz w:val="18"/>
          <w:szCs w:val="18"/>
          <w:color w:val="auto"/>
        </w:rPr>
        <w:t>. We intend to capitalize on our global growth momentum in India, the U.S., Latin America, East Asia, broader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Europe, Australia, Canada and Brazil.</w:t>
      </w:r>
    </w:p>
    <w:p>
      <w:pPr>
        <w:spacing w:after="0" w:line="50" w:lineRule="exact"/>
        <w:rPr>
          <w:rFonts w:ascii="Times New Roman" w:cs="Times New Roman" w:eastAsia="Times New Roman" w:hAnsi="Times New Roman"/>
          <w:sz w:val="18"/>
          <w:szCs w:val="18"/>
          <w:i w:val="1"/>
          <w:iCs w:val="1"/>
          <w:color w:val="auto"/>
        </w:rPr>
      </w:pPr>
    </w:p>
    <w:p>
      <w:pPr>
        <w:ind w:left="1020" w:hanging="503"/>
        <w:spacing w:after="0" w:line="258" w:lineRule="auto"/>
        <w:tabs>
          <w:tab w:leader="none" w:pos="102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Strategic Acquisitions</w:t>
      </w:r>
      <w:r>
        <w:rPr>
          <w:rFonts w:ascii="Times New Roman" w:cs="Times New Roman" w:eastAsia="Times New Roman" w:hAnsi="Times New Roman"/>
          <w:sz w:val="18"/>
          <w:szCs w:val="18"/>
          <w:color w:val="auto"/>
        </w:rPr>
        <w:t>. We intend to selectively pursue acquisitions that enhance our existing platform capabilities and are consistent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overall growth strategy, although we currently have no agreements, commitments or understandings with respect to any such transaction. We may consider different-stage technology companies which can complement our global AI-enabled technology, customer and partner ecosystem, increase our customer base and market reach, enhance revenue, expand access to merchants and diversify our offerings and leverage synergies.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Rezolve Platform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cloud-based Rezolve AI platform integrates the features and functionalities that merchants need to seamlessly transact across different Channels.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Capabilities include:</w:t>
      </w:r>
    </w:p>
    <w:p>
      <w:pPr>
        <w:spacing w:after="0" w:line="97" w:lineRule="exact"/>
        <w:rPr>
          <w:sz w:val="20"/>
          <w:szCs w:val="20"/>
          <w:color w:val="auto"/>
        </w:rPr>
      </w:pPr>
    </w:p>
    <w:p>
      <w:pPr>
        <w:ind w:left="1020" w:right="100" w:hanging="503"/>
        <w:spacing w:after="0" w:line="256" w:lineRule="auto"/>
        <w:tabs>
          <w:tab w:leader="none" w:pos="1020"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Ecommerce Chat and Search. </w:t>
      </w:r>
      <w:r>
        <w:rPr>
          <w:rFonts w:ascii="Times New Roman" w:cs="Times New Roman" w:eastAsia="Times New Roman" w:hAnsi="Times New Roman"/>
          <w:sz w:val="18"/>
          <w:szCs w:val="18"/>
          <w:color w:val="auto"/>
        </w:rPr>
        <w:t>Rezolve’s</w:t>
      </w:r>
      <w:r>
        <w:rPr>
          <w:rFonts w:ascii="Times New Roman" w:cs="Times New Roman" w:eastAsia="Times New Roman" w:hAnsi="Times New Roman"/>
          <w:sz w:val="18"/>
          <w:szCs w:val="18"/>
          <w:i w:val="1"/>
          <w:iCs w:val="1"/>
          <w:color w:val="auto"/>
        </w:rPr>
        <w:t xml:space="preserve"> Brain Commerce </w:t>
      </w:r>
      <w:r>
        <w:rPr>
          <w:rFonts w:ascii="Times New Roman" w:cs="Times New Roman" w:eastAsia="Times New Roman" w:hAnsi="Times New Roman"/>
          <w:sz w:val="18"/>
          <w:szCs w:val="18"/>
          <w:color w:val="auto"/>
        </w:rPr>
        <w:t>allows customers, either online or instore, to interact naturally in a conversational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similar to engaging via a highly knowledgeable and customer centric store colleague, via voice or text and in 95 languages. Customers can ask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 Our UI and frontend is fully responsive with a multi-tenant configuration that can be embedded and easily setup via the Rezolve Experience Portal (RXP) in merchant store sites with RESTful endpoints, and connection to most popular eCommerce platforms out of the box (e.g. Shopify ,WooCommerce, Magento etc.).</w:t>
      </w:r>
    </w:p>
    <w:p>
      <w:pPr>
        <w:spacing w:after="0" w:line="74" w:lineRule="exact"/>
        <w:rPr>
          <w:rFonts w:ascii="Times New Roman" w:cs="Times New Roman" w:eastAsia="Times New Roman" w:hAnsi="Times New Roman"/>
          <w:sz w:val="18"/>
          <w:szCs w:val="18"/>
          <w:i w:val="1"/>
          <w:iCs w:val="1"/>
          <w:color w:val="auto"/>
        </w:rPr>
      </w:pPr>
    </w:p>
    <w:p>
      <w:pPr>
        <w:ind w:left="1020" w:right="80" w:hanging="503"/>
        <w:spacing w:after="0" w:line="261" w:lineRule="auto"/>
        <w:tabs>
          <w:tab w:leader="none" w:pos="1020"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Customer Loyalty Programs. </w:t>
      </w:r>
      <w:r>
        <w:rPr>
          <w:rFonts w:ascii="Times New Roman" w:cs="Times New Roman" w:eastAsia="Times New Roman" w:hAnsi="Times New Roman"/>
          <w:sz w:val="18"/>
          <w:szCs w:val="18"/>
          <w:color w:val="auto"/>
        </w:rPr>
        <w:t>We expect to bring together merchants and consumers with the goal of empowering merchants to engage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with their customers and not solely through third-party intermediaries. By enabling direct consumer engagement, merchants are able to build customer loyalty and can launch campaigns or targeted offers through the Brain Checkout with a higher level of engagement and relevancy.</w:t>
      </w:r>
    </w:p>
    <w:p>
      <w:pPr>
        <w:spacing w:after="0" w:line="72" w:lineRule="exact"/>
        <w:rPr>
          <w:sz w:val="20"/>
          <w:szCs w:val="20"/>
          <w:color w:val="auto"/>
        </w:rPr>
      </w:pPr>
    </w:p>
    <w:p>
      <w:pPr>
        <w:ind w:left="1020" w:right="40" w:hanging="503"/>
        <w:spacing w:after="0" w:line="267" w:lineRule="auto"/>
        <w:tabs>
          <w:tab w:leader="none" w:pos="102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Direct Customer Insights</w:t>
      </w:r>
      <w:r>
        <w:rPr>
          <w:rFonts w:ascii="Times New Roman" w:cs="Times New Roman" w:eastAsia="Times New Roman" w:hAnsi="Times New Roman"/>
          <w:sz w:val="18"/>
          <w:szCs w:val="18"/>
          <w:color w:val="auto"/>
        </w:rPr>
        <w:t>. We expect our platform to provide merchants with direct access to their customers and their key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shopping preferences, which they can use to drive further consumer engagement. For brands that typically sell their products through third-party intermediaries, these insights are useful for building brand affinity and loyalty.</w:t>
      </w:r>
    </w:p>
    <w:p>
      <w:pPr>
        <w:spacing w:after="0" w:line="65" w:lineRule="exact"/>
        <w:rPr>
          <w:rFonts w:ascii="Times New Roman" w:cs="Times New Roman" w:eastAsia="Times New Roman" w:hAnsi="Times New Roman"/>
          <w:sz w:val="18"/>
          <w:szCs w:val="18"/>
          <w:i w:val="1"/>
          <w:iCs w:val="1"/>
          <w:color w:val="auto"/>
        </w:rPr>
      </w:pPr>
    </w:p>
    <w:p>
      <w:pPr>
        <w:ind w:left="1020" w:right="40" w:hanging="503"/>
        <w:spacing w:after="0" w:line="284" w:lineRule="auto"/>
        <w:tabs>
          <w:tab w:leader="none" w:pos="102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Mobile Vouchering</w:t>
      </w:r>
      <w:r>
        <w:rPr>
          <w:rFonts w:ascii="Times New Roman" w:cs="Times New Roman" w:eastAsia="Times New Roman" w:hAnsi="Times New Roman"/>
          <w:sz w:val="18"/>
          <w:szCs w:val="18"/>
          <w:color w:val="auto"/>
        </w:rPr>
        <w:t>. We expect to enable merchants to be more flexible in their offerings to consumers. With the Rezolve platform integrated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merchants’ apps, consumers are able to scan products and buy them through the app, eliminating the need to wait online in retail stores.</w:t>
      </w:r>
    </w:p>
    <w:p>
      <w:pPr>
        <w:spacing w:after="0" w:line="50" w:lineRule="exact"/>
        <w:rPr>
          <w:rFonts w:ascii="Times New Roman" w:cs="Times New Roman" w:eastAsia="Times New Roman" w:hAnsi="Times New Roman"/>
          <w:sz w:val="18"/>
          <w:szCs w:val="18"/>
          <w:i w:val="1"/>
          <w:iCs w:val="1"/>
          <w:color w:val="auto"/>
        </w:rPr>
      </w:pPr>
    </w:p>
    <w:p>
      <w:pPr>
        <w:ind w:left="1020" w:right="140" w:hanging="503"/>
        <w:spacing w:after="0" w:line="284" w:lineRule="auto"/>
        <w:tabs>
          <w:tab w:leader="none" w:pos="102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Retailer Point-of-Sale / Back office. </w:t>
      </w:r>
      <w:r>
        <w:rPr>
          <w:rFonts w:ascii="Times New Roman" w:cs="Times New Roman" w:eastAsia="Times New Roman" w:hAnsi="Times New Roman"/>
          <w:sz w:val="18"/>
          <w:szCs w:val="18"/>
          <w:color w:val="auto"/>
        </w:rPr>
        <w:t>We expect to provide merchants with a self-service portal, featuring an accessible dashboard to manage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shoppable campaigns and to track consumers’ shopping trends.</w:t>
      </w:r>
    </w:p>
    <w:p>
      <w:pPr>
        <w:spacing w:after="0" w:line="50" w:lineRule="exact"/>
        <w:rPr>
          <w:rFonts w:ascii="Times New Roman" w:cs="Times New Roman" w:eastAsia="Times New Roman" w:hAnsi="Times New Roman"/>
          <w:sz w:val="18"/>
          <w:szCs w:val="18"/>
          <w:i w:val="1"/>
          <w:iCs w:val="1"/>
          <w:color w:val="auto"/>
        </w:rPr>
      </w:pPr>
    </w:p>
    <w:p>
      <w:pPr>
        <w:ind w:left="1020" w:right="200" w:hanging="503"/>
        <w:spacing w:after="0" w:line="315" w:lineRule="auto"/>
        <w:tabs>
          <w:tab w:leader="none" w:pos="1020" w:val="left"/>
        </w:tabs>
        <w:numPr>
          <w:ilvl w:val="0"/>
          <w:numId w:val="5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Mobile Payments. </w:t>
      </w:r>
      <w:r>
        <w:rPr>
          <w:rFonts w:ascii="Times New Roman" w:cs="Times New Roman" w:eastAsia="Times New Roman" w:hAnsi="Times New Roman"/>
          <w:sz w:val="17"/>
          <w:szCs w:val="17"/>
          <w:color w:val="auto"/>
        </w:rPr>
        <w:t>We expect to enhance merchants’ platforms by making the checkout process frictionless. Consumers only need a mobile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device to use the Rezolve platform to instantly buy products that are featured in advertisements or scan and buy products in retail stores.</w:t>
      </w:r>
    </w:p>
    <w:p>
      <w:pPr>
        <w:spacing w:after="0" w:line="26" w:lineRule="exact"/>
        <w:rPr>
          <w:rFonts w:ascii="Times New Roman" w:cs="Times New Roman" w:eastAsia="Times New Roman" w:hAnsi="Times New Roman"/>
          <w:sz w:val="17"/>
          <w:szCs w:val="17"/>
          <w:i w:val="1"/>
          <w:iCs w:val="1"/>
          <w:color w:val="auto"/>
        </w:rPr>
      </w:pPr>
    </w:p>
    <w:p>
      <w:pPr>
        <w:ind w:left="1020" w:right="140" w:hanging="503"/>
        <w:spacing w:after="0" w:line="267" w:lineRule="auto"/>
        <w:tabs>
          <w:tab w:leader="none" w:pos="102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Ability to Pay Online or Offline. </w:t>
      </w:r>
      <w:r>
        <w:rPr>
          <w:rFonts w:ascii="Times New Roman" w:cs="Times New Roman" w:eastAsia="Times New Roman" w:hAnsi="Times New Roman"/>
          <w:sz w:val="18"/>
          <w:szCs w:val="18"/>
          <w:color w:val="auto"/>
        </w:rPr>
        <w:t>We expect to offer instant salesware through one-click checkouts that enable seamless transactions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 Consumers are able to find offers nearby and browse through products both online and offline. For local offers, consumers can simply go into the brick-and-mortar stores or can order through an app.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Engagement Opportunities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our platform to integrate with and address the following engagement opportunities:</w:t>
      </w:r>
    </w:p>
    <w:p>
      <w:pPr>
        <w:spacing w:after="0" w:line="115" w:lineRule="exact"/>
        <w:rPr>
          <w:sz w:val="20"/>
          <w:szCs w:val="20"/>
          <w:color w:val="auto"/>
        </w:rPr>
      </w:pPr>
    </w:p>
    <w:p>
      <w:pPr>
        <w:ind w:left="760" w:hanging="513"/>
        <w:spacing w:after="0"/>
        <w:tabs>
          <w:tab w:leader="none" w:pos="76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Chat and Search</w:t>
      </w:r>
      <w:r>
        <w:rPr>
          <w:rFonts w:ascii="Times New Roman" w:cs="Times New Roman" w:eastAsia="Times New Roman" w:hAnsi="Times New Roman"/>
          <w:sz w:val="18"/>
          <w:szCs w:val="18"/>
          <w:color w:val="auto"/>
        </w:rPr>
        <w:t>. Merchants can interact naturally with customers via Brain Commerc</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i w:val="1"/>
          <w:iCs w:val="1"/>
          <w:color w:val="auto"/>
        </w:rPr>
      </w:pPr>
    </w:p>
    <w:p>
      <w:pPr>
        <w:ind w:left="760" w:right="580" w:hanging="513"/>
        <w:spacing w:after="0" w:line="284" w:lineRule="auto"/>
        <w:tabs>
          <w:tab w:leader="none" w:pos="76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Instant Checkout. </w:t>
      </w:r>
      <w:r>
        <w:rPr>
          <w:rFonts w:ascii="Times New Roman" w:cs="Times New Roman" w:eastAsia="Times New Roman" w:hAnsi="Times New Roman"/>
          <w:sz w:val="18"/>
          <w:szCs w:val="18"/>
          <w:color w:val="auto"/>
        </w:rPr>
        <w:t>Merchants can embed Buy Now and Act Now buttons on their websites and advertisements for instant engagement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via Brain Checkout .</w:t>
      </w:r>
    </w:p>
    <w:p>
      <w:pPr>
        <w:spacing w:after="0" w:line="50"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GeoZones. </w:t>
      </w:r>
      <w:r>
        <w:rPr>
          <w:rFonts w:ascii="Times New Roman" w:cs="Times New Roman" w:eastAsia="Times New Roman" w:hAnsi="Times New Roman"/>
          <w:sz w:val="18"/>
          <w:szCs w:val="18"/>
          <w:color w:val="auto"/>
        </w:rPr>
        <w:t>Merchants can interact with consumers based on proximity to certain locations.</w:t>
      </w:r>
    </w:p>
    <w:p>
      <w:pPr>
        <w:spacing w:after="0" w:line="117"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Media with Audio. </w:t>
      </w:r>
      <w:r>
        <w:rPr>
          <w:rFonts w:ascii="Times New Roman" w:cs="Times New Roman" w:eastAsia="Times New Roman" w:hAnsi="Times New Roman"/>
          <w:sz w:val="18"/>
          <w:szCs w:val="18"/>
          <w:color w:val="auto"/>
        </w:rPr>
        <w:t>Merchants can integrate watermarks in broadcast and streaming media.</w:t>
      </w:r>
    </w:p>
    <w:p>
      <w:pPr>
        <w:spacing w:after="0" w:line="117"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Visual Events. </w:t>
      </w:r>
      <w:r>
        <w:rPr>
          <w:rFonts w:ascii="Times New Roman" w:cs="Times New Roman" w:eastAsia="Times New Roman" w:hAnsi="Times New Roman"/>
          <w:sz w:val="18"/>
          <w:szCs w:val="18"/>
          <w:color w:val="auto"/>
        </w:rPr>
        <w:t>Merchants can integrate watermarks in posters, advertising, product labels and merchandise.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1" w:name="page72"/>
    <w:bookmarkEnd w:id="71"/>
    <w:p>
      <w:pPr>
        <w:ind w:left="760" w:right="300" w:hanging="513"/>
        <w:spacing w:after="0" w:line="284" w:lineRule="auto"/>
        <w:tabs>
          <w:tab w:leader="none" w:pos="76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Beacons</w:t>
      </w:r>
      <w:r>
        <w:rPr>
          <w:rFonts w:ascii="Times New Roman" w:cs="Times New Roman" w:eastAsia="Times New Roman" w:hAnsi="Times New Roman"/>
          <w:sz w:val="18"/>
          <w:szCs w:val="18"/>
          <w:color w:val="auto"/>
        </w:rPr>
        <w:t>. Merchants can establish near-proximity beacons which allow near-field proximity engagements (3 inches to 36 inches plus) in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indoor and outdoor locations.</w:t>
      </w:r>
    </w:p>
    <w:p>
      <w:pPr>
        <w:spacing w:after="0" w:line="50" w:lineRule="exact"/>
        <w:rPr>
          <w:rFonts w:ascii="Times New Roman" w:cs="Times New Roman" w:eastAsia="Times New Roman" w:hAnsi="Times New Roman"/>
          <w:sz w:val="18"/>
          <w:szCs w:val="18"/>
          <w:i w:val="1"/>
          <w:iCs w:val="1"/>
          <w:color w:val="auto"/>
        </w:rPr>
      </w:pPr>
    </w:p>
    <w:p>
      <w:pPr>
        <w:ind w:left="760" w:right="700" w:hanging="513"/>
        <w:spacing w:after="0" w:line="284" w:lineRule="auto"/>
        <w:tabs>
          <w:tab w:leader="none" w:pos="76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SmartLinks. </w:t>
      </w:r>
      <w:r>
        <w:rPr>
          <w:rFonts w:ascii="Times New Roman" w:cs="Times New Roman" w:eastAsia="Times New Roman" w:hAnsi="Times New Roman"/>
          <w:sz w:val="18"/>
          <w:szCs w:val="18"/>
          <w:color w:val="auto"/>
        </w:rPr>
        <w:t>Merchants can embed URL links into social media posts and email communications (amongst others) which trigger Instant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Checkout and Instant Act engagements.</w:t>
      </w:r>
    </w:p>
    <w:p>
      <w:pPr>
        <w:spacing w:after="0" w:line="50"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SmartCodes. </w:t>
      </w:r>
      <w:r>
        <w:rPr>
          <w:rFonts w:ascii="Times New Roman" w:cs="Times New Roman" w:eastAsia="Times New Roman" w:hAnsi="Times New Roman"/>
          <w:sz w:val="18"/>
          <w:szCs w:val="18"/>
          <w:color w:val="auto"/>
        </w:rPr>
        <w:t>Merchants can establish QR codes integrated with their media with a richer engagement experience for the consumer.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Rezolve platform is a multi-tenant cloud-based system that is engineered for high scalability, reliability and performance.</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host our platform using cloud-based servers. Maintaining the integrity and security of our technology infrastructure is critical to our business, and we plan to invest further in our data center and network infrastructure to meet our merchants’ needs and maintain their trust. The key attributes of our platform are as follows:</w:t>
      </w:r>
    </w:p>
    <w:p>
      <w:pPr>
        <w:spacing w:after="0" w:line="64" w:lineRule="exact"/>
        <w:rPr>
          <w:sz w:val="20"/>
          <w:szCs w:val="20"/>
          <w:color w:val="auto"/>
        </w:rPr>
      </w:pPr>
    </w:p>
    <w:p>
      <w:pPr>
        <w:ind w:left="520" w:right="20" w:hanging="512"/>
        <w:spacing w:after="0" w:line="254" w:lineRule="auto"/>
        <w:tabs>
          <w:tab w:leader="none" w:pos="52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Artificial Intelligence. </w:t>
      </w:r>
      <w:r>
        <w:rPr>
          <w:rFonts w:ascii="Times New Roman" w:cs="Times New Roman" w:eastAsia="Times New Roman" w:hAnsi="Times New Roman"/>
          <w:sz w:val="18"/>
          <w:szCs w:val="18"/>
          <w:color w:val="auto"/>
        </w:rPr>
        <w:t>Our Large Language Model (“</w:t>
      </w:r>
      <w:r>
        <w:rPr>
          <w:rFonts w:ascii="Times New Roman" w:cs="Times New Roman" w:eastAsia="Times New Roman" w:hAnsi="Times New Roman"/>
          <w:sz w:val="18"/>
          <w:szCs w:val="18"/>
          <w:b w:val="1"/>
          <w:bCs w:val="1"/>
          <w:i w:val="1"/>
          <w:iCs w:val="1"/>
          <w:color w:val="auto"/>
        </w:rPr>
        <w:t>LLM</w:t>
      </w:r>
      <w:r>
        <w:rPr>
          <w:rFonts w:ascii="Times New Roman" w:cs="Times New Roman" w:eastAsia="Times New Roman" w:hAnsi="Times New Roman"/>
          <w:sz w:val="18"/>
          <w:szCs w:val="18"/>
          <w:color w:val="auto"/>
        </w:rPr>
        <w:t>”) uses proprietary AI to interrogate presales, sales and post-sales content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transactional and customer data to build one of the world’s first dedicated eCommerce and Sales LLMs. This allows Rezolve’s Brain to offer smart product discovery, recommendations, bundled offers, personalized offers and more, based on a targeted set of 30-billion parameters, and to optimize resource allocation by focusing on the most relevant data for product recommendations. Rezolve’s Brain is able to recognize and handle the differences between product data from store to store, and then standardize the product specifications to guarantee high-quality data. By building a domain specific, leaner, cost-effective custom LLM, we believe Rezolve has achieved superior performance to existing language models while significantly reducing the financial burden associated with training and deploying language models. By creating our own language model specifically trained on eCommerce data and industry-specific terminology, we have gained high control over the behavior and functionality of our conversational AI. We are constantly fine-tuning the model to provide accurate and relevant responses to customer inquiries, ensuring compliance with financial regulations and maintaining the desired tone and style. Furthermore, Rezolve’s AI-powered personalized recommendations enhance customer experiences by leveraging advanced algorithms to deliver tailored product suggestions based on individual preferences and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130175</wp:posOffset>
            </wp:positionV>
            <wp:extent cx="4320540" cy="254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20540"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20" w:hanging="503"/>
        <w:spacing w:after="0" w:line="284"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w:t>
      </w:r>
      <w:r>
        <w:rPr>
          <w:rFonts w:ascii="Times New Roman" w:cs="Times New Roman" w:eastAsia="Times New Roman" w:hAnsi="Times New Roman"/>
          <w:sz w:val="18"/>
          <w:szCs w:val="18"/>
          <w:color w:val="auto"/>
        </w:rPr>
        <w:t>Our proprietary AI-Platform keeps both merchant and customer confidential and PII data secure and is regulated by the strict GDPR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policies.</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Encryption. </w:t>
      </w:r>
      <w:r>
        <w:rPr>
          <w:rFonts w:ascii="Times New Roman" w:cs="Times New Roman" w:eastAsia="Times New Roman" w:hAnsi="Times New Roman"/>
          <w:sz w:val="18"/>
          <w:szCs w:val="18"/>
          <w:color w:val="auto"/>
        </w:rPr>
        <w:t>All data is encrypted at rest (AES-256) and in transit.</w:t>
      </w:r>
    </w:p>
    <w:p>
      <w:pPr>
        <w:spacing w:after="0" w:line="117"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usage. </w:t>
      </w:r>
      <w:r>
        <w:rPr>
          <w:rFonts w:ascii="Times New Roman" w:cs="Times New Roman" w:eastAsia="Times New Roman" w:hAnsi="Times New Roman"/>
          <w:sz w:val="18"/>
          <w:szCs w:val="18"/>
          <w:color w:val="auto"/>
        </w:rPr>
        <w:t>All uploaded content such as support documentation, manuals, knowledge base and product catalogue is stored in isolated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containers and processed by our ingestor and embedding services only. Customer data is never used for any reason other than servicing API Calls for search and query. Credit card processing on our platform is performed by a dedicated, highly scalable, geographically redundant, high security environment with specialized policies and procedures in place. We have been certified as a PCI DSS Level 1 compliant service provider, which is the highest level of</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8" w:right="359" w:bottom="1440" w:gutter="0" w:footer="0" w:header="0"/>
        </w:sectPr>
      </w:pPr>
    </w:p>
    <w:bookmarkStart w:id="72" w:name="page73"/>
    <w:bookmarkEnd w:id="72"/>
    <w:p>
      <w:pPr>
        <w:ind w:left="1020"/>
        <w:spacing w:after="0" w:line="282" w:lineRule="auto"/>
        <w:rPr>
          <w:sz w:val="20"/>
          <w:szCs w:val="20"/>
          <w:color w:val="auto"/>
        </w:rPr>
      </w:pPr>
      <w:r>
        <w:rPr>
          <w:rFonts w:ascii="Times New Roman" w:cs="Times New Roman" w:eastAsia="Times New Roman" w:hAnsi="Times New Roman"/>
          <w:sz w:val="18"/>
          <w:szCs w:val="18"/>
          <w:color w:val="auto"/>
        </w:rPr>
        <w:t>compliance available. We use firewalls, denial of service mitigation appliances, advanced encryption, intrusion detection systems, two-factor authentication and other technology to keep our merchants’ data secure.</w:t>
      </w:r>
    </w:p>
    <w:p>
      <w:pPr>
        <w:spacing w:after="0" w:line="52" w:lineRule="exact"/>
        <w:rPr>
          <w:sz w:val="20"/>
          <w:szCs w:val="20"/>
          <w:color w:val="auto"/>
        </w:rPr>
      </w:pPr>
    </w:p>
    <w:p>
      <w:pPr>
        <w:ind w:left="1020" w:right="140" w:hanging="503"/>
        <w:spacing w:after="0" w:line="267"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Scalability. </w:t>
      </w:r>
      <w:r>
        <w:rPr>
          <w:rFonts w:ascii="Times New Roman" w:cs="Times New Roman" w:eastAsia="Times New Roman" w:hAnsi="Times New Roman"/>
          <w:sz w:val="18"/>
          <w:szCs w:val="18"/>
          <w:color w:val="auto"/>
        </w:rPr>
        <w:t>Our platform Core services are built on Open Telecom Platform technology Erlang which allows us to create highly distributed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microservices to easily and quickly scale end user activity and transactions. Rezolve’s CORE gateway can spawn a massive number of processes with little overhead on demand which makes it highly scalable and reliable.</w:t>
      </w:r>
    </w:p>
    <w:p>
      <w:pPr>
        <w:spacing w:after="0" w:line="65"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Resilience. </w:t>
      </w:r>
      <w:r>
        <w:rPr>
          <w:rFonts w:ascii="Times New Roman" w:cs="Times New Roman" w:eastAsia="Times New Roman" w:hAnsi="Times New Roman"/>
          <w:sz w:val="18"/>
          <w:szCs w:val="18"/>
          <w:color w:val="auto"/>
        </w:rPr>
        <w:t>Our platform applications and system architectures are designed to support High Availability and Redundancy across all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network layers. The use of CI/CD pipelines to automate build and deployment of services, Kubernetes cluster with high availability of nodes, Regions and Zones at the Cloud Provider level and clusters spanning multiple zones, cloud storage synchronized between regions, load balancing between regions creates a safety net of high resilience.</w:t>
      </w:r>
    </w:p>
    <w:p>
      <w:pPr>
        <w:spacing w:after="0" w:line="71" w:lineRule="exact"/>
        <w:rPr>
          <w:rFonts w:ascii="Times New Roman" w:cs="Times New Roman" w:eastAsia="Times New Roman" w:hAnsi="Times New Roman"/>
          <w:sz w:val="18"/>
          <w:szCs w:val="18"/>
          <w:color w:val="auto"/>
        </w:rPr>
      </w:pPr>
    </w:p>
    <w:p>
      <w:pPr>
        <w:ind w:left="1020" w:hanging="503"/>
        <w:spacing w:after="0" w:line="267"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Embedded Connectivity. </w:t>
      </w:r>
      <w:r>
        <w:rPr>
          <w:rFonts w:ascii="Times New Roman" w:cs="Times New Roman" w:eastAsia="Times New Roman" w:hAnsi="Times New Roman"/>
          <w:sz w:val="18"/>
          <w:szCs w:val="18"/>
          <w:color w:val="auto"/>
        </w:rPr>
        <w:t>Rezolve’s mobile SDK provides a quick and easy solution to embed and enable Rezolve platform functionality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Android and iOS app. The accompanying SDK sample app and documents allow third-party developers to quickly leverage the power of our solution.</w:t>
      </w:r>
    </w:p>
    <w:p>
      <w:pPr>
        <w:spacing w:after="0" w:line="65" w:lineRule="exact"/>
        <w:rPr>
          <w:rFonts w:ascii="Times New Roman" w:cs="Times New Roman" w:eastAsia="Times New Roman" w:hAnsi="Times New Roman"/>
          <w:sz w:val="18"/>
          <w:szCs w:val="18"/>
          <w:color w:val="auto"/>
        </w:rPr>
      </w:pPr>
    </w:p>
    <w:p>
      <w:pPr>
        <w:ind w:left="1020" w:right="260" w:hanging="503"/>
        <w:spacing w:after="0" w:line="284"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Central Management. </w:t>
      </w:r>
      <w:r>
        <w:rPr>
          <w:rFonts w:ascii="Times New Roman" w:cs="Times New Roman" w:eastAsia="Times New Roman" w:hAnsi="Times New Roman"/>
          <w:sz w:val="18"/>
          <w:szCs w:val="18"/>
          <w:color w:val="auto"/>
        </w:rPr>
        <w:t>Rezolve maintains a central management and configuration tool that allows it to quickly setup partners, merchants,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apps and index content from its merchants so it’s available via the SDK.</w:t>
      </w:r>
    </w:p>
    <w:p>
      <w:pPr>
        <w:spacing w:after="0" w:line="50" w:lineRule="exact"/>
        <w:rPr>
          <w:rFonts w:ascii="Times New Roman" w:cs="Times New Roman" w:eastAsia="Times New Roman" w:hAnsi="Times New Roman"/>
          <w:sz w:val="18"/>
          <w:szCs w:val="18"/>
          <w:color w:val="auto"/>
        </w:rPr>
      </w:pPr>
    </w:p>
    <w:p>
      <w:pPr>
        <w:ind w:left="1020" w:right="120" w:hanging="503"/>
        <w:spacing w:after="0" w:line="284"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Analytics &amp; Reporting. </w:t>
      </w:r>
      <w:r>
        <w:rPr>
          <w:rFonts w:ascii="Times New Roman" w:cs="Times New Roman" w:eastAsia="Times New Roman" w:hAnsi="Times New Roman"/>
          <w:sz w:val="18"/>
          <w:szCs w:val="18"/>
          <w:color w:val="auto"/>
        </w:rPr>
        <w:t>Rezolve SDK and Backend Data Ingestor Service gathers metrics on usage, transactions, interactions and feeds it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Analytics Engine to churn out smart Dashboards and Reports.</w:t>
      </w:r>
    </w:p>
    <w:p>
      <w:pPr>
        <w:spacing w:after="0" w:line="50" w:lineRule="exact"/>
        <w:rPr>
          <w:rFonts w:ascii="Times New Roman" w:cs="Times New Roman" w:eastAsia="Times New Roman" w:hAnsi="Times New Roman"/>
          <w:sz w:val="18"/>
          <w:szCs w:val="18"/>
          <w:color w:val="auto"/>
        </w:rPr>
      </w:pPr>
    </w:p>
    <w:p>
      <w:pPr>
        <w:ind w:left="1020" w:right="40" w:hanging="503"/>
        <w:spacing w:after="0" w:line="267"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Snap-on Integrations. </w:t>
      </w:r>
      <w:r>
        <w:rPr>
          <w:rFonts w:ascii="Times New Roman" w:cs="Times New Roman" w:eastAsia="Times New Roman" w:hAnsi="Times New Roman"/>
          <w:sz w:val="18"/>
          <w:szCs w:val="18"/>
          <w:color w:val="auto"/>
        </w:rPr>
        <w:t>Rezolve’s Platform supports a snap-on integration design that allows integrations to any payment provider or gateway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eCommerce platforms with minimum effort. Rezolve already supports a large number of payment providers and ramping up support for e-commerce platforms via its unique plugin architecture and webhooks.</w:t>
      </w:r>
    </w:p>
    <w:p>
      <w:pPr>
        <w:spacing w:after="0" w:line="65" w:lineRule="exact"/>
        <w:rPr>
          <w:rFonts w:ascii="Times New Roman" w:cs="Times New Roman" w:eastAsia="Times New Roman" w:hAnsi="Times New Roman"/>
          <w:sz w:val="18"/>
          <w:szCs w:val="18"/>
          <w:color w:val="auto"/>
        </w:rPr>
      </w:pPr>
    </w:p>
    <w:p>
      <w:pPr>
        <w:ind w:left="1020" w:right="120" w:hanging="503"/>
        <w:spacing w:after="0" w:line="267"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Onboarding. </w:t>
      </w:r>
      <w:r>
        <w:rPr>
          <w:rFonts w:ascii="Times New Roman" w:cs="Times New Roman" w:eastAsia="Times New Roman" w:hAnsi="Times New Roman"/>
          <w:sz w:val="18"/>
          <w:szCs w:val="18"/>
          <w:color w:val="auto"/>
        </w:rPr>
        <w:t>Bulk Onboarding of Merchants is a new and unique offering of our platform that allows us to set up and configure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10,000 merchants. Admin portal provides an easy to operate tool for operations teams to quickly add a large merchant base in any market on demand.</w:t>
      </w:r>
    </w:p>
    <w:p>
      <w:pPr>
        <w:spacing w:after="0" w:line="65" w:lineRule="exact"/>
        <w:rPr>
          <w:rFonts w:ascii="Times New Roman" w:cs="Times New Roman" w:eastAsia="Times New Roman" w:hAnsi="Times New Roman"/>
          <w:sz w:val="18"/>
          <w:szCs w:val="18"/>
          <w:color w:val="auto"/>
        </w:rPr>
      </w:pPr>
    </w:p>
    <w:p>
      <w:pPr>
        <w:ind w:left="1020" w:right="60" w:hanging="503"/>
        <w:spacing w:after="0" w:line="267"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Smart Triggers. </w:t>
      </w:r>
      <w:r>
        <w:rPr>
          <w:rFonts w:ascii="Times New Roman" w:cs="Times New Roman" w:eastAsia="Times New Roman" w:hAnsi="Times New Roman"/>
          <w:sz w:val="18"/>
          <w:szCs w:val="18"/>
          <w:color w:val="auto"/>
        </w:rPr>
        <w:t>Rezolve’s implementation of GeoZones, Beacons and Watermarking are important elements of its platform. The creation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triggers via Rezolve’s Experience Platform when combined with its SDK delivers a powerful tool to Merchants to deliver non spamming targeted engagements.</w:t>
      </w:r>
    </w:p>
    <w:p>
      <w:pPr>
        <w:spacing w:after="0" w:line="65" w:lineRule="exact"/>
        <w:rPr>
          <w:rFonts w:ascii="Times New Roman" w:cs="Times New Roman" w:eastAsia="Times New Roman" w:hAnsi="Times New Roman"/>
          <w:sz w:val="18"/>
          <w:szCs w:val="18"/>
          <w:color w:val="auto"/>
        </w:rPr>
      </w:pPr>
    </w:p>
    <w:p>
      <w:pPr>
        <w:ind w:left="1020" w:right="120" w:hanging="503"/>
        <w:spacing w:after="0" w:line="284"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Developer Friendly. </w:t>
      </w:r>
      <w:r>
        <w:rPr>
          <w:rFonts w:ascii="Times New Roman" w:cs="Times New Roman" w:eastAsia="Times New Roman" w:hAnsi="Times New Roman"/>
          <w:sz w:val="18"/>
          <w:szCs w:val="18"/>
          <w:color w:val="auto"/>
        </w:rPr>
        <w:t>Rezolve’s REST API provides another integration point for any partner or client not using native mobile apps. We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easily support progressive web applications, hybrid applications, web-based services and other applications.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Channels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have preliminarily established relationships with Channels such as Microsoft and Google among others. Our Channels are either categorized as merchant acquirors or consumer acquirors or sometimes they represent both. Merchant acquirors typically have large merchant-based customers and upsell/cross sell Rezolve to those customers with Rezolve’s support. Merchant acquirors include (but are not limited to) payment gateways, banks, telecommunications companies, eCommerce or point-of-sale providers, and media entities (such as broadcasters, social media firms and publishers). The type of partnership entered into with these firms determines the level of revenue share, for example, referral, reseller or white label reseller. Larger merchants can have their own mobile app strategy, and, in these cases, our merchant acquirer Channels promote the use of Rezolve technology embedded into their apps directly (using Rezolve’s SDK and mobile application libraries). All merchants are encouraged to use our Rezolve Experience Platform to create engagements with their end-customers, whether it is labeled with the brand of the Channel or our brand.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market is transforming, competitive and highly fragmented, and we expect competition to increase in the future. We believe the principal competitive factors in our market are:</w:t>
      </w:r>
    </w:p>
    <w:p>
      <w:pPr>
        <w:spacing w:after="0" w:line="54"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actionable AI-engineered products and solutions focused on commerce;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simplicity and ease of 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multiple Channels;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functionality;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of innovation;</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73" w:name="page74"/>
    <w:bookmarkEnd w:id="73"/>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scale;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reliability;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for brand development;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each of these factors, we believe that we provide a number of favorable offerings.</w:t>
      </w:r>
    </w:p>
    <w:p>
      <w:pPr>
        <w:spacing w:after="0" w:line="225"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We believe no individual competitor or AI or LLM company offers an integrated, cloud-based commerce platform with comparable functionality to our eCommerce-specific AI platform with its fully conversational discovery experience and connects the upper and lower funnel journeys for an end-to-end user experience that is seamless and frictionless. However, certain competitors such as Shopify or BigCommerce or individual merchants with access to large numbers of consumers, may elect to piece together technology from other companies, including AI-driven search and relevance platforms or digital assistants such as Cohere or Zoovu, that overlaps with certain functions and features that we provide.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Operations</w:t>
      </w:r>
    </w:p>
    <w:p>
      <w:pPr>
        <w:spacing w:after="0" w:line="121"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Current revenues generating part of our business relates to transaction fees based on sales of ticketing for La Liga football events in Spain. Rezolve has a contract with La liga to run ticketing for all Spanish La Liga clubs. This allows us to generate revenue from individual clubs. Rezolve provides the ability for individuals to purchase tickets online using its technology. Rezolve has contracts with clubs including Sporting Gijon, Club Deportivo Leganes, Club Deportivo Sociedad and others.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intellectual property and proprietary rights are important to our business. In our efforts to safeguard them, we rely on a combination of copyright, trade secret, trademark, patent and other rights in jurisdictions in which we conduct our business. We also have confidentiality and/or license agreements with employees, contractors, merchants, distributors and other third parties that limit access to and use of our proprietary intellectual property. Though we rely, in part, upon these legal and contractual protections, we believe that factors such as the skills and ingenuity of our employees, as well as the functionality and frequent enhancements to our platform, make our intellectual property rights difficult to replicate.</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several US and international patents pending for our eCommerce-specific AI Platform and Language Model such as for its Hierarchical Data relations generator machine, which employs supervised learning models to analyze the product catalogue ingested to build a multidimensional relationship hierarchy that feeds the embedding process, and for its eCommerce Product categorization dictionary that analyzes the product title, images and description data to identify nested categories the product belongs to. Rezolve does this regardless of merchant specified categories which is only reinforced by Merchant provided categories to build a deep and wide category classification that aides the embedding process.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been issued trademark registrations in Canada, Japan, Mexico, China, Europe, the U.S. and the UK including the term “Rezolve.” We have pending patent applications in the U.S., Canada, China, Europe, Japan, South Korea, Mexico, and Hong Kong. We are subject to certain risks related to our intellectual property. For more information, see “</w:t>
      </w:r>
      <w:r>
        <w:rPr>
          <w:rFonts w:ascii="Times New Roman" w:cs="Times New Roman" w:eastAsia="Times New Roman" w:hAnsi="Times New Roman"/>
          <w:sz w:val="18"/>
          <w:szCs w:val="18"/>
          <w:i w:val="1"/>
          <w:iCs w:val="1"/>
          <w:color w:val="auto"/>
        </w:rPr>
        <w:t>Risk Factors—Risks Related to our Business and Industry</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headquartered in London, England, United Kingdom.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We are subject to a number of foreign and domestic laws and regulations that affect companies conducting business online, many of which are still evolving and could be interpreted in ways that could harm our business. Concern about the use of SaaS platforms for illegal conduct, such as money laundering or to support terrorist activities, may in the future result in legislation or other governmental action that could require changes to our platform.</w:t>
      </w:r>
    </w:p>
    <w:p>
      <w:pPr>
        <w:spacing w:after="0" w:line="15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are subject to laws and regulations that govern or restrict our business and activities in certain countries and with certain persons. We are currently subject to a variety of laws and regulations in the U.S., Mexico, the UK, Europe, India and elsewhere related to payment processing, including those governing cross-border and domestic money transmission, gift cards and other prepaid access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instruments, electronic funds transfers, foreign exchange, anti-money laundering, counter-terrorist financing, banking and import and export restrictions.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Depending on how our merchant solutions evolve, we may be subject to additional laws.</w:t>
      </w:r>
    </w:p>
    <w:p>
      <w:pPr>
        <w:spacing w:after="0" w:line="20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also subject to various laws, regulations, and obligations regarding privacy, data protection, and cybersecurity. Some jurisdictions require companies to notify individuals of data security breaches involving certain types of personal data and our agreements with certain merchants require us to notify them in the event of a security incident. We post on our website our privacy policy and terms of service, which describe our practices concerning the use, transmission and disclosure of merchant data and data relating to their customers. Any actual or perceived failure by us to comply with our posted privacy policy or laws, regulations, or obligations relating to privacy, data protection or cybersecurity could lead to investigations, inquiries, and other proceedings by governmental authorities, significant fines, penalties and other liabilities imposed by regulators, as well as claims, demands, and litigation by our merchants or their customers or other private actors, any of which could harm our business, financial condition, and results of operations. Laws, regulations, and other actual and asserted obligations relating to privacy, data protection and cybersecurity evolve rapidly and are subject to varying interpretations, and we may not be or may not have been compliant with such laws, regulations or obligations, and we may face allegations that our activities or practices are not or have not been, compliant with each such law, regulation or other obligation. Because our services are accessible worldwide, certain foreign jurisdictions have claimed and others may claim that we are required to comply with their laws, regulations, and obligations, including in jurisdictions where we have no local entity, employees or infrastructure. Working to comply with these varying international requirements could cause us to incur additional costs and change our business practices.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 our reputation and brand may be negatively affected by the actions of merchants or their users that are deemed to be hostile, offensive, inappropriate or unlawful. We do not monitor or review the appropriateness of the content accessible through merchants’ shops in connection with our services, and we do not have control over the activities in which merchants’ customers engage. While we have adopted policies regarding illegal or offensive use of our platform, merchants or their customers could nonetheless engage in these activities. The safeguards we have in place may not be sufficient to avoid harm to our reputation and brand, especially if such hostile, offensive or inappropriate use was high profile, which could adversely affect our ability to expand our merchant subscription base and harm our business and financial results. It is possible that we could also be subject to liability. In many jurisdictions, laws relating to the liability of providers of online services for activities of their customers and other third parties are currently being tested by a number of claims, including actions based on defamation, invasion of privacy and other torts, unfair competition, copyright and trademark infringement, and other theories based on the nature of the relevant content. Any court ruling or other governmental regulation or action that imposes liability on providers of online services in connection with the activities of their customers or their customers’ users could harm our business. In such circumstances we may also be subject to liability under applicable law in a way which may not be fully mitigated by our terms of service. Any liability attributed to us could adversely affect our brand, reputation, our ability to expand our subscriber base and our financial results.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or regulatory proceedings arising in the ordinary course of our business. Other than as described below,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w:t>
      </w:r>
    </w:p>
    <w:p>
      <w:pPr>
        <w:spacing w:after="0" w:line="68"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As previously disclosed in our Foreign Company Report on Form 6-K filed with the SEC on July 25, 2025, Rezolve has been notified that a civil complaint was filed against the Company and Daniel Wagner in the Supreme Court of the State of New York, New York County, by JBAAM Special Opportunities Fund II LLC and YA II PN, Ltd., in connection with the parties’ securities purchase agreement dated February 21, 2025.</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75" w:name="page76"/>
    <w:bookmarkEnd w:id="75"/>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AND COMPENSATION</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following sets forth the names, business addresses and functions of the Company’s directors and senior management as of the date of this prospectus. The Company’s Articles of Association provide that the Company Board of Directors (the “</w:t>
      </w:r>
      <w:r>
        <w:rPr>
          <w:rFonts w:ascii="Times New Roman" w:cs="Times New Roman" w:eastAsia="Times New Roman" w:hAnsi="Times New Roman"/>
          <w:sz w:val="18"/>
          <w:szCs w:val="18"/>
          <w:b w:val="1"/>
          <w:bCs w:val="1"/>
          <w:i w:val="1"/>
          <w:iCs w:val="1"/>
          <w:color w:val="auto"/>
        </w:rPr>
        <w:t>Company Board</w:t>
      </w:r>
      <w:r>
        <w:rPr>
          <w:rFonts w:ascii="Times New Roman" w:cs="Times New Roman" w:eastAsia="Times New Roman" w:hAnsi="Times New Roman"/>
          <w:sz w:val="18"/>
          <w:szCs w:val="18"/>
          <w:color w:val="auto"/>
        </w:rPr>
        <w:t>”) has three classes of directors with the directors of each class serving staggered three-year terms. Class I directors shall serve a term expiring at Company’s 2025 annual meeting of shareholders, Class II directors shall serve a term expiring at Company’s 2026 annual meeting of shareholders and Class III directors shall serve a term expiring at Company’s 2027 annual meeting of shareholders.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00" w:type="dxa"/>
            <w:vAlign w:val="bottom"/>
          </w:tcPr>
          <w:p>
            <w:pPr>
              <w:spacing w:after="0"/>
              <w:rPr>
                <w:sz w:val="15"/>
                <w:szCs w:val="15"/>
                <w:color w:val="auto"/>
              </w:rPr>
            </w:pPr>
          </w:p>
        </w:tc>
        <w:tc>
          <w:tcPr>
            <w:tcW w:w="536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42"/>
        </w:trPr>
        <w:tc>
          <w:tcPr>
            <w:tcW w:w="42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Directors</w:t>
            </w:r>
          </w:p>
        </w:tc>
        <w:tc>
          <w:tcPr>
            <w:tcW w:w="20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360" w:type="dxa"/>
            <w:vAlign w:val="bottom"/>
            <w:shd w:val="clear" w:color="auto" w:fill="CFF0FC"/>
          </w:tcPr>
          <w:p>
            <w:pPr>
              <w:spacing w:after="0"/>
              <w:rPr>
                <w:sz w:val="12"/>
                <w:szCs w:val="12"/>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61</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Wagner</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92</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62</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80</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64</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79</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Stephen Herbert</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62</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I Director</w:t>
            </w:r>
          </w:p>
        </w:tc>
      </w:tr>
      <w:tr>
        <w:trPr>
          <w:trHeight w:val="216"/>
        </w:trPr>
        <w:tc>
          <w:tcPr>
            <w:tcW w:w="4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36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61</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53</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62</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Chief Commercial Officer and General Manager (EMEA)</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49</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CEO Products, Technology, and Digital Services</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51</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Chief Technology Officer</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Director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Daniel Wagner.</w:t>
      </w:r>
    </w:p>
    <w:p>
      <w:pPr>
        <w:spacing w:after="0" w:line="11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Mr. Wagner founded Rezolve and has served as Chief Executive Officer and as a director on the board of directors of Rezolve Limited since June 2016. Prior to joining Rezolve, Mr. Wagner founded M.A.I.D. in 1984, an online information service, and built the business into a leading player, when it was sold to Thomson Reuters for $500 million. He then developed Venda in 1998, a provider of on-demand enterprise eCommerce (which included Tesco, Laura Ashley, Neiman Marcus, Lands End, Under Armor and TJX Companies among its clients), which was sold in 2014 to NetSuite, a subsidiary of Oracle Corporation. Mr. Wagner has founded numerous other internet-commerce businesses including SmartLogik in 2000, BuyaPowa in 2010, Powa in 2009, and Attraqt in 2003. Rezolve believes Mr. Wagner is qualified to serve on the board because of his historical knowledge, operational expertise, leadership and the continuity that he brings to our board as our founder and Chief Executive Officer.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Stephen Perry.</w:t>
      </w:r>
    </w:p>
    <w:p>
      <w:pPr>
        <w:spacing w:after="0" w:line="1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Dr. Perry served on the board of directors of Rezolve as a non-executive director from October 2016 to April 2019 and rejoined in January 2022. Dr. Perry also serves as a Senior Advisor for Fintech and Payments. Prior to joining Rezolve, he worked at Visa for 25 years, first, as Head of Strategy, then as Chief Financial Officer for three years, then as Chief Commercial Officer for 15 years and finally as Chief Digital Officer until December 2015. He also served as an advisor for B-Secur from 2016 to 2018, an advisory board member of Syntel from 2016 to 2017, a non-executive director of MYPINPAD from 2016 to 2018, an advisor for Splitit from 2016 to 2019, an advisor for Good Causes from 2017 to 2019, a strategic advisor for A2P from 2017 to 2019, a non-executive chairman for V9 Group from 2016 to 2020, a non-executive director for Bink from 2016 to 2021, an advisor for 1818 Venture Capital from 2019 to 2021. He also serves as the non-executive chair of Willo and myNexus. He holds a degree in Economics from Wolverhampton Polytechnic, a Masters in Economics from the University of London and a PhD from Keele University. He was awarded the honour of Order of Merit (Cavalieri) in Italy in 2005. Rezolve believes Dr. Perry is qualified to serve on the board because of his experience as a director of technology companies and his experience with investments in technology companies.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Derek Smith.</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ind w:right="220"/>
        <w:spacing w:after="0" w:line="261" w:lineRule="auto"/>
        <w:rPr>
          <w:sz w:val="20"/>
          <w:szCs w:val="20"/>
          <w:color w:val="auto"/>
        </w:rPr>
      </w:pPr>
      <w:r>
        <w:rPr>
          <w:rFonts w:ascii="Times New Roman" w:cs="Times New Roman" w:eastAsia="Times New Roman" w:hAnsi="Times New Roman"/>
          <w:sz w:val="18"/>
          <w:szCs w:val="18"/>
          <w:color w:val="auto"/>
        </w:rPr>
        <w:t>Dr. Smith has served on the board of directors of Rezolve since January 2022. He has also served as chairman of Rhinegold Publishing Ltd from 2007 to 2019. He also served on the board of Opinion Research Corporation from 1997 to 2003. Dr Smith has a BA in Economics from the University of Nottingham and a PhD in Economics from the University of Nottingham. Rezolve believes Dr. Smith is qualified to serve on the board because of his history of holding leadership roles in various companies.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John Wagner.</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Mr. Wagner has served as a director on the board of directors of Rezolve since February 2016. Prior to joining Rezolve, he was a non-executive director of Powa Technologies from 2008 to 2016 and chairman of Folding Helmet Technology from 2012 to 2019. He was also chairman of Preventon, a provider of cybersecurity software. He studied law and economics at the London School of Economics and marketing at the Institute of Marketing. He is also an alumnus of the British and American programme in marketing management at Harvard Business School. Rezolve believes Mr. Wagner is qualified to serve on the board because he brings significant experience to the Rezolve board, having been the managing director or executive director of several businesses, including BMW (GB) Ltd, Volvo GB, Volkswagen/Audi, Grundig (GB) Ltd, and Hasselblad (US and UK).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Anthony Sharp.</w:t>
      </w:r>
    </w:p>
    <w:p>
      <w:pPr>
        <w:spacing w:after="0" w:line="11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Mr. Sharp has served as a director on the board of directors of Rezolve since August 2016. Prior to joining Rezolve, he has been an early-stage investor, including in lastminute.com, GoAmerica, and Silicon.com. He has participated on 42 boards across the fintech, security, marine, media, leisure, manufacturing, hospitality and property sectors as a chairman, non-executive director and executive director. Rezolve believes Mr. Sharp is qualified to serve on the board because of his long history of serving on the boards of various companies.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Sir David Wright.</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Sir Wright has served as a director on the board of directors of Rezolve since August 2019. Prior to joining Rezolve, he was Vice-Chairman of Barclays from 2003 to 2018, Private Secretary to HRH The Prince of Wales from 1988 to 1990 and the first CEO of British Trade International, subsequently UK Trade and Investment, from 1976 to 1980. He served as ambassador to South Korea from 1990 to 1994 and ambassador to Japan from 1996 to 1999. He also holds the honours of GCMG (Knight Grand Cross of the Order of St Michael and St George) and LVO (Lieutenant Royal Victorian Order Grand Cordon of the Rising Sun). Rezolve believes Sir David Wright is qualified to serve on the board because of his diverse diplomatic and financial experience.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Stephen Herbert.</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Mr. Herbert is expected to serve as a director on the board of directors of Rezolve. Prior to joining Rezolve, he served as Chief Executive Officer and Chairman of Armada since its inception in November 2020. Mr. Herbert was affiliated with USAT in various positions from April 1996 to October 2019, most recently as CEO from November 2011 until he left the company. From 1986 to April 1996, Mr. Herbert was employed by Pepsi-Cola, the beverage division of PepsiCo, Inc., in various capacities, most recently as Manager of Market Strategy where he was responsible for directing development of market strategy for the vending channel, and subsequently, the supermarket channel for Pepsi-Cola in North America. Mr. Herbert graduated with a Bachelor of Science degree from Louisiana State University. Rezolve believes Mr. Herbert is qualified to serve on the board because of his executive leadership at USAT, including his significant knowledge of and experience with its financial technology and payments business, his experience building and scaling high growth fintech companies, and his public board experience with Armada.</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Peter Vesco.</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Mr. Vesco has served as the Chief Commercial Officer and General Manager (EMEA) of Rezolve since March 2020. Prior to joining Rezolve, he has held executive roles in numerous companies, including as CEO of ClickandBuy and SVP of Deutsche Telekom Payments (between 2011 and 2016) and President Hypercom EMEA (between 2009 and 2016). He also served on the Advisory Board of Mastercard Europe from 2012 to 2016. He holds a Masters degree in Philosophy and Theology from Goethe-Universität Frankfurt, a degree in Marketing and Product Management and a degree in business administration from the University of Huddersfield.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Richard Burchill.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Burchill has served as the Chief Financial Officer of Rezolve since September 2021. Prior to serving as Chief Financial Officer of Rezolve,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Burchill served as Group Finance Director with Rezolve. Prior to joining Rezolve, he was the Group Treasurer at Arcadia Group Ltd from 1999 to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2014 to 2021, he served as a director of the main operating board of Arcadia Group Ltd.</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7" w:name="page78"/>
    <w:bookmarkEnd w:id="77"/>
    <w:p>
      <w:pPr>
        <w:ind w:right="620"/>
        <w:spacing w:after="0" w:line="282" w:lineRule="auto"/>
        <w:rPr>
          <w:sz w:val="20"/>
          <w:szCs w:val="20"/>
          <w:color w:val="auto"/>
        </w:rPr>
      </w:pPr>
      <w:r>
        <w:rPr>
          <w:rFonts w:ascii="Times New Roman" w:cs="Times New Roman" w:eastAsia="Times New Roman" w:hAnsi="Times New Roman"/>
          <w:sz w:val="18"/>
          <w:szCs w:val="18"/>
          <w:color w:val="auto"/>
        </w:rPr>
        <w:t>He also served as director of card services at Arcadia Group Ltd from 2006 to 2021. He holds a degree in Accounting and Finance from Middlesex University and is a member of the Chartered Institute of Management Accountants.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Sauvik Banerjjee.</w:t>
      </w:r>
    </w:p>
    <w:p>
      <w:pPr>
        <w:spacing w:after="0" w:line="11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Mr. Banerjjee has served as the CEO Products, Technology, and Digital Services of Rezolve since August 2022. Prior to serving as the Chief Executive Officer of Products, Technology, and Digital Services of Rezolve, Mr. Banerjee was the Chief Technology Officer and founding team member at Tata Digital and Tata Neu- The Super App. He was also the founding Chief Technology Officer of TataCli0. Prior to that, he held various management positions, including positions at SAP, Accenture and Infosys. He completed research on Natural Language Processing and Physical Robotics at the University of Sunderland and the University of Durham, and he holds a Master’s Degree in Economics and Financial Computing from the University of Calcutta.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Salman Ahmad.</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Dr. Ahmad has served as the Chief Technology Officer of Rezolve since October 2017. Prior to joining Rezolve, he was the CTO and co-founder of Kenja Corp, an enterprise workflow platform, from 2011 to 2017. Prior to that, he was Engineering Director at Picsel Technologies from 2006 to 2011. Salman earned a First-Class Honours degree in computer science and a doctorate in 3D graphics and AI from Loughborough University.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Except for Daniel Wagner, CEO and director, being the son of John Wagner, a non-executive director on the board of directors, there are no family relationships between any of the executive officers and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 Exemption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a “foreign private issuer,” as defined by the SEC. As a result, in accordance with Nasdaq rules, we will comply with home country governance requirements and certain exemptions thereunder rather than complying with Nasdaq corporate governance standards. While we expect to voluntarily follow most Nasdaq corporate governance rules, we may choose to take advantage of certain limited exemptions, such as:</w:t>
      </w:r>
    </w:p>
    <w:p>
      <w:pPr>
        <w:spacing w:after="0" w:line="68" w:lineRule="exact"/>
        <w:rPr>
          <w:sz w:val="20"/>
          <w:szCs w:val="20"/>
          <w:color w:val="auto"/>
        </w:rPr>
      </w:pPr>
    </w:p>
    <w:p>
      <w:pPr>
        <w:ind w:left="1020" w:right="200" w:hanging="503"/>
        <w:spacing w:after="0" w:line="282" w:lineRule="auto"/>
        <w:tabs>
          <w:tab w:leader="none" w:pos="10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filing quarterly reports on Form 10-Q containing unaudited financial and other specified information or current reports on Form 8-K upon the occurrence of specified significant events;</w:t>
      </w:r>
    </w:p>
    <w:p>
      <w:pPr>
        <w:spacing w:after="0" w:line="53" w:lineRule="exact"/>
        <w:rPr>
          <w:rFonts w:ascii="Times New Roman" w:cs="Times New Roman" w:eastAsia="Times New Roman" w:hAnsi="Times New Roman"/>
          <w:sz w:val="18"/>
          <w:szCs w:val="18"/>
          <w:i w:val="1"/>
          <w:iCs w:val="1"/>
          <w:color w:val="auto"/>
        </w:rPr>
      </w:pPr>
    </w:p>
    <w:p>
      <w:pPr>
        <w:ind w:left="1020" w:right="200" w:hanging="503"/>
        <w:spacing w:after="0" w:line="282" w:lineRule="auto"/>
        <w:tabs>
          <w:tab w:leader="none" w:pos="10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Section 16 under the Exchange Act, which requires insiders to file public reports of their securities ownership and trading activities and provides for liability for insiders who profit from trades in a short period of time;</w:t>
      </w:r>
    </w:p>
    <w:p>
      <w:pPr>
        <w:spacing w:after="0" w:line="53" w:lineRule="exact"/>
        <w:rPr>
          <w:rFonts w:ascii="Times New Roman" w:cs="Times New Roman" w:eastAsia="Times New Roman" w:hAnsi="Times New Roman"/>
          <w:sz w:val="18"/>
          <w:szCs w:val="18"/>
          <w:i w:val="1"/>
          <w:iCs w:val="1"/>
          <w:color w:val="auto"/>
        </w:rPr>
      </w:pPr>
    </w:p>
    <w:p>
      <w:pPr>
        <w:ind w:left="1020" w:right="60" w:hanging="503"/>
        <w:spacing w:after="0" w:line="282" w:lineRule="auto"/>
        <w:tabs>
          <w:tab w:leader="none" w:pos="10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Nasdaq rules applicable to domestic issuers requiring disclosure within four business days of any determination to grant a waiver of the code of business conduct and ethics to directors and officers;</w:t>
      </w:r>
    </w:p>
    <w:p>
      <w:pPr>
        <w:spacing w:after="0" w:line="53" w:lineRule="exact"/>
        <w:rPr>
          <w:rFonts w:ascii="Times New Roman" w:cs="Times New Roman" w:eastAsia="Times New Roman" w:hAnsi="Times New Roman"/>
          <w:sz w:val="18"/>
          <w:szCs w:val="18"/>
          <w:i w:val="1"/>
          <w:iCs w:val="1"/>
          <w:color w:val="auto"/>
        </w:rPr>
      </w:pPr>
    </w:p>
    <w:p>
      <w:pPr>
        <w:ind w:left="1020" w:right="220" w:hanging="503"/>
        <w:spacing w:after="0" w:line="282" w:lineRule="auto"/>
        <w:tabs>
          <w:tab w:leader="none" w:pos="10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requirement to obtain shareholder approval for certain issuances of securities, including shareholder approval of share option plans;</w:t>
      </w:r>
    </w:p>
    <w:p>
      <w:pPr>
        <w:spacing w:after="0" w:line="53" w:lineRule="exact"/>
        <w:rPr>
          <w:rFonts w:ascii="Times New Roman" w:cs="Times New Roman" w:eastAsia="Times New Roman" w:hAnsi="Times New Roman"/>
          <w:sz w:val="18"/>
          <w:szCs w:val="18"/>
          <w:i w:val="1"/>
          <w:iCs w:val="1"/>
          <w:color w:val="auto"/>
        </w:rPr>
      </w:pPr>
    </w:p>
    <w:p>
      <w:pPr>
        <w:ind w:left="1020" w:right="280" w:hanging="503"/>
        <w:spacing w:after="0" w:line="282" w:lineRule="auto"/>
        <w:tabs>
          <w:tab w:leader="none" w:pos="10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requirement that our board have a compensation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i w:val="1"/>
          <w:iCs w:val="1"/>
          <w:color w:val="auto"/>
        </w:rPr>
      </w:pPr>
    </w:p>
    <w:p>
      <w:pPr>
        <w:ind w:left="1020" w:right="140" w:hanging="503"/>
        <w:spacing w:after="0" w:line="261" w:lineRule="auto"/>
        <w:tabs>
          <w:tab w:leader="none" w:pos="10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requirements that director nominees are selected, or recommended for selection by our board, either by (i) independent directors constituting a majority of our board’s independent directors in a vote in which only independent directors participate, or (ii) a committee comprised solely of independent directors, and that a formal written charter or board resolution, as applicable, addressing the nominations process is adopted.</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We intend to comply with the Nasdaq corporate governance rules applicable to foreign private issuers, which means that we are permitted to follow certain corporate governance rules that conform to U.K. requirements in lieu of many of the Nasdaq corporate governance rules. Accordingly, our shareholders will not have the same protections afforded to shareholders of companies that are subject to all of the corporate governance requirements of Nasdaq. We may utilize these exemptions for as long as we continue to qualify as a foreign private issuer.</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Controlled Company Exemption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Daniel Wagner, the Rezolve Founder and Chief Executive Officer controls 75% of the voting power of our outstanding capital stock. As a result, we are a “controlled company” within the meaning of the Nasdaq listing standards. Under these rules, a company of which more than 50% of the voting power is held by an individual, group or another company is a “controlled company” and may elect not to comply with certain corporate governance requirements, including:</w:t>
      </w:r>
    </w:p>
    <w:p>
      <w:pPr>
        <w:spacing w:after="0" w:line="72"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that a majority of the board of directors consist of independent directors;</w:t>
      </w:r>
    </w:p>
    <w:p>
      <w:pPr>
        <w:spacing w:after="0" w:line="117" w:lineRule="exact"/>
        <w:rPr>
          <w:rFonts w:ascii="Times New Roman" w:cs="Times New Roman" w:eastAsia="Times New Roman" w:hAnsi="Times New Roman"/>
          <w:sz w:val="18"/>
          <w:szCs w:val="18"/>
          <w:i w:val="1"/>
          <w:iCs w:val="1"/>
          <w:color w:val="auto"/>
        </w:rPr>
      </w:pPr>
    </w:p>
    <w:p>
      <w:pPr>
        <w:ind w:left="1020" w:right="80" w:hanging="503"/>
        <w:spacing w:after="0" w:line="282" w:lineRule="auto"/>
        <w:tabs>
          <w:tab w:leader="none" w:pos="1020"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 with a written charter addressing the committee’s purpose and responsibilities;</w:t>
      </w:r>
    </w:p>
    <w:p>
      <w:pPr>
        <w:spacing w:after="0" w:line="53" w:lineRule="exact"/>
        <w:rPr>
          <w:rFonts w:ascii="Times New Roman" w:cs="Times New Roman" w:eastAsia="Times New Roman" w:hAnsi="Times New Roman"/>
          <w:sz w:val="18"/>
          <w:szCs w:val="18"/>
          <w:i w:val="1"/>
          <w:iCs w:val="1"/>
          <w:color w:val="auto"/>
        </w:rPr>
      </w:pPr>
    </w:p>
    <w:p>
      <w:pPr>
        <w:ind w:left="1020" w:right="280" w:hanging="503"/>
        <w:spacing w:after="0" w:line="282" w:lineRule="auto"/>
        <w:tabs>
          <w:tab w:leader="none" w:pos="1020"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that we have a nominating and corporate governance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for an annual performance evaluation of the nominating and corporate governance and compensation committees.</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the event that we cease to be a “controlled company” and our shares continue to be listed on the Nasdaq, we will be required to comply with these provisions within the applicable transition periods.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are a “foreign private issuer,” under the securities laws of the U.S. and the rules of Nasdaq. Under the applicable securities laws of the U.S., “foreign private issuers” are subject to different disclosure requirements than U.S. domiciled issuers. Under Nasdaq’s rules, a “foreign private issuer” is subject to less stringent corporate governance and compliance requirements and subject to certain exceptions, Nasdaq permits a “foreign private issuer” to follow its home country’s practice in lieu of the listing requirementsof Nasdaq. Accordingly, our shareholders may not receive the same protections afforded to shareholders of companies that are subject to all of Nasdaq’s corporate governance requirements.</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addition, we are an “emerging growth company” as defined in the JOBS Act and have elected to comply with certain reduced public company reporting requirements.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a result of the Ordinary Shares and Public Warrants being listed on Nasdaq, we adhere to the rules of Nasdaq in determining whether a director is independent. Our board of directors has consulted, and will consult, with its counsel to ensure that our board of directors’ determinations are consistent with those rules and all relevant securities and other laws and regulations regarding the independence of directors. Nasdaq listing standards define an “independent director” as a person, other than an executive officer of a company or any other individual having a relationship which, in the opinion of the Rezolve Board, would interfere with the exercise of independent judgment in carrying out the responsibilities of a director. Our board of directors has determined that each of our directors, except for Daniel Wagner, John Wagner and Stephen Herbert, is independent.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a result of the Ordinary Shares and Public Warrants being listed on Nasdaq, we adhere to the rules of Nasdaq in determining whether a director is independent. Our board of directors has consulted, and will consult, with its counsel to ensure that our board of directors’ determinations are consistent with those rules and all relevant securities and other laws and regulations regarding the independence of directors. Nasdaq listing standards define an “independent director” as a person, other than an executive officer of a company or any other individual having a relationship which, in the opinion of the Rezolve Board, would interfere with the exercise of independent judgment in carrying out the responsibilities of a director. Our board of directors has determined that each of our directors, except for Daniel Wagner, John Wagner and Stephen Herbert, is independent.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Board of Directors Composition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board of directors is comprised of eight directors (provided that Daniel Wagner has the right to appoint an additional director to the Board from time to time), five of whom qualify as independent directors as defined in the Nasdaq listing requirements. Daniel Wagner serves as the Chairman of the board of directors and Anthony Sharp serves as deputy Chairman.</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Directors may be appointed and removed by an ordinary resolution of the shareholders. In addition, directors may be appointed either to fill a vacancy arising from the resignation of a former director or as an addition to the existing board by the affirmative vote of a simple majority of the directors present and voting at a board meeting. A director may be removed by a resolution passed by all of the</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79" w:name="page80"/>
    <w:bookmarkEnd w:id="79"/>
    <w:p>
      <w:pPr>
        <w:ind w:right="140"/>
        <w:spacing w:after="0" w:line="282" w:lineRule="auto"/>
        <w:rPr>
          <w:sz w:val="20"/>
          <w:szCs w:val="20"/>
          <w:color w:val="auto"/>
        </w:rPr>
      </w:pPr>
      <w:r>
        <w:rPr>
          <w:rFonts w:ascii="Times New Roman" w:cs="Times New Roman" w:eastAsia="Times New Roman" w:hAnsi="Times New Roman"/>
          <w:sz w:val="18"/>
          <w:szCs w:val="18"/>
          <w:color w:val="auto"/>
        </w:rPr>
        <w:t>other directors at a meeting of the directors, or by written notice from all of the other directors. Each of our directors holds office until he or she resigns or is vacated from office. There will be a three-year rotation pattern.</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board is divided into three classes serving staggered three year terms. Upon expiration of the term of a class of directors, directors in that class will be eligible to be elected for a new three-year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 Mr. Stephen Herbert is a Class I director and will serve until our annual meeting in 2025. Messrs. Anthony Sharp, Sir David Wright, Stephen Perry and Derek Smith, are Class II directors and will serve until our annual meeting in 2026. Messrs. Dan Wagner and John Wagner are Class III directors and will serve until our annual meeting in 2027.</w:t>
      </w:r>
    </w:p>
    <w:p>
      <w:pPr>
        <w:spacing w:after="0" w:line="18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Anthony Sharp, Sir David Wright, Stephen Perry and Derek Smith would satisfy the general independence requirements under SEC and Nasdaq rules. Audit committee members must also satisfy the independence criteria set forth in Rule 10A-3 under the Exchange Act and the listing requirements of the Nasdaq.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Rezolve Board of Directors in Risk Oversight</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Our board of directors does not have a standing risk management committee but our board of directors oversees risk management, and the various standing committees of the board of directors addresses risks inherent in their respective areas of oversight. In particular, the board of directors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 The audit committee also monitors compliance with legal and regulatory requirements. Our remuneration committee also assess and monitor whether our compensation plans, policies and programs comply with applicable legal and regulatory requirements.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Rezolve Board of Directors</w:t>
      </w:r>
    </w:p>
    <w:p>
      <w:pPr>
        <w:spacing w:after="0" w:line="11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Following the Closing, the board of directors established three standing committees: (i) an audit committee (the "</w:t>
      </w: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(ii) a remuneration committee (the "</w:t>
      </w:r>
      <w:r>
        <w:rPr>
          <w:rFonts w:ascii="Times New Roman" w:cs="Times New Roman" w:eastAsia="Times New Roman" w:hAnsi="Times New Roman"/>
          <w:sz w:val="18"/>
          <w:szCs w:val="18"/>
          <w:b w:val="1"/>
          <w:bCs w:val="1"/>
          <w:i w:val="1"/>
          <w:iCs w:val="1"/>
          <w:color w:val="auto"/>
        </w:rPr>
        <w:t>Remuneration Committee</w:t>
      </w:r>
      <w:r>
        <w:rPr>
          <w:rFonts w:ascii="Times New Roman" w:cs="Times New Roman" w:eastAsia="Times New Roman" w:hAnsi="Times New Roman"/>
          <w:sz w:val="18"/>
          <w:szCs w:val="18"/>
          <w:color w:val="auto"/>
        </w:rPr>
        <w:t>"), and (iii) a nominating and corporate governance committee (the "</w:t>
      </w:r>
      <w:r>
        <w:rPr>
          <w:rFonts w:ascii="Times New Roman" w:cs="Times New Roman" w:eastAsia="Times New Roman" w:hAnsi="Times New Roman"/>
          <w:sz w:val="18"/>
          <w:szCs w:val="18"/>
          <w:b w:val="1"/>
          <w:bCs w:val="1"/>
          <w:i w:val="1"/>
          <w:iCs w:val="1"/>
          <w:color w:val="auto"/>
        </w:rPr>
        <w:t>Nominating and Corporate Governance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In addition, from time to time, special committees may be established under the direction of our board of directors when necessary to address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specific issues.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Committee is responsible for, among other things:</w:t>
      </w:r>
    </w:p>
    <w:p>
      <w:pPr>
        <w:spacing w:after="0" w:line="117" w:lineRule="exact"/>
        <w:rPr>
          <w:sz w:val="20"/>
          <w:szCs w:val="20"/>
          <w:color w:val="auto"/>
        </w:rPr>
      </w:pPr>
    </w:p>
    <w:p>
      <w:pPr>
        <w:ind w:left="520" w:right="660" w:hanging="512"/>
        <w:spacing w:after="0" w:line="282"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our independent registered accounting firm regarding, among other issues, audits, and adequacy of our accounting and control systems;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management our compliance with applicable laws and regulations;</w:t>
      </w:r>
    </w:p>
    <w:p>
      <w:pPr>
        <w:spacing w:after="0" w:line="11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registered public accounting firm;</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80" w:name="page81"/>
    <w:bookmarkEnd w:id="80"/>
    <w:p>
      <w:pPr>
        <w:ind w:right="40"/>
        <w:spacing w:after="0" w:line="256" w:lineRule="auto"/>
        <w:rPr>
          <w:sz w:val="20"/>
          <w:szCs w:val="20"/>
          <w:color w:val="auto"/>
        </w:rPr>
      </w:pPr>
      <w:r>
        <w:rPr>
          <w:rFonts w:ascii="Times New Roman" w:cs="Times New Roman" w:eastAsia="Times New Roman" w:hAnsi="Times New Roman"/>
          <w:sz w:val="18"/>
          <w:szCs w:val="18"/>
          <w:color w:val="auto"/>
        </w:rPr>
        <w:t>Our Audit Committee consists of Anthony Sharp, Derek Smith and Sir David Wright, with Sir David Wright serving as the chair of the committee. Each of the directors who serves on the audit committee qualifies as an independent director according to the applicable rules and regulations of the SEC and Nasdaq with respect to audit committee membership. In addition, all of the audit committee members meet the requirements for financial literacy under applicable SEC and Nasdaq rules and at least one of the audit committee members will qualify as an “audit committee financial expert,” as such term is defined in Item 407(d) of Regulation S-K. Our board of directors has adopted written terms of reference for the Audit Committee, which are available on our website.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Remuneration Committee is responsible for, among other things:</w:t>
      </w:r>
    </w:p>
    <w:p>
      <w:pPr>
        <w:spacing w:after="0" w:line="117" w:lineRule="exact"/>
        <w:rPr>
          <w:sz w:val="20"/>
          <w:szCs w:val="20"/>
          <w:color w:val="auto"/>
        </w:rPr>
      </w:pPr>
    </w:p>
    <w:p>
      <w:pPr>
        <w:ind w:left="1020" w:right="120" w:hanging="503"/>
        <w:spacing w:after="0" w:line="266"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executive officers;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any disclosure requirements;</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officers and employees;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overseeing any compensation consultants.</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Remuneration Committee consists of Anthony Sharp and Steve Perry, with Steve Perry serving as the chair of the committee. Our board of directors has adopted a written terms of reference for the Remuneration Committee, which is available on our website.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Nominating and Corporate Governance Committee is responsible for, among other things:</w:t>
      </w:r>
    </w:p>
    <w:p>
      <w:pPr>
        <w:spacing w:after="0" w:line="117" w:lineRule="exact"/>
        <w:rPr>
          <w:sz w:val="20"/>
          <w:szCs w:val="20"/>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persons to be nominated for election as directors and to each of the committees of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our board leadership structure;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management succession planning;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corporate governance principles.</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Daniel Wagner, Sir David Wright and Derek Smith, with Derek Smith serving as the chair of the committee. Our board of directors has adopted a written terms of reference for the Nominating and Corporate Governance Committee, which is available on our website.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Code of Ethics applicable to our directors, executive officers and team members that complies with the rules and regulations of the SEC and Nasdaq. The Code of Ethics is available on our website.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English law limits in certain respects the extent to which a company’s memorandum and articles of association may provide for indemnification of officers and directors. Accordingly a provision will be void if it provides an indemnity against (i) any liability of the director to pay a fine imposed in criminal proceedings, or a sum payable to a regulatory authority as a penalty for non-compliance with a regulatory requirement or (ii) liability incurred by the director in defending criminal proceedings in which he is convicted, in defending civil proceedings brought by the company in which judgement is given against him or in connection with an application for relief in which the court refuses to grant him relief. Our amended and restated memorandum and articles of association provides for</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81" w:name="page82"/>
    <w:bookmarkEnd w:id="81"/>
    <w:p>
      <w:pPr>
        <w:jc w:val="both"/>
        <w:spacing w:after="0" w:line="255" w:lineRule="auto"/>
        <w:rPr>
          <w:sz w:val="20"/>
          <w:szCs w:val="20"/>
          <w:color w:val="auto"/>
        </w:rPr>
      </w:pPr>
      <w:r>
        <w:rPr>
          <w:rFonts w:ascii="Times New Roman" w:cs="Times New Roman" w:eastAsia="Times New Roman" w:hAnsi="Times New Roman"/>
          <w:sz w:val="18"/>
          <w:szCs w:val="18"/>
          <w:color w:val="auto"/>
        </w:rPr>
        <w:t>indemnification of our officers and directors to the maximum extent permitted by law, including for any liability incurred in their capacities as such, except through their own actual fraud, willful default or willful neglect. In addition, we have entered into indemnification agreements with each of our executive officers and directors. The indemnification agreements provide the indemnitees with contractual rights to indemnification, and expense advancement and reimbursement, to the fullest extent permitted under English law, subject to certain exceptions contained in those agreements. We have also purchased a policy of directors’ and officers’ liability insurance effective upon completion of the Business Combination that insures our officers and directors against the cost of defense, settlement or payment of a judgment in some circumstances and insures us against our obligations to indemnify our officers and directors.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Rezolve and its shareholders. Furthermore, a shareholder’s investment may be adversely affected to the extent we pay the costs of settlement and damage awards against its officers and directors pursuant to these indemnification provisions.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these provisions, the insurance and the indemnity agreements are necessary to attract and retain talented and experienced officers and directors.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For further details on the indemnity provisions referred to in our articles of association, see the section entitled “</w:t>
      </w:r>
      <w:r>
        <w:rPr>
          <w:rFonts w:ascii="Times New Roman" w:cs="Times New Roman" w:eastAsia="Times New Roman" w:hAnsi="Times New Roman"/>
          <w:sz w:val="18"/>
          <w:szCs w:val="18"/>
          <w:i w:val="1"/>
          <w:iCs w:val="1"/>
          <w:color w:val="auto"/>
        </w:rPr>
        <w:t>Description of Ordinary Shares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Articles of Association</w:t>
      </w:r>
      <w:r>
        <w:rPr>
          <w:rFonts w:ascii="Times New Roman" w:cs="Times New Roman" w:eastAsia="Times New Roman" w:hAnsi="Times New Roman"/>
          <w:sz w:val="18"/>
          <w:szCs w:val="18"/>
          <w:color w:val="auto"/>
        </w:rPr>
        <w:t>” of this prospectus, and for a summary of the indemnification agreement, see the section entitled “</w:t>
      </w:r>
      <w:r>
        <w:rPr>
          <w:rFonts w:ascii="Times New Roman" w:cs="Times New Roman" w:eastAsia="Times New Roman" w:hAnsi="Times New Roman"/>
          <w:sz w:val="18"/>
          <w:szCs w:val="18"/>
          <w:i w:val="1"/>
          <w:iCs w:val="1"/>
          <w:color w:val="auto"/>
        </w:rPr>
        <w:t>Indemnification Agreements with Officers and Directors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Executive Officer and Director Compensation</w:t>
      </w:r>
    </w:p>
    <w:p>
      <w:pPr>
        <w:spacing w:after="0" w:line="3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cash compensation paid by Rezolve and its subsidiaries to its executive officers and directors for the year ended December 31, 2024 was $2,164,680.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Executive Officer and Director Compensation</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aggregate cash compensation paid by Rezolve and its subsidiaries to its executive officers and directors for the year ended December 31, 2024 was $2,164,680.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Rezolve’s policies with respect to the compensation of its executive officers will be administered by its board of directors in consultation with the remuneration committee. The compensation decisions regarding Rezolve’s executives will be based on the need to attract individuals with the skills necessary for the company to achieve its business plan, to reward those individuals fairly over time, and to retain those individuals who continue to perform at or above the company’s expectations. To that end, following completion of the Business Combination, Rezolve intends to establish an executive compensation program that is competitive with other similarly-situated companies in its industry. This is expected to include establishment of base salary, cash annual bonus and long-term equity compensation awards that are, in each case, consistent with market practices and designed to incentivize, motivate and retain key employees.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Daniel Wagner</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Daniel Wagner is currently engaged as Rezolve’s Chief Executive Officer under a service agreement entered into on April 1, 2016. He is entitled to a base salary of £600,000 per annum. In addition to his base salary, he is entitled to participate in a bonus scheme, which may be paid from time to time at the discretion of the remuneration committee.</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agreement may be terminated by either party on one year’s written notice or, immediately by us, in the event of default, which includes, but is not limited to circumstances in which, Mr. Wagner is disqualified from acting as a director, convicted of a criminal offence, declared bankrupt, found guilty of fraud or conducting gross misconduct. In the event of early termination not caused by an event of default, we may exercise our discretion to make a payment in lieu of notice to Mr. Wagner. The agreement includes certain restrictive covenants, and, upon termination, Mr. Wagner is restricted from becoming involved, directly or indirectly, with any business which is similar to or competitive with Rezolve, for a period of six months.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Richard Burchill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2" w:name="page83"/>
    <w:bookmarkEnd w:id="82"/>
    <w:p>
      <w:pPr>
        <w:spacing w:after="0" w:line="261" w:lineRule="auto"/>
        <w:rPr>
          <w:sz w:val="20"/>
          <w:szCs w:val="20"/>
          <w:color w:val="auto"/>
        </w:rPr>
      </w:pPr>
      <w:r>
        <w:rPr>
          <w:rFonts w:ascii="Times New Roman" w:cs="Times New Roman" w:eastAsia="Times New Roman" w:hAnsi="Times New Roman"/>
          <w:sz w:val="18"/>
          <w:szCs w:val="18"/>
          <w:color w:val="auto"/>
        </w:rPr>
        <w:t>Richard Burchill entered into a service agreement on September 6, 2021 with a commencement date of September 13, 2021. He is entitled to an initial salary of £220,000 per annum. In addition, Richard has been granted 979,186 options over Ordinary Shares exercisable at nominal value per share (the number of shares to be adjusted as a result of the Company Reorganization) which are exercisable on listing of the Company or three years from the date of execution of the agreement, whichever is the earlier.</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the first three months of the agreement, it could be terminated on one months’ notice. After the first three months, the agreement may be terminated by either party providing not less than three month’s written notice to the other party. The agreement can be terminated for cause by the Company with immediate effect for reasons including, but not limited to, if Mr. Burchill (i) is in breach of the Company’s corruption, bribery or related policies, (ii) is guilty of any gross misconduct affecting the business of Rezolve, (iii) commits any serious or repeated breach, (iv) is negligent and incompetent, (v) is declared bankrupt, (vi) is convicted of any criminal offence or any insider dealing offence, (vii) ceases to be eligible to work in England, (viii) is guilty of fraud or dishonesty, (ix) is guilty of a serious breach of any rules issued by the Company regarding its electronic communications systems, or (x) is unable by reason of incapacity to perform his duties for 26 weeks in a 52 week period. The agreement contains various restrictive covenants for a period of three or four months after termination, depending on the restriction in question.</w:t>
      </w:r>
    </w:p>
    <w:p>
      <w:pPr>
        <w:spacing w:after="0" w:line="29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Non-executive Director Letters of Appointment (John Wagner, Anthony Sharp, Sir David Wright, Derek Smith, Stephen Perry, and Stephen Herbert)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non-executive director appointment letters (John Wagner, Anthony Sharp, Sir David Wright, Derek Smith, and Stephen Perry)</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Rezolve has entered into letters of appointment with the above named non-executive directors which provides each director with cash compensation of £75,000 per annum for service on our board of directors. The appointment of Rezolve’s non-executive directors is for an initial period of three years and can be terminated thereafter by either Rezolve or the director upon three calendar months’ written notice.</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Under the non-executive director appointment letters, Rezolve may also terminate each appointment with immediate effect and without notice including when the non-executive director is disqualified from acting as a director; is not re-elected as a director when the director submits himself or herself for re-election; vacates their office under Rezolve’s Articles; commits a material breach of his or her obligations under the letter of appointment and it is not remedied within 14 days of Rezolve specifying the breach and requiring its remedy; has been guilty of any fraud or dishonesty or acts in any manner which, in Rezolve’s opinion, brings or is likely to bring Rezolve into disrepute or is materially adverse to Rezolve’s interests.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non-executive director appointment letters (Stephen Herbert)</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Rezolve has entered into letters of appointment with the above named non-executive director on the same terms as set out above with the exception of the term of appointment and compensation, which will be for a period of one year with no cash compensation.</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83" w:name="page84"/>
    <w:bookmarkEnd w:id="83"/>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At the Closing, the Company entered into that certain Investor Rights Agreement with certain directors and officers and certain other parties identified therein (such persons, the “Holders”) (the “Investor Rights Agreement”). Pursuant to the terms of the Investor Rights Agreement, the Holders are entitled to certain piggyback registration rights and customary demand registration rights. The Investor Rights Agreement provides that the Company will, as soon as practicable, and in any event within 21 days after August 16, 2024, file with the SEC a shelf registration statement. The Company will use its commercially reasonable efforts to have such shelf registration statement declared effective as soon as practicable after the filing thereof, but no later than the 45th day (or the 5th day business after the Securities and Exchange Commission (the “SEC”) notifies the Company that it will “review” such shelf registration statement) following the filing deadline, in each case subject to the terms and conditions set forth therein; and the Company will not be subject to any form of monetary penalty for its failure to do so.</w:t>
      </w:r>
    </w:p>
    <w:p>
      <w:pPr>
        <w:spacing w:after="0" w:line="1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Pursuant to the Investor Rights Agreement, subject to certain exceptions, the Holders agreed to not transfer or make any announcement of any intention to effect a transfer, in respect of the shares beneficially owned or otherwise held by the Holders prior to the termination of the applicable lock-up period, subject to certain customary exceptions, including: (i) transfers to permitted transferees upon written notice to the Company, such as a member of the person’s immediate family or to a trust, the beneficiary of which is a member of the person’s immediate family or an affiliate of such person; (ii) to a charitable organization upon written notice to the Company, by the laws of descent and distribution upon death, or pursuant to a qualified domestic relations order; and (iii) pursuant to any liquidation, merger, stock exchange or other similar transaction which results in all of the Company’s stockholders having the right to exchange Ordinary Shares for cash, securities, or other property.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Lock-In Agreements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At the Closing, the Company entered into separate Lock-In Agreements (the“Lock-In Agreements) with certain holders of the Company (such persons, the “Rezolve Holders”), pursuant to which the Ordinary Shares held by the Rezolve Holders will be locked-up and subject to transfer restrictions for 180 days following the Closing, subject to certain customary exceptions, including: (i) transfers to permitted transferees upon written notice to the Company, such as a member of the person’s immediate family or to a trust, the beneficiary of which is a member of the person’s immediate family or an affiliate of such person; (ii) to a charitable organization upon written notice to the Company, by the laws of descent and distribution upon death, or pursuant to a qualified domestic relations order; and (iii) pursuant to any liquidation, merger, stock exchange or other similar transaction which results in all of the Company’s stockholders having the right to exchange their Ordinary Shares for cash, securities, or other property.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Bluedot Acquisition</w:t>
      </w:r>
    </w:p>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On February 4, 2025, the Company entered into the Bluedot Purchase Agreement, by and between the Company and DBLP, pursuant to which the Company agreed to purchase, and DBLP agreed to sell, the entire issued and to be issued share capital of Bluedot.</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February 20, 2025, Rezolve closed the First Bluedot Acquisition. As consideration for the First Bluedot Acquisition, Rezolve issued 819,737 ordinary shares of the Company in a private placement to DBLP.</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and beneficially owned by John Wagner. Both Daniel Wagner and John Wagner are directors of DBLP.</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DBLP Settlement Agreement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February 7, 2025, the Company entered into the DBLP Settlement Agreement, pursuant to which the Company agreed to issue DBLP 800,000 Ordinary Shares in exchange for the full and final settlement of all amounts owed to DBLP in the amount of $5,958,593.22.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amounts due to related parties</w:t>
      </w:r>
    </w:p>
    <w:p>
      <w:pPr>
        <w:spacing w:after="0" w:line="229" w:lineRule="exact"/>
        <w:rPr>
          <w:sz w:val="20"/>
          <w:szCs w:val="20"/>
          <w:color w:val="auto"/>
        </w:rPr>
      </w:pPr>
    </w:p>
    <w:p>
      <w:pPr>
        <w:jc w:val="center"/>
        <w:ind w:right="100"/>
        <w:spacing w:after="0" w:line="407" w:lineRule="auto"/>
        <w:rPr>
          <w:sz w:val="20"/>
          <w:szCs w:val="20"/>
          <w:color w:val="auto"/>
        </w:rPr>
      </w:pPr>
      <w:r>
        <w:rPr>
          <w:rFonts w:ascii="Times New Roman" w:cs="Times New Roman" w:eastAsia="Times New Roman" w:hAnsi="Times New Roman"/>
          <w:sz w:val="18"/>
          <w:szCs w:val="18"/>
          <w:color w:val="auto"/>
        </w:rPr>
        <w:t>At December 31, 2024, we have the $137,019 due to Arthur Yao and $17,433 due to Steve Perry. All of these outstanding amounts will be settled in 2025.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 with Officers and Directors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Rezolve have entered into indemnification agreements with each of our directors and officers. The agreements provide the indemnitees with contractual rights to indemnification and expense advancement and reimbursement, to the fullest extent permitted under English law, subject to certain exceptions contained in those agreements. No indemnification, hold harmless or exoneration rights shall be available where the conduct of the indemnitee constitutes a breach of indemnitee’s fiduciary duties to the Company or its shareholders or is an act or omission not in good faith or which involves intentional misconduct or a knowing violation of the law.</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Rezolve has also purchased a policy of directors’ and officers’ liability insurance that insures Rezolve’s officers and directors against the cost of defense, settlement or payment of a judgment in some circumstances and insures Rezolve against its obligations to indemnify its officers and directors. Rezolve shall not be obligated under the indemnification agreements to make any indemnification, advance expenses, hold harmless or exoneration payment in connection with any claim made against the indemnitee for which payment has actually been received by or on behalf of the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Person Transactions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Rezolve board of directors has adopted a written related person transaction policy that sets forth the following policies and procedures for the review and approval or ratification of related person transactions. A “related person transaction” is a transaction, arrangement or relationship in which Rezolve or any of its subsidiaries was, is or will be a participant, the amount of which involved exceeds $120,000, and in which any related person had, has or will have a direct or indirect material interest. A “related person” means:</w:t>
      </w:r>
    </w:p>
    <w:p>
      <w:pPr>
        <w:spacing w:after="0" w:line="72" w:lineRule="exact"/>
        <w:rPr>
          <w:sz w:val="20"/>
          <w:szCs w:val="20"/>
          <w:color w:val="auto"/>
        </w:rPr>
      </w:pPr>
    </w:p>
    <w:p>
      <w:pPr>
        <w:ind w:left="520" w:hanging="512"/>
        <w:spacing w:after="0"/>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Rezolve’s executive officers or directors;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Rezolve to be the beneficial owner of more than 5% of Rezolve voting shares;</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son-in-law, daughter-in-law, brother in- law or sister-in-law of a director, executive officer or a beneficial owner of more than 5% of Rezolve’s voting shares, and any person (other than a tenant or employee) sharing the household of such director, executive officer or beneficial owner of more than 5% of Rezolve’s voting shares; and</w:t>
      </w:r>
    </w:p>
    <w:p>
      <w:pPr>
        <w:spacing w:after="0" w:line="71"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Rezolve has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will have the responsibility to review related party transactions.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85" w:name="page86"/>
    <w:bookmarkEnd w:id="85"/>
    <w:p>
      <w:pPr>
        <w:spacing w:after="0" w:line="21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Ordinary Shares as of July 30, 2025 by:</w:t>
      </w:r>
    </w:p>
    <w:p>
      <w:pPr>
        <w:spacing w:after="0" w:line="117" w:lineRule="exact"/>
        <w:rPr>
          <w:sz w:val="20"/>
          <w:szCs w:val="20"/>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outstanding Ordinary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Ordinary Shares shown as beneficially owned by such person, except as otherwise indicated in the table or footnotes below. The Company’s major shareholders do not have different voting rights from other holders of Ordinary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percentage of Ordinary Shares beneficially owned is computed on the basis of 284,406,329 Ordinary Shares outstanding.</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all Ordinary Shares beneficially owned by them. To our knowledge, no Ordinary Shares beneficially owned by any executive officer, director or director nominee have been pledged as security.</w:t>
      </w:r>
    </w:p>
    <w:p>
      <w:pPr>
        <w:spacing w:after="0" w:line="97" w:lineRule="exact"/>
        <w:rPr>
          <w:sz w:val="20"/>
          <w:szCs w:val="20"/>
          <w:color w:val="auto"/>
        </w:rPr>
      </w:pPr>
    </w:p>
    <w:tbl>
      <w:tblPr>
        <w:tblLayout w:type="fixed"/>
        <w:tblInd w:w="580" w:type="dxa"/>
        <w:tblCellMar>
          <w:top w:w="0" w:type="dxa"/>
          <w:left w:w="0" w:type="dxa"/>
          <w:bottom w:w="0" w:type="dxa"/>
          <w:right w:w="0" w:type="dxa"/>
        </w:tblCellMar>
      </w:tblPr>
      <w:tr>
        <w:trPr>
          <w:trHeight w:val="218"/>
        </w:trPr>
        <w:tc>
          <w:tcPr>
            <w:tcW w:w="66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Name of Beneficial Owners</w:t>
            </w:r>
            <w:r>
              <w:rPr>
                <w:rFonts w:ascii="Times New Roman" w:cs="Times New Roman" w:eastAsia="Times New Roman" w:hAnsi="Times New Roman"/>
                <w:sz w:val="19"/>
                <w:szCs w:val="19"/>
                <w:b w:val="1"/>
                <w:bCs w:val="1"/>
                <w:i w:val="1"/>
                <w:iCs w:val="1"/>
                <w:color w:val="auto"/>
                <w:vertAlign w:val="superscript"/>
              </w:rPr>
              <w:t>(1)</w:t>
            </w:r>
          </w:p>
        </w:tc>
        <w:tc>
          <w:tcPr>
            <w:tcW w:w="120" w:type="dxa"/>
            <w:vAlign w:val="bottom"/>
          </w:tcPr>
          <w:p>
            <w:pPr>
              <w:spacing w:after="0"/>
              <w:rPr>
                <w:sz w:val="18"/>
                <w:szCs w:val="18"/>
                <w:color w:val="auto"/>
              </w:rPr>
            </w:pPr>
          </w:p>
        </w:tc>
        <w:tc>
          <w:tcPr>
            <w:tcW w:w="142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i w:val="1"/>
                <w:iCs w:val="1"/>
                <w:color w:val="auto"/>
              </w:rPr>
              <w:t>Number of Shares</w:t>
            </w:r>
          </w:p>
        </w:tc>
        <w:tc>
          <w:tcPr>
            <w:tcW w:w="460" w:type="dxa"/>
            <w:vAlign w:val="bottom"/>
          </w:tcPr>
          <w:p>
            <w:pPr>
              <w:spacing w:after="0"/>
              <w:rPr>
                <w:sz w:val="18"/>
                <w:szCs w:val="18"/>
                <w:color w:val="auto"/>
              </w:rPr>
            </w:pPr>
          </w:p>
        </w:tc>
        <w:tc>
          <w:tcPr>
            <w:tcW w:w="132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Directors and Executive Officers</w:t>
            </w:r>
          </w:p>
        </w:tc>
        <w:tc>
          <w:tcPr>
            <w:tcW w:w="12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(3)</w:t>
            </w:r>
            <w:r>
              <w:rPr>
                <w:rFonts w:ascii="Times New Roman" w:cs="Times New Roman" w:eastAsia="Times New Roman" w:hAnsi="Times New Roman"/>
                <w:sz w:val="24"/>
                <w:szCs w:val="24"/>
                <w:color w:val="auto"/>
                <w:vertAlign w:val="superscript"/>
              </w:rPr>
              <w:t>(2)</w:t>
            </w:r>
          </w:p>
        </w:tc>
        <w:tc>
          <w:tcPr>
            <w:tcW w:w="13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53,429,933</w:t>
            </w:r>
          </w:p>
        </w:tc>
        <w:tc>
          <w:tcPr>
            <w:tcW w:w="460" w:type="dxa"/>
            <w:vAlign w:val="bottom"/>
            <w:vMerge w:val="continue"/>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John Wagner</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49,554,221</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(4)</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1,948,964</w:t>
            </w:r>
          </w:p>
        </w:tc>
        <w:tc>
          <w:tcPr>
            <w:tcW w:w="460" w:type="dxa"/>
            <w:vAlign w:val="bottom"/>
            <w:vMerge w:val="continue"/>
          </w:tcPr>
          <w:p>
            <w:pPr>
              <w:spacing w:after="0"/>
              <w:rPr>
                <w:sz w:val="5"/>
                <w:szCs w:val="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495,343</w:t>
            </w:r>
          </w:p>
        </w:tc>
        <w:tc>
          <w:tcPr>
            <w:tcW w:w="4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791,556</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33,334</w:t>
            </w:r>
          </w:p>
        </w:tc>
        <w:tc>
          <w:tcPr>
            <w:tcW w:w="460" w:type="dxa"/>
            <w:vAlign w:val="bottom"/>
            <w:vMerge w:val="continue"/>
          </w:tcPr>
          <w:p>
            <w:pPr>
              <w:spacing w:after="0"/>
              <w:rPr>
                <w:sz w:val="5"/>
                <w:szCs w:val="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Stephen Herbert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199,971</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1,153,633</w:t>
            </w:r>
          </w:p>
        </w:tc>
        <w:tc>
          <w:tcPr>
            <w:tcW w:w="460" w:type="dxa"/>
            <w:vAlign w:val="bottom"/>
            <w:vMerge w:val="continue"/>
          </w:tcPr>
          <w:p>
            <w:pPr>
              <w:spacing w:after="0"/>
              <w:rPr>
                <w:sz w:val="5"/>
                <w:szCs w:val="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Banerjee</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58,875,827</w:t>
            </w:r>
          </w:p>
        </w:tc>
        <w:tc>
          <w:tcPr>
            <w:tcW w:w="4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178"/>
        </w:trPr>
        <w:tc>
          <w:tcPr>
            <w:tcW w:w="6600" w:type="dxa"/>
            <w:vAlign w:val="bottom"/>
          </w:tcPr>
          <w:p>
            <w:pPr>
              <w:spacing w:after="0" w:line="177" w:lineRule="exact"/>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w w:val="87"/>
              </w:rPr>
              <w:t>(10)</w:t>
            </w:r>
            <w:r>
              <w:rPr>
                <w:rFonts w:ascii="Times New Roman" w:cs="Times New Roman" w:eastAsia="Times New Roman" w:hAnsi="Times New Roman"/>
                <w:sz w:val="24"/>
                <w:szCs w:val="24"/>
                <w:color w:val="auto"/>
                <w:w w:val="87"/>
                <w:vertAlign w:val="superscript"/>
              </w:rPr>
              <w:t>(9)</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60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DBLP Sea Cow Limited</w:t>
            </w:r>
            <w:r>
              <w:rPr>
                <w:rFonts w:ascii="Times New Roman" w:cs="Times New Roman" w:eastAsia="Times New Roman" w:hAnsi="Times New Roman"/>
                <w:sz w:val="24"/>
                <w:szCs w:val="24"/>
                <w:color w:val="auto"/>
                <w:vertAlign w:val="superscript"/>
              </w:rPr>
              <w:t>(8)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48,731,428</w:t>
            </w:r>
          </w:p>
        </w:tc>
        <w:tc>
          <w:tcPr>
            <w:tcW w:w="460" w:type="dxa"/>
            <w:vAlign w:val="bottom"/>
            <w:vMerge w:val="continue"/>
          </w:tcPr>
          <w:p>
            <w:pPr>
              <w:spacing w:after="0"/>
              <w:rPr>
                <w:sz w:val="22"/>
                <w:szCs w:val="22"/>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Igor Lychagov</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35,843,258</w:t>
            </w:r>
          </w:p>
        </w:tc>
        <w:tc>
          <w:tcPr>
            <w:tcW w:w="460" w:type="dxa"/>
            <w:vAlign w:val="bottom"/>
            <w:vMerge w:val="continue"/>
          </w:tcPr>
          <w:p>
            <w:pPr>
              <w:spacing w:after="0"/>
              <w:rPr>
                <w:sz w:val="5"/>
                <w:szCs w:val="5"/>
                <w:color w:val="auto"/>
              </w:rPr>
            </w:pPr>
          </w:p>
        </w:tc>
        <w:tc>
          <w:tcPr>
            <w:tcW w:w="1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(11)</w:t>
            </w: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Brooks Newmark</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17,395,676</w:t>
            </w:r>
          </w:p>
        </w:tc>
        <w:tc>
          <w:tcPr>
            <w:tcW w:w="460" w:type="dxa"/>
            <w:vAlign w:val="bottom"/>
            <w:vMerge w:val="continue"/>
          </w:tcPr>
          <w:p>
            <w:pPr>
              <w:spacing w:after="0"/>
              <w:rPr>
                <w:sz w:val="5"/>
                <w:szCs w:val="5"/>
                <w:color w:val="auto"/>
              </w:rPr>
            </w:pPr>
          </w:p>
        </w:tc>
        <w:tc>
          <w:tcPr>
            <w:tcW w:w="1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55"/>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(12)</w:t>
            </w: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Brad Wickens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25,864,807</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(13)</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Aperion Investment Group Limited</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25,097,545</w:t>
            </w:r>
          </w:p>
        </w:tc>
        <w:tc>
          <w:tcPr>
            <w:tcW w:w="460" w:type="dxa"/>
            <w:vAlign w:val="bottom"/>
            <w:vMerge w:val="continue"/>
          </w:tcPr>
          <w:p>
            <w:pPr>
              <w:spacing w:after="0"/>
              <w:rPr>
                <w:sz w:val="5"/>
                <w:szCs w:val="5"/>
                <w:color w:val="auto"/>
              </w:rPr>
            </w:pPr>
          </w:p>
        </w:tc>
        <w:tc>
          <w:tcPr>
            <w:tcW w:w="1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-2331085</wp:posOffset>
            </wp:positionV>
            <wp:extent cx="641223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-2056765</wp:posOffset>
            </wp:positionV>
            <wp:extent cx="641223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-1782445</wp:posOffset>
            </wp:positionV>
            <wp:extent cx="641223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-1508125</wp:posOffset>
            </wp:positionV>
            <wp:extent cx="641223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-685165</wp:posOffset>
            </wp:positionV>
            <wp:extent cx="641223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-410845</wp:posOffset>
            </wp:positionV>
            <wp:extent cx="641223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-136525</wp:posOffset>
            </wp:positionV>
            <wp:extent cx="641223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117"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following owners is 21 Sackville Street, London, W1S 3DN, United Kingdom.</w:t>
      </w:r>
    </w:p>
    <w:p>
      <w:pPr>
        <w:spacing w:after="0" w:line="117"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(i) 4,698,505 shares directly held by Daniel Wagner; and (ii) 48,731,428 shares directly held by DBLP Sea Cow Limited (“DBLP”). DBLP is wholly legally owned by Mr. Wagner and Mr. Wagner is a director of DBLP and therefore Mr. Wagner may be deemed to share voting and investment power over the shares held by DBLP.</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ind w:left="512" w:right="100" w:hanging="512"/>
        <w:spacing w:after="0" w:line="258" w:lineRule="auto"/>
        <w:tabs>
          <w:tab w:leader="none" w:pos="51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815,989 shares directly held by John Wagner; (ii) 2,835 Ordinary Shares issued upon conversion of the Promissory Note held by Mr. Wagner; (iii) 3,969 Ordinary Shares underlying the Private Warrants held by Mr. Wagner; and (iv) 48,731,428 shares directly held by DBLP. Excludes 3,592,193 shares directly held by DBLP that are subject to a call option currently exercisable by Brad Wickens. DBLP is beneficially owned by Mr. John Wagner and Mr. John Wagner is a director of DBLP and therefore Mr. Wagner may be deemed to share voting and investment power over the shares held by DBLP.</w:t>
      </w:r>
    </w:p>
    <w:p>
      <w:pPr>
        <w:spacing w:after="0" w:line="75" w:lineRule="exact"/>
        <w:rPr>
          <w:rFonts w:ascii="Times New Roman" w:cs="Times New Roman" w:eastAsia="Times New Roman" w:hAnsi="Times New Roman"/>
          <w:sz w:val="18"/>
          <w:szCs w:val="18"/>
          <w:color w:val="auto"/>
        </w:rPr>
      </w:pPr>
    </w:p>
    <w:p>
      <w:pPr>
        <w:ind w:left="512" w:right="200" w:hanging="512"/>
        <w:spacing w:after="0" w:line="266" w:lineRule="auto"/>
        <w:tabs>
          <w:tab w:leader="none" w:pos="51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1,879,352 Ordinary Shares; (ii) 11,321 Ordinary Shares issued upon conversion of the Promissory Note held by Mr. Sharp; (iii) 42,441 Ordinary Shares issued upon the conversion of the Advance Subscription made by Mr. Sharp; and (iv) 15,850 Ordinary Shares underlying the Private Warrants held by Mr. Sharp.</w:t>
      </w:r>
    </w:p>
    <w:p>
      <w:pPr>
        <w:spacing w:after="0" w:line="67" w:lineRule="exact"/>
        <w:rPr>
          <w:rFonts w:ascii="Times New Roman" w:cs="Times New Roman" w:eastAsia="Times New Roman" w:hAnsi="Times New Roman"/>
          <w:sz w:val="18"/>
          <w:szCs w:val="18"/>
          <w:color w:val="auto"/>
        </w:rPr>
      </w:pPr>
    </w:p>
    <w:p>
      <w:pPr>
        <w:ind w:left="512" w:right="100" w:hanging="512"/>
        <w:spacing w:after="0" w:line="289" w:lineRule="auto"/>
        <w:tabs>
          <w:tab w:leader="none" w:pos="512"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564,935 Ordinary Shares; (ii) 110,000 Ordinary Shares issued upon the conversion of the Advance Subscription made by Mr. Perry; and (iii) 69,526 Ordinary Shares issued upon conversion of the Convertible Note held by Mr. Perry. Excludes (i) 34,395 Ordinary Shares issued upon conversion of the Promissory Note held by Mr. Perry; and (ii) 12,700 Ordinary Shares underlying the Private Warrants held by Mr. Perry.</w:t>
      </w:r>
    </w:p>
    <w:p>
      <w:pPr>
        <w:spacing w:after="0" w:line="49" w:lineRule="exact"/>
        <w:rPr>
          <w:rFonts w:ascii="Times New Roman" w:cs="Times New Roman" w:eastAsia="Times New Roman" w:hAnsi="Times New Roman"/>
          <w:sz w:val="17"/>
          <w:szCs w:val="17"/>
          <w:color w:val="auto"/>
        </w:rPr>
      </w:pPr>
    </w:p>
    <w:p>
      <w:pPr>
        <w:ind w:left="512" w:hanging="512"/>
        <w:spacing w:after="0"/>
        <w:tabs>
          <w:tab w:leader="none" w:pos="51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33,334 Ordinary Shares issued upon the conversion of the Advance Subscription made by Mr. Smith.</w:t>
      </w:r>
    </w:p>
    <w:p>
      <w:pPr>
        <w:spacing w:after="0" w:line="117" w:lineRule="exact"/>
        <w:rPr>
          <w:rFonts w:ascii="Times New Roman" w:cs="Times New Roman" w:eastAsia="Times New Roman" w:hAnsi="Times New Roman"/>
          <w:sz w:val="18"/>
          <w:szCs w:val="18"/>
          <w:color w:val="auto"/>
        </w:rPr>
      </w:pPr>
    </w:p>
    <w:p>
      <w:pPr>
        <w:ind w:left="512" w:right="280" w:hanging="512"/>
        <w:spacing w:after="0" w:line="282" w:lineRule="auto"/>
        <w:tabs>
          <w:tab w:leader="none" w:pos="51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1,142,384 Ordinary Shares and (ii) 11,249 Ordinary Shares issued upon the conversion of the Advance Subscription made by Mr. Vesco.</w:t>
      </w:r>
    </w:p>
    <w:p>
      <w:pPr>
        <w:spacing w:after="0" w:line="53" w:lineRule="exact"/>
        <w:rPr>
          <w:rFonts w:ascii="Times New Roman" w:cs="Times New Roman" w:eastAsia="Times New Roman" w:hAnsi="Times New Roman"/>
          <w:sz w:val="18"/>
          <w:szCs w:val="18"/>
          <w:color w:val="auto"/>
        </w:rPr>
      </w:pPr>
    </w:p>
    <w:p>
      <w:pPr>
        <w:ind w:left="512" w:right="280" w:hanging="512"/>
        <w:spacing w:after="0" w:line="282" w:lineRule="auto"/>
        <w:tabs>
          <w:tab w:leader="none" w:pos="51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is wholly legally owned by Daniel Wagner and is wholly beneficially owned by John Wagner. Both Daniel Wagner and John Wagner are directors of DBLP.</w:t>
      </w:r>
    </w:p>
    <w:p>
      <w:pPr>
        <w:spacing w:after="0" w:line="53" w:lineRule="exact"/>
        <w:rPr>
          <w:rFonts w:ascii="Times New Roman" w:cs="Times New Roman" w:eastAsia="Times New Roman" w:hAnsi="Times New Roman"/>
          <w:sz w:val="18"/>
          <w:szCs w:val="18"/>
          <w:color w:val="auto"/>
        </w:rPr>
      </w:pPr>
    </w:p>
    <w:p>
      <w:pPr>
        <w:ind w:left="512" w:right="320" w:hanging="512"/>
        <w:spacing w:after="0" w:line="282" w:lineRule="auto"/>
        <w:tabs>
          <w:tab w:leader="none" w:pos="51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37,052,254 Ordinary Shares; and (ii) 11,679,174 shares issued to DBLP upon conversion of certain options granted under the LTIP. Excludes 3,592,193 shares directly held by DBLP that are subject to a call option currently exercisable by Brad Wickens.</w:t>
      </w:r>
    </w:p>
    <w:p>
      <w:pPr>
        <w:spacing w:after="0" w:line="53"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34,649,207 Ordinary Shares; and (ii) 1,194,051 Ordinary Shares issued upon conversion of the Convertible Note held by Mr. Lychagov.</w:t>
      </w:r>
    </w:p>
    <w:p>
      <w:pPr>
        <w:spacing w:after="0" w:line="128" w:lineRule="exact"/>
        <w:rPr>
          <w:rFonts w:ascii="Times New Roman" w:cs="Times New Roman" w:eastAsia="Times New Roman" w:hAnsi="Times New Roman"/>
          <w:sz w:val="17"/>
          <w:szCs w:val="17"/>
          <w:color w:val="auto"/>
        </w:rPr>
      </w:pPr>
    </w:p>
    <w:p>
      <w:pPr>
        <w:ind w:left="512" w:right="120" w:hanging="512"/>
        <w:spacing w:after="0" w:line="266" w:lineRule="auto"/>
        <w:tabs>
          <w:tab w:leader="none" w:pos="51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7,870,000 Ordinary Shares and (ii) 9,200,000 Ordinary Shares issued upon the conversion of the Advance Subscription made by Mr. Newmark. Shares beneficially held consist of 17,395,676 Ordinary Shares directly held by Mr. Newmark, as reported on the Schedule 13G/A filed by Mr. Newmark on June 3, 2025.</w:t>
      </w:r>
    </w:p>
    <w:p>
      <w:pPr>
        <w:spacing w:after="0" w:line="67" w:lineRule="exact"/>
        <w:rPr>
          <w:rFonts w:ascii="Times New Roman" w:cs="Times New Roman" w:eastAsia="Times New Roman" w:hAnsi="Times New Roman"/>
          <w:sz w:val="18"/>
          <w:szCs w:val="18"/>
          <w:color w:val="auto"/>
        </w:rPr>
      </w:pPr>
    </w:p>
    <w:p>
      <w:pPr>
        <w:ind w:left="512" w:right="60" w:hanging="512"/>
        <w:spacing w:after="0" w:line="258" w:lineRule="auto"/>
        <w:tabs>
          <w:tab w:leader="none" w:pos="51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9,638,693 Ordinary Shares; (ii) 1,240,865 Ordinary Shares currently held by Apeiron on Mr. Wickens' behalf; (iii) 3,592,193 Ordinary Shares currently held by DBLP but subject to a call option currently exercisable by Mr. Wickens; (iv) 156,250 Ordinary Shares issued upon conversion of the Promissory Note held by Mr. Wickens; (v) 333,333 Ordinary Shares issued upon the conversion of the Advance Subscription made by Mr. Wickens, (vi) 62,500 Ordinary Shares underlying the Private Warrants held by Mr. Wickens; and (vii) 10,840,973 Ordinary Shares issued upon conversion of the Convertible Note held by Mr. Wickens.</w:t>
      </w:r>
    </w:p>
    <w:p>
      <w:pPr>
        <w:spacing w:after="0" w:line="75" w:lineRule="exact"/>
        <w:rPr>
          <w:rFonts w:ascii="Times New Roman" w:cs="Times New Roman" w:eastAsia="Times New Roman" w:hAnsi="Times New Roman"/>
          <w:sz w:val="18"/>
          <w:szCs w:val="18"/>
          <w:color w:val="auto"/>
        </w:rPr>
      </w:pPr>
    </w:p>
    <w:p>
      <w:pPr>
        <w:ind w:left="512" w:right="20" w:hanging="512"/>
        <w:spacing w:after="0" w:line="257" w:lineRule="auto"/>
        <w:tabs>
          <w:tab w:leader="none" w:pos="51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10,712,645 Ordinary Shares, (ii) 333,333 Ordinary Shares issued upon conversion of the Advance Subscription made by Apeiron; (iii) 182,886 Ordinary Shares issuable upon potential conversion of the Promissory Note held by Apeiron; (iii) 62,500 Ordinary Shares underlying the Private Warrants held by Apeiron; and (iv) 13,806,181 Ordinary Shares issued upon conversion of the Convertible Note held by Apeiron. Excludes</w:t>
      </w:r>
    </w:p>
    <w:p>
      <w:pPr>
        <w:spacing w:after="0" w:line="1" w:lineRule="exact"/>
        <w:rPr>
          <w:rFonts w:ascii="Times New Roman" w:cs="Times New Roman" w:eastAsia="Times New Roman" w:hAnsi="Times New Roman"/>
          <w:sz w:val="18"/>
          <w:szCs w:val="18"/>
          <w:color w:val="auto"/>
        </w:rPr>
      </w:pPr>
    </w:p>
    <w:p>
      <w:pPr>
        <w:ind w:left="5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1,240,865 Ordinary Shares held by Apeiron on Brad Wickens' behalf.</w:t>
      </w:r>
    </w:p>
    <w:p>
      <w:pPr>
        <w:spacing w:after="0" w:line="9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120" w:right="379" w:bottom="1440" w:gutter="0" w:footer="0" w:header="0"/>
        </w:sectPr>
      </w:pPr>
    </w:p>
    <w:bookmarkStart w:id="87" w:name="page88"/>
    <w:bookmarkEnd w:id="87"/>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HOLDERS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relates to the resale by certain of the Selling Holders of up to 20,000,000 Ordinary Shares issued in connection with the PIPE Financing.</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Selling Holders may from time to time offer and sell any or all of the Ordinary Shares a set forth below pursuant to this prospectus. When we refer to the “Selling Holders” in this prospectus, we mean the persons listed in the table and in the footnotes in the table below (as such table may be amended from time to time by means of an amendment to the registration statement of which this prospectus is a part or by supplement to this prospectus), and any pledgees, donees, transferees, assignees, successors and others who later come to hold any of the Selling Holders’ interest in the Class A ordinary shares or warrants after the date of this prospectus such that registration rights shall apply to those securities.</w:t>
      </w:r>
    </w:p>
    <w:p>
      <w:pPr>
        <w:spacing w:after="0" w:line="14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tables are prepared based on information provided to us by the Selling Holders. It sets forth the name and address of the Selling Holders, the aggregate number of Ordinary Shares that the Selling Holders may offer pursuant to this prospectus, and the beneficial ownership of the Selling Holders both before and after the offering. Except as otherwise indicated in the table below, no selling stockholder is a broker-dealer or an affiliate of a broker-dealer. We have based ownership prior to this offering as of July 30, 2025 .</w:t>
      </w:r>
    </w:p>
    <w:p>
      <w:pPr>
        <w:spacing w:after="0" w:line="13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cannot advise you as to whether the Selling Holders will in fact sell any or all of such Ordinary Shares. In addition, the Selling Holders may sell, transfer or otherwise dispose of, at any time and from time to time, the Ordinary Shares in transactions exempt from the registration requirements of the Securities Act after the date of this prospectus. For purposes of this table, we have assumed that the Selling Holders will have sold all of the securities covered by this prospectus upon the completion of the offering.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the business address of each of the following owners is 21 Sackville Street, London, United Kingdom, W1S 3DN.</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343"/>
        </w:trPr>
        <w:tc>
          <w:tcPr>
            <w:tcW w:w="1980" w:type="dxa"/>
            <w:vAlign w:val="bottom"/>
            <w:tcBorders>
              <w:top w:val="single" w:sz="8" w:color="auto"/>
              <w:left w:val="single" w:sz="8" w:color="auto"/>
              <w:right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32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24"/>
                <w:szCs w:val="24"/>
                <w:color w:val="auto"/>
                <w:vertAlign w:val="superscript"/>
              </w:rPr>
              <w:t>(1)</w:t>
            </w:r>
          </w:p>
        </w:tc>
        <w:tc>
          <w:tcPr>
            <w:tcW w:w="2240" w:type="dxa"/>
            <w:vAlign w:val="bottom"/>
            <w:tcBorders>
              <w:top w:val="single" w:sz="8" w:color="auto"/>
              <w:right w:val="single" w:sz="8" w:color="auto"/>
            </w:tcBorders>
          </w:tcPr>
          <w:p>
            <w:pPr>
              <w:spacing w:after="0"/>
              <w:rPr>
                <w:sz w:val="24"/>
                <w:szCs w:val="24"/>
                <w:color w:val="auto"/>
              </w:rPr>
            </w:pPr>
          </w:p>
        </w:tc>
      </w:tr>
      <w:tr>
        <w:trPr>
          <w:trHeight w:val="139"/>
        </w:trPr>
        <w:tc>
          <w:tcPr>
            <w:tcW w:w="1980" w:type="dxa"/>
            <w:vAlign w:val="bottom"/>
            <w:tcBorders>
              <w:left w:val="single" w:sz="8" w:color="auto"/>
              <w:bottom w:val="single" w:sz="8" w:color="auto"/>
              <w:right w:val="single" w:sz="8" w:color="auto"/>
            </w:tcBorders>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r>
      <w:tr>
        <w:trPr>
          <w:trHeight w:val="150"/>
        </w:trPr>
        <w:tc>
          <w:tcPr>
            <w:tcW w:w="1980" w:type="dxa"/>
            <w:vAlign w:val="bottom"/>
            <w:tcBorders>
              <w:left w:val="single" w:sz="8" w:color="auto"/>
              <w:right w:val="single" w:sz="8" w:color="auto"/>
            </w:tcBorders>
          </w:tcPr>
          <w:p>
            <w:pPr>
              <w:ind w:left="12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Name</w:t>
            </w:r>
          </w:p>
        </w:tc>
        <w:tc>
          <w:tcPr>
            <w:tcW w:w="2100" w:type="dxa"/>
            <w:vAlign w:val="bottom"/>
            <w:tcBorders>
              <w:right w:val="single" w:sz="8" w:color="auto"/>
            </w:tcBorders>
          </w:tcPr>
          <w:p>
            <w:pPr>
              <w:ind w:left="8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Number Beneficially</w:t>
            </w:r>
          </w:p>
        </w:tc>
        <w:tc>
          <w:tcPr>
            <w:tcW w:w="1680" w:type="dxa"/>
            <w:vAlign w:val="bottom"/>
          </w:tcPr>
          <w:p>
            <w:pPr>
              <w:ind w:left="10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Maximum Number</w:t>
            </w:r>
          </w:p>
        </w:tc>
        <w:tc>
          <w:tcPr>
            <w:tcW w:w="440" w:type="dxa"/>
            <w:vAlign w:val="bottom"/>
            <w:tcBorders>
              <w:right w:val="single" w:sz="8" w:color="auto"/>
            </w:tcBorders>
          </w:tcPr>
          <w:p>
            <w:pPr>
              <w:spacing w:after="0"/>
              <w:rPr>
                <w:sz w:val="13"/>
                <w:szCs w:val="13"/>
                <w:color w:val="auto"/>
              </w:rPr>
            </w:pPr>
          </w:p>
        </w:tc>
        <w:tc>
          <w:tcPr>
            <w:tcW w:w="280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Number Beneficially Owned After</w:t>
            </w:r>
          </w:p>
        </w:tc>
        <w:tc>
          <w:tcPr>
            <w:tcW w:w="224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Percent Owned After the</w:t>
            </w: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Owned Prior to Offering</w:t>
            </w: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Registered for Sale</w:t>
            </w:r>
          </w:p>
        </w:tc>
        <w:tc>
          <w:tcPr>
            <w:tcW w:w="44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the Offered Shares are Sold</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Offered Shares are Sold</w:t>
            </w:r>
          </w:p>
        </w:tc>
      </w:tr>
      <w:tr>
        <w:trPr>
          <w:trHeight w:val="238"/>
        </w:trPr>
        <w:tc>
          <w:tcPr>
            <w:tcW w:w="1980" w:type="dxa"/>
            <w:vAlign w:val="bottom"/>
            <w:tcBorders>
              <w:left w:val="single" w:sz="8" w:color="auto"/>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Hereby</w:t>
            </w:r>
          </w:p>
        </w:tc>
        <w:tc>
          <w:tcPr>
            <w:tcW w:w="44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203"/>
        </w:trPr>
        <w:tc>
          <w:tcPr>
            <w:tcW w:w="1980" w:type="dxa"/>
            <w:vAlign w:val="bottom"/>
            <w:tcBorders>
              <w:left w:val="single" w:sz="8" w:color="auto"/>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280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r>
      <w:tr>
        <w:trPr>
          <w:trHeight w:val="198"/>
        </w:trPr>
        <w:tc>
          <w:tcPr>
            <w:tcW w:w="198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Alyeska Master Fund,</w:t>
            </w:r>
          </w:p>
        </w:tc>
        <w:tc>
          <w:tcPr>
            <w:tcW w:w="210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10,000,000</w:t>
            </w:r>
          </w:p>
        </w:tc>
        <w:tc>
          <w:tcPr>
            <w:tcW w:w="16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10,000,000</w:t>
            </w:r>
          </w:p>
        </w:tc>
        <w:tc>
          <w:tcPr>
            <w:tcW w:w="4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L.P.</w:t>
            </w:r>
            <w:r>
              <w:rPr>
                <w:rFonts w:ascii="Times New Roman" w:cs="Times New Roman" w:eastAsia="Times New Roman" w:hAnsi="Times New Roman"/>
                <w:sz w:val="24"/>
                <w:szCs w:val="24"/>
                <w:color w:val="auto"/>
                <w:vertAlign w:val="superscript"/>
              </w:rPr>
              <w:t>(2)</w:t>
            </w:r>
          </w:p>
        </w:tc>
        <w:tc>
          <w:tcPr>
            <w:tcW w:w="210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r>
      <w:tr>
        <w:trPr>
          <w:trHeight w:val="198"/>
        </w:trPr>
        <w:tc>
          <w:tcPr>
            <w:tcW w:w="198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Citadel CEMF</w:t>
            </w:r>
          </w:p>
        </w:tc>
        <w:tc>
          <w:tcPr>
            <w:tcW w:w="210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10,000,000</w:t>
            </w:r>
          </w:p>
        </w:tc>
        <w:tc>
          <w:tcPr>
            <w:tcW w:w="16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10,000,000</w:t>
            </w:r>
          </w:p>
        </w:tc>
        <w:tc>
          <w:tcPr>
            <w:tcW w:w="4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Investments Ltd.</w:t>
            </w:r>
            <w:r>
              <w:rPr>
                <w:rFonts w:ascii="Times New Roman" w:cs="Times New Roman" w:eastAsia="Times New Roman" w:hAnsi="Times New Roman"/>
                <w:sz w:val="24"/>
                <w:szCs w:val="24"/>
                <w:color w:val="auto"/>
                <w:vertAlign w:val="superscript"/>
              </w:rPr>
              <w:t>(3)</w:t>
            </w:r>
          </w:p>
        </w:tc>
        <w:tc>
          <w:tcPr>
            <w:tcW w:w="210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r>
    </w:tbl>
    <w:p>
      <w:pPr>
        <w:spacing w:after="0" w:line="117" w:lineRule="exact"/>
        <w:rPr>
          <w:sz w:val="20"/>
          <w:szCs w:val="20"/>
          <w:color w:val="auto"/>
        </w:rPr>
      </w:pPr>
    </w:p>
    <w:p>
      <w:pPr>
        <w:ind w:left="140" w:hanging="132"/>
        <w:spacing w:after="0"/>
        <w:tabs>
          <w:tab w:leader="none" w:pos="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25"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Ordinary Shares to be beneficially owned after completion of this offering is calculated on the basis of 284,406,329 Ordinary Shares outstanding, which includes the sale of all securities offered hereby by that particular Selling Holder and does not assume the sale by any other Selling Holder.</w:t>
      </w:r>
    </w:p>
    <w:p>
      <w:pPr>
        <w:spacing w:after="0" w:line="175" w:lineRule="exact"/>
        <w:rPr>
          <w:rFonts w:ascii="Times New Roman" w:cs="Times New Roman" w:eastAsia="Times New Roman" w:hAnsi="Times New Roman"/>
          <w:sz w:val="18"/>
          <w:szCs w:val="18"/>
          <w:color w:val="auto"/>
        </w:rPr>
      </w:pPr>
    </w:p>
    <w:p>
      <w:pPr>
        <w:ind w:left="1020" w:right="60" w:hanging="503"/>
        <w:spacing w:after="0" w:line="255" w:lineRule="auto"/>
        <w:tabs>
          <w:tab w:leader="none" w:pos="1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10,000,000 Ordinary Shares issued in connection with the PIPE Financing. Alyeska Investment Group, L.P., the investment manager of Alyeska Master Fund, L.P. (the “</w:t>
      </w:r>
      <w:r>
        <w:rPr>
          <w:rFonts w:ascii="Times New Roman" w:cs="Times New Roman" w:eastAsia="Times New Roman" w:hAnsi="Times New Roman"/>
          <w:sz w:val="18"/>
          <w:szCs w:val="18"/>
          <w:b w:val="1"/>
          <w:bCs w:val="1"/>
          <w:i w:val="1"/>
          <w:iCs w:val="1"/>
          <w:color w:val="auto"/>
        </w:rPr>
        <w:t>Alyeska Master Fund</w:t>
      </w:r>
      <w:r>
        <w:rPr>
          <w:rFonts w:ascii="Times New Roman" w:cs="Times New Roman" w:eastAsia="Times New Roman" w:hAnsi="Times New Roman"/>
          <w:sz w:val="18"/>
          <w:szCs w:val="18"/>
          <w:color w:val="auto"/>
        </w:rPr>
        <w:t>”), has voting and investment control of the shares held by the Selling Securityholder. Anand Parekh is the Chief Executive Officer of Alyeska Investment Group, L.P. and may be deemed to be the beneficial owner of such shares. Mr. Parekh, however, disclaims any beneficial ownership of the shares held by the Alyeska Master Fund. The principal business address of Alyeska Master Fund, L.P. is at c/o Maples Corporate Services Limited, P.O. Box 309, Ugland House, South Church Street George Town, Grand Cayman, KY1-1104, Cayman Islands. Alyeska Investment Group, L.P. is located at 77 W. Wacker, Suite 700, Chicago IL 60601.</w:t>
      </w:r>
    </w:p>
    <w:p>
      <w:pPr>
        <w:spacing w:after="0" w:line="188"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10,000,000 Ordinary Shares issued in connection with the PIPE Financing. Citadel Advisors LLC is the portfolio manager of Citadel CEMF Investments Ltd. Citadel Advisors Holdings LP, or CAH, is the sole member of Citadel Advisors LLC. Citadel GP LLC, or CGP, is the general partner of CAH. Kenneth Griffin owns a controlling interest in CGP. Mr. Griffin, as the owner of a controlling interest in CGP, may be deemed to have shared power to vote or direct the vote of, and/or shared power to dispose or to direct the disposition over, the registerable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-2623185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261" w:lineRule="auto"/>
        <w:rPr>
          <w:sz w:val="20"/>
          <w:szCs w:val="20"/>
          <w:color w:val="auto"/>
        </w:rPr>
      </w:pPr>
      <w:r>
        <w:rPr>
          <w:rFonts w:ascii="Times New Roman" w:cs="Times New Roman" w:eastAsia="Times New Roman" w:hAnsi="Times New Roman"/>
          <w:sz w:val="18"/>
          <w:szCs w:val="18"/>
          <w:color w:val="auto"/>
        </w:rPr>
        <w:t>securities covered by a description thereof. This response is not and shall not be construed as an admission that Mr. Griffin or any of the Citadel related entities listed above is the beneficial owner of any securities of the Company other than the securities actually owned by such person (if any). The address of Citadel CEMF Investments Ltd. is c/o Citadel Enterprise Americas LLC, 830 Brickell Plaza, Floor 15, Miami, FL 33131.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1340" w:top="1012" w:right="35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ORDINARY SHARES, ARTICLES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ASSOCIATION AND CERTAIN LEGAL CONSIDERATIONS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Set forth below is (i) a summary of certain information concerning Rezolve’s share capital, (ii) a description of certain provisions of Rezolve’s articles of association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and (iii) a summary of relevant provisions of the UK Companies Act 2006 (as amended) (the “</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prospectus forms a part.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 of Ordinary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comprise a single class of ordinary shares with a nominal value of £0.0001 each.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a summary of Ordinary Shares:</w:t>
      </w:r>
    </w:p>
    <w:p>
      <w:pPr>
        <w:spacing w:after="0" w:line="17" w:lineRule="exact"/>
        <w:rPr>
          <w:sz w:val="20"/>
          <w:szCs w:val="20"/>
          <w:color w:val="auto"/>
        </w:rPr>
      </w:pPr>
    </w:p>
    <w:p>
      <w:pPr>
        <w:ind w:left="760" w:hanging="378"/>
        <w:spacing w:after="0"/>
        <w:tabs>
          <w:tab w:leader="none" w:pos="7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Ordinary Shares carry the right to receive dividends and distributions paid by Rezolve, if any.</w:t>
      </w:r>
    </w:p>
    <w:p>
      <w:pPr>
        <w:spacing w:after="0" w:line="11" w:lineRule="exact"/>
        <w:rPr>
          <w:rFonts w:ascii="Times New Roman" w:cs="Times New Roman" w:eastAsia="Times New Roman" w:hAnsi="Times New Roman"/>
          <w:sz w:val="22"/>
          <w:szCs w:val="22"/>
          <w:color w:val="auto"/>
        </w:rPr>
      </w:pPr>
    </w:p>
    <w:p>
      <w:pPr>
        <w:jc w:val="both"/>
        <w:ind w:left="760" w:hanging="378"/>
        <w:spacing w:after="0" w:line="241" w:lineRule="auto"/>
        <w:tabs>
          <w:tab w:leader="none" w:pos="7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holders of Ordinary Shares have the right to receive notice of, and to attend and vote at, all Rezolve’s general meetings provided that the aggregate number of votes attaching to all issued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Subject to the UK Companies Act, any equity securities issued by Rezolve for cash must first be offered to Rezolve shareholders in proportion to their existing holdings of Ordinary Shares.</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Ordinary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Rezolve may convert Ordinary Shares into deferred shares of £0.0001 each (or other nominal value) in the capital of Rezolve (the “</w:t>
      </w:r>
      <w:r>
        <w:rPr>
          <w:rFonts w:ascii="Times New Roman" w:cs="Times New Roman" w:eastAsia="Times New Roman" w:hAnsi="Times New Roman"/>
          <w:sz w:val="18"/>
          <w:szCs w:val="18"/>
          <w:b w:val="1"/>
          <w:bCs w:val="1"/>
          <w:i w:val="1"/>
          <w:iCs w:val="1"/>
          <w:color w:val="auto"/>
        </w:rPr>
        <w:t>Deferred Shares</w:t>
      </w:r>
      <w:r>
        <w:rPr>
          <w:rFonts w:ascii="Times New Roman" w:cs="Times New Roman" w:eastAsia="Times New Roman" w:hAnsi="Times New Roman"/>
          <w:sz w:val="18"/>
          <w:szCs w:val="18"/>
          <w:color w:val="auto"/>
        </w:rPr>
        <w:t>”) in certain limited circumstances or issue Deferred Shares. The Deferred Shares have no rights to vote and do not entitle their holder to receive any 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83"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or she is neither an employee or consultant of or to Rezolve or any subsidiary), then unless the board of directors of Rezolve resolves otherwise with the written consent of the Rezolve Founder, all the Ordinary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Register</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Computershare Inc.</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0" w:name="page91"/>
    <w:bookmarkEnd w:id="90"/>
    <w:p>
      <w:pPr>
        <w:jc w:val="both"/>
        <w:spacing w:after="0" w:line="266" w:lineRule="auto"/>
        <w:rPr>
          <w:sz w:val="20"/>
          <w:szCs w:val="20"/>
          <w:color w:val="auto"/>
        </w:rPr>
      </w:pPr>
      <w:r>
        <w:rPr>
          <w:rFonts w:ascii="Times New Roman" w:cs="Times New Roman" w:eastAsia="Times New Roman" w:hAnsi="Times New Roman"/>
          <w:sz w:val="18"/>
          <w:szCs w:val="18"/>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any of its shareholders or any other affected person may apply to the court for rectification of the share register if:</w:t>
      </w:r>
    </w:p>
    <w:p>
      <w:pPr>
        <w:spacing w:after="0" w:line="17" w:lineRule="exact"/>
        <w:rPr>
          <w:sz w:val="20"/>
          <w:szCs w:val="20"/>
          <w:color w:val="auto"/>
        </w:rPr>
      </w:pPr>
    </w:p>
    <w:p>
      <w:pPr>
        <w:ind w:left="760" w:hanging="378"/>
        <w:spacing w:after="0"/>
        <w:tabs>
          <w:tab w:leader="none" w:pos="7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name of any person, without sufficient cause, is wrongly entered in or omitted from Rezolve’s register of shareholders; or</w:t>
      </w:r>
    </w:p>
    <w:p>
      <w:pPr>
        <w:spacing w:after="0" w:line="11"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Warrants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whole Public Warrant entitles the holder to purchase one Ordinary Share at a price of $11.50 per share subject to adjustment as discussed below. The Public Warrants will become exercisable 30 days after the Closing Date and terminating at 5:00pm New York City time on the earlier to occur of (i) five years from the consummation of the Business Combination, (ii) the date on which the warrants are redeemed, and (iii) the liquidation of Rezolve, provided in each case that Rezolve has an effective registration statement under the Securities Act covering the Ordinary Shares issuable upon exercise of the warrants and a current prospectus relating to them is available and such shares are registered, qualified or exempt from registration under the securities, or blue sky laws of the state of residence of the holder.</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an Ordinary Share upon exercise of a warrant unless the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agreed that as soon as practicable after the closing of the Business Combination, we will use our best efforts to file with the SEC a registration statement for the registration, under the Securities Act, of the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which will then apply to the Public Warrants.</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Redemption of Public Warrants when the price per Ordinary Share equals or exceeds $18.00. </w:t>
      </w:r>
      <w:r>
        <w:rPr>
          <w:rFonts w:ascii="Times New Roman" w:cs="Times New Roman" w:eastAsia="Times New Roman" w:hAnsi="Times New Roman"/>
          <w:sz w:val="18"/>
          <w:szCs w:val="18"/>
          <w:color w:val="auto"/>
        </w:rPr>
        <w:t>Once the warrants become exercisable, we may redeem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warrants (subject to any restrictions under the UK Companies Act):</w:t>
      </w:r>
    </w:p>
    <w:p>
      <w:pPr>
        <w:ind w:left="760" w:hanging="378"/>
        <w:spacing w:after="0" w:line="234" w:lineRule="auto"/>
        <w:tabs>
          <w:tab w:leader="none" w:pos="7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whole and not in part;</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at a price of $0.01 per warrant;</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2" w:lineRule="exact"/>
        <w:rPr>
          <w:rFonts w:ascii="Times New Roman" w:cs="Times New Roman" w:eastAsia="Times New Roman" w:hAnsi="Times New Roman"/>
          <w:sz w:val="22"/>
          <w:szCs w:val="22"/>
          <w:color w:val="auto"/>
        </w:rPr>
      </w:pPr>
    </w:p>
    <w:p>
      <w:pPr>
        <w:jc w:val="both"/>
        <w:ind w:left="760" w:hanging="378"/>
        <w:spacing w:after="0" w:line="238" w:lineRule="auto"/>
        <w:tabs>
          <w:tab w:leader="none" w:pos="7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and only if, the closing price of the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fractional Ordinary Shares will be issued upon exercise. If, upon exercise, a holder would be entitled to receive a fractional interest in a share, we will round down to the nearest whole number of Ordinary Shares to be issued to the holder. If, at the time of redemption, the warrants are exercisable for a security other than the Ordinary Shares pursuant to the applicable Warrant Agreement, the warrants may be exercised for such security. At such time as the warrants become exercisable for a security other than the Ordinary Shares,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1" w:name="page92"/>
    <w:bookmarkEnd w:id="9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Rezolve (or surviving company) will use its commercially reasonable efforts to register under the Securities Act the security issuable upon the exercise of the warrants.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Holder Election to Limit Exercise</w:t>
      </w:r>
      <w:r>
        <w:rPr>
          <w:rFonts w:ascii="Times New Roman" w:cs="Times New Roman" w:eastAsia="Times New Roman" w:hAnsi="Times New Roman"/>
          <w:sz w:val="18"/>
          <w:szCs w:val="18"/>
          <w:color w:val="auto"/>
        </w:rPr>
        <w:t>. A holder of a warrant may notify us in writing in the event it elects to be subject to a requirement that such holder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have the right to exercise such warrant, to the extent that after giving effect to such exercise, such person (together with such person’s affiliates), to the warrant agent’s actual knowledge, would beneficially own in excess of 9.8% (as specified by the holder) of the Ordinary Shares outstanding immediately after giving effect to such exercise.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If the number of outstanding Ordinary Shares is increased by a stock dividend payable in Ordinary Shares, or by a split 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or other similar event, then, on the effective date of such share capitalization, sub-division or similar event, the number of Ordinary Shares issuable on exercise of each warrant will be increased in proportion to such increase in the outstanding shares of common stock. A rights offering made to all or substantially all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ten (10) trading day period ending on the trading day prior to the first date on which the Ordinary Shares trade on the applicable exchange or in the applicable market, regular way, without the right to receive such rights.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number of outstanding Ordinary Shares is decreased by a consolidation, combination, reverse stock split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outstanding Ordinary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 of Rezolve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information is a summary of the material terms of the Ordinary Shares as specified in the Articles. The following summary does not purport to be complete and is qualified in its entirety by reference to the Articles.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rights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2" w:name="page93"/>
    <w:bookmarkEnd w:id="92"/>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quorum</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 holder.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number of votes attaching to all the issued shares held by Daniel Wagner as the “Rezolve Founder” or in which he is interested shall be equal to the higher of:</w:t>
      </w:r>
    </w:p>
    <w:p>
      <w:pPr>
        <w:spacing w:after="0" w:line="54" w:lineRule="exact"/>
        <w:rPr>
          <w:sz w:val="20"/>
          <w:szCs w:val="20"/>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the votes attaching to all shares in the capital of the Company;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votes that would otherwise have been conferred on Daniel Wagner.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Voting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transfers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Ordinary Shares are in registered form. Any Ordinary Shares may be held in uncertificated form.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3" w:name="page94"/>
    <w:bookmarkEnd w:id="93"/>
    <w:p>
      <w:pPr>
        <w:jc w:val="both"/>
        <w:spacing w:after="0" w:line="258" w:lineRule="auto"/>
        <w:rPr>
          <w:sz w:val="20"/>
          <w:szCs w:val="20"/>
          <w:color w:val="auto"/>
        </w:rPr>
      </w:pPr>
      <w:r>
        <w:rPr>
          <w:rFonts w:ascii="Times New Roman" w:cs="Times New Roman" w:eastAsia="Times New Roman" w:hAnsi="Times New Roman"/>
          <w:sz w:val="18"/>
          <w:szCs w:val="18"/>
          <w:color w:val="auto"/>
        </w:rPr>
        <w:t>of a partly paid share provided that any refusal does not prevent open and proper dealings of any class of shares which are 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transferor of an ordinary share is deemed to remain the holder until the transferee’s name is entered in the share register.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dividends on shares are to be paid according to the amounts paid up on their nominal value, or otherwise in accordance with the terms concerning entitlement to dividends on which shares were issued.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unclaimed dividends may be made use of by Rezolve’s board of directors for Rezolve’s benefit until claimed.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dividend unclaimed for a period of 10 years from the date when it was declared or became due for payment shall revert to Rezolve.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Rezolve’s board of directors may, by way of ordinary resolution (being a resolution passed by a simple majority of votes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rights of each member at a general meeting are as set out under the heading “Voting Rights and Quorum”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Alteration of share capital</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4" w:name="page95"/>
    <w:bookmarkEnd w:id="94"/>
    <w:p>
      <w:pPr>
        <w:jc w:val="both"/>
        <w:spacing w:after="0" w:line="282" w:lineRule="auto"/>
        <w:rPr>
          <w:sz w:val="20"/>
          <w:szCs w:val="20"/>
          <w:color w:val="auto"/>
        </w:rPr>
      </w:pPr>
      <w:r>
        <w:rPr>
          <w:rFonts w:ascii="Times New Roman" w:cs="Times New Roman" w:eastAsia="Times New Roman" w:hAnsi="Times New Roman"/>
          <w:sz w:val="18"/>
          <w:szCs w:val="18"/>
          <w:color w:val="auto"/>
        </w:rPr>
        <w:t>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Rezolve may agree with any member terms and conditions upon which all or any part of the Ordinary Shares held by such member from time to time shall be automatically converted into deferred shares.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no specific provision in the articles of association that would have the effect of delaying, deferring or preventing a change of control. Our board will be divided into three classes serving staggered three-year terms with the first class being eligible for re-election at the annual general meeting of Rezolve held in 2025, the second class being eligible for re-election at the annual general meeting of Rezolve held in 2026 and the third class being eligible for re-election at the annual general meeting of Rezolve held in 2027. The Board may remove any directors appointed by Armada from 12 months after Closing.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Winding Up</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Rezolve’s board is divided into three classes serving staggered three-year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Any directors appointed by Armada may be removed by Rezolve’s board of directors after the initial 12 months following the Closing Date.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5" w:name="page96"/>
    <w:bookmarkEnd w:id="95"/>
    <w:p>
      <w:pPr>
        <w:jc w:val="both"/>
        <w:spacing w:after="0" w:line="266" w:lineRule="auto"/>
        <w:rPr>
          <w:sz w:val="20"/>
          <w:szCs w:val="20"/>
          <w:color w:val="auto"/>
        </w:rPr>
      </w:pPr>
      <w:r>
        <w:rPr>
          <w:rFonts w:ascii="Times New Roman" w:cs="Times New Roman" w:eastAsia="Times New Roman" w:hAnsi="Times New Roman"/>
          <w:sz w:val="18"/>
          <w:szCs w:val="18"/>
          <w:color w:val="auto"/>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Directors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retiring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Interests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director shall be entitled to vote (and be counted in the quorum) in respect of any resolution concerning any of the following matters:</w:t>
      </w:r>
    </w:p>
    <w:p>
      <w:pPr>
        <w:spacing w:after="0" w:line="36" w:lineRule="exact"/>
        <w:rPr>
          <w:sz w:val="20"/>
          <w:szCs w:val="20"/>
          <w:color w:val="auto"/>
        </w:rPr>
      </w:pPr>
    </w:p>
    <w:p>
      <w:pPr>
        <w:ind w:left="760" w:hanging="378"/>
        <w:spacing w:after="0" w:line="234" w:lineRule="auto"/>
        <w:tabs>
          <w:tab w:leader="none" w:pos="7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contract, transaction or arrangement in which the director is interested by virtue of an interest in shares, debentures or other securities of Rezolve or any of its subsidiary undertakings;</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indemnification by Rezolve in relation to the performance of the director’s duties on behalf of the Company or any of its subsidiary undertakings;</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10" w:lineRule="exact"/>
        <w:rPr>
          <w:rFonts w:ascii="Times New Roman" w:cs="Times New Roman" w:eastAsia="Times New Roman" w:hAnsi="Times New Roman"/>
          <w:sz w:val="22"/>
          <w:szCs w:val="22"/>
          <w:color w:val="auto"/>
        </w:rPr>
      </w:pPr>
    </w:p>
    <w:p>
      <w:pPr>
        <w:ind w:left="760" w:right="20" w:hanging="378"/>
        <w:spacing w:after="0" w:line="234" w:lineRule="auto"/>
        <w:tabs>
          <w:tab w:leader="none" w:pos="7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arrangement for the benefit of employees of Rezolve or of any of its subsidiary undertakings which does not accord to the director any privilege or benefit not generally accorded to the employees to whom the contract or arrangement relates; and</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purchase or maintenance of insurance either for or for the benefit of any director or for persons who include directors.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6" w:name="page97"/>
    <w:bookmarkEnd w:id="96"/>
    <w:p>
      <w:pPr>
        <w:jc w:val="both"/>
        <w:spacing w:after="0" w:line="261" w:lineRule="auto"/>
        <w:rPr>
          <w:sz w:val="20"/>
          <w:szCs w:val="20"/>
          <w:color w:val="auto"/>
        </w:rPr>
      </w:pPr>
      <w:r>
        <w:rPr>
          <w:rFonts w:ascii="Times New Roman" w:cs="Times New Roman" w:eastAsia="Times New Roman" w:hAnsi="Times New Roman"/>
          <w:sz w:val="18"/>
          <w:szCs w:val="18"/>
          <w:color w:val="auto"/>
        </w:rPr>
        <w:t>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Fees and Remuneration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Special remuneration may be granted to any director who performs any special or extra services to, or at the request of, Rezolve, to be paid by way of lump sum, salary, commission, participation in profits or otherwise as the Rezolve board of directors may decide.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English Law Considerations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Purchases and Acquisitions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 acquire, those shares on the same terms as the general offer. The offeror would do so by sending a notice to the outstanding minority shareholders telling them that it will compulsorily acquire their shares.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 Out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7" w:name="page98"/>
    <w:bookmarkEnd w:id="97"/>
    <w:p>
      <w:pPr>
        <w:jc w:val="both"/>
        <w:spacing w:after="0" w:line="282" w:lineRule="auto"/>
        <w:rPr>
          <w:sz w:val="20"/>
          <w:szCs w:val="20"/>
          <w:color w:val="auto"/>
        </w:rPr>
      </w:pPr>
      <w:r>
        <w:rPr>
          <w:rFonts w:ascii="Times New Roman" w:cs="Times New Roman" w:eastAsia="Times New Roman" w:hAnsi="Times New Roman"/>
          <w:sz w:val="18"/>
          <w:szCs w:val="18"/>
          <w:color w:val="auto"/>
        </w:rPr>
        <w:t>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Interest in Shares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12" w:lineRule="exact"/>
        <w:rPr>
          <w:sz w:val="20"/>
          <w:szCs w:val="20"/>
          <w:color w:val="auto"/>
        </w:rPr>
      </w:pPr>
    </w:p>
    <w:p>
      <w:pPr>
        <w:ind w:left="760" w:hanging="378"/>
        <w:spacing w:after="0" w:line="234" w:lineRule="auto"/>
        <w:tabs>
          <w:tab w:leader="none" w:pos="7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43" w:lineRule="auto"/>
        <w:tabs>
          <w:tab w:leader="none" w:pos="7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Own Shares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ind w:left="760" w:hanging="378"/>
        <w:spacing w:after="0" w:line="235" w:lineRule="auto"/>
        <w:tabs>
          <w:tab w:leader="none" w:pos="7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specify the maximum number of shares authorized to be acquired;</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determine the maximum and minimum prices that may be paid for the shares; and</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specify a date, not being later than five years after the passing of the resolution, on which the authority to purchase is to expire.</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and Dividends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spacing w:after="0" w:line="18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It is not sufficient that Rezolve, once re-registered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1" w:lineRule="exact"/>
        <w:rPr>
          <w:sz w:val="20"/>
          <w:szCs w:val="20"/>
          <w:color w:val="auto"/>
        </w:rPr>
      </w:pPr>
    </w:p>
    <w:p>
      <w:pPr>
        <w:ind w:left="760" w:hanging="378"/>
        <w:spacing w:after="0" w:line="250" w:lineRule="auto"/>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ind w:left="760" w:hanging="378"/>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8" w:name="page99"/>
    <w:bookmarkEnd w:id="98"/>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Enforceability of Civil Liabilities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 United Kingdom</w:t>
      </w:r>
    </w:p>
    <w:p>
      <w:pPr>
        <w:spacing w:after="0" w:line="11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color w:val="auto"/>
        </w:rPr>
        <w:t>Rezolve has certain duties under the UK General Data Protection Regulation and the Data Protection Act 2018 (“</w:t>
      </w:r>
      <w:r>
        <w:rPr>
          <w:rFonts w:ascii="Times New Roman" w:cs="Times New Roman" w:eastAsia="Times New Roman" w:hAnsi="Times New Roman"/>
          <w:sz w:val="18"/>
          <w:szCs w:val="18"/>
          <w:b w:val="1"/>
          <w:bCs w:val="1"/>
          <w:i w:val="1"/>
          <w:iCs w:val="1"/>
          <w:color w:val="auto"/>
        </w:rPr>
        <w:t>UK GDPR</w:t>
      </w:r>
      <w:r>
        <w:rPr>
          <w:rFonts w:ascii="Times New Roman" w:cs="Times New Roman" w:eastAsia="Times New Roman" w:hAnsi="Times New Roman"/>
          <w:sz w:val="18"/>
          <w:szCs w:val="18"/>
          <w:color w:val="auto"/>
        </w:rPr>
        <w:t>”) based on internationally accepted principles of data privacy.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Notice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shareholders in Rezolve will provide the Company with certain information which constitutes personal data within the meaning of the UK GDPR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In the following discussion, the “Company” refers to Rezolve and its affiliates and/or delegates, except where the context requires otherwise.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Data</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 “data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 this Affects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Rezolve May Use a Member’s Personal Data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17" w:lineRule="exact"/>
        <w:rPr>
          <w:sz w:val="20"/>
          <w:szCs w:val="20"/>
          <w:color w:val="auto"/>
        </w:rPr>
      </w:pPr>
    </w:p>
    <w:p>
      <w:pPr>
        <w:ind w:left="760" w:hanging="378"/>
        <w:spacing w:after="0"/>
        <w:tabs>
          <w:tab w:leader="none" w:pos="7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this is necessary for the performance of its rights and obligations under any purchase agreements;</w:t>
      </w:r>
    </w:p>
    <w:p>
      <w:pPr>
        <w:spacing w:after="0" w:line="11" w:lineRule="exact"/>
        <w:rPr>
          <w:rFonts w:ascii="Times New Roman" w:cs="Times New Roman" w:eastAsia="Times New Roman" w:hAnsi="Times New Roman"/>
          <w:sz w:val="22"/>
          <w:szCs w:val="22"/>
          <w:color w:val="auto"/>
        </w:rPr>
      </w:pPr>
    </w:p>
    <w:p>
      <w:pPr>
        <w:ind w:left="760" w:right="20" w:hanging="378"/>
        <w:spacing w:after="0" w:line="233" w:lineRule="auto"/>
        <w:tabs>
          <w:tab w:leader="none" w:pos="7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this is necessary for compliance with a legal and regulatory obligation to which the company is subject (such as compliance with anti-money laundering and FATCA/CRS requirements); and/or</w:t>
      </w:r>
    </w:p>
    <w:p>
      <w:pPr>
        <w:spacing w:after="0" w:line="9"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Rezolve wish to use personal data for other specific purposes (including, if applicable, any purpose that requires your consent), it will contact you.</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Why Rezolve May Share Your Personal Data</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may share your personal data with our affiliates for any of the purposes described in this privacy notice.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Data Transfers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Data Protection Measures Rezolve Takes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Retention</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0" w:name="page101"/>
    <w:bookmarkEnd w:id="100"/>
    <w:p>
      <w:pPr>
        <w:spacing w:after="0" w:line="282" w:lineRule="auto"/>
        <w:rPr>
          <w:sz w:val="20"/>
          <w:szCs w:val="20"/>
          <w:color w:val="auto"/>
        </w:rPr>
      </w:pPr>
      <w:r>
        <w:rPr>
          <w:rFonts w:ascii="Times New Roman" w:cs="Times New Roman" w:eastAsia="Times New Roman" w:hAnsi="Times New Roman"/>
          <w:sz w:val="18"/>
          <w:szCs w:val="18"/>
          <w:color w:val="auto"/>
        </w:rPr>
        <w:t>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1" w:name="page102"/>
    <w:bookmarkEnd w:id="101"/>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TAX CONSIDERATIONS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United Kingdom Tax Considerations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statements are based on current UK law as applied in England and HMRC published practice (which may not be binding on HMRC) as at the date of this document, both of which are subject to change, possibly with retrospective effect.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statements are intended only as a general guide and are not a complete analysis of all potential UK tax consequences relating to the holding or disposing of Ordinary Shares or Warrants. They do not purport to provide any analysis of the UK tax consequences of the Business Combination.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statements apply only to persons who hold Ordinary Shares or Warrants as an investment and who are the absolute beneficial owners of the Ordinary Shares or Warrants. The statements do not apply to special categories of holders such as dealers in securities, insurance companies, collective investment schemes, charities, exempt pension funds or holders who have, or are deemed to have, acquired their Ordinary Shares or Warrants by virtue of an office or employment.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statements are not directed at and do not apply to persons who are resident, or in the case of individuals, domiciled for tax purposes in the UK.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IN ANY DOUBT AS TO YOUR TAX POSITION, YOU SHOULD CONSULT YOUR PROFESSIONAL TAX ADVISER.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Rezolve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Rezolve is subject to UK corporation tax on its taxable profits and gains, as it is tax resident in the UK. The Business Combination will not give rise to any taxable profits or gains for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Disposals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who are not resident in the UK will not generally be subject to UK taxation of capital gains on the disposal or deemed disposal of Ordinary Shares or Warrants unless they are carrying on a trade, profession or vocation in the UK through a branch or agency there (or, in the case of a company, they are carrying on a trade in the UK through a permanent establishment there) in connection with which the Ordinary Shares or Warrants are used, held or acquired. Non-UK tax resident holders may be subject to non-UK taxation on any gain under local law.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individual holder who has been resident for tax purposes in the UK but who ceases to be so or becomes treated as resident outside the UK for the purposes of a double tax treaty for a period of five years or less and who disposes of all or part of his or her Ordinary Shares or Warrants during that period may be liable to capital gains tax on his or her return to the UK, subject to any available exemptions or reliefs.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is not required to withhold UK tax when paying a dividend.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Rezolve shareholders resident outside the UK will generally not be subject to UK taxation on dividend income unless they are carrying on a trade, profession or vocation through a branch or agency in the UK (or, in the case of a corporate holder, they are carrying on a trade in the UK through a permanent establishment there) and the dividends are either a receipt of that trade, profession or vocation (or, in the case of a corporate holder, Ordinary Shares are used by, or held by or for, that UK permanent establishment). Rezolve shareholders resident outside the UK should consult their own tax adviser concerning their tax position on dividends received from Rezolve.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 (“SDRT”)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UK stamp duty or UK SDRT should arise on the issue of Ordinary Shares.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An agreement to transfer Ordinary Shares or Warrants other than to a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will normally give rise to a charge to UK SDRT at the rate of 0.5% of the amount or value of the consideration payable for the transfer, subject to the application of certain exclusions and reliefs. SDRT is, in general, payable by the purchaser. Instruments transferring Ordinary Shares or Warrants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jc w:val="both"/>
        <w:spacing w:after="0" w:line="261" w:lineRule="auto"/>
        <w:rPr>
          <w:sz w:val="20"/>
          <w:szCs w:val="20"/>
          <w:color w:val="auto"/>
        </w:rPr>
      </w:pPr>
      <w:r>
        <w:rPr>
          <w:rFonts w:ascii="Times New Roman" w:cs="Times New Roman" w:eastAsia="Times New Roman" w:hAnsi="Times New Roman"/>
          <w:sz w:val="18"/>
          <w:szCs w:val="18"/>
          <w:color w:val="auto"/>
        </w:rPr>
        <w:t>will generally be subject to UK stamp duty at the rate of 0.5% of the consideration given for the transfer (rounded up to the next £5), subject to the application of certain exclusions and reliefs. The purchaser normally pays the stamp duty. Any SDRT should be cancelled and any SDRT that has been paid should be repaid where an instrument of transfer has been executed in respect of the transfer of securities within six years of the incident giving rise to the SDRT and stamp duty has been paid on that instrument of transfer.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transfer of existing Ordinary Shares or Warrants to a DTC will normally give rise to a charge to UK stamp duty or SDRT at the higher rate of 1.5% of the amount or value of the consideration payable for the transfer (subject to certain exceptions). Although the DTC should be liable for any UK stamp duty or SDRT, this will be payable by the existing holder in practice. However, no stamp duty or SDRT should, in practice, be required to be paid in respect of transfers or agreements to transfer Ordinary Shares or Warrants within the facilities of the DTC, provided the transfer from a holder of Ordinary Shares or Warrants to a DTC occurs within four months of the listing.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Tax Considerations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section describes the material U.S. federal income tax considerations of the ownership and disposition of Ordinary Shares. This discussion applies only to Ordinary Shares held as capital assets for U.S. federal income tax purposes (generally, property held for investment) and does not discuss all aspects of U.S. federal income taxation that might be relevant to holders in light of their particular circumstances or status, including alternative minimum tax and Medicare contribution tax consequences, or holders who are subject to special rules, including:</w:t>
      </w:r>
    </w:p>
    <w:p>
      <w:pPr>
        <w:ind w:left="760" w:hanging="378"/>
        <w:spacing w:after="0" w:line="236"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brokers, dealers and other investors that do not own their Ordinary Shares as capital assets;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tax-exempt organizations, qualified retirement plans, individual retirement accounts or other tax deferred accounts;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banks or other financial institutions, underwriters, insurance companies, real estate investment trusts or regulated investment companies;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that own (directly, indirectly, or by attribution) 5% or more (by vote or value) of the Ordinary Shares;</w:t>
      </w:r>
    </w:p>
    <w:p>
      <w:pPr>
        <w:spacing w:after="0" w:line="12"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partnerships or other pass-through entities for U.S. federal income tax purposes, or beneficial owners of partnerships or other pass-through entities;</w:t>
      </w:r>
    </w:p>
    <w:p>
      <w:pPr>
        <w:spacing w:after="0" w:line="9"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holding Ordinary Shares as part of a straddle, hedging or conversion transaction, constructive sale, or other arrangement involving more than one position;</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required to accelerate the recognition of any item of gross income with respect to Ordinary Shares as a result of such income being recognized on an applicable financial statement;</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whose functional currency is not the U.S. dollar;</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that received Ordinary Shares or Warrants as compensation for services; or</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controlled foreign corporations or passive foreign investment companies.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its legislative history, existing and proposed Treasury regulations promulgated under the Code (the “Treasury Regulations”), published rulings by the IRS and court decisions, all as of the date hereof. These laws are subject to change, possibly on a retroactive basis. This discussion is necessarily general and does not address all aspects of U.S. federal income taxation, including the effect of the U.S. federal alternative minimum tax, or U.S. federal estate and gift tax, or any state, local or non-U.S. tax laws to a holder of Ordinary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specifically provided, the discussion below applies only to U.S. holders. For purposes of this discussion, a "</w:t>
      </w:r>
      <w:r>
        <w:rPr>
          <w:rFonts w:ascii="Times New Roman" w:cs="Times New Roman" w:eastAsia="Times New Roman" w:hAnsi="Times New Roman"/>
          <w:sz w:val="18"/>
          <w:szCs w:val="18"/>
          <w:b w:val="1"/>
          <w:bCs w:val="1"/>
          <w:i w:val="1"/>
          <w:iCs w:val="1"/>
          <w:color w:val="auto"/>
        </w:rPr>
        <w:t>U.S. holder</w:t>
      </w:r>
      <w:r>
        <w:rPr>
          <w:rFonts w:ascii="Times New Roman" w:cs="Times New Roman" w:eastAsia="Times New Roman" w:hAnsi="Times New Roman"/>
          <w:sz w:val="18"/>
          <w:szCs w:val="18"/>
          <w:color w:val="auto"/>
        </w:rPr>
        <w:t>" means a beneficial owner of Ordinary Shares that is, for U.S. federal income tax purposes:</w:t>
      </w:r>
    </w:p>
    <w:p>
      <w:pPr>
        <w:ind w:left="760" w:hanging="378"/>
        <w:spacing w:after="0" w:line="234"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2"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or the District of Columbia;</w:t>
      </w:r>
    </w:p>
    <w:p>
      <w:pPr>
        <w:ind w:left="760" w:hanging="378"/>
        <w:spacing w:after="0" w:line="230"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2" w:lineRule="exact"/>
        <w:rPr>
          <w:rFonts w:ascii="Times New Roman" w:cs="Times New Roman" w:eastAsia="Times New Roman" w:hAnsi="Times New Roman"/>
          <w:sz w:val="22"/>
          <w:szCs w:val="22"/>
          <w:color w:val="auto"/>
        </w:rPr>
      </w:pPr>
    </w:p>
    <w:p>
      <w:pPr>
        <w:jc w:val="both"/>
        <w:ind w:left="760" w:hanging="378"/>
        <w:spacing w:after="0" w:line="238"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3" w:name="page104"/>
    <w:bookmarkEnd w:id="103"/>
    <w:p>
      <w:pPr>
        <w:jc w:val="both"/>
        <w:spacing w:after="0" w:line="282" w:lineRule="auto"/>
        <w:rPr>
          <w:sz w:val="20"/>
          <w:szCs w:val="20"/>
          <w:color w:val="auto"/>
        </w:rPr>
      </w:pPr>
      <w:r>
        <w:rPr>
          <w:rFonts w:ascii="Times New Roman" w:cs="Times New Roman" w:eastAsia="Times New Roman" w:hAnsi="Times New Roman"/>
          <w:sz w:val="18"/>
          <w:szCs w:val="18"/>
          <w:color w:val="auto"/>
        </w:rPr>
        <w:t>Holders who are not U.S. holders should consult with their own tax advisors regarding the U.S. federal income tax consequences of holding Rezolve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HOLDERS OF ORDINARY SHARES SHOULD CONSULT WITH THEIR OWN TAX ADVISORS REGARDING THE TAX CONSEQUENCES TO THEM OF THE OWNERSHIP AND DISPOSITION OF ORDINARY SHARES, INCLUDING THE EFFECTS OF U.S. FEDERAL, STATE, AND LOCAL AND NON-U.S. TAX LAWS.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Ordinary Shares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 Company Rules</w:t>
      </w:r>
      <w:r>
        <w:rPr>
          <w:rFonts w:ascii="Times New Roman" w:cs="Times New Roman" w:eastAsia="Times New Roman" w:hAnsi="Times New Roman"/>
          <w:sz w:val="18"/>
          <w:szCs w:val="18"/>
          <w:color w:val="auto"/>
        </w:rPr>
        <w:t>,” the gross amount of any distribution on Ordinary Shares that is made out of Rezolve’s current or accumulated earnings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Rezolve’s current and accumulated earnings and profits (as determined under U.S. federal income tax principles), such excess amount will be treated first as a non-taxable return of capital to the extent of the U.S. holder’s tax basis in its Ordinary Shares, and thereafter as capital gain recognized on a sale or exchange.</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Subject to the discussion under the section entitled “Material Tax Considerations - Material U.S. Federal Income Tax Considerations - Passive Foreign Investment Company Rules,” dividends received by non-corporate U.S. holders (including individuals) from a “qualified foreign corporation” may be eligible for reduced rates of taxation, provided that certain holding period requirements and other conditions are satisfied. For these purposes, a non-U.S. corporation will be treated as a qualified foreign corporation if it is eligible for the benefits of a comprehensive income tax treaty with the United States that meets certain requirements. There is currently an income tax treaty between the United States and the United Kingdom. Notwithstanding, there can be no assurances that Rezolve will be eligible for benefits of an applicable comprehensive income tax treaty with the United States. A non-U.S. corporation is also treated as a qualified foreign corporation with respect to dividends it pays on shares that are readily tradable on an established securities market in the United States. U.S. Treasury guidance indicates that shares listed on Nasdaq (which the Ordinary Shares are) will be considered readily tradable on an established securities market in the United States. There can be no assurance that Ordinary Shares will be considered readily tradable on an established securities market in future years. Non-corporate U.S. holders that do not meet a minimum holding period requirement during which they are not protected from the risk of loss or that elect to treat the dividend income as “investment income” pursuant to Section 163(d)(4) of the Code (dealing with the deduction for investment interest expense) will not be eligible for the reduced rates of taxation regardless of Rezolve’s status as a qualified foreign corporation. In addition, the rate reduction will not apply to dividends if the recipient of a dividend is obligated to make related payments with respect to the positions in substantially similar or related property. This disallowance applies even if the minimum holding period has been met. Rezolve will not constitute a qualified foreign corporation for purposes of these rules if it is a passive foreign investment company for the taxable year in which it pays a dividend or for the preceding taxable year. See the section entitled “Material Tax Considerations - Material U.S. Federal Income Tax Considerations - Passive Foreign Investment Company Rules.”</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certain conditions and limitations, withholding taxes, if any, on dividends paid by Rezolve may be treated as foreign taxes eligible for credit against a U.S. holder’s U.S. federal income tax liability under the U.S. foreign tax credit rules. For purposes of calculating the U.S. foreign tax credit, dividends paid on Ordinary Shares will generally be treated as income from sources outside the United States and will generally constitute passive category income. The rules governing the U.S. foreign tax credit are complex. U.S. holders should consult their own tax advisors regarding the availability of the U.S. foreign tax credit under particular circumstances.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Other Taxable Disposition of Ordinary Shares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the discussion under the section entitled “Material Tax Considerations - Material U.S. Federal Income Tax Considerations - Passive Foreign Investment Company Rules,” a U.S. holder generally will recognize gain or loss on any sale, exchange, redemption or other taxable disposition of Ordinary Shares in an amount equal to the difference between (i) the amount realized on the disposition and (ii) such U.S. holder’s adjusted tax basis in such shares. Any gain or loss recognized by a U.S. holder on a taxable disposition of Ordinary Shares generally will be capital gain or loss and will be long-term capital gain or loss if the holder’s holding period in such shares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Ordinary Shares generally will be treated as U.S. source gain or loss.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The treatment of U.S. holders of the Ordinary Shares could be materially different from that described above if Rezolve is treated as a passive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investment company, or PFIC, for U.S. federal income tax purposes. A PFIC is any foreign corporation with respect to which either: (i) 75% or more of the gross income for a taxable year constitutes passive income for purposes of the PFIC rules, or (ii) 50% or more of such foreign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The determination of whether a foreign corporation is a PFIC is based upon the composition of such foreign corporation’s income and assets (including, among others, its proportionate share of the income and assets of any other corporation in which it owns, directly or indirectly, 25% (by value) of the stock), and the nature of such foreign corporation’s activities. A separate determination must be made after the close of each taxable year as to whether a foreign corporation was a PFIC for that year. Once a foreign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on the projected composition of Rezolve’s income and assets, including goodwill, Rezolve does not currently expect to be classified as a PFIC for the taxable year ending December 31, 2025. The tests for determining PFIC status are applied annually after the close of the taxable year, and it is difficult to predict accurately future income and assets relevant to this determination. The fair market value of the assets of Rezolve is expected to depend, in part, upon (a) the market value of the Ordinary Shares, and (b) the composition of the assets and income of Rezolve. Further, because Rezolve may value its goodwill based on the market value of the Ordinary Shares, a decrease in the market value of the Ordinary Shares and/or an increase in cash or other passive assets would increase the relative percentage of its passive assets. Moreover, any interest income that Rezolve earns on its cash deposits would generally be treated as passive income and increase the risk that Rezolve would be treated as a PFIC. The application of the PFIC rules is subject to uncertainty in several respects and, therefore, no assurances can be provided that Rezolve will not be a PFIC for the taxable year ending December 31, 2025 or in a future year.</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Rezolve is or becomes a PFIC during any year in which a U.S. holder holds Ordinary Shares, there are three separate taxation regimes that could apply to such U.S. holder under the PFIC rules, which are the (i) excess distribution regime (which is the default regime), (ii) mark-to-market regime and (iii) QEF regime. A U.S. holder who holds (actually or constructively) stock in a foreign corporation during any year in which such corporation qualifies as a PFIC is subject to U.S. federal income taxation under one of these three regimes. The effect of the PFIC rules on a U.S. holder will depend upon which of these regimes applies to such U.S. holder. However, dividends paid by a PFIC are generally not eligible for the lower rates of taxation applicable to qualified dividend income (“</w:t>
      </w:r>
      <w:r>
        <w:rPr>
          <w:rFonts w:ascii="Times New Roman" w:cs="Times New Roman" w:eastAsia="Times New Roman" w:hAnsi="Times New Roman"/>
          <w:sz w:val="18"/>
          <w:szCs w:val="18"/>
          <w:b w:val="1"/>
          <w:bCs w:val="1"/>
          <w:i w:val="1"/>
          <w:iCs w:val="1"/>
          <w:color w:val="auto"/>
        </w:rPr>
        <w:t>QDI</w:t>
      </w:r>
      <w:r>
        <w:rPr>
          <w:rFonts w:ascii="Times New Roman" w:cs="Times New Roman" w:eastAsia="Times New Roman" w:hAnsi="Times New Roman"/>
          <w:sz w:val="18"/>
          <w:szCs w:val="18"/>
          <w:color w:val="auto"/>
        </w:rPr>
        <w:t>”) under any of the foregoing regimes.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Excess Distribution Regime. </w:t>
      </w:r>
      <w:r>
        <w:rPr>
          <w:rFonts w:ascii="Times New Roman" w:cs="Times New Roman" w:eastAsia="Times New Roman" w:hAnsi="Times New Roman"/>
          <w:sz w:val="18"/>
          <w:szCs w:val="18"/>
          <w:color w:val="auto"/>
        </w:rPr>
        <w:t>If a U.S. holder does not make a mark-to-market election, as described below, the U.S. holder will be subject to the default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“excess distribution regime” under the PFIC rules with respect to (i) any gain realized on a sale or other disposition (including a pledge) of Ordinary Shares, and (ii) any “excess distribution” received on Ordinary Shares (generally, any distributions in excess of 125% of the average of the annual distributions on Ordinary Shares during the preceding three years or the U.S. holder’s holding period, whichever is shorter). Generally, under this excess distribution regime:</w:t>
      </w:r>
    </w:p>
    <w:p>
      <w:pPr>
        <w:ind w:left="760" w:hanging="378"/>
        <w:spacing w:after="0" w:line="235"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gain or excess distribution will be allocated ratably over the period during which the U.S. holder held Ordinary Shares;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amount allocated to the current taxable year, will be treated as ordinary income; and</w:t>
      </w:r>
    </w:p>
    <w:p>
      <w:pPr>
        <w:spacing w:after="0" w:line="12"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amount allocated to prior taxable years will be subject to the highest tax rate in effect for that taxable year and the interest charge generally applicable to underpayments of tax will be imposed on the resulting tax attributable to each such year.</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 liability for amounts allocated to years prior to the year of disposition or excess distribution will be payable generally without regard to offsets from deductions, losses and expenses. In addition, gains (but not losses) realized on the sale of Ordinary Shares cannot be treated as capital gains, even if you hold the shares as capital assets. Further, no portion of any distribution will be treated as QDI.</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Mark-to-Market Regime. </w:t>
      </w:r>
      <w:r>
        <w:rPr>
          <w:rFonts w:ascii="Times New Roman" w:cs="Times New Roman" w:eastAsia="Times New Roman" w:hAnsi="Times New Roman"/>
          <w:sz w:val="18"/>
          <w:szCs w:val="18"/>
          <w:color w:val="auto"/>
        </w:rPr>
        <w:t>Alternatively, a U.S. holder may make an election to mark marketable shares in a PFIC to market on an annual basis. PFIC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are marketable if: (i) they are “regularly traded” on a national securities exchange that is registered with the Securities and Exchange Commission or on the national market system established under Section 11A of the Securities Exchange Act of 1934; or (ii) they are “regularly traded” on any exchange or market that the Treasury Department determines to have rules sufficient to ensure that the market price accurately represents the fair market value of the stock. It is expected that Ordinary Shares, which are expected to be listed on Nasdaq, will qualify as marketable shares for the PFIC rules purposes, but there can be no assurance that Ordinary Shares will be “regularly traded” for purposes of these rules. Pursuant to such an election, a U.S. holder would include in each year as ordinary income the excess, if any, of the fair market value of such stock over its adjusted basis at the end of the taxable year. A U.S. holder may treat as ordinary loss any excess of the adjusted basis of the stock over its fair market value at the end of the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05" w:name="page106"/>
    <w:bookmarkEnd w:id="105"/>
    <w:p>
      <w:pPr>
        <w:jc w:val="both"/>
        <w:spacing w:after="0" w:line="253" w:lineRule="auto"/>
        <w:rPr>
          <w:sz w:val="20"/>
          <w:szCs w:val="20"/>
          <w:color w:val="auto"/>
        </w:rPr>
      </w:pPr>
      <w:r>
        <w:rPr>
          <w:rFonts w:ascii="Times New Roman" w:cs="Times New Roman" w:eastAsia="Times New Roman" w:hAnsi="Times New Roman"/>
          <w:sz w:val="18"/>
          <w:szCs w:val="18"/>
          <w:color w:val="auto"/>
        </w:rPr>
        <w:t>year, but only to the extent of the net amount previously included in income as a result of the election in prior years. A U.S. holder’s adjusted tax basis in the PFIC shares will be increased to reflect any amounts included in income, and decreased to reflect any amounts deducted, as a result of a mark-to-market election. Any gain recognized on a disposition of Ordinary Shares will be treated as ordinary income and any loss will be treated as ordinary loss (but only to the extent of the net amount of income previously included as a result of a mark-to-market election). A mark-to-market election only applies for the taxable year in which the election was made, and for each subsequent taxable year, unless the PFIC shares ceased to be marketable or the IRS consents to the revocation of the election. U.S. holders should also be aware that the Code and the Treasury Regulations do not allow a mark-to-market election with respect to stock of lower-tier PFICs that is non-marketable. There is also no provision in the Code, Treasury Regulations or other published authority that specifically provides that a mark-to-market election with respect to the stock of a publicly-traded holding company (such as Rezolve) effectively exempts stock of any lower-tier PFICs from the negative tax consequences arising from the general PFIC rules. U.S. holders should consult their own tax advisors to determine whether the mark-to-market tax election is available to them and the consequences resulting from such election.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QEF Regime. </w:t>
      </w:r>
      <w:r>
        <w:rPr>
          <w:rFonts w:ascii="Times New Roman" w:cs="Times New Roman" w:eastAsia="Times New Roman" w:hAnsi="Times New Roman"/>
          <w:sz w:val="18"/>
          <w:szCs w:val="18"/>
          <w:color w:val="auto"/>
        </w:rPr>
        <w:t>Alternatively, a U.S. holder of a PFIC may avoid the adverse PFIC tax consequences described above in respect of stock of the PFIC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making and maintaining a timely and valid qualified electing fund (“</w:t>
      </w:r>
      <w:r>
        <w:rPr>
          <w:rFonts w:ascii="Times New Roman" w:cs="Times New Roman" w:eastAsia="Times New Roman" w:hAnsi="Times New Roman"/>
          <w:sz w:val="18"/>
          <w:szCs w:val="18"/>
          <w:b w:val="1"/>
          <w:bCs w:val="1"/>
          <w:i w:val="1"/>
          <w:iCs w:val="1"/>
          <w:color w:val="auto"/>
        </w:rPr>
        <w:t>QEF</w:t>
      </w:r>
      <w:r>
        <w:rPr>
          <w:rFonts w:ascii="Times New Roman" w:cs="Times New Roman" w:eastAsia="Times New Roman" w:hAnsi="Times New Roman"/>
          <w:sz w:val="18"/>
          <w:szCs w:val="18"/>
          <w:color w:val="auto"/>
        </w:rPr>
        <w:t>”) election (if eligible to do so) to include in income its pro rata share of the PFIC’s net capital gains (as long-term capital gain) and other earnings and profits (as ordinary income), on a current basis, in each case whether or not distributed, in the first taxable year of the U.S. holder in which or with which the PFIC’s taxable year ends and each subsequent taxable year. In order to comply with the requirements of a QEF election, a U.S. holder must receive a PFIC Annual Information Statement from the PFIC. Rezolve does not presently intend to provide a PFIC Annual Information Statement in order for U.S. holders to make or maintain a QEF election. However, as described above, Rezolve does not currently expect to be classified as a PFIC for the taxable year ending December 31, 2025.</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PFIC Reporting Requirements. </w:t>
      </w:r>
      <w:r>
        <w:rPr>
          <w:rFonts w:ascii="Times New Roman" w:cs="Times New Roman" w:eastAsia="Times New Roman" w:hAnsi="Times New Roman"/>
          <w:sz w:val="18"/>
          <w:szCs w:val="18"/>
          <w:color w:val="auto"/>
        </w:rPr>
        <w:t>A U.S. holder of Ordinary Shares will be required to file an annual report on IRS Form 8621 containing such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its interest in a PFIC as the IRS may require. Failure to file IRS Form 8621 for each applicable taxable year may result in substantial penalties and result in the U.S. holder’s taxable years being open to audit by the IRS until such Forms are properly filed.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Reporting Requirements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U.S. holders holding specified foreign financial assets with an aggregate value in excess of the applicable dollar thresholds are required to report information to the IRS relating to Ordinary Shares, subject to certain exceptions (including an exception for Ordinary Shares held in accounts maintained by U.S. financial institutions), by attaching a complete IRS Form 8938 to their tax return, for each year in which they hold Ordinary Shares. Substantial penalties apply to any failure to file IRS Form 8938, unless the failure is shown to be due to reasonable cause and not willful neglect. Also, in the event a U.S. holder does not file IRS Form 8938 or fails to report a specified foreign financial asset that is required to be reported, the statute of limitations on the assessment and collection of U.S. federal income taxes of such U.S. holder for the related taxable year may not close before the date which is three years after the date on which the required information is filed. U.S. holders should consult their tax advisors regarding the effect, if any, of these rules on the ownership and disposition of Ordinary Shares.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Information reporting requirements may apply to dividends received by U.S. holders of Ordinary Shares, and the proceeds received on the disposition of Ordinary Shares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of the U.S. holder’s broker) or is otherwise subject to backup withholding. Any redemptions treated as dividend payments with respect to Ordinary Shares and proceeds from the sale, exchange, redemption or other disposition of Ordinary Shares may be subject to information reporting to the IRS and possible U.S. backup withholding. U.S. holders should consult their own tax advisors regarding the application of the U.S. information reporting and backup withholding rules.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Information returns may be filed with the IRS in connection with, and non-U.S. holders may be subject to backup withholding on amounts received in respect of their Ordinary Shares, unless the non-U.S. holder furnishes to the applicable withholding agent the required certification as to its non-U.S. status, such as by providing a valid IRS Form W-8BEN, IRS Form W-8BEN-E or IRS Form W-8ECI, as applicable, or the non-U.S. holder otherwise establishes an exemption. Dividends paid with respect to Ordinary Shares and proceeds from the sale of other disposition of Ordinary Shares received in the United States by a non-U.S. holder through certain U.S.-related financial intermediaries may be subject to information reporting and backup withholding unless such non-U.S. holder provides proof of an applicable exemption or complies with certain certification procedures described above, and otherwise complies with the applicable requirements of the backup withholding rules.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6" w:name="page107"/>
    <w:bookmarkEnd w:id="106"/>
    <w:p>
      <w:pPr>
        <w:jc w:val="both"/>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the holder’s U.S. federal income tax liability, and a holder may obtain a refund of any excess amounts withheld under the backup withholding rules by timely filing the appropriate claim for a refund with the IRS and furnishing any required information.</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7" w:name="page108"/>
    <w:bookmarkEnd w:id="107"/>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are registering the resale, from time to time, by the Selling Holders or their permitted transferees of up to 20,000,000 Ordinary Shares issued in connection with the PIPE Financing.</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Selling Holders may offer and sell, from time to time, their respective Ordinary Shares covered by this prospectus.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Holders may offer and sell their securities by one or more of, or a combination of, the following methods:</w:t>
      </w:r>
    </w:p>
    <w:p>
      <w:pPr>
        <w:spacing w:after="0" w:line="207" w:lineRule="exact"/>
        <w:rPr>
          <w:sz w:val="20"/>
          <w:szCs w:val="20"/>
          <w:color w:val="auto"/>
        </w:rPr>
      </w:pPr>
    </w:p>
    <w:p>
      <w:pPr>
        <w:ind w:left="760" w:hanging="378"/>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Nasdaq, in the over-the-counter market or on any other national securities exchange on which our securities are listed or traded;</w:t>
      </w:r>
    </w:p>
    <w:p>
      <w:pPr>
        <w:spacing w:after="0" w:line="252"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Holder pursuant to Rule 10b5-l under the Exchange Act that are in place at the time of an offering pursuant to this prospectus or any applicable prospectus supplement hereto that provide for periodic sales of their securities on the basis of parameters described in such trading plans;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in privately negotiated transactions;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underwritten offerings;</w:t>
      </w:r>
    </w:p>
    <w:p>
      <w:pPr>
        <w:spacing w:after="0" w:line="252"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block trades in which a broker-dealer will attempt to sell the offered securities as agent but may purchase and resell a portion of the block as principal to facilitate the transaction;</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resale by the broker-dealer for its account pursuant to this prospectus;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ordinary brokerage transactions and transactions in which the broker solicits purchasers;</w:t>
      </w:r>
    </w:p>
    <w:p>
      <w:pPr>
        <w:spacing w:after="0" w:line="252"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(including put or call options) or other hedging transactions, whether the options are listed on an options exchange or otherwise;</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 sales entered into after the effective date of the registration statement of which this prospectus is a part;</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agreements with broker-dealers to sell a specified number of the securities at a stipulated price per share or warrant;</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agents;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or through market makers or into an existing market for the securities; or</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Selling Holders may sell the securities at prices then prevailing, related to the then prevailing market price or at negotiated prices. The offering price of the securities from time to time will be determined by the Selling Holders and, at the time of the determination, may be higher or lower than the market price of our securities on Nasdaq or any other exchange or market.</w:t>
      </w:r>
    </w:p>
    <w:p>
      <w:pPr>
        <w:spacing w:after="0" w:line="17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If a donee, pledgee, transferee, or other successor-in-interest intends to sell our securities in connection with a foreclosure or otherwise, we will, to the extent required, promptly file a prospectus supplement or, if necessary, a post-effective amendment to the registration statement that includes this prospectus, to name specifically such person as a Selling Holder. The Selling Holders also</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8" w:name="page109"/>
    <w:bookmarkEnd w:id="108"/>
    <w:p>
      <w:pPr>
        <w:ind w:right="480"/>
        <w:spacing w:after="0" w:line="282" w:lineRule="auto"/>
        <w:rPr>
          <w:sz w:val="20"/>
          <w:szCs w:val="20"/>
          <w:color w:val="auto"/>
        </w:rPr>
      </w:pPr>
      <w:r>
        <w:rPr>
          <w:rFonts w:ascii="Times New Roman" w:cs="Times New Roman" w:eastAsia="Times New Roman" w:hAnsi="Times New Roman"/>
          <w:sz w:val="18"/>
          <w:szCs w:val="18"/>
          <w:color w:val="auto"/>
        </w:rPr>
        <w:t>may transfer our securities in other circumstances, in which case the transferees, pledgees or other successors in interest will be the selling beneficial owners for purposes of this prospectus.</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Selling Holders may also sell our securities short and deliver the securities to close out their short positions or loan or pledge the securities to broker-dealers that in turn may sell the securities. The shares may be sold directly or through broker-dealers acting as principal or agent or pursuant to a distribution by one or more underwriters on a firm commitment or best-efforts basis. The Selling Holders may also enter into hedging transactions with broker-dealers. In connection with such transactions, broker-dealers of other financial institutions may engage in short sales of our securities in the course of hedging the positions they assume with the Selling Holders. The Selling 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In connection with an underwritten offering, underwriters or agents may receive compensation in the form of discounts, concessions or commissions from the Selling 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Holders and any underwriters, dealers or agents participating in a distribution of the securities may be deemed to be “underwriters” within the meaning of the Securities Act, and any profit on the sale of the securities by the Selling Holders and any commissions received by broker-dealers may be deemed to be underwriting commissions under the Securities Act.</w:t>
      </w:r>
    </w:p>
    <w:p>
      <w:pPr>
        <w:spacing w:after="0" w:line="187"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Selling Holders, are subject to the applicable provisions of the Exchange Act and the rules and regulations under the Exchange Act, including Regulation M. This regulation may limit the timing of purchases and sales of any of the securities offered in this prospectus by the Selling Holders. The anti manipulation rules under the Exchange Act may apply to sales of the securities in the market and to the activities of the Selling 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or, if necessary, a post-effective amendment to the registration statement that includes this prospectus,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the extent required, this prospectus may be amended and/or supplemented from time to time to describe a specific plan of distribution. Instead of selling the securities under this prospectus, the Selling Holders may sell the securities in compliance with the provisions of Rule 144 under the Securities Act, if available, or pursuant to other available exemptions from the registration requirements of the Securities Act.</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109" w:name="page110"/>
    <w:bookmarkEnd w:id="109"/>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fees and expenses payable by us in connection with the sale and distribution of the securities being registered hereby.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20" w:type="dxa"/>
            <w:vAlign w:val="bottom"/>
          </w:tcPr>
          <w:p>
            <w:pPr>
              <w:spacing w:after="0"/>
              <w:rPr>
                <w:sz w:val="15"/>
                <w:szCs w:val="15"/>
                <w:color w:val="auto"/>
              </w:rPr>
            </w:pP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9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r>
        <w:trPr>
          <w:trHeight w:val="198"/>
        </w:trPr>
        <w:tc>
          <w:tcPr>
            <w:tcW w:w="908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Legal fees and expenses Accounting fees and expenses</w:t>
            </w: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9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Transfer agent fees and expenses Miscellaneous expenses</w:t>
            </w:r>
          </w:p>
        </w:tc>
        <w:tc>
          <w:tcPr>
            <w:tcW w:w="4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16"/>
        </w:trPr>
        <w:tc>
          <w:tcPr>
            <w:tcW w:w="90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ind w:left="140" w:hanging="132"/>
        <w:spacing w:after="0"/>
        <w:tabs>
          <w:tab w:leader="none" w:pos="1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180" w:lineRule="exact"/>
        <w:rPr>
          <w:rFonts w:ascii="Times New Roman" w:cs="Times New Roman" w:eastAsia="Times New Roman" w:hAnsi="Times New Roman"/>
          <w:sz w:val="18"/>
          <w:szCs w:val="18"/>
          <w:color w:val="auto"/>
        </w:rPr>
      </w:pPr>
    </w:p>
    <w:p>
      <w:pPr>
        <w:ind w:left="4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MATTERS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Taylor Wessing LLP, have passed upon the validity of the issue of the securities of Rezolve AI plc (formerly Rezolve AI Limited) which are offered by this prospectus.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Rezolve included in this prospectus and elsewhere in the registration statement have been audited by Grassi &amp; Co., CPAs, P.C., an independent registered public accounting firm, as set forth in their report thereon, and are included in reliance on such report given upon the authority of such firm as experts in accounting and auditing.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GroupBy included in this prospectus and elsewhere in the registration statement have been audited by MNP, LLP an independent registered public accounting firm, as set forth in their report thereon, and are included in reliance on such report given upon the authority of such firm as experts in accounting and auditing.</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80"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Ordinary Shares in connection with this transaction.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F-1, including exhibits, under the Securities Act of 1933, as amended, with respect to the Ordinary Shares and Warrants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file annual, quarterly and current reports, proxy statements and other information with the SEC. Our SEC filings are available to the public on a website maintained by the SEC located at www.sec.gov. We also maintain a website at https://www.rezolve.com.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1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20" w:type="dxa"/>
            <w:vAlign w:val="bottom"/>
            <w:gridSpan w:val="14"/>
          </w:tcPr>
          <w:p>
            <w:pPr>
              <w:jc w:val="center"/>
              <w:ind w:right="1520"/>
              <w:spacing w:after="0"/>
              <w:rPr>
                <w:sz w:val="20"/>
                <w:szCs w:val="20"/>
                <w:color w:val="auto"/>
              </w:rPr>
            </w:pPr>
            <w:r>
              <w:rPr>
                <w:rFonts w:ascii="Times New Roman" w:cs="Times New Roman" w:eastAsia="Times New Roman" w:hAnsi="Times New Roman"/>
                <w:sz w:val="18"/>
                <w:szCs w:val="18"/>
                <w:color w:val="auto"/>
                <w:w w:val="99"/>
              </w:rPr>
              <w:t>As of and for the years ended December 31, 2024 and 2023</w:t>
            </w:r>
          </w:p>
        </w:tc>
        <w:tc>
          <w:tcPr>
            <w:tcW w:w="1900" w:type="dxa"/>
            <w:vAlign w:val="bottom"/>
          </w:tcPr>
          <w:p>
            <w:pPr>
              <w:spacing w:after="0"/>
              <w:rPr>
                <w:sz w:val="20"/>
                <w:szCs w:val="20"/>
                <w:color w:val="auto"/>
              </w:rPr>
            </w:pPr>
          </w:p>
        </w:tc>
      </w:tr>
      <w:tr>
        <w:trPr>
          <w:trHeight w:val="589"/>
        </w:trPr>
        <w:tc>
          <w:tcPr>
            <w:tcW w:w="5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firm ID 606)</w:t>
            </w:r>
          </w:p>
        </w:tc>
        <w:tc>
          <w:tcPr>
            <w:tcW w:w="3440" w:type="dxa"/>
            <w:vAlign w:val="bottom"/>
            <w:gridSpan w:val="5"/>
          </w:tcPr>
          <w:p>
            <w:pPr>
              <w:spacing w:after="0"/>
              <w:rPr>
                <w:sz w:val="24"/>
                <w:szCs w:val="24"/>
                <w:color w:val="auto"/>
              </w:rPr>
            </w:pPr>
          </w:p>
        </w:tc>
        <w:tc>
          <w:tcPr>
            <w:tcW w:w="190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46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20" w:type="dxa"/>
            <w:vAlign w:val="bottom"/>
            <w:tcBorders>
              <w:bottom w:val="single" w:sz="8" w:color="0000EE"/>
            </w:tcBorders>
          </w:tcPr>
          <w:p>
            <w:pPr>
              <w:spacing w:after="0"/>
              <w:rPr>
                <w:sz w:val="17"/>
                <w:szCs w:val="17"/>
                <w:color w:val="auto"/>
              </w:rPr>
            </w:pPr>
          </w:p>
        </w:tc>
        <w:tc>
          <w:tcPr>
            <w:tcW w:w="4660" w:type="dxa"/>
            <w:vAlign w:val="bottom"/>
            <w:gridSpan w:val="8"/>
          </w:tcPr>
          <w:p>
            <w:pPr>
              <w:spacing w:after="0"/>
              <w:rPr>
                <w:sz w:val="17"/>
                <w:szCs w:val="17"/>
                <w:color w:val="auto"/>
              </w:rPr>
            </w:pP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2024 and 2023</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Borders>
              <w:right w:val="single" w:sz="8" w:color="0000EE"/>
            </w:tcBorders>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 of Comprehensive Loss for the Years ended December 31, 2024 and 2023</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2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0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Deficit for the Years ended December 31, 2024 and 2023</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2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0" w:type="dxa"/>
            <w:vAlign w:val="bottom"/>
            <w:tcBorders>
              <w:right w:val="single" w:sz="8" w:color="0000EE"/>
            </w:tcBorders>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76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and December 31, 2023</w:t>
            </w:r>
          </w:p>
        </w:tc>
        <w:tc>
          <w:tcPr>
            <w:tcW w:w="1740" w:type="dxa"/>
            <w:vAlign w:val="bottom"/>
          </w:tcPr>
          <w:p>
            <w:pPr>
              <w:spacing w:after="0"/>
              <w:rPr>
                <w:sz w:val="17"/>
                <w:szCs w:val="17"/>
                <w:color w:val="auto"/>
              </w:rPr>
            </w:pP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F-8</w:t>
            </w:r>
          </w:p>
        </w:tc>
      </w:tr>
      <w:tr>
        <w:trPr>
          <w:trHeight w:val="862"/>
        </w:trPr>
        <w:tc>
          <w:tcPr>
            <w:tcW w:w="2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gridSpan w:val="8"/>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GROUPBY INC.</w:t>
            </w:r>
          </w:p>
        </w:tc>
        <w:tc>
          <w:tcPr>
            <w:tcW w:w="1900" w:type="dxa"/>
            <w:vAlign w:val="bottom"/>
          </w:tcPr>
          <w:p>
            <w:pPr>
              <w:spacing w:after="0"/>
              <w:rPr>
                <w:sz w:val="24"/>
                <w:szCs w:val="24"/>
                <w:color w:val="auto"/>
              </w:rPr>
            </w:pPr>
          </w:p>
        </w:tc>
      </w:tr>
      <w:tr>
        <w:trPr>
          <w:trHeight w:val="220"/>
        </w:trPr>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40" w:type="dxa"/>
            <w:vAlign w:val="bottom"/>
            <w:gridSpan w:val="12"/>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Combined Consolidated Financial Statements</w:t>
            </w:r>
          </w:p>
        </w:tc>
        <w:tc>
          <w:tcPr>
            <w:tcW w:w="1900" w:type="dxa"/>
            <w:vAlign w:val="bottom"/>
          </w:tcPr>
          <w:p>
            <w:pPr>
              <w:spacing w:after="0"/>
              <w:rPr>
                <w:sz w:val="19"/>
                <w:szCs w:val="19"/>
                <w:color w:val="auto"/>
              </w:rPr>
            </w:pPr>
          </w:p>
        </w:tc>
      </w:tr>
      <w:tr>
        <w:trPr>
          <w:trHeight w:val="234"/>
        </w:trPr>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20" w:type="dxa"/>
            <w:vAlign w:val="bottom"/>
            <w:gridSpan w:val="14"/>
          </w:tcPr>
          <w:p>
            <w:pPr>
              <w:jc w:val="center"/>
              <w:ind w:right="1520"/>
              <w:spacing w:after="0"/>
              <w:rPr>
                <w:sz w:val="20"/>
                <w:szCs w:val="20"/>
                <w:color w:val="auto"/>
              </w:rPr>
            </w:pPr>
            <w:r>
              <w:rPr>
                <w:rFonts w:ascii="Times New Roman" w:cs="Times New Roman" w:eastAsia="Times New Roman" w:hAnsi="Times New Roman"/>
                <w:sz w:val="18"/>
                <w:szCs w:val="18"/>
                <w:color w:val="auto"/>
                <w:w w:val="99"/>
              </w:rPr>
              <w:t>As of and for the years ended December 31, 2024 and 2023</w:t>
            </w:r>
          </w:p>
        </w:tc>
        <w:tc>
          <w:tcPr>
            <w:tcW w:w="1900" w:type="dxa"/>
            <w:vAlign w:val="bottom"/>
          </w:tcPr>
          <w:p>
            <w:pPr>
              <w:spacing w:after="0"/>
              <w:rPr>
                <w:sz w:val="20"/>
                <w:szCs w:val="20"/>
                <w:color w:val="auto"/>
              </w:rPr>
            </w:pPr>
          </w:p>
        </w:tc>
      </w:tr>
      <w:tr>
        <w:trPr>
          <w:trHeight w:val="392"/>
        </w:trPr>
        <w:tc>
          <w:tcPr>
            <w:tcW w:w="21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Independent Auditor's Report</w:t>
            </w:r>
          </w:p>
        </w:tc>
        <w:tc>
          <w:tcPr>
            <w:tcW w:w="20" w:type="dxa"/>
            <w:vAlign w:val="bottom"/>
            <w:tcBorders>
              <w:bottom w:val="single" w:sz="8" w:color="0000EE"/>
            </w:tcBorders>
          </w:tcPr>
          <w:p>
            <w:pPr>
              <w:spacing w:after="0"/>
              <w:rPr>
                <w:sz w:val="24"/>
                <w:szCs w:val="24"/>
                <w:color w:val="auto"/>
              </w:rPr>
            </w:pPr>
          </w:p>
        </w:tc>
        <w:tc>
          <w:tcPr>
            <w:tcW w:w="7180" w:type="dxa"/>
            <w:vAlign w:val="bottom"/>
            <w:gridSpan w:val="15"/>
          </w:tcPr>
          <w:p>
            <w:pPr>
              <w:spacing w:after="0"/>
              <w:rPr>
                <w:sz w:val="24"/>
                <w:szCs w:val="24"/>
                <w:color w:val="auto"/>
              </w:rPr>
            </w:pPr>
          </w:p>
        </w:tc>
        <w:tc>
          <w:tcPr>
            <w:tcW w:w="190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3"/>
              </w:rPr>
              <w:t>F-41</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Combined Consolidated Statement of Financial Position</w:t>
            </w: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F-43</w:t>
            </w:r>
          </w:p>
        </w:tc>
      </w:tr>
      <w:tr>
        <w:trPr>
          <w:trHeight w:val="20"/>
        </w:trPr>
        <w:tc>
          <w:tcPr>
            <w:tcW w:w="36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504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Combined Consolidated Statements of Loss and Comprehensive Loss</w:t>
            </w:r>
          </w:p>
        </w:tc>
        <w:tc>
          <w:tcPr>
            <w:tcW w:w="4300" w:type="dxa"/>
            <w:vAlign w:val="bottom"/>
            <w:gridSpan w:val="7"/>
          </w:tcPr>
          <w:p>
            <w:pPr>
              <w:spacing w:after="0"/>
              <w:rPr>
                <w:sz w:val="17"/>
                <w:szCs w:val="17"/>
                <w:color w:val="auto"/>
              </w:rPr>
            </w:pP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F-44</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Combined Consolidated Statements of Changes in Stockholders’ Deficit</w:t>
            </w: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F-45</w:t>
            </w:r>
          </w:p>
        </w:tc>
      </w:tr>
      <w:tr>
        <w:trPr>
          <w:trHeight w:val="196"/>
        </w:trPr>
        <w:tc>
          <w:tcPr>
            <w:tcW w:w="368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Combined Consolidated Statements of Cash Flows</w:t>
            </w:r>
          </w:p>
        </w:tc>
        <w:tc>
          <w:tcPr>
            <w:tcW w:w="20" w:type="dxa"/>
            <w:vAlign w:val="bottom"/>
            <w:tcBorders>
              <w:top w:val="single" w:sz="8" w:color="0000FF"/>
              <w:bottom w:val="single" w:sz="8" w:color="0000EE"/>
            </w:tcBorders>
          </w:tcPr>
          <w:p>
            <w:pPr>
              <w:spacing w:after="0"/>
              <w:rPr>
                <w:sz w:val="17"/>
                <w:szCs w:val="17"/>
                <w:color w:val="auto"/>
              </w:rPr>
            </w:pPr>
          </w:p>
        </w:tc>
        <w:tc>
          <w:tcPr>
            <w:tcW w:w="1520" w:type="dxa"/>
            <w:vAlign w:val="bottom"/>
            <w:tcBorders>
              <w:top w:val="single" w:sz="8" w:color="0000FF"/>
            </w:tcBorders>
            <w:gridSpan w:val="6"/>
          </w:tcPr>
          <w:p>
            <w:pPr>
              <w:spacing w:after="0"/>
              <w:rPr>
                <w:sz w:val="17"/>
                <w:szCs w:val="17"/>
                <w:color w:val="auto"/>
              </w:rPr>
            </w:pPr>
          </w:p>
        </w:tc>
        <w:tc>
          <w:tcPr>
            <w:tcW w:w="4120" w:type="dxa"/>
            <w:vAlign w:val="bottom"/>
            <w:gridSpan w:val="6"/>
          </w:tcPr>
          <w:p>
            <w:pPr>
              <w:spacing w:after="0"/>
              <w:rPr>
                <w:sz w:val="17"/>
                <w:szCs w:val="17"/>
                <w:color w:val="auto"/>
              </w:rPr>
            </w:pP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F-46</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Combined Consolidated Financial Statements</w:t>
            </w: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F-47</w:t>
            </w:r>
          </w:p>
        </w:tc>
      </w:tr>
      <w:tr>
        <w:trPr>
          <w:trHeight w:val="885"/>
        </w:trPr>
        <w:tc>
          <w:tcPr>
            <w:tcW w:w="2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20" w:type="dxa"/>
            <w:vAlign w:val="bottom"/>
            <w:gridSpan w:val="6"/>
          </w:tcPr>
          <w:p>
            <w:pPr>
              <w:jc w:val="center"/>
              <w:ind w:right="3320"/>
              <w:spacing w:after="0"/>
              <w:rPr>
                <w:sz w:val="20"/>
                <w:szCs w:val="20"/>
                <w:color w:val="auto"/>
              </w:rPr>
            </w:pPr>
            <w:r>
              <w:rPr>
                <w:rFonts w:ascii="Times New Roman" w:cs="Times New Roman" w:eastAsia="Times New Roman" w:hAnsi="Times New Roman"/>
                <w:sz w:val="18"/>
                <w:szCs w:val="18"/>
                <w:color w:val="auto"/>
                <w:w w:val="95"/>
              </w:rPr>
              <w:t>F-1</w:t>
            </w:r>
          </w:p>
        </w:tc>
        <w:tc>
          <w:tcPr>
            <w:tcW w:w="1900" w:type="dxa"/>
            <w:vAlign w:val="bottom"/>
          </w:tcPr>
          <w:p>
            <w:pPr>
              <w:spacing w:after="0"/>
              <w:rPr>
                <w:sz w:val="24"/>
                <w:szCs w:val="24"/>
                <w:color w:val="auto"/>
              </w:rPr>
            </w:pPr>
          </w:p>
        </w:tc>
      </w:tr>
      <w:tr>
        <w:trPr>
          <w:trHeight w:val="763"/>
        </w:trPr>
        <w:tc>
          <w:tcPr>
            <w:tcW w:w="2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1" w:name="page112"/>
    <w:bookmarkEnd w:id="111"/>
    <w:p>
      <w:pPr>
        <w:ind w:left="2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Rezolve AI plc and Subsidiaries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Rezolve AI PLC and Subsidiaries (the Company) as of December 31, 2024 and 2023, and the related consolidated statements of operations, comprehensive loss, stockholders’ deficit and cash flows for each of the years in the two year period ended December 31, 2024, and the related notes (collectively referred to as the consolidated financial statements). In our opinion, the consolidated financial statements present fairly, in all material respects, the consolidated financial position of the Company as December 31, 2024 and 2023, and the results of its operations and its cash flows for each of the years in the two – year period ended December 31, 2024,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We conducted our audits in accordance with the standards of the PCAOB and in accordance with auditing standards generally accepted in the United States of America. Those standards require that we plan and perform the audit to obtain reasonable assurance about whether the carve-out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Grassi &amp; Co., CPAs,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23, 2025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Cash</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9,450,944</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10,441</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12,534</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960,848</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299,013</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Derivative asset</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2,587,581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13,020,647</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321,988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17,332</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79,593</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6,750,178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2,134,903</w:t>
            </w:r>
          </w:p>
        </w:tc>
        <w:tc>
          <w:tcPr>
            <w:tcW w:w="100" w:type="dxa"/>
            <w:vAlign w:val="bottom"/>
          </w:tcPr>
          <w:p>
            <w:pPr>
              <w:spacing w:after="0"/>
              <w:rPr>
                <w:sz w:val="17"/>
                <w:szCs w:val="17"/>
                <w:color w:val="auto"/>
              </w:rPr>
            </w:pPr>
          </w:p>
        </w:tc>
      </w:tr>
      <w:tr>
        <w:trPr>
          <w:trHeight w:val="196"/>
        </w:trPr>
        <w:tc>
          <w:tcPr>
            <w:tcW w:w="7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6,767,510</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2,214,496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19,788,157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2,536,484</w:t>
            </w:r>
          </w:p>
        </w:tc>
        <w:tc>
          <w:tcPr>
            <w:tcW w:w="100" w:type="dxa"/>
            <w:vAlign w:val="bottom"/>
          </w:tcPr>
          <w:p>
            <w:pPr>
              <w:spacing w:after="0"/>
              <w:rPr>
                <w:sz w:val="17"/>
                <w:szCs w:val="17"/>
                <w:color w:val="auto"/>
              </w:rPr>
            </w:pPr>
          </w:p>
        </w:tc>
      </w:tr>
      <w:tr>
        <w:trPr>
          <w:trHeight w:val="20"/>
        </w:trPr>
        <w:tc>
          <w:tcPr>
            <w:tcW w:w="7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deficit</w:t>
            </w:r>
          </w:p>
        </w:tc>
        <w:tc>
          <w:tcPr>
            <w:tcW w:w="18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7,303,060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4,569,703</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Due to related party (refer to note 13)</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1,054,429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777,576</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Accrued expenses and other payables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9,513,932</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4,492,790</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Short term debt to related party (refer to note 13)</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5,102,211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6,225,815</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Short term convertible debt</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10,288,123</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31,088,259</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Short term convertible debt to related party (refer to note 13)</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132,269</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Convertible promissory notes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6,428,825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Ordinary Shares Payable</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1,206,609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8,223,928</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Share-based payment liability</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1,400,000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1,311,028</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Advisors loans</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12,812,366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Derivative liabilities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2,579,875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5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8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57,784,739</w:t>
            </w: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56,821,368</w:t>
            </w:r>
          </w:p>
        </w:tc>
        <w:tc>
          <w:tcPr>
            <w:tcW w:w="100" w:type="dxa"/>
            <w:vAlign w:val="bottom"/>
            <w:tcBorders>
              <w:top w:val="single" w:sz="8" w:color="CFF0FC"/>
            </w:tcBorders>
          </w:tcPr>
          <w:p>
            <w:pPr>
              <w:spacing w:after="0"/>
              <w:rPr>
                <w:sz w:val="17"/>
                <w:szCs w:val="17"/>
                <w:color w:val="auto"/>
              </w:rPr>
            </w:pPr>
          </w:p>
        </w:tc>
      </w:tr>
      <w:tr>
        <w:trPr>
          <w:trHeight w:val="23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57,784,739</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56,821,368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(refer to note 16)</w:t>
            </w: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Shareholders’ deficit</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Ordinary shares, £0.0001 nominal value 208,260,754 shares issued and outstanding as of December 31, 2024;</w:t>
            </w: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152,262,295 shares issued and outstanding as of December 31, 2023; 256,365,817 and 161,710,480 shares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authorized as of December 31, 2024 and 2023 (refer to note 2.19)</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127,310</w:t>
            </w:r>
          </w:p>
        </w:tc>
        <w:tc>
          <w:tcPr>
            <w:tcW w:w="100" w:type="dxa"/>
            <w:vAlign w:val="bottom"/>
          </w:tcPr>
          <w:p>
            <w:pPr>
              <w:spacing w:after="0"/>
              <w:rPr>
                <w:sz w:val="18"/>
                <w:szCs w:val="18"/>
                <w:color w:val="auto"/>
              </w:rPr>
            </w:pPr>
          </w:p>
        </w:tc>
      </w:tr>
      <w:tr>
        <w:trPr>
          <w:trHeight w:val="192"/>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Series A shares, £0.0001 nominal value 4,575,983 shares issued, authorized and outstanding as of December 31,</w:t>
            </w:r>
          </w:p>
        </w:tc>
        <w:tc>
          <w:tcPr>
            <w:tcW w:w="18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2023 (refer to note 2.19)</w:t>
            </w:r>
          </w:p>
        </w:tc>
        <w:tc>
          <w:tcPr>
            <w:tcW w:w="1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3,868</w:t>
            </w:r>
          </w:p>
        </w:tc>
        <w:tc>
          <w:tcPr>
            <w:tcW w:w="100" w:type="dxa"/>
            <w:vAlign w:val="bottom"/>
            <w:shd w:val="clear" w:color="auto" w:fill="CFF0FC"/>
          </w:tcPr>
          <w:p>
            <w:pPr>
              <w:spacing w:after="0"/>
              <w:rPr>
                <w:sz w:val="18"/>
                <w:szCs w:val="18"/>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194,062,767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172,204,832</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Share subscription receivable</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(80)</w:t>
            </w: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(178,720)</w:t>
            </w: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17"/>
                <w:szCs w:val="17"/>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(232,075,815)</w:t>
            </w:r>
          </w:p>
        </w:tc>
        <w:tc>
          <w:tcPr>
            <w:tcW w:w="18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(226,291,430)</w:t>
            </w: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(10,270)</w:t>
            </w: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(150,744)</w:t>
            </w:r>
          </w:p>
        </w:tc>
      </w:tr>
      <w:tr>
        <w:trPr>
          <w:trHeight w:val="20"/>
        </w:trPr>
        <w:tc>
          <w:tcPr>
            <w:tcW w:w="75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180" w:type="dxa"/>
            <w:vAlign w:val="bottom"/>
          </w:tcPr>
          <w:p>
            <w:pPr>
              <w:spacing w:after="0"/>
              <w:rPr>
                <w:sz w:val="17"/>
                <w:szCs w:val="17"/>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(37,996,582)</w:t>
            </w:r>
          </w:p>
        </w:tc>
        <w:tc>
          <w:tcPr>
            <w:tcW w:w="18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(54,284,884)</w:t>
            </w:r>
          </w:p>
        </w:tc>
      </w:tr>
      <w:tr>
        <w:trPr>
          <w:trHeight w:val="23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deficit</w:t>
            </w: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19,788,157</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2,536,484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-4379595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-4379595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-3848100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-2013585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-1739265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-1722120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-299720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209"/>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187,788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revenue (see note 2.15)</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34,053</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100" w:type="dxa"/>
            <w:vAlign w:val="bottom"/>
            <w:shd w:val="clear" w:color="auto" w:fill="CFF0FC"/>
          </w:tcPr>
          <w:p>
            <w:pPr>
              <w:spacing w:after="0"/>
              <w:rPr>
                <w:sz w:val="18"/>
                <w:szCs w:val="18"/>
                <w:color w:val="auto"/>
              </w:rPr>
            </w:pPr>
          </w:p>
        </w:tc>
      </w:tr>
      <w:tr>
        <w:trPr>
          <w:trHeight w:val="198"/>
        </w:trPr>
        <w:tc>
          <w:tcPr>
            <w:tcW w:w="75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Sales and marketing expenses (including related party transactions of $1,011,119 and $2,072,224, see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note 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6,285,446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100" w:type="dxa"/>
            <w:vAlign w:val="bottom"/>
          </w:tcPr>
          <w:p>
            <w:pPr>
              <w:spacing w:after="0"/>
              <w:rPr>
                <w:sz w:val="20"/>
                <w:szCs w:val="20"/>
                <w:color w:val="auto"/>
              </w:rPr>
            </w:pPr>
          </w:p>
        </w:tc>
      </w:tr>
      <w:tr>
        <w:trPr>
          <w:trHeight w:val="198"/>
        </w:trPr>
        <w:tc>
          <w:tcPr>
            <w:tcW w:w="756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General and administrative expenses (including related party transactions of $68,413,399 and</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$4,830,987, see note 13)</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131,430,412</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100" w:type="dxa"/>
            <w:vAlign w:val="bottom"/>
            <w:shd w:val="clear" w:color="auto" w:fill="CFF0FC"/>
          </w:tcPr>
          <w:p>
            <w:pPr>
              <w:spacing w:after="0"/>
              <w:rPr>
                <w:sz w:val="20"/>
                <w:szCs w:val="20"/>
                <w:color w:val="auto"/>
              </w:rPr>
            </w:pP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10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138,230,574</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1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(138,042,786)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(26,006,274)</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(10,557,714)</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(4,791,782)</w:t>
            </w: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Gain/(loss) on derivatives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Gain/(loss) on extinguishment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(44,332,819)</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1,329,781</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100" w:type="dxa"/>
            <w:vAlign w:val="bottom"/>
          </w:tcPr>
          <w:p>
            <w:pPr>
              <w:spacing w:after="0"/>
              <w:rPr>
                <w:sz w:val="18"/>
                <w:szCs w:val="18"/>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(34,559,071)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(4,666,416)</w:t>
            </w:r>
          </w:p>
        </w:tc>
      </w:tr>
      <w:tr>
        <w:trPr>
          <w:trHeight w:val="20"/>
        </w:trPr>
        <w:tc>
          <w:tcPr>
            <w:tcW w:w="75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(172,601,857)</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(30,672,690)</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(44,933)</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(63,408)</w:t>
            </w:r>
          </w:p>
        </w:tc>
      </w:tr>
      <w:tr>
        <w:trPr>
          <w:trHeight w:val="20"/>
        </w:trPr>
        <w:tc>
          <w:tcPr>
            <w:tcW w:w="75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(172,646,790)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(30,736,098)</w:t>
            </w: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5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30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b w:val="1"/>
                <w:bCs w:val="1"/>
                <w:color w:val="auto"/>
              </w:rPr>
              <w:t>(1.06)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b w:val="1"/>
                <w:bCs w:val="1"/>
                <w:color w:val="auto"/>
              </w:rPr>
              <w:t>(0.20)</w:t>
            </w:r>
          </w:p>
        </w:tc>
      </w:tr>
      <w:tr>
        <w:trPr>
          <w:trHeight w:val="210"/>
        </w:trPr>
        <w:tc>
          <w:tcPr>
            <w:tcW w:w="7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 average shares, basic and diluted</w:t>
            </w: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162,855,146</w:t>
            </w: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151,256,853</w:t>
            </w:r>
          </w:p>
        </w:tc>
        <w:tc>
          <w:tcPr>
            <w:tcW w:w="10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-1868170</wp:posOffset>
            </wp:positionV>
            <wp:extent cx="774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-744855</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-462280</wp:posOffset>
            </wp:positionV>
            <wp:extent cx="774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-153670</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(172,646,790)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(30,736,098)</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gain/(loss)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140,474</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(69,565)</w:t>
            </w:r>
          </w:p>
        </w:tc>
      </w:tr>
      <w:tr>
        <w:trPr>
          <w:trHeight w:val="20"/>
        </w:trPr>
        <w:tc>
          <w:tcPr>
            <w:tcW w:w="7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(172,506,316)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(30,805,663)</w:t>
            </w:r>
          </w:p>
        </w:tc>
      </w:tr>
      <w:tr>
        <w:trPr>
          <w:trHeight w:val="20"/>
        </w:trPr>
        <w:tc>
          <w:tcPr>
            <w:tcW w:w="7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774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5" w:name="page116"/>
    <w:bookmarkEnd w:id="115"/>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Accumulate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w:t>
            </w:r>
          </w:p>
        </w:tc>
        <w:tc>
          <w:tcPr>
            <w:tcW w:w="120" w:type="dxa"/>
            <w:vAlign w:val="bottom"/>
          </w:tcPr>
          <w:p>
            <w:pPr>
              <w:spacing w:after="0"/>
              <w:rPr>
                <w:sz w:val="11"/>
                <w:szCs w:val="11"/>
                <w:color w:val="auto"/>
              </w:rPr>
            </w:pPr>
          </w:p>
        </w:tc>
        <w:tc>
          <w:tcPr>
            <w:tcW w:w="7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1780" w:type="dxa"/>
            <w:vAlign w:val="bottom"/>
            <w:gridSpan w:val="5"/>
            <w:vMerge w:val="restart"/>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70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Series A shares</w:t>
            </w:r>
          </w:p>
        </w:tc>
        <w:tc>
          <w:tcPr>
            <w:tcW w:w="980" w:type="dxa"/>
            <w:vAlign w:val="bottom"/>
            <w:gridSpan w:val="3"/>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subscriptio</w:t>
            </w:r>
          </w:p>
        </w:tc>
        <w:tc>
          <w:tcPr>
            <w:tcW w:w="88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w:t>
            </w:r>
          </w:p>
        </w:tc>
        <w:tc>
          <w:tcPr>
            <w:tcW w:w="16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780" w:type="dxa"/>
            <w:vAlign w:val="bottom"/>
            <w:gridSpan w:val="5"/>
            <w:vMerge w:val="continue"/>
          </w:tcPr>
          <w:p>
            <w:pPr>
              <w:spacing w:after="0"/>
              <w:rPr>
                <w:sz w:val="12"/>
                <w:szCs w:val="12"/>
                <w:color w:val="auto"/>
              </w:rPr>
            </w:pPr>
          </w:p>
        </w:tc>
        <w:tc>
          <w:tcPr>
            <w:tcW w:w="17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96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2"/>
                <w:szCs w:val="12"/>
                <w:color w:val="auto"/>
              </w:rPr>
            </w:pPr>
          </w:p>
        </w:tc>
        <w:tc>
          <w:tcPr>
            <w:tcW w:w="74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w w:val="82"/>
              </w:rPr>
              <w:t>n</w:t>
            </w:r>
          </w:p>
        </w:tc>
        <w:tc>
          <w:tcPr>
            <w:tcW w:w="120" w:type="dxa"/>
            <w:vAlign w:val="bottom"/>
          </w:tcPr>
          <w:p>
            <w:pPr>
              <w:spacing w:after="0"/>
              <w:rPr>
                <w:sz w:val="12"/>
                <w:szCs w:val="12"/>
                <w:color w:val="auto"/>
              </w:rPr>
            </w:pPr>
          </w:p>
        </w:tc>
        <w:tc>
          <w:tcPr>
            <w:tcW w:w="76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sive</w:t>
            </w:r>
          </w:p>
        </w:tc>
        <w:tc>
          <w:tcPr>
            <w:tcW w:w="96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60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Value</w:t>
            </w:r>
          </w:p>
        </w:tc>
        <w:tc>
          <w:tcPr>
            <w:tcW w:w="24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3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w w:val="98"/>
              </w:rPr>
              <w:t>Value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400"/>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1"/>
                <w:szCs w:val="11"/>
                <w:color w:val="auto"/>
              </w:rPr>
            </w:pPr>
          </w:p>
        </w:tc>
        <w:tc>
          <w:tcPr>
            <w:tcW w:w="820" w:type="dxa"/>
            <w:vAlign w:val="bottom"/>
            <w:gridSpan w:val="2"/>
          </w:tcPr>
          <w:p>
            <w:pPr>
              <w:jc w:val="right"/>
              <w:ind w:right="42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880" w:type="dxa"/>
            <w:vAlign w:val="bottom"/>
            <w:gridSpan w:val="3"/>
          </w:tcPr>
          <w:p>
            <w:pPr>
              <w:jc w:val="center"/>
              <w:ind w:right="220"/>
              <w:spacing w:after="0" w:line="129" w:lineRule="exact"/>
              <w:rPr>
                <w:sz w:val="20"/>
                <w:szCs w:val="20"/>
                <w:color w:val="auto"/>
              </w:rPr>
            </w:pPr>
            <w:r>
              <w:rPr>
                <w:rFonts w:ascii="Times New Roman" w:cs="Times New Roman" w:eastAsia="Times New Roman" w:hAnsi="Times New Roman"/>
                <w:sz w:val="13"/>
                <w:szCs w:val="13"/>
                <w:b w:val="1"/>
                <w:bCs w:val="1"/>
                <w:color w:val="auto"/>
                <w:w w:val="95"/>
              </w:rPr>
              <w:t>receivable</w:t>
            </w:r>
          </w:p>
        </w:tc>
        <w:tc>
          <w:tcPr>
            <w:tcW w:w="120" w:type="dxa"/>
            <w:vAlign w:val="bottom"/>
          </w:tcPr>
          <w:p>
            <w:pPr>
              <w:spacing w:after="0"/>
              <w:rPr>
                <w:sz w:val="11"/>
                <w:szCs w:val="11"/>
                <w:color w:val="auto"/>
              </w:rPr>
            </w:pPr>
          </w:p>
        </w:tc>
        <w:tc>
          <w:tcPr>
            <w:tcW w:w="76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3"/>
                <w:szCs w:val="13"/>
                <w:b w:val="1"/>
                <w:bCs w:val="1"/>
                <w:color w:val="auto"/>
                <w:w w:val="95"/>
              </w:rPr>
              <w:t>income</w:t>
            </w:r>
          </w:p>
        </w:tc>
        <w:tc>
          <w:tcPr>
            <w:tcW w:w="160" w:type="dxa"/>
            <w:vAlign w:val="bottom"/>
          </w:tcPr>
          <w:p>
            <w:pPr>
              <w:spacing w:after="0"/>
              <w:rPr>
                <w:sz w:val="11"/>
                <w:szCs w:val="11"/>
                <w:color w:val="auto"/>
              </w:rPr>
            </w:pPr>
          </w:p>
        </w:tc>
        <w:tc>
          <w:tcPr>
            <w:tcW w:w="8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08"/>
        </w:trPr>
        <w:tc>
          <w:tcPr>
            <w:tcW w:w="3100" w:type="dxa"/>
            <w:vAlign w:val="bottom"/>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151,419,</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4,575,98</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163,165,0</w:t>
            </w: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(195,555,</w:t>
            </w:r>
          </w:p>
        </w:tc>
        <w:tc>
          <w:tcPr>
            <w:tcW w:w="2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(178,72</w:t>
            </w: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as at January 1, 2023</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672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126,677</w:t>
            </w:r>
          </w:p>
        </w:tc>
        <w:tc>
          <w:tcPr>
            <w:tcW w:w="24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3,868</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332)</w:t>
            </w:r>
          </w:p>
        </w:tc>
        <w:tc>
          <w:tcPr>
            <w:tcW w:w="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(81,179)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(32,519,603)</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Ordinary shares issued to related parties</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26,634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24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199,954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199,974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Ordinary shares issued from exercise of share-options</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815,989</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613</w:t>
            </w:r>
          </w:p>
        </w:tc>
        <w:tc>
          <w:tcPr>
            <w:tcW w:w="2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(613)</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in lieu of services</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115,190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115,190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related parties</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3,646,017</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3,646,017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Employee share-based compensation</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5,079,201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5,079,201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(30,736,0</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98)</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(30,736,098)</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(loss)</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(69,565)</w:t>
            </w:r>
          </w:p>
        </w:tc>
        <w:tc>
          <w:tcPr>
            <w:tcW w:w="1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(69,565)</w:t>
            </w:r>
          </w:p>
        </w:tc>
        <w:tc>
          <w:tcPr>
            <w:tcW w:w="0" w:type="dxa"/>
            <w:vAlign w:val="bottom"/>
          </w:tcPr>
          <w:p>
            <w:pPr>
              <w:spacing w:after="0"/>
              <w:rPr>
                <w:sz w:val="1"/>
                <w:szCs w:val="1"/>
                <w:color w:val="auto"/>
              </w:rPr>
            </w:pPr>
          </w:p>
        </w:tc>
      </w:tr>
      <w:tr>
        <w:trPr>
          <w:trHeight w:val="108"/>
        </w:trPr>
        <w:tc>
          <w:tcPr>
            <w:tcW w:w="310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Balance as at December 31, 2023</w:t>
            </w:r>
          </w:p>
        </w:tc>
        <w:tc>
          <w:tcPr>
            <w:tcW w:w="60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152,262,</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4,575,98</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172,204,8</w:t>
            </w: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(226,291,</w:t>
            </w:r>
          </w:p>
        </w:tc>
        <w:tc>
          <w:tcPr>
            <w:tcW w:w="2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(178,72</w:t>
            </w: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(150,74</w:t>
            </w: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1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295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127,310</w:t>
            </w: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3,868</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32</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430)</w:t>
            </w:r>
          </w:p>
        </w:tc>
        <w:tc>
          <w:tcPr>
            <w:tcW w:w="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(54,284,884)</w:t>
            </w:r>
          </w:p>
        </w:tc>
        <w:tc>
          <w:tcPr>
            <w:tcW w:w="0" w:type="dxa"/>
            <w:vAlign w:val="bottom"/>
          </w:tcPr>
          <w:p>
            <w:pPr>
              <w:spacing w:after="0"/>
              <w:rPr>
                <w:sz w:val="1"/>
                <w:szCs w:val="1"/>
                <w:color w:val="auto"/>
              </w:rPr>
            </w:pPr>
          </w:p>
        </w:tc>
      </w:tr>
      <w:tr>
        <w:trPr>
          <w:trHeight w:val="97"/>
        </w:trPr>
        <w:tc>
          <w:tcPr>
            <w:tcW w:w="3100" w:type="dxa"/>
            <w:vAlign w:val="bottom"/>
            <w:tcBorders>
              <w:top w:val="single" w:sz="8" w:color="CFF0FC"/>
            </w:tcBorders>
          </w:tcPr>
          <w:p>
            <w:pPr>
              <w:spacing w:after="0" w:line="98" w:lineRule="exact"/>
              <w:rPr>
                <w:sz w:val="20"/>
                <w:szCs w:val="20"/>
                <w:color w:val="auto"/>
              </w:rPr>
            </w:pPr>
            <w:r>
              <w:rPr>
                <w:rFonts w:ascii="Times New Roman" w:cs="Times New Roman" w:eastAsia="Times New Roman" w:hAnsi="Times New Roman"/>
                <w:sz w:val="10"/>
                <w:szCs w:val="10"/>
                <w:color w:val="auto"/>
              </w:rPr>
              <w:t>Ordinary shares issued in lieu of cash payment for</w:t>
            </w:r>
          </w:p>
        </w:tc>
        <w:tc>
          <w:tcPr>
            <w:tcW w:w="60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services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104,514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304,137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304,152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Warrants issued with loan</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1,784</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1,784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Recapitalization upon demerger of Rezolve Limited to</w:t>
            </w: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4,575,98</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(107,36</w:t>
            </w:r>
          </w:p>
        </w:tc>
        <w:tc>
          <w:tcPr>
            <w:tcW w:w="24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(4,575,9</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(176,274,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176,207,4</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Rezolve AI plc</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83)</w:t>
            </w:r>
          </w:p>
        </w:tc>
        <w:tc>
          <w:tcPr>
            <w:tcW w:w="14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(3,868)</w:t>
            </w:r>
          </w:p>
        </w:tc>
        <w:tc>
          <w:tcPr>
            <w:tcW w:w="14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941)</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178,720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Share-based compensation - employees shares restrictions</w:t>
            </w:r>
          </w:p>
        </w:tc>
        <w:tc>
          <w:tcPr>
            <w:tcW w:w="6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9,512,82</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18,834,88</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lifted</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1,210</w:t>
            </w: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18,836,099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63,001,39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 - related parties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63,001,392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employees</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4,314,649</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4,314,649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payments for consultancy</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217,365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217,365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in lieu of services</w:t>
            </w: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1,275,000</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1,275,000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5,826,79</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(9,345,05</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ordinary shares upon acquisition of Armada</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(9,344,318)</w:t>
            </w: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Warrants exercised</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2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574,993</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575,000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1,930,03</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17,949,33</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Ordinary shares issued on conversion of advisors loans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17,949,589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6,600,00</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16,241,54</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Ordinary shares issued</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16,242,944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11,053,0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Shares issued under the rights issue</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1,389</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9,009,884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9,011,193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Ordinary shares issued on conversion of senior secured</w:t>
            </w:r>
          </w:p>
        </w:tc>
        <w:tc>
          <w:tcPr>
            <w:tcW w:w="6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12,035,0</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52,399,82</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convertible notes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1,509</w:t>
            </w: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52,401,332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Ordinary shares issued on conversion of convertible</w:t>
            </w: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4,310,20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14,008,07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promissory loans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14,008,437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(172,646,</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(172,646,79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790)</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gain</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140,474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140,474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100" w:type="dxa"/>
            <w:vAlign w:val="bottom"/>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208,260,</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194,062,7</w:t>
            </w: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(232,075,</w:t>
            </w:r>
          </w:p>
        </w:tc>
        <w:tc>
          <w:tcPr>
            <w:tcW w:w="2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as at December 31, 2024</w:t>
            </w:r>
          </w:p>
        </w:tc>
        <w:tc>
          <w:tcPr>
            <w:tcW w:w="60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754</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26,816</w:t>
            </w:r>
          </w:p>
        </w:tc>
        <w:tc>
          <w:tcPr>
            <w:tcW w:w="24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67</w:t>
            </w: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815)</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ind w:left="4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(80)</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(10,270)</w:t>
            </w: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(37,996,582)</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-2630805</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-2613660</wp:posOffset>
            </wp:positionV>
            <wp:extent cx="76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-2630805</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-2613660</wp:posOffset>
            </wp:positionV>
            <wp:extent cx="76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-2630805</wp:posOffset>
            </wp:positionV>
            <wp:extent cx="768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-2613660</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-2630805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-2613660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-2630805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-2613660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-2630805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-2613660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-2630805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-2613660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-2630805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-2613660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-24765</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-7620</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-24765</wp:posOffset>
            </wp:positionV>
            <wp:extent cx="768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-7620</wp:posOffset>
            </wp:positionV>
            <wp:extent cx="768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-24765</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768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-24765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16" w:name="page117"/>
    <w:bookmarkEnd w:id="116"/>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6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6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5"/>
                <w:szCs w:val="15"/>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320" w:type="dxa"/>
            <w:vAlign w:val="bottom"/>
            <w:shd w:val="clear" w:color="auto" w:fill="CFF0FC"/>
          </w:tcPr>
          <w:p>
            <w:pPr>
              <w:spacing w:after="0"/>
              <w:rPr>
                <w:sz w:val="17"/>
                <w:szCs w:val="17"/>
                <w:color w:val="auto"/>
              </w:rPr>
            </w:pPr>
          </w:p>
        </w:tc>
        <w:tc>
          <w:tcPr>
            <w:tcW w:w="17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(172,646,790)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(30,736,098)</w:t>
            </w:r>
          </w:p>
        </w:tc>
      </w:tr>
      <w:tr>
        <w:trPr>
          <w:trHeight w:val="203"/>
        </w:trPr>
        <w:tc>
          <w:tcPr>
            <w:tcW w:w="6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242,436</w:t>
            </w:r>
          </w:p>
        </w:tc>
        <w:tc>
          <w:tcPr>
            <w:tcW w:w="100" w:type="dxa"/>
            <w:vAlign w:val="bottom"/>
          </w:tcPr>
          <w:p>
            <w:pPr>
              <w:spacing w:after="0"/>
              <w:rPr>
                <w:sz w:val="17"/>
                <w:szCs w:val="17"/>
                <w:color w:val="auto"/>
              </w:rPr>
            </w:pPr>
          </w:p>
        </w:tc>
      </w:tr>
      <w:tr>
        <w:trPr>
          <w:trHeight w:val="202"/>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Impairment of loans receivable</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255,412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1,156,316</w:t>
            </w:r>
          </w:p>
        </w:tc>
        <w:tc>
          <w:tcPr>
            <w:tcW w:w="100" w:type="dxa"/>
            <w:vAlign w:val="bottom"/>
            <w:shd w:val="clear" w:color="auto" w:fill="CFF0FC"/>
          </w:tcPr>
          <w:p>
            <w:pPr>
              <w:spacing w:after="0"/>
              <w:rPr>
                <w:sz w:val="17"/>
                <w:szCs w:val="17"/>
                <w:color w:val="auto"/>
              </w:rPr>
            </w:pPr>
          </w:p>
        </w:tc>
      </w:tr>
      <w:tr>
        <w:trPr>
          <w:trHeight w:val="216"/>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 employees shares restrictions lifted</w:t>
            </w:r>
          </w:p>
        </w:tc>
        <w:tc>
          <w:tcPr>
            <w:tcW w:w="1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18,836,099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 based compensation for employees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4,314,649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5,079,201</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 based compensation issued to related parties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63,001,392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3,646,017</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 based compensation for consultancy services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217,365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Ordinary shares issued in lieu of cash payment for services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Advisor loan issued for services - Northlands Securities (refer to note 7.7)</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5,141,250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Advisor loan issued for services - J.V.B. Financial Group (refer to note 7.7)</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Advisor loan issued for services- Cantor Fitzgerald (refer to note 7.7)</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16,000,000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10,557,714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4,791,782</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Gain on derivatives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(19,001,681)</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44,332,819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Unrealized foreign exchange (gain)/loss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(1,329,775)</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375,298</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non-cash expenses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accounts receivable</w:t>
            </w:r>
          </w:p>
        </w:tc>
        <w:tc>
          <w:tcPr>
            <w:tcW w:w="1320" w:type="dxa"/>
            <w:vAlign w:val="bottom"/>
          </w:tcPr>
          <w:p>
            <w:pPr>
              <w:spacing w:after="0"/>
              <w:rPr>
                <w:sz w:val="17"/>
                <w:szCs w:val="17"/>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(8,739)</w:t>
            </w:r>
          </w:p>
        </w:tc>
        <w:tc>
          <w:tcPr>
            <w:tcW w:w="16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(3,679)</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(Increase) in prepaid expense and other current assets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(906,198)</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(416,069)</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accounts payable, accrued expenses and other payables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1,354,146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2,310,465</w:t>
            </w:r>
          </w:p>
        </w:tc>
        <w:tc>
          <w:tcPr>
            <w:tcW w:w="100" w:type="dxa"/>
            <w:vAlign w:val="bottom"/>
          </w:tcPr>
          <w:p>
            <w:pPr>
              <w:spacing w:after="0"/>
              <w:rPr>
                <w:sz w:val="17"/>
                <w:szCs w:val="17"/>
                <w:color w:val="auto"/>
              </w:rPr>
            </w:pPr>
          </w:p>
        </w:tc>
      </w:tr>
      <w:tr>
        <w:trPr>
          <w:trHeight w:val="203"/>
        </w:trPr>
        <w:tc>
          <w:tcPr>
            <w:tcW w:w="62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Increase in payables due to related parties</w:t>
            </w:r>
          </w:p>
        </w:tc>
        <w:tc>
          <w:tcPr>
            <w:tcW w:w="1320" w:type="dxa"/>
            <w:vAlign w:val="bottom"/>
            <w:tcBorders>
              <w:bottom w:val="single" w:sz="8" w:color="CFF0FC"/>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209,997</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552,456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(21,642,715)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(13,001,875)</w:t>
            </w:r>
          </w:p>
        </w:tc>
      </w:tr>
      <w:tr>
        <w:trPr>
          <w:trHeight w:val="20"/>
        </w:trPr>
        <w:tc>
          <w:tcPr>
            <w:tcW w:w="6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32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320" w:type="dxa"/>
            <w:vAlign w:val="bottom"/>
          </w:tcPr>
          <w:p>
            <w:pPr>
              <w:spacing w:after="0"/>
              <w:rPr>
                <w:sz w:val="17"/>
                <w:szCs w:val="17"/>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(4,774)</w:t>
            </w:r>
          </w:p>
        </w:tc>
        <w:tc>
          <w:tcPr>
            <w:tcW w:w="16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(14,376)</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Development of intangible assets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(3,523,852)</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(1,767,148)</w:t>
            </w:r>
          </w:p>
        </w:tc>
      </w:tr>
      <w:tr>
        <w:trPr>
          <w:trHeight w:val="20"/>
        </w:trPr>
        <w:tc>
          <w:tcPr>
            <w:tcW w:w="624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(3,528,626)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(1,781,524)</w:t>
            </w:r>
          </w:p>
        </w:tc>
      </w:tr>
      <w:tr>
        <w:trPr>
          <w:trHeight w:val="20"/>
        </w:trPr>
        <w:tc>
          <w:tcPr>
            <w:tcW w:w="6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32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merger with Armada</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rights issuance</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1,405,592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7,767,674</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short-term debt from related party</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6,623,541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4,369,413</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 of short-term debt obligation from related parties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(1,153,750)</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(250,000)</w:t>
            </w:r>
          </w:p>
        </w:tc>
      </w:tr>
      <w:tr>
        <w:trPr>
          <w:trHeight w:val="202"/>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convertible promissory loans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11,859,249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 of promissory notes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(1,471,852)</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promissory notes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399,982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to related parties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199,974</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rights issue</w:t>
            </w:r>
          </w:p>
        </w:tc>
        <w:tc>
          <w:tcPr>
            <w:tcW w:w="1320" w:type="dxa"/>
            <w:vAlign w:val="bottom"/>
          </w:tcPr>
          <w:p>
            <w:pPr>
              <w:spacing w:after="0"/>
              <w:rPr>
                <w:sz w:val="17"/>
                <w:szCs w:val="17"/>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(100,000)</w:t>
            </w: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ordinary shares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16,444,773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warrants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long-term debt obligation</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2,625,000</w:t>
            </w:r>
          </w:p>
        </w:tc>
        <w:tc>
          <w:tcPr>
            <w:tcW w:w="100" w:type="dxa"/>
            <w:vAlign w:val="bottom"/>
            <w:shd w:val="clear" w:color="auto" w:fill="CFF0FC"/>
          </w:tcPr>
          <w:p>
            <w:pPr>
              <w:spacing w:after="0"/>
              <w:rPr>
                <w:sz w:val="17"/>
                <w:szCs w:val="17"/>
                <w:color w:val="auto"/>
              </w:rPr>
            </w:pPr>
          </w:p>
        </w:tc>
      </w:tr>
      <w:tr>
        <w:trPr>
          <w:trHeight w:val="196"/>
        </w:trPr>
        <w:tc>
          <w:tcPr>
            <w:tcW w:w="62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flow generated from financing activities</w:t>
            </w:r>
          </w:p>
        </w:tc>
        <w:tc>
          <w:tcPr>
            <w:tcW w:w="13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34,585,896</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14,712,061</w:t>
            </w:r>
          </w:p>
        </w:tc>
        <w:tc>
          <w:tcPr>
            <w:tcW w:w="100" w:type="dxa"/>
            <w:vAlign w:val="bottom"/>
            <w:tcBorders>
              <w:top w:val="single" w:sz="8" w:color="CFF0FC"/>
            </w:tcBorders>
          </w:tcPr>
          <w:p>
            <w:pPr>
              <w:spacing w:after="0"/>
              <w:rPr>
                <w:sz w:val="17"/>
                <w:szCs w:val="17"/>
                <w:color w:val="auto"/>
              </w:rPr>
            </w:pPr>
          </w:p>
        </w:tc>
      </w:tr>
      <w:tr>
        <w:trPr>
          <w:trHeight w:val="20"/>
        </w:trPr>
        <w:tc>
          <w:tcPr>
            <w:tcW w:w="6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320" w:type="dxa"/>
            <w:vAlign w:val="bottom"/>
            <w:shd w:val="clear" w:color="auto" w:fill="CFF0FC"/>
          </w:tcPr>
          <w:p>
            <w:pPr>
              <w:spacing w:after="0"/>
              <w:rPr>
                <w:sz w:val="15"/>
                <w:szCs w:val="15"/>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25,948</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42,399</w:t>
            </w:r>
          </w:p>
        </w:tc>
        <w:tc>
          <w:tcPr>
            <w:tcW w:w="100" w:type="dxa"/>
            <w:vAlign w:val="bottom"/>
            <w:shd w:val="clear" w:color="auto" w:fill="CFF0FC"/>
          </w:tcPr>
          <w:p>
            <w:pPr>
              <w:spacing w:after="0"/>
              <w:rPr>
                <w:sz w:val="15"/>
                <w:szCs w:val="15"/>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change in cash</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9,440,503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(28,939)</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39,380</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year</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9,450,944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10,441</w:t>
            </w:r>
          </w:p>
        </w:tc>
        <w:tc>
          <w:tcPr>
            <w:tcW w:w="100" w:type="dxa"/>
            <w:vAlign w:val="bottom"/>
          </w:tcPr>
          <w:p>
            <w:pPr>
              <w:spacing w:after="0"/>
              <w:rPr>
                <w:sz w:val="17"/>
                <w:szCs w:val="17"/>
                <w:color w:val="auto"/>
              </w:rPr>
            </w:pPr>
          </w:p>
        </w:tc>
      </w:tr>
      <w:tr>
        <w:trPr>
          <w:trHeight w:val="202"/>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Share-based payment for development of intangible asset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1,275,000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115,190</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Cash paid for interest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114,966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paid for taxes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Accrued interest payable converted to principal</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1,339,800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4,040,989</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-3702685</wp:posOffset>
            </wp:positionV>
            <wp:extent cx="774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-3154045</wp:posOffset>
            </wp:positionV>
            <wp:extent cx="7747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-1319530</wp:posOffset>
            </wp:positionV>
            <wp:extent cx="7747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17" w:name="page118"/>
    <w:bookmarkEnd w:id="117"/>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0" w:hanging="512"/>
        <w:spacing w:after="0"/>
        <w:tabs>
          <w:tab w:leader="none" w:pos="52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Rezolve Group Limited (“Rezolve” or “the Company”) was incorporated in England and Wales on January 5, 2023 and changed its name on June 5, 2023 to Rezolve AI Limited. On March 28, 2025, the Company altered its legal status under English law from a private limited company and re-registered as a public limited company. In connection with the re-registration as a public limited company, the Company changed its name from Rezolve AI Limited to Rezolve AI plc.</w:t>
      </w:r>
    </w:p>
    <w:p>
      <w:pPr>
        <w:spacing w:after="0" w:line="180"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Rezolve is a mobile commerce and engagement platform that enables retailers and brands to deliver rich and engaging mobile experiences to consumers. The mailing address of Rezolve’s registered office is 21 Sackville Street, London, W1S 3DN, United Kingdom.</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5460" w:firstLine="8"/>
        <w:spacing w:after="0" w:line="377" w:lineRule="auto"/>
        <w:tabs>
          <w:tab w:leader="none" w:pos="509"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 2.1 Basis of presentation</w:t>
      </w:r>
    </w:p>
    <w:p>
      <w:pPr>
        <w:spacing w:after="0" w:line="2"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Rezolve AI plc and subsidiaries (together “the Company” or “we”) have been prepared in accordance with accounting principles generally accepted in the United States of America (“US GAAP”). The consolidated financial statements have been prepared using the United Stated Dollar (“$” or “US dollar”) as the reporting currency.</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financial statements of Rezolve AI plc,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Chinese Business”) which were abandoned on January 3, 2023 (see below).</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“Pre-Closing Demerger” or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Pre-Closing Demerger was completed on July 4, 2024. A new holding company Rezolve AI plc was established.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Therefore upon the completion of the Pre-Closing Demerger, Rezolve AI plc ended up with the same business as Rezolve Limited but without the Chinese business.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August 15, 2024, Armada Acquisition Corp. I, a Delaware corporation (“Armada”), Rezolve AI plc and Rezolve Merger Sub, Inc., a Delaware corporation (“Rezolve Merger Sub”), consummated a business combination (the “Business Combination”) pursuant to which the Company effected a company reorganization whereby the Company’s series A shares were reclassified as ordinary shares and Armada merged with and into Rezolve Merger Sub, with Armada surviving as a wholly owned subsidiary of Rezolve, with shareholders of Armada receiving ordinary shares of the Company in exchange for their existing Armada common stock and Armada warrant holders having their warrants automatically exchanged for warrants of the Company (see note 8). Upon the closing of the Business Combination, the Company became the direct parent of Armada. The Business Combination was accounted for as a reverse merger under ASC 805, whereby Rezolve AI plc was deemed to be the accounting acquirer for financial reporting purposes and Armada was treated as the accounting acquiree. This determination was primarily based on the expectation that, immediately following the reverse merger: former Rezolve AI plc’s stockholders own a substantial majority of the voting rights in the combined company; former Rezolve AI plc’s largest stockholders retain the largest interest in the combined company and former Rezolve AI plc’s executive management team became the management team of the combined company.</w:t>
      </w:r>
    </w:p>
    <w:p>
      <w:pPr>
        <w:spacing w:after="0" w:line="192"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For accounting purposes the Business Combination, accounted for as a reverse merger, was treated as the equivalent of Rezolve AI plc issuing 5,827,796 ordinary shares to acquire the net liabilities of Armada. The excess amount paid by an investor over the par</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8" w:name="page119"/>
    <w:bookmarkEnd w:id="118"/>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value of ordinary shares issued usually is allocated to additional paid-in capital, however as the Business Combination resulted in the issuance of ordinary shares to acquire the net liabilities of Armada, it rendered a negative amount of additional paid-in capital. In accordance with ASC 505-30-30-8, the Company made an accounting policy election that additional paid-in capital cannot be a negative amount and therefore the negative amount was allocated to accumulated deficit.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net liabilities of Armada are recorded at their acquisition-date fair value in the Consolidated Financial Statements as follows: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500" w:type="dxa"/>
            <w:vAlign w:val="bottom"/>
          </w:tcPr>
          <w:p>
            <w:pPr>
              <w:spacing w:after="0"/>
              <w:rPr>
                <w:sz w:val="18"/>
                <w:szCs w:val="18"/>
                <w:color w:val="auto"/>
              </w:rPr>
            </w:pP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169,425</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500" w:type="dxa"/>
            <w:vAlign w:val="bottom"/>
            <w:shd w:val="clear" w:color="auto" w:fill="CFF0FC"/>
          </w:tcPr>
          <w:p>
            <w:pPr>
              <w:spacing w:after="0"/>
              <w:rPr>
                <w:sz w:val="18"/>
                <w:szCs w:val="18"/>
                <w:color w:val="auto"/>
              </w:rPr>
            </w:pPr>
          </w:p>
        </w:tc>
        <w:tc>
          <w:tcPr>
            <w:tcW w:w="3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(4,873,019)</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Debt (promissory notes)</w:t>
            </w:r>
          </w:p>
        </w:tc>
        <w:tc>
          <w:tcPr>
            <w:tcW w:w="2500" w:type="dxa"/>
            <w:vAlign w:val="bottom"/>
          </w:tcPr>
          <w:p>
            <w:pPr>
              <w:spacing w:after="0"/>
              <w:rPr>
                <w:sz w:val="18"/>
                <w:szCs w:val="18"/>
                <w:color w:val="auto"/>
              </w:rPr>
            </w:pPr>
          </w:p>
        </w:tc>
        <w:tc>
          <w:tcPr>
            <w:tcW w:w="3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(3,144,883)</w:t>
            </w: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500" w:type="dxa"/>
            <w:vAlign w:val="bottom"/>
            <w:shd w:val="clear" w:color="auto" w:fill="CFF0FC"/>
          </w:tcPr>
          <w:p>
            <w:pPr>
              <w:spacing w:after="0"/>
              <w:rPr>
                <w:sz w:val="18"/>
                <w:szCs w:val="18"/>
                <w:color w:val="auto"/>
              </w:rPr>
            </w:pPr>
          </w:p>
        </w:tc>
        <w:tc>
          <w:tcPr>
            <w:tcW w:w="3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(1,499,936)</w:t>
            </w:r>
          </w:p>
        </w:tc>
      </w:tr>
      <w:tr>
        <w:trPr>
          <w:trHeight w:val="20"/>
        </w:trPr>
        <w:tc>
          <w:tcPr>
            <w:tcW w:w="5160" w:type="dxa"/>
            <w:vAlign w:val="bottom"/>
            <w:shd w:val="clear" w:color="auto" w:fill="CFF0FC"/>
          </w:tcPr>
          <w:p>
            <w:pPr>
              <w:spacing w:after="0" w:line="20" w:lineRule="exact"/>
              <w:rPr>
                <w:sz w:val="1"/>
                <w:szCs w:val="1"/>
                <w:color w:val="auto"/>
              </w:rPr>
            </w:pPr>
          </w:p>
        </w:tc>
        <w:tc>
          <w:tcPr>
            <w:tcW w:w="2500" w:type="dxa"/>
            <w:vAlign w:val="bottom"/>
            <w:shd w:val="clear" w:color="auto" w:fill="CFF0FC"/>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liabilities acquired</w:t>
            </w:r>
          </w:p>
        </w:tc>
        <w:tc>
          <w:tcPr>
            <w:tcW w:w="25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(9,345,052)</w:t>
            </w:r>
          </w:p>
        </w:tc>
      </w:tr>
      <w:tr>
        <w:trPr>
          <w:trHeight w:val="20"/>
        </w:trPr>
        <w:tc>
          <w:tcPr>
            <w:tcW w:w="5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2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(9,345,052)</w:t>
            </w: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2500" w:type="dxa"/>
            <w:vAlign w:val="bottom"/>
            <w:tcBorders>
              <w:top w:val="single" w:sz="8" w:color="CFF0FC"/>
            </w:tcBorders>
            <w:shd w:val="clear" w:color="auto" w:fill="CFF0FC"/>
          </w:tcPr>
          <w:p>
            <w:pPr>
              <w:spacing w:after="0" w:line="20" w:lineRule="exact"/>
              <w:rPr>
                <w:sz w:val="1"/>
                <w:szCs w:val="1"/>
                <w:color w:val="auto"/>
              </w:rPr>
            </w:pPr>
          </w:p>
        </w:tc>
        <w:tc>
          <w:tcPr>
            <w:tcW w:w="3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Consolidated Financial Statements of Rezolve AI plc and subsidiaries have been prepared on the following basis:</w:t>
      </w:r>
    </w:p>
    <w:p>
      <w:pPr>
        <w:spacing w:after="0" w:line="117" w:lineRule="exact"/>
        <w:rPr>
          <w:sz w:val="20"/>
          <w:szCs w:val="20"/>
          <w:color w:val="auto"/>
        </w:rPr>
      </w:pPr>
    </w:p>
    <w:p>
      <w:pPr>
        <w:ind w:left="1020" w:right="100" w:hanging="503"/>
        <w:spacing w:after="0" w:line="254" w:lineRule="auto"/>
        <w:tabs>
          <w:tab w:leader="none" w:pos="10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Pre-Closing Demerger was completed retrospectively on December 31, 2021, and thus reflects the predecessor company, Rezolve Limited, prior to completion of the Pre-Closing Demerger. These Consolidated Financial Statements are therefore prepared on a carve-out basis. All costs of doing business in Rezolve Limited have been reflected in Rezolve AI plc on a 100% allocation basis since management feels that this fully reflects the Consolidated Financial Statements had the Demerger completed on December 31, 2022. Investments made in the China Business by Rezolve Limited in the People’s Republic of China (“China”) for the years ending December 31, 2024 and December 31, 2023 have been recorded as “Business development expenses”, a component of General and Administrative expenses within the Company’s Consolidated Statement of Operations in accordance with </w:t>
      </w:r>
      <w:r>
        <w:rPr>
          <w:rFonts w:ascii="Times New Roman" w:cs="Times New Roman" w:eastAsia="Times New Roman" w:hAnsi="Times New Roman"/>
          <w:sz w:val="18"/>
          <w:szCs w:val="18"/>
          <w:i w:val="1"/>
          <w:iCs w:val="1"/>
          <w:color w:val="auto"/>
        </w:rPr>
        <w:t>Staff Accounting Bulletin Topic 1-B1, Costs Reflected in Historical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(“SAB 1-B1”). Management asserts that this method used is reasonable.</w:t>
      </w:r>
    </w:p>
    <w:p>
      <w:pPr>
        <w:spacing w:after="0" w:line="83" w:lineRule="exact"/>
        <w:rPr>
          <w:rFonts w:ascii="Times New Roman" w:cs="Times New Roman" w:eastAsia="Times New Roman" w:hAnsi="Times New Roman"/>
          <w:sz w:val="18"/>
          <w:szCs w:val="18"/>
          <w:color w:val="auto"/>
        </w:rPr>
      </w:pPr>
    </w:p>
    <w:p>
      <w:pPr>
        <w:ind w:left="1020" w:right="180" w:hanging="503"/>
        <w:spacing w:after="0" w:line="256" w:lineRule="auto"/>
        <w:tabs>
          <w:tab w:leader="none" w:pos="10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ownership structure of Rezolve Limited and Rezolve AI plc, the Pre-Closing Demerger was accounted for as a common control transaction in accordance with the common control guidance in ASC 805. The net liabilities of Rezolve Limited were transferred to Rezolve AI plc at their carrying values immediately prior to the Pre-Closing Demerger transaction, with an offsetting impact to Additional Paid in Capital which was then recapitalized to Accumulated Deficit. The Consolidated Financial Statements as of and for the year ended December 31, 2023 and the period January 1, 2024 to July 4, 2024 for Rezolve Limited have been aggregated with the Consolidated Financial Statements of the Company for the period July 5, 2024 to December 31, 2024.</w:t>
      </w:r>
    </w:p>
    <w:p>
      <w:pPr>
        <w:spacing w:after="0" w:line="79"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issued in Rezolve AI plc to the shareholders of Rezolve Limited pursuant to the Pre-Closing Demerger was in the order of 1 share in Rezolve AI plc for each 6.13 shares held in Rezolve Limited. This adjustment in share numbers enabled the issuance of the appropriate number of shares in Rezolve AI plc so that each Company Shareholder will after the Pre-Closing Demerger hold their applicable pro rata portion of the aggregate stock consideration in accordance with the terms of the Pre-Closing Demerger transaction. All share and per share amounts in these Consolidated Financial Statements and notes thereto have been retroactively adjusted for all periods presented to give effect to the Pre-Closing Demerger transaction. Additionally, holders of Series A shares of Rezolve AI plc received one Ordinary share in the Company for each Series A share held in Rezolve AI plc.</w:t>
      </w:r>
    </w:p>
    <w:p>
      <w:pPr>
        <w:spacing w:after="0" w:line="29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Basis of consolidation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 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with the most significant impact on the entity’s economic performance, and (2) the right to receive benefits or the obligation to absorb losses from the entity which could potentially be significant to the entity.</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9" w:name="page120"/>
    <w:bookmarkEnd w:id="119"/>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list of subsidiaries and Rezolve AI plc’s holding as of December 31, 2024 and 2023 is as follows: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40" w:type="dxa"/>
            <w:vAlign w:val="bottom"/>
          </w:tcPr>
          <w:p>
            <w:pPr>
              <w:spacing w:after="0"/>
              <w:rPr>
                <w:sz w:val="13"/>
                <w:szCs w:val="13"/>
                <w:color w:val="auto"/>
              </w:rPr>
            </w:pP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 of</w:t>
            </w:r>
          </w:p>
        </w:tc>
        <w:tc>
          <w:tcPr>
            <w:tcW w:w="1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48"/>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the entity</w:t>
            </w:r>
          </w:p>
        </w:tc>
        <w:tc>
          <w:tcPr>
            <w:tcW w:w="1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shareholding</w:t>
            </w:r>
          </w:p>
        </w:tc>
        <w:tc>
          <w:tcPr>
            <w:tcW w:w="0" w:type="dxa"/>
            <w:vAlign w:val="bottom"/>
          </w:tcPr>
          <w:p>
            <w:pPr>
              <w:spacing w:after="0"/>
              <w:rPr>
                <w:sz w:val="1"/>
                <w:szCs w:val="1"/>
                <w:color w:val="auto"/>
              </w:rPr>
            </w:pPr>
          </w:p>
        </w:tc>
      </w:tr>
      <w:tr>
        <w:trPr>
          <w:trHeight w:val="173"/>
        </w:trPr>
        <w:tc>
          <w:tcPr>
            <w:tcW w:w="3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4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480" w:type="dxa"/>
            <w:vAlign w:val="bottom"/>
            <w:gridSpan w:val="2"/>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Rezolve Taiwan Limited</w:t>
            </w:r>
          </w:p>
        </w:tc>
        <w:tc>
          <w:tcPr>
            <w:tcW w:w="16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9, 2000</w:t>
            </w:r>
          </w:p>
        </w:tc>
        <w:tc>
          <w:tcPr>
            <w:tcW w:w="140" w:type="dxa"/>
            <w:vAlign w:val="bottom"/>
            <w:shd w:val="clear" w:color="auto" w:fill="CFF0FC"/>
          </w:tcPr>
          <w:p>
            <w:pPr>
              <w:spacing w:after="0"/>
              <w:rPr>
                <w:sz w:val="18"/>
                <w:szCs w:val="18"/>
                <w:color w:val="auto"/>
              </w:rPr>
            </w:pPr>
          </w:p>
        </w:tc>
        <w:tc>
          <w:tcPr>
            <w:tcW w:w="27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Taiwan</w:t>
            </w:r>
          </w:p>
        </w:tc>
        <w:tc>
          <w:tcPr>
            <w:tcW w:w="1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Rezolve Technology (India) Private</w:t>
            </w:r>
          </w:p>
        </w:tc>
        <w:tc>
          <w:tcPr>
            <w:tcW w:w="160" w:type="dxa"/>
            <w:vAlign w:val="bottom"/>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19, 2021</w:t>
            </w:r>
          </w:p>
        </w:tc>
        <w:tc>
          <w:tcPr>
            <w:tcW w:w="140" w:type="dxa"/>
            <w:vAlign w:val="bottom"/>
          </w:tcPr>
          <w:p>
            <w:pPr>
              <w:spacing w:after="0"/>
              <w:rPr>
                <w:sz w:val="17"/>
                <w:szCs w:val="17"/>
                <w:color w:val="auto"/>
              </w:rPr>
            </w:pP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480" w:type="dxa"/>
            <w:vAlign w:val="bottom"/>
            <w:gridSpan w:val="2"/>
            <w:vMerge w:val="restart"/>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26"/>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Limited</w:t>
            </w:r>
          </w:p>
        </w:tc>
        <w:tc>
          <w:tcPr>
            <w:tcW w:w="1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72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Rezolve Mobile Commerce Inc.</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20, 2016</w:t>
            </w:r>
          </w:p>
        </w:tc>
        <w:tc>
          <w:tcPr>
            <w:tcW w:w="140" w:type="dxa"/>
            <w:vAlign w:val="bottom"/>
            <w:shd w:val="clear" w:color="auto" w:fill="CFF0FC"/>
          </w:tcPr>
          <w:p>
            <w:pPr>
              <w:spacing w:after="0"/>
              <w:rPr>
                <w:sz w:val="18"/>
                <w:szCs w:val="18"/>
                <w:color w:val="auto"/>
              </w:rPr>
            </w:pPr>
          </w:p>
        </w:tc>
        <w:tc>
          <w:tcPr>
            <w:tcW w:w="2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1480" w:type="dxa"/>
            <w:vAlign w:val="bottom"/>
            <w:gridSpan w:val="2"/>
            <w:shd w:val="clear" w:color="auto" w:fill="CFF0FC"/>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Rezolve Technology S.L.</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25, 2020</w:t>
            </w:r>
          </w:p>
        </w:tc>
        <w:tc>
          <w:tcPr>
            <w:tcW w:w="14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Spain</w:t>
            </w:r>
          </w:p>
        </w:tc>
        <w:tc>
          <w:tcPr>
            <w:tcW w:w="148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Rezolve AI IP Holdings Limited</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December 19,</w:t>
            </w:r>
          </w:p>
        </w:tc>
        <w:tc>
          <w:tcPr>
            <w:tcW w:w="140" w:type="dxa"/>
            <w:vAlign w:val="bottom"/>
            <w:shd w:val="clear" w:color="auto" w:fill="CFF0FC"/>
          </w:tcPr>
          <w:p>
            <w:pPr>
              <w:spacing w:after="0"/>
              <w:rPr>
                <w:sz w:val="17"/>
                <w:szCs w:val="17"/>
                <w:color w:val="auto"/>
              </w:rPr>
            </w:pPr>
          </w:p>
        </w:tc>
        <w:tc>
          <w:tcPr>
            <w:tcW w:w="27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1480" w:type="dxa"/>
            <w:vAlign w:val="bottom"/>
            <w:gridSpan w:val="2"/>
            <w:vMerge w:val="restart"/>
            <w:shd w:val="clear" w:color="auto" w:fill="CFF0FC"/>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40" w:type="dxa"/>
            <w:vAlign w:val="bottom"/>
            <w:shd w:val="clear" w:color="auto" w:fill="CFF0FC"/>
          </w:tcPr>
          <w:p>
            <w:pPr>
              <w:spacing w:after="0"/>
              <w:rPr>
                <w:sz w:val="10"/>
                <w:szCs w:val="10"/>
                <w:color w:val="auto"/>
              </w:rPr>
            </w:pPr>
          </w:p>
        </w:tc>
        <w:tc>
          <w:tcPr>
            <w:tcW w:w="1580" w:type="dxa"/>
            <w:vAlign w:val="bottom"/>
            <w:gridSpan w:val="2"/>
            <w:vMerge w:val="restart"/>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shd w:val="clear" w:color="auto" w:fill="CFF0FC"/>
          </w:tcPr>
          <w:p>
            <w:pPr>
              <w:spacing w:after="0"/>
              <w:rPr>
                <w:sz w:val="10"/>
                <w:szCs w:val="10"/>
                <w:color w:val="auto"/>
              </w:rPr>
            </w:pPr>
          </w:p>
        </w:tc>
        <w:tc>
          <w:tcPr>
            <w:tcW w:w="2720" w:type="dxa"/>
            <w:vAlign w:val="bottom"/>
            <w:vMerge w:val="continue"/>
            <w:shd w:val="clear" w:color="auto" w:fill="CFF0FC"/>
          </w:tcPr>
          <w:p>
            <w:pPr>
              <w:spacing w:after="0"/>
              <w:rPr>
                <w:sz w:val="10"/>
                <w:szCs w:val="10"/>
                <w:color w:val="auto"/>
              </w:rPr>
            </w:pPr>
          </w:p>
        </w:tc>
        <w:tc>
          <w:tcPr>
            <w:tcW w:w="148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shd w:val="clear" w:color="auto" w:fill="CFF0FC"/>
          </w:tcPr>
          <w:p>
            <w:pPr>
              <w:spacing w:after="0"/>
              <w:rPr>
                <w:sz w:val="9"/>
                <w:szCs w:val="9"/>
                <w:color w:val="auto"/>
              </w:rPr>
            </w:pPr>
          </w:p>
        </w:tc>
        <w:tc>
          <w:tcPr>
            <w:tcW w:w="1580" w:type="dxa"/>
            <w:vAlign w:val="bottom"/>
            <w:gridSpan w:val="2"/>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7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Armada Acquisition Corp. I</w:t>
            </w:r>
          </w:p>
        </w:tc>
        <w:tc>
          <w:tcPr>
            <w:tcW w:w="1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15, 2024</w:t>
            </w:r>
          </w:p>
        </w:tc>
        <w:tc>
          <w:tcPr>
            <w:tcW w:w="14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148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Consolidated Financial Statements have been prepared using the United Stated Dollar ($) as its reporting currency.</w:t>
      </w:r>
    </w:p>
    <w:p>
      <w:pPr>
        <w:spacing w:after="0" w:line="3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2.3  Emerging Growth Company</w:t>
      </w:r>
    </w:p>
    <w:p>
      <w:pPr>
        <w:spacing w:after="0" w:line="121"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7"/>
          <w:szCs w:val="17"/>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provided that early adoption is permitted by the new or revised accounting standard. The Company has elected to not opt out of such extended transition period, 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Liquidity</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Pursuant to ASC 205-40, Presentation of Financial Statements—Going Concern (“ASC 205-40”), management must evaluate whether there are conditions and events, considered in aggregate, that raise substantial doubt about the Company’s ability to continue as a going concern for one year after the date that these Consolidated Financial Statements are issued. In accordance with ASC 205-40, management’s analysis can only include the potential mitigating impact of management’s plans that have not been fully implemented as of the issuance date if (a) it is probable that management’s plans will be effectively implemented on a timely basis, and (b) it is probable that the plans, when implemented, will alleviate the relevant conditions or events that raise substantial doubt about the Company’s ability to continue as a going concern.</w:t>
      </w:r>
    </w:p>
    <w:p>
      <w:pPr>
        <w:spacing w:after="0" w:line="18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an accumulated deficit of $232.1 million. For the year ended December 31, 2024, the Company incurred a net loss of $172.6 million and net cash used in operating activities was $21.6 million. Cash and cash equivalents totaled $9.5 million as of December 31, 2024, an increase of $9.4 million from December 31, 2023. The Company has a working capital deficit of $44.8 million as at December 31, 2024. The Company continues to incur losses while it develops technological services, targets customers and incurs costs for an initial public offering or business combination. Our sources of cash for these activities rely on debt and equity funding.</w:t>
      </w:r>
    </w:p>
    <w:p>
      <w:pPr>
        <w:spacing w:after="0" w:line="183"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 or equity securities.</w:t>
      </w:r>
    </w:p>
    <w:p>
      <w:pPr>
        <w:spacing w:after="0" w:line="117" w:lineRule="exact"/>
        <w:rPr>
          <w:rFonts w:ascii="Times New Roman" w:cs="Times New Roman" w:eastAsia="Times New Roman" w:hAnsi="Times New Roman"/>
          <w:sz w:val="18"/>
          <w:szCs w:val="18"/>
          <w:color w:val="auto"/>
        </w:rPr>
      </w:pPr>
    </w:p>
    <w:p>
      <w:pPr>
        <w:ind w:left="5460" w:right="3760" w:hanging="4943"/>
        <w:spacing w:after="0" w:line="407" w:lineRule="auto"/>
        <w:tabs>
          <w:tab w:leader="none" w:pos="103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 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0" w:name="page121"/>
    <w:bookmarkEnd w:id="120"/>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hanging="503"/>
        <w:spacing w:after="0"/>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generate revenue from our technology.</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Assumptions underlying the Company’s business plan are highly sensitive to the signing of revenue generating contracts, the successful outcome of trials for our services and the ability to control expenses.</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Furthermore, the review of the strategic plan and budget, including expected developments in liquidity and capital from definitive agreements entered into, were considered. As of the date of issuance of these consolidated financial statements, the Company has a further $234.4 million remaining on the Standby Equity Purchase Agreement ("SEPA") capital commitment facility with YA II PN, LTD ("YA"), a Cayman Island exempt limited company. The SEPA is a share subscription facility which was signed and executed on February 23, 2023 and amended and restated on February 2, 2024 to provide for, inter alia, Rezolve AI Limited joining as a party to the agreement and the subscription by YA of a promissory convertible note (“YA Agreement”, note 7.6). The Company may continue to seek capital through the issuance of equity securities using the remaining undrawn capital commitment facility. Consequently, it has been concluded that adequate resources and liquidity to meet the cash flow requirements for the next twelve months are present, and it is reasonable to apply the going concern basis as the underlying assumption for the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Use of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capitalized software and share-based compensation. Management believes that the estimates used in the preparation of the consolidated financial statements are prudent and reasonable. Although these estimates are based upon management’s best knowledge of current events and actions, actual results could differ from estimates</w:t>
      </w:r>
    </w:p>
    <w:p>
      <w:pPr>
        <w:spacing w:after="0" w:line="29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Foreign currency translation and transactions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 is the US dollar, being the currency in which the Company and its predecessor company, Rezolve Limited, predominantly generates cash through financing transactions and expended cash in. The subsidiaries have different functional currencies such as the Euro, Indian Rupee and New Taiwan Dollar which have been determined on the basis of the primary economic environment in which each entity of the Company operates. Management believes that each individual entity’s functional currency reflects the transactions, events and conditions under which the entity conducts its business.</w:t>
      </w:r>
    </w:p>
    <w:p>
      <w:pPr>
        <w:spacing w:after="0" w:line="183"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Transactions denominated in currencies other than our or our subsidiaries’ functional currencies are recorded based on exchange rates at the time such transactions arise. Assets and liabilities denominated in currencies other than the functional currency are remeasured using the current exchange rate for monetary accounts and historical exchange rates for non-monetary accounts, with exchange differences on remeasurement included in other income (expense), net in our consolidated statements of operations. Foreign subsidiaries that utilize foreign currency as their functional currency translate such currency into U.S. dollars using (i) the exchange rate on the balance sheet dates for assets and liabilities, (ii) the average exchange rates prevailing during the period for revenues and expenses, and (iii) historical exchange rates for equity. Any translation adjustments resulting from this process are shown separately as a component of accumulated other comprehensive income (loss) within shareholder’s deficit in the consolidated balance sheets and statement of comprehensive income (loss).</w:t>
      </w:r>
    </w:p>
    <w:p>
      <w:pPr>
        <w:spacing w:after="0" w:line="19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effects of exchange rates on cash balances held in foreign currencies are separately reported in our consolidated statements of cash flows.</w:t>
      </w:r>
    </w:p>
    <w:p>
      <w:pPr>
        <w:spacing w:after="0" w:line="2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Cash</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Cash comprises cash on hand and in current accounts which are readily available. Our cash is held in creditworthy financial institutions and is insured up to £85,000 in accordance with the regulations of the United Kingdom’s Financial Conduct Authority. The Company has not experienced any losses associated with cash held with financial institutions.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1" w:name="page122"/>
    <w:bookmarkEnd w:id="121"/>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121" w:lineRule="exact"/>
        <w:rPr>
          <w:sz w:val="20"/>
          <w:szCs w:val="20"/>
          <w:color w:val="auto"/>
        </w:rPr>
      </w:pPr>
    </w:p>
    <w:p>
      <w:pPr>
        <w:ind w:right="20" w:firstLine="554"/>
        <w:spacing w:after="0" w:line="256" w:lineRule="auto"/>
        <w:rPr>
          <w:sz w:val="20"/>
          <w:szCs w:val="20"/>
          <w:color w:val="auto"/>
        </w:rPr>
      </w:pPr>
      <w:r>
        <w:rPr>
          <w:rFonts w:ascii="Times New Roman" w:cs="Times New Roman" w:eastAsia="Times New Roman" w:hAnsi="Times New Roman"/>
          <w:sz w:val="18"/>
          <w:szCs w:val="18"/>
          <w:color w:val="auto"/>
        </w:rPr>
        <w:t>Account receivable consists primarily of amounts related to fees charged to customers. Credit is extended based on evaluation of a customer’s financial condition and generally collateral is not required. Accounts receivable is stated at amounts due from customers net of an allowance for expected credit losses. The allowance for doubtful accounts is based upon our current estimate of lifetime expected credit losses related to uncollectible accounts receivable. The Company evaluates the need for an allowance for doubtful accounts based on historical collection trends, prevailing and anticipated macroeconomic conditions and specific customer credit risk. Accounts receivable in the accompanying consolidated financial statements does not have any allowances created for doubtful accounts.</w:t>
      </w:r>
    </w:p>
    <w:p>
      <w:pPr>
        <w:spacing w:after="0" w:line="29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of acquisition less accumulated depreciation and accumulated impairment provisions, however, there have been no indicators identified during the reporting periods.</w:t>
      </w:r>
    </w:p>
    <w:p>
      <w:pPr>
        <w:spacing w:after="0" w:line="16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An item of property and equipment is derecognized upon disposal or when no future economic benefits are expected from its use. Any gain or loss arising on derecognition of the asset (calculated as the difference between the net disposal proceeds and the net carrying amount of the asset) is included in the consolidated statement of comprehensive operations, in the year the asset is derecognized.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on property and equipment is charged to expense on a systematic basis over the useful life of assets as estimated by the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computed using the straight-line method. The useful lives estimated by the management are as follows:</w:t>
      </w:r>
    </w:p>
    <w:p>
      <w:pPr>
        <w:spacing w:after="0" w:line="200"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09"/>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w:t>
            </w:r>
          </w:p>
        </w:tc>
        <w:tc>
          <w:tcPr>
            <w:tcW w:w="1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7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Repairs and maintenance of property and equipment are expensed as incurred; enhancements and improvements that extend the life of property and equipment are capitalized into their cost.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2.10.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 assets consist of computer software and internal-use software.</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Computer software</w:t>
      </w:r>
    </w:p>
    <w:p>
      <w:pPr>
        <w:spacing w:after="0" w:line="11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Computer software acquired separately is measured on initial recognition at cost. Following initial recognition, such assets are carried at cost less any accumulated amortization and any accumulated impairment losses, however, there have been no indicators of impairment identified during the years ended 2024 and 2023.</w:t>
      </w:r>
    </w:p>
    <w:p>
      <w:pPr>
        <w:spacing w:after="0" w:line="17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Computer software assets are amortized over their useful economic life less their estimated residual value and assessed for impairment whenever there is an indication that the intangible asset may be impaired. Gains or losses arising from de-recognition of an intangible asset are measured as the difference between the net disposal proceeds and the net carrying amount of the asset and are recognized in profit or loss in the consolidated statement of operations when the asset is derecognized.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initial useful lives of computer software assets as estimated by management are summarized as follows:</w:t>
      </w:r>
    </w:p>
    <w:p>
      <w:pPr>
        <w:spacing w:after="0" w:line="219"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10"/>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3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capitalize internal and external costs directly associated with the development of internal-use software. Maintenance and training costs, as well as costs incurred during the preliminary stage of an internal-use software development project, are expensed as incurred. The Company has not commenced amortizing the in-development software as it not yet ready for its intended use. The Company reviews internal-use software for impairment when an event or changes in business circumstances indicate that the carrying</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2" w:name="page123"/>
    <w:bookmarkEnd w:id="122"/>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amount of the asset may not be fully recoverable. There were no indicators of impairment for internal-use software as of December 31, 2024 and December 31, 2023 and the years then ended.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2.11.  Impairment of assets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reviews assets, including the property and equipment and definite-life intangible assets, for impairment when an event or changes in business circumstances indicate that the carrying amount of the asset may not be fully recoverable. An impairment loss is recognized when estimated undiscounted future cash flows expected to result from use of the asset and its eventual disposition are less than the carrying amount. Impairment loss, if any, is measured as the difference between the fair value of an asset, as measured by discounted cash flows and the asset’s carrying value.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indicators of impairment for any of the long-lived assets as of December 31, 2024 and December 31, 2023 and the years then ended.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2.12.  Convertible Debt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Convertible notes are regarded as hybrid instruments, consisting of a liability component and an equity component.</w:t>
      </w:r>
    </w:p>
    <w:p>
      <w:pPr>
        <w:spacing w:after="0" w:line="11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host instrument (i.e., convertible note or debt element of the outstanding instruments) is classified as a financial liability and recorded at the present value of the Company’s obligation to make future interest payments in cash and settle the redemption value of the instrument in cash. The carrying value of the host instrument is accounted for at amortized cost and is therefore accreted to the original face value of the instrument, over the life, using the effective interest method.</w:t>
      </w:r>
    </w:p>
    <w:p>
      <w:pPr>
        <w:spacing w:after="0" w:line="7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When the Company issues debt with a conversion feature, we assess, in accordance with ASC 480-10 -Distinguishing Liabilities from Equity and ASC 815 - Derivatives and Hedging, whether the conversion feature meets the requirements to be treated as a derivative, as follows: (a) one or more underlying’s, typically the price of our common stock; (b) one or more notional amounts or payment provisions or both, generally the number of shares upon conversion; (c) no initial net investment, which typically excludes the amount borrowed; and (d) net settlement provisions, which in the case of convertible debt generally means the stock received upon conversion can be readily sold for cash.</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conversion features of convertible debt instruments issued by the Company, that meet the requirements to be bifurcated and treated as derivatives, are recorded as either financial assets or financial liabilities, in accordance with the substance of the contractual arrangements and the definitions of either a financial asset or a financial liability. These financial assets or a financial liabilities are initially recognized at fair value and classified as derivative assets or liabilities in the consolidated balance sheet. Changes in the fair value of the derivative assets or liabilities are subsequently accounted for directly through the consolidated statements of operations and comprehensive income (loss) and are included in operating activities in the consolidated statements of cash flows as non-cash adjustment.</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conversion options are valued using certain directly and indirectly observable inputs and are classified as Level 2 in the fair value hierarchy in accordance with ASC 820 - Fair Value Measurement. The Company utilizes a third party valuation expert to determine the estimated fair value of the derivatives. The third party valuation expert estimates the fair value of the derivative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 The derivative is revalued at the end of each reporting period and any change in fair value is recorded as a gain or loss in the statement of operations.</w:t>
      </w:r>
    </w:p>
    <w:p>
      <w:pPr>
        <w:spacing w:after="0" w:line="7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also considers the impact, if any, of the dilutive effect of the shares of its common stock issuable upon conversion of the outstanding convertible debt in its diluted income per share, see note 2.20.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2.13.  Deferred financing costs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Deferred financing costs include debt discounts and debt issuance costs related to a recognized debt liability and are presented in the balance sheet as a direct reduction from the carrying value of the debt liability. Amortization of deferred financing costs are included as a component of interest expense. Deferred financing costs are amortized using the effective interest method.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2.14.  Revenue recognition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3" w:name="page124"/>
    <w:bookmarkEnd w:id="123"/>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ASC 606, the Company determines revenue recognition through the following steps:</w:t>
      </w:r>
    </w:p>
    <w:p>
      <w:pPr>
        <w:spacing w:after="0" w:line="117" w:lineRule="exact"/>
        <w:rPr>
          <w:sz w:val="20"/>
          <w:szCs w:val="20"/>
          <w:color w:val="auto"/>
        </w:rPr>
      </w:pPr>
    </w:p>
    <w:p>
      <w:pPr>
        <w:ind w:left="1020" w:hanging="503"/>
        <w:spacing w:after="0"/>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or contracts, with the customer;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 in the contract;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performance obligations in the contract;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the Company satisfies performance obligations by transferring the promised goods or services.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Ticketing Commissions (Spain)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single source of revenue is for the commission from sales of football tickets for La Liga in Spain through our platform technology.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 Liga pays a commission for each football ticket sold through our platform technology.</w:t>
      </w:r>
    </w:p>
    <w:p>
      <w:pPr>
        <w:spacing w:after="0" w:line="20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Revenue is recognized in accordance with ASC 606 “Revenue from Contracts with Customers” at the point in time when a football ticket is sold on our platform technology.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2.15.  Cost of revenue</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Cost of revenues consists of expenses incurred directly in relation to the earning of revenues such as partner’s fees and the impairment of current assets (see note 2.11).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2.16.  Operating segments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Group’s Chief Executive Officer is the Company’s CODM. The CODM reviews financial information presented on a consolidated basis for purposes of making operating decisions, allocating resources, and evaluating financial performance. The Company has determined that it operates as one operating segment.</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the Company operates as one operating segment, financial data provided in the consolidated financial statements, including total revenues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$187,788 (2023:$145,051), total operating expenses of $138,230,574 (2023:$26,151,325), consolidated net loss of $172,646,790 (2023: $30,736,098),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of $19,788,157 (2023: $2,536,484), represent the performance of our single reportable segment. The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 the same level of significant expense categories regularly provided to the CODM for decision-making purposes. Sales and marketing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in the consolidated statements of operations includes advertising expenses, payroll expenses, and consultancy charges (see note 12). General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expenses reported in the consolidated statements of operations includes IT expenses, legal and professional expenses, payroll expenses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consultancy charges (see note 12).</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CODM does not review segment assets at a different level or category than those disclosed in the consolidated balance sheet.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2.17.  Research and development credits</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Credits for research and development activities relate to government incentives on qualifying research and development expenditures in the United Kingdom. These refundable credits are recognized within other non-operating income when they are filed with the government authorities and there is no uncertainty on the realization of the credits until they are refundable.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2.18.  Share-based compensation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measures the cost of share-based awards granted to employees, non-employees and directors based on the grant-date fair value of the awards. The grant-date fair value of the share options is calculated using a Black-Scholes Merton option pricing model. The value of the portion of the award, after considering potential forfeitures, that is ultimately expected to vest is recognized as expense in our statements of operations on a over the requisite service periods. The Company elected to recognize the effect of forfeitures in the period that they occur.</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24" w:name="page125"/>
    <w:bookmarkEnd w:id="124"/>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2.19.  Shareholders’ deficit and reserves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Shares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has one class of issued shares, ordinary shares. As of December 31, 2023, the Company had two classes of issued shares, ordinary shares and Series A preferred shares. On August 15, 2024, the Company’s series A shares were reclassified as Ordinary Shares, see note 2.1.</w:t>
      </w:r>
    </w:p>
    <w:p>
      <w:pPr>
        <w:spacing w:after="0" w:line="68"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Each series A preferred and ordinary shareholder are entitled to one vote per share. Holders of ordinary shares are entitled to receive dividends out of any asset legally available for payment of dividends only when such dividends are declared by the Board of Directors and approved by the majority of the shareholders. As of December 31, 2024 and 2023, the Company’s Board of Directors had not declared any dividends for ordinary shares.</w:t>
      </w:r>
    </w:p>
    <w:p>
      <w:pPr>
        <w:spacing w:after="0" w:line="68" w:lineRule="exact"/>
        <w:rPr>
          <w:sz w:val="20"/>
          <w:szCs w:val="20"/>
          <w:color w:val="auto"/>
        </w:rPr>
      </w:pPr>
    </w:p>
    <w:p>
      <w:pPr>
        <w:ind w:right="360" w:firstLine="509"/>
        <w:spacing w:after="0" w:line="312" w:lineRule="auto"/>
        <w:rPr>
          <w:sz w:val="20"/>
          <w:szCs w:val="20"/>
          <w:color w:val="auto"/>
        </w:rPr>
      </w:pPr>
      <w:r>
        <w:rPr>
          <w:rFonts w:ascii="Times New Roman" w:cs="Times New Roman" w:eastAsia="Times New Roman" w:hAnsi="Times New Roman"/>
          <w:sz w:val="17"/>
          <w:szCs w:val="17"/>
          <w:color w:val="auto"/>
        </w:rPr>
        <w:t>The authorized and outstanding shares as of December 31, 2024 and December 31, 2023 as are follows, reflecting the impact of the Pre-Closing Demerger transaction whereby one share in Rezolve AI plc was issued to shareholders of Rezolve Limited for each 6.13 shares held (see note 2.1):</w:t>
      </w:r>
    </w:p>
    <w:p>
      <w:pPr>
        <w:spacing w:after="0" w:line="32" w:lineRule="exact"/>
        <w:rPr>
          <w:sz w:val="20"/>
          <w:szCs w:val="20"/>
          <w:color w:val="auto"/>
        </w:rPr>
      </w:pPr>
    </w:p>
    <w:p>
      <w:pPr>
        <w:ind w:left="1020" w:right="20" w:hanging="503"/>
        <w:spacing w:after="0" w:line="282" w:lineRule="auto"/>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£0.0001 nominal value 208,260,754 shares issued and outstanding as of December 31, 2024; 152,262,295 shares issued and outstanding as of December 31, 2023; 256,365,817 and 161,710,480 shares authorized as of December 31, 2024 and 2023.</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shares: £0.0001 nominal value 4,575,983 shares issued, authorized and outstanding as of December 31, 2023.</w:t>
      </w:r>
    </w:p>
    <w:p>
      <w:pPr>
        <w:spacing w:after="0" w:line="225"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As of December 31, 2023, 9,513,181 restricted employee shares were outstanding due to an unofficial and unapproved equity incentive plan. These shares par value of £0.0001 per share were unpaid by the employees. The employee shares had significant restrictions including management’s and or the board’s rights to cancel the shares any time, restrictions on right to transfer, to vote and cumulative dividends. There were no vesting conditions including service conditions in relation to the shares issued. Considering the restrictions imposed on these shares, these shares were considered to be ungranted to the employees. The amount receivable for these employee shares and such employee shares issued were adjusted from the share subscription receivable and number of ordinary shares, respectively in the Company’s consolidated statement of changes in shareholder’s deficit as of and for the year ended December 31, 2023. The articles of incorporation of the Company were amended to remove these restrictions prior to the completion of the Pre-Closing Demerger transaction. The removal of these restrictions triggered a “grant date” as defined in ASC 718. As there were no vesting conditions, the shares were fully vested at grant date. The Company recognized a share-based payment expense of $18,836,099 during the year ended December 31, 2024 using a fair value of ordinary shares of $1.98. The fair value of the ordinary shares was estimated using a recent funding of the Company, historical discounts to share prices following an initial public offering through a Special Purpose Acquisition Corp ("SPAC"), while also considering the risk that the Company may not successfully close its Business Combination with Armada or complete the Demerger. The valuation used an estimated discount for lack of marketability using an average from the results of a Black-Scholes Protective Put Option Analysis, Asian Put Option Analysis and the Finnerty Put Option Analysis.</w:t>
      </w:r>
    </w:p>
    <w:p>
      <w:pPr>
        <w:spacing w:after="0" w:line="176"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2.20.  Fair value measurement and concentration of credit risk</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5" w:name="page126"/>
    <w:bookmarkEnd w:id="125"/>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hanging="503"/>
        <w:spacing w:after="0" w:line="282" w:lineRule="auto"/>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5"/>
                <w:szCs w:val="15"/>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20" w:type="dxa"/>
            <w:vAlign w:val="bottom"/>
          </w:tcPr>
          <w:p>
            <w:pPr>
              <w:spacing w:after="0"/>
              <w:rPr>
                <w:sz w:val="18"/>
                <w:szCs w:val="18"/>
                <w:color w:val="auto"/>
              </w:rPr>
            </w:pPr>
          </w:p>
        </w:tc>
        <w:tc>
          <w:tcPr>
            <w:tcW w:w="474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2,579,875</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Derivative asset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2,587,581</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20"/>
                <w:szCs w:val="20"/>
                <w:color w:val="auto"/>
              </w:rPr>
            </w:pPr>
          </w:p>
        </w:tc>
      </w:tr>
    </w:tbl>
    <w:p>
      <w:pPr>
        <w:spacing w:after="0" w:line="179" w:lineRule="exact"/>
        <w:rPr>
          <w:sz w:val="20"/>
          <w:szCs w:val="20"/>
          <w:color w:val="auto"/>
        </w:rPr>
      </w:pPr>
    </w:p>
    <w:p>
      <w:pPr>
        <w:ind w:left="520" w:right="280" w:hanging="512"/>
        <w:spacing w:after="0" w:line="261" w:lineRule="auto"/>
        <w:tabs>
          <w:tab w:leader="none" w:pos="5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share-based payment liability was valued using a discounted cash flow method using a risk adjusted discount rate of 10.8%. See note 7.5.</w:t>
      </w:r>
    </w:p>
    <w:p>
      <w:pPr>
        <w:ind w:left="520" w:right="20" w:hanging="512"/>
        <w:spacing w:after="0" w:line="253" w:lineRule="auto"/>
        <w:tabs>
          <w:tab w:leader="none" w:pos="5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derivative asset and the derivative liability were valued by a third party valuation expert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 The derivative is revalued at the end of each reporting period and any change in fair value is recorded as a gain or loss in the statement of operations. See note 2.12.</w:t>
      </w:r>
    </w:p>
    <w:p>
      <w:pPr>
        <w:spacing w:after="0" w:line="187"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The derivative asset pertains to an option held by the Company to convert a promissory note payable to Northland Securities (see note 7.7).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derivative liabilities were triggered by conversion features embedded in promissory notes held by investors Cohen &amp; Company Financial Management LLC (note 7.6), J.V.B. Financial Group and Northlands Securities (see note 7.7). On August 15, 2024, the Company recognized derivative liabilities and an offsetting debt discount associated with the embedded conversion features in its senior secured convertible notes (see note 7.3), convertible promissory notes (see note 7.6) and advisors loans (see note 7.7). The Company previously did not bifurcate the embedded conversion features as derivatives due to the lack of an underlying share price prior to the Company's acquisition of Armada and listing of its Ordinary Shares on the NASDAQ. The Company no longer recognizes a derivative liability associated with the following debt liabilities due to the investors having exercised their conversion features by December 31, 2024:</w:t>
      </w:r>
    </w:p>
    <w:p>
      <w:pPr>
        <w:spacing w:after="0" w:line="81" w:lineRule="exact"/>
        <w:rPr>
          <w:sz w:val="20"/>
          <w:szCs w:val="20"/>
          <w:color w:val="auto"/>
        </w:rPr>
      </w:pPr>
    </w:p>
    <w:p>
      <w:pPr>
        <w:ind w:left="1020" w:hanging="503"/>
        <w:spacing w:after="0"/>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secured convertible notes (note 7.3);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 notes (note 7.6);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notes (note 7.6)</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6" w:name="page127"/>
    <w:bookmarkEnd w:id="126"/>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Accounts receivable and loan notes receivable are potentially subject to credit risk concentration. The Company has not experienced any material losses related to concentrations during the years presented. The Company, however, has a concentration risk related to its contract with its only customer such that at December 31, 2024, 100% of the Company’s accounts receivable is through its sole revenue generating agreement. If the sole agreement was terminated then such losses due to concentration risk may be material in the future and management makes no assurance that these losses may be avoided.</w:t>
      </w:r>
    </w:p>
    <w:p>
      <w:pPr>
        <w:spacing w:after="0" w:line="180"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Accounts payable include balances for work incurred by third parties for the benefit of the company. At December 31, 2024 and 2023, the following vendors represented more than 10% of total accounts payable.</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21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6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DLA Piper LLP</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7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Donnelley Financial LLC</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640" w:type="dxa"/>
            <w:vAlign w:val="bottom"/>
          </w:tcPr>
          <w:p>
            <w:pPr>
              <w:jc w:val="right"/>
              <w:ind w:right="224"/>
              <w:spacing w:after="0"/>
              <w:rPr>
                <w:sz w:val="20"/>
                <w:szCs w:val="20"/>
                <w:color w:val="auto"/>
              </w:rPr>
            </w:pPr>
            <w:r>
              <w:rPr>
                <w:rFonts w:ascii="Times New Roman" w:cs="Times New Roman" w:eastAsia="Times New Roman" w:hAnsi="Times New Roman"/>
                <w:sz w:val="16"/>
                <w:szCs w:val="16"/>
                <w:color w:val="auto"/>
              </w:rPr>
              <w:t>Less than 10%</w:t>
            </w: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KPMG LLP</w:t>
            </w:r>
          </w:p>
        </w:tc>
        <w:tc>
          <w:tcPr>
            <w:tcW w:w="2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Less than 10%</w:t>
            </w:r>
          </w:p>
        </w:tc>
        <w:tc>
          <w:tcPr>
            <w:tcW w:w="17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Taylor Wessing LLP</w:t>
            </w:r>
          </w:p>
        </w:tc>
        <w:tc>
          <w:tcPr>
            <w:tcW w:w="21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Less than 10%</w:t>
            </w:r>
          </w:p>
        </w:tc>
        <w:tc>
          <w:tcPr>
            <w:tcW w:w="176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Wilson Sonsini Goodrich &amp; Rosati</w:t>
            </w:r>
          </w:p>
        </w:tc>
        <w:tc>
          <w:tcPr>
            <w:tcW w:w="2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Less than 10%</w:t>
            </w:r>
          </w:p>
        </w:tc>
        <w:tc>
          <w:tcPr>
            <w:tcW w:w="17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14%</w:t>
            </w:r>
          </w:p>
        </w:tc>
      </w:tr>
    </w:tbl>
    <w:p>
      <w:pPr>
        <w:spacing w:after="0" w:line="3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All of the Company’s revenue is denominated in the Euro (“EUR”) since the sales of the Company are in Spain. Based upon the Company’s level of operations for the year ended December 31, 2024 and 2023, a sensitivity analysis shows that a 10% appreciation or depreciation in the EUR against the dollar would have increased or decreased, respectively, the Company’s revenue for the years ended December 31, 2024 and 2023 by approximately $18,779 and $14,505 respectively.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Revenue risk</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currently generate a significant portion of our revenue from a single agreement with La Liga from which we expect to generate most of our revenues in the near future. 100% of our revenue was derived from commission from the sale of La Liga football tickets for the year ended December 31, 2024 and 2023, respectively, and we anticipate that a significant portion of our revenue will continue to be derived from this agreement in the near future. The sudden loss of the agreement with La Liga or their decision not to renew the agreement could harm our business, results, operations and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2.21.  Income taxes</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and the related accounts in accordance with ASC 740, Income Taxes. Deferred income tax assets and liabilities are computed annually, for differences between the carrying amounts and the tax basis of assets and liabilities that will result in taxable or deductible amounts in the future based on enacted tax laws and rates applicable to the periods in which the differences are expected to affect taxable income. Valuation allowances are established when it is necessary to reduce deferred tax assets to the amount expected to be realized. The provision for income taxes includes both current taxes for the period plus or minus the change during the period in deferred tax assets and liabilities.</w:t>
      </w:r>
    </w:p>
    <w:p>
      <w:pPr>
        <w:spacing w:after="0" w:line="183"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Tax benefits from uncertain tax position are recognized for financial statement purposes only when it is more-likely-than-not that the position will be sustained with the local taxing authority. Measurement of the tax effects of positions that meet this recognition threshold is based on the largest amount of tax benefit that is greater than 50 percent likely of being realized upon settlement with the taxing authorities.</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a result of operating losses in most of the geographies where the Company operates, we concluded that our deferred tax assets on unutilized tax losses were not more likely than not to be realized in the future and a full valuation allowance has been recorded.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2.22.  Loss and earnings per share</w:t>
      </w:r>
    </w:p>
    <w:p>
      <w:pPr>
        <w:spacing w:after="0" w:line="121"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ASC 260 Earnings Per Share, basic earnings per share, 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7" w:name="page128"/>
    <w:bookmarkEnd w:id="127"/>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 the effect of dilutive ordinary share equivalents, as their effect would be antidilutive. Diluted loss per share is equal to the net loss per share as all potentially dilutive securities are anti-dilutive in the periods presented. For the years ended December 31, 2024 and 2023 the Company incurred net losses and therefore no potential dilutive ordinary share were utilized in the calculation of losses per share.</w:t>
      </w:r>
    </w:p>
    <w:p>
      <w:pPr>
        <w:spacing w:after="0" w:line="18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176"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176"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4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60" w:type="dxa"/>
            <w:vAlign w:val="bottom"/>
          </w:tcPr>
          <w:p>
            <w:pPr>
              <w:spacing w:after="0"/>
              <w:rPr>
                <w:sz w:val="15"/>
                <w:szCs w:val="15"/>
                <w:color w:val="auto"/>
              </w:rPr>
            </w:pPr>
          </w:p>
        </w:tc>
        <w:tc>
          <w:tcPr>
            <w:tcW w:w="11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 (note 7)</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10,944,628</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3,929,566</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Shares payable (note 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1,543,664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13,019,976</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3,521,846</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17,559,511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848,287</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2,639,169</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shares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4,574,146</w:t>
            </w:r>
          </w:p>
        </w:tc>
        <w:tc>
          <w:tcPr>
            <w:tcW w:w="80" w:type="dxa"/>
            <w:vAlign w:val="bottom"/>
          </w:tcPr>
          <w:p>
            <w:pPr>
              <w:spacing w:after="0"/>
              <w:rPr>
                <w:sz w:val="18"/>
                <w:szCs w:val="18"/>
                <w:color w:val="auto"/>
              </w:rPr>
            </w:pPr>
          </w:p>
        </w:tc>
      </w:tr>
      <w:tr>
        <w:trPr>
          <w:trHeight w:val="216"/>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Advisors Loans (note 7)</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2,335,092</w:t>
            </w:r>
          </w:p>
        </w:tc>
        <w:tc>
          <w:tcPr>
            <w:tcW w:w="1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48,042,040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13,013,845</w:t>
            </w:r>
          </w:p>
        </w:tc>
        <w:tc>
          <w:tcPr>
            <w:tcW w:w="8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-170815</wp:posOffset>
            </wp:positionV>
            <wp:extent cx="5143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uses the “if converted” method for calculating the dilutive effect of the convertible debt, shares payable and series A preferred shares and the treasury share method for calculating the dilutive effect of the options and warrants. The series A preferred shares are convertible at the rate of one series A preferred share into one ordinary share in the event of an initial public offering. The Company included the deferred shares as they are expected to be converted to ordinary shares in the future.</w:t>
      </w:r>
    </w:p>
    <w:p>
      <w:pPr>
        <w:spacing w:after="0" w:line="200" w:lineRule="exact"/>
        <w:rPr>
          <w:sz w:val="20"/>
          <w:szCs w:val="20"/>
          <w:color w:val="auto"/>
        </w:rPr>
      </w:pPr>
    </w:p>
    <w:p>
      <w:pPr>
        <w:spacing w:after="0" w:line="300" w:lineRule="exact"/>
        <w:rPr>
          <w:sz w:val="20"/>
          <w:szCs w:val="20"/>
          <w:color w:val="auto"/>
        </w:rPr>
      </w:pPr>
    </w:p>
    <w:p>
      <w:pPr>
        <w:ind w:left="520" w:hanging="512"/>
        <w:spacing w:after="0"/>
        <w:tabs>
          <w:tab w:leader="none" w:pos="52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March 2024, Financial Accounting Standards Board (the “FASB”) issued Accounting Standards Update (“ASU”) 2024-02, Codification Improvements—Amendments to Remove References to the Concepts Statements (“ASU 2024-02”), which is intended to simplify the Codification and draw a distinction between authoritative and non-authoritative literature. ASU 2024-02 is effective for annual reporting periods beginning after December 15, 2024, with early adoption permitted and can be applied on either a prospective or retroactive basis. The Company is currently assessing the impact of ASU 2024-02 on its consolidated financial statements.</w:t>
      </w:r>
    </w:p>
    <w:p>
      <w:pPr>
        <w:spacing w:after="0" w:line="18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No.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2023-09”). ASU 2023-09 requires additional disclosures related to rate reconciliation, income taxes paid, and other disclosures.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2023-09, for each annual periods presented, public entities are required to (1) disclose specific categories in the tabular rate reconciliation and (2) provide additional information for reconciling items that meet a quantitative threshold. In addition, ASU 2023-09 requires all reporting entities to disclose on an annual basis the amount of income taxes paid disaggregated by federal, state, and foreign taxes as well as the amount of income taxes paid by individual jurisdiction. ASU 2023-09 is effective for public business entities for annual periods beginning after December 15, 2024, and can be applied on a prospective</w:t>
      </w:r>
    </w:p>
    <w:p>
      <w:pPr>
        <w:spacing w:after="0" w:line="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28" w:name="page129"/>
    <w:bookmarkEnd w:id="128"/>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basis with an option to apply the standard retrospectively. Early adoption is permitted. The Company is currently evaluating the impact of ASU 2023-09 on its consolidated financial statements and related disclosures.</w:t>
      </w:r>
    </w:p>
    <w:p>
      <w:pPr>
        <w:spacing w:after="0" w:line="16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2023-07, </w:t>
      </w:r>
      <w:r>
        <w:rPr>
          <w:rFonts w:ascii="Times New Roman" w:cs="Times New Roman" w:eastAsia="Times New Roman" w:hAnsi="Times New Roman"/>
          <w:sz w:val="18"/>
          <w:szCs w:val="18"/>
          <w:i w:val="1"/>
          <w:iCs w:val="1"/>
          <w:color w:val="auto"/>
        </w:rPr>
        <w:t>Segment Reporting—Improvements to 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2023-07”), which requires incremental disclosures related to a public entity’s reportable segments. Required disclosures include,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and interim basis, significant segment expenses that are regularly provided to the chief operating decision maker (“CODM”) and included within each reported measure of segment profit or loss, an amount for other segment items (which is the difference between segment revenue less segment expenses and less segment profit or loss) and a description of its composition, the title and position of the CODM, and an explanation of how the CODM uses the reported measure(s) of segment profit or loss in assessing segment performance and deciding how to allocate resources. The standard also permits disclosure of more than one measure of segment profit. ASU 2023-07 is effective for fiscal years beginning after December 15, 2023, and interim periods within fiscal years beginning after December 15, 2024.The adoption had no impact on the reportable segment the Company has identified, and additional required disclosures have been included in Note 2.16.</w:t>
      </w:r>
    </w:p>
    <w:p>
      <w:pPr>
        <w:spacing w:after="0" w:line="19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October 2023, the FASB issued Accounting Standards Update 2023-06, Disclosure Improvements (“ASU 2023-06”), to clarify or improve disclosure and presentation requirements of a variety of topics and align the requirements in the FASB ASC with the SEC’s regulations. The amendments in ASU 2023-06 will become effective on the date the related disclosures are removed from Regulation S-X or Regulation S-K by the SEC, and will no longer be effective if the SEC has not removed the applicable disclosure requirement by June 30, 2027. Early adoption is prohibited. The Company is currently evaluating the impact of ASU 2023-06 on its consolidated financial statements and disclosures.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Prepayments and other current assets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237,462</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130,309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government authorities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Input tax credit</w:t>
            </w:r>
          </w:p>
        </w:tc>
        <w:tc>
          <w:tcPr>
            <w:tcW w:w="14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697,214</w:t>
            </w:r>
          </w:p>
        </w:tc>
        <w:tc>
          <w:tcPr>
            <w:tcW w:w="12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140,432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22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960,848</w:t>
            </w: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right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299,013</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737"/>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170,954</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195,140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Less—Accumulated depreciation</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(153,912)</w:t>
            </w:r>
          </w:p>
        </w:tc>
        <w:tc>
          <w:tcPr>
            <w:tcW w:w="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(115,837)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522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17,332</w:t>
            </w:r>
          </w:p>
        </w:tc>
        <w:tc>
          <w:tcPr>
            <w:tcW w:w="12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79,593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-1422400</wp:posOffset>
            </wp:positionV>
            <wp:extent cx="431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-1405255</wp:posOffset>
            </wp:positionV>
            <wp:extent cx="431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-1422400</wp:posOffset>
            </wp:positionV>
            <wp:extent cx="514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-1405255</wp:posOffset>
            </wp:positionV>
            <wp:extent cx="514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514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2024 and 2023 was $41,673 and $44,556 respectively.</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40"/>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1,014,967</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1,009,272</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In-development intangible asset</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6,655,623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1,862,465</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7,670,590</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2,871,737</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Less—Accumulated amortization for Software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(920,412)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(736,834)</w:t>
            </w:r>
          </w:p>
        </w:tc>
        <w:tc>
          <w:tcPr>
            <w:tcW w:w="1680" w:type="dxa"/>
            <w:vAlign w:val="bottom"/>
          </w:tcPr>
          <w:p>
            <w:pPr>
              <w:spacing w:after="0"/>
              <w:rPr>
                <w:sz w:val="18"/>
                <w:szCs w:val="18"/>
                <w:color w:val="auto"/>
              </w:rPr>
            </w:pPr>
          </w:p>
        </w:tc>
      </w:tr>
      <w:tr>
        <w:trPr>
          <w:trHeight w:val="249"/>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6,750,178</w:t>
            </w: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2,134,903</w:t>
            </w:r>
          </w:p>
        </w:tc>
        <w:tc>
          <w:tcPr>
            <w:tcW w:w="10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520"/>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6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F-19</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3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-1156970</wp:posOffset>
            </wp:positionV>
            <wp:extent cx="5143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-1156970</wp:posOffset>
            </wp:positionV>
            <wp:extent cx="6032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-865505</wp:posOffset>
            </wp:positionV>
            <wp:extent cx="5143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-847725</wp:posOffset>
            </wp:positionV>
            <wp:extent cx="5143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-865505</wp:posOffset>
            </wp:positionV>
            <wp:extent cx="6032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-847725</wp:posOffset>
            </wp:positionV>
            <wp:extent cx="6032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9" w:name="page130"/>
    <w:bookmarkEnd w:id="129"/>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for software for the years ended December 31, 2024 and 2023 was $183,578 and $197,800 respectively. The Company has not commenced amortizing the in-development intangible asset as it not yet ready for its intended use.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7920" w:type="dxa"/>
            <w:vAlign w:val="bottom"/>
            <w:gridSpan w:val="13"/>
          </w:tcPr>
          <w:p>
            <w:pPr>
              <w:ind w:left="180"/>
              <w:spacing w:after="0"/>
              <w:rPr>
                <w:sz w:val="20"/>
                <w:szCs w:val="20"/>
                <w:color w:val="auto"/>
              </w:rPr>
            </w:pPr>
            <w:r>
              <w:rPr>
                <w:rFonts w:ascii="Times New Roman" w:cs="Times New Roman" w:eastAsia="Times New Roman" w:hAnsi="Times New Roman"/>
                <w:sz w:val="18"/>
                <w:szCs w:val="18"/>
                <w:color w:val="auto"/>
                <w:w w:val="99"/>
              </w:rPr>
              <w:t>As of December 31, 2024, expected amortization expense for Software over its remaining life is as follows:</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75,960</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3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gridSpan w:val="2"/>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94,555</w:t>
            </w: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1"/>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57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Debt and other liabilities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Short-term debt and other liabilities</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 to related parties (7.1)</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5,102,211</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Ordinary shares payable (7.2)</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1,206,609</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8,223,928</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(7.3)</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10,288,123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 (7.4)</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95,309</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liability (7.5)</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1,400,000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 (7.6)</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6,428,825</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Advisors loans (7.7)</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12,812,366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37,333,443</w:t>
            </w: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46,981,299</w:t>
            </w: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(Gain)/loss on extinguishment</w:t>
            </w: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 (7.3)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39,658,290</w:t>
            </w:r>
          </w:p>
        </w:tc>
        <w:tc>
          <w:tcPr>
            <w:tcW w:w="80" w:type="dxa"/>
            <w:vAlign w:val="bottom"/>
          </w:tcPr>
          <w:p>
            <w:pPr>
              <w:spacing w:after="0"/>
              <w:rPr>
                <w:sz w:val="18"/>
                <w:szCs w:val="18"/>
                <w:color w:val="auto"/>
              </w:rPr>
            </w:pPr>
          </w:p>
        </w:tc>
        <w:tc>
          <w:tcPr>
            <w:tcW w:w="22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secured convertible debt (7.3)</w:t>
            </w:r>
          </w:p>
        </w:tc>
        <w:tc>
          <w:tcPr>
            <w:tcW w:w="180" w:type="dxa"/>
            <w:vAlign w:val="bottom"/>
            <w:shd w:val="clear" w:color="auto" w:fill="CFF0FC"/>
          </w:tcPr>
          <w:p>
            <w:pPr>
              <w:spacing w:after="0"/>
              <w:rPr>
                <w:sz w:val="18"/>
                <w:szCs w:val="18"/>
                <w:color w:val="auto"/>
              </w:rPr>
            </w:pPr>
          </w:p>
        </w:tc>
        <w:tc>
          <w:tcPr>
            <w:tcW w:w="16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(1,306,077)</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promissory notes (7.6)</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4,175,791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Advisors loans (7.7)</w:t>
            </w:r>
          </w:p>
        </w:tc>
        <w:tc>
          <w:tcPr>
            <w:tcW w:w="1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1,804,814</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44,332,819</w:t>
            </w:r>
          </w:p>
        </w:tc>
        <w:tc>
          <w:tcPr>
            <w:tcW w:w="80" w:type="dxa"/>
            <w:vAlign w:val="bottom"/>
          </w:tcPr>
          <w:p>
            <w:pPr>
              <w:spacing w:after="0"/>
              <w:rPr>
                <w:sz w:val="18"/>
                <w:szCs w:val="18"/>
                <w:color w:val="auto"/>
              </w:rPr>
            </w:pPr>
          </w:p>
        </w:tc>
        <w:tc>
          <w:tcPr>
            <w:tcW w:w="22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-2990850</wp:posOffset>
            </wp:positionV>
            <wp:extent cx="431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-2974340</wp:posOffset>
            </wp:positionV>
            <wp:extent cx="431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-1139190</wp:posOffset>
            </wp:positionV>
            <wp:extent cx="431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-1122045</wp:posOffset>
            </wp:positionV>
            <wp:extent cx="431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-1139190</wp:posOffset>
            </wp:positionV>
            <wp:extent cx="431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-1122045</wp:posOffset>
            </wp:positionV>
            <wp:extent cx="431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-170815</wp:posOffset>
            </wp:positionV>
            <wp:extent cx="768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857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1" w:lineRule="exact"/>
        <w:rPr>
          <w:sz w:val="20"/>
          <w:szCs w:val="20"/>
          <w:color w:val="auto"/>
        </w:rPr>
      </w:pPr>
    </w:p>
    <w:p>
      <w:pPr>
        <w:ind w:left="520" w:right="620" w:hanging="508"/>
        <w:spacing w:after="0" w:line="282"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color w:val="auto"/>
        </w:rPr>
        <w:t>Unsecured interest free loans taken from related parties DBLP Sea Cow Ltd of $447,067 and Daniel Wagner of $4,655,144 are repayable on demand.</w:t>
      </w:r>
    </w:p>
    <w:p>
      <w:pPr>
        <w:spacing w:after="0" w:line="166"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were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The loan principal and accrued borrowing fees were rounded to a sum of $8,000,000. The key terms of the loan amendment include that of the senior secured convertible notes, as noted below:</w:t>
      </w:r>
    </w:p>
    <w:p>
      <w:pPr>
        <w:spacing w:after="0" w:line="80" w:lineRule="exact"/>
        <w:rPr>
          <w:sz w:val="20"/>
          <w:szCs w:val="20"/>
          <w:color w:val="auto"/>
        </w:rPr>
      </w:pPr>
    </w:p>
    <w:p>
      <w:pPr>
        <w:ind w:left="1020" w:hanging="503"/>
        <w:spacing w:after="0" w:line="282" w:lineRule="auto"/>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0" w:name="page131"/>
    <w:bookmarkEnd w:id="130"/>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right="340" w:hanging="503"/>
        <w:spacing w:after="0" w:line="282" w:lineRule="auto"/>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113" w:lineRule="exact"/>
        <w:rPr>
          <w:sz w:val="20"/>
          <w:szCs w:val="20"/>
          <w:color w:val="auto"/>
        </w:rPr>
      </w:pPr>
    </w:p>
    <w:p>
      <w:pPr>
        <w:jc w:val="both"/>
        <w:ind w:left="520" w:hanging="508"/>
        <w:spacing w:after="0" w:line="258"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color w:val="auto"/>
        </w:rPr>
        <w:t>On May 25, 2023, the Company offered to all existing investors and employees of the Company an advanced subscription agreement for ordinary shares of the Company at a discount from the pre-close equity value of the Company per share (“the Rights Issue”) in connection with its business combination with Armada Acquisition Corp I (refer to note 2.1). The Company issued 11,052,716 ordinary shares in December 2024 to subscribers of the rights issue. On January 24, 2025, the Company issued a further 171,429 ordinary shares to a subscriber of the rights issue to whom they were owed ordinary shares payable as at December 31, 2024.</w:t>
      </w:r>
    </w:p>
    <w:p>
      <w:pPr>
        <w:spacing w:after="0" w:line="75" w:lineRule="exact"/>
        <w:rPr>
          <w:sz w:val="20"/>
          <w:szCs w:val="20"/>
          <w:color w:val="auto"/>
        </w:rPr>
      </w:pPr>
    </w:p>
    <w:p>
      <w:pPr>
        <w:ind w:left="520" w:right="120" w:hanging="508"/>
        <w:spacing w:after="0" w:line="258"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8"/>
          <w:szCs w:val="18"/>
          <w:color w:val="auto"/>
        </w:rPr>
        <w:t>On December 17, 2021, the Company and Armada Acquisition Corp I, a special purpose acquisition company (“SPAC”) listed on the Nasdaq Capital Market (“NASDAQ”), and certain other parties entered into a definitive agreement for a business combination that 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w:t>
      </w:r>
    </w:p>
    <w:p>
      <w:pPr>
        <w:spacing w:after="0" w:line="18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the executed subscription agreements, the investors that pre-funded the PIPE entered into an agreement to purchase secured convertible notes of the Company for a total of $20 million. Prior to amending the terms on May 23, 2023 (further below), these notes were due to mature on December 16, 2023, and were redeemable by the noteholder on the occurrence of:</w:t>
      </w:r>
    </w:p>
    <w:p>
      <w:pPr>
        <w:spacing w:after="0" w:line="68" w:lineRule="exact"/>
        <w:rPr>
          <w:sz w:val="20"/>
          <w:szCs w:val="20"/>
          <w:color w:val="auto"/>
        </w:rPr>
      </w:pPr>
    </w:p>
    <w:p>
      <w:pPr>
        <w:ind w:left="1020" w:hanging="503"/>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maturity, with interest accrued at 20% per annum, or</w:t>
      </w:r>
    </w:p>
    <w:p>
      <w:pPr>
        <w:spacing w:after="0" w:line="117" w:lineRule="exact"/>
        <w:rPr>
          <w:rFonts w:ascii="Times New Roman" w:cs="Times New Roman" w:eastAsia="Times New Roman" w:hAnsi="Times New Roman"/>
          <w:sz w:val="18"/>
          <w:szCs w:val="18"/>
          <w:color w:val="auto"/>
        </w:rPr>
      </w:pPr>
    </w:p>
    <w:p>
      <w:pPr>
        <w:jc w:val="both"/>
        <w:ind w:left="1020" w:right="180" w:hanging="503"/>
        <w:spacing w:after="0" w:line="266" w:lineRule="auto"/>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17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Immediately prior to an IPO or SPAC transaction, the principal amount and accrued interest is converted into ordinary shares at a 30% discount to the pre-close equity value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interest rate is 20% per annum, and is reduced in the following events to:</w:t>
      </w:r>
    </w:p>
    <w:p>
      <w:pPr>
        <w:spacing w:after="0" w:line="117" w:lineRule="exact"/>
        <w:rPr>
          <w:sz w:val="20"/>
          <w:szCs w:val="20"/>
          <w:color w:val="auto"/>
        </w:rPr>
      </w:pPr>
    </w:p>
    <w:p>
      <w:pPr>
        <w:ind w:left="1020" w:hanging="503"/>
        <w:spacing w:after="0"/>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per annum if the IPO or SPAC transaction occurred prior to December 16, 2022,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per annum if the IPO or SPAC transaction occurs between December 16, 2022 and June 16, 2023.</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the issuance of the notes, the amount pre-funded by each participating investor reduces their remaining respective commitment in the PIPE.</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secured convertible notes has been accounted for as a liability in accordance with ASC 470–20. The Company has adopted ASU 2020-06,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on a straight line basis over the contractual terms of the secured convertible loan notes until May 23, 2023. The Company estimated that the difference between amortizing the debt discounts and the issuance costs using the straight line method as compared to using effective interest rate method was immaterial. As noted below, senior secured convertible note has been accounted for as a troubled debt restructuring since May 23, 2023 and as a result the effective interest rate method has been applied prospectively from this date.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incurred any significant debt issuance costs and has expensed them as incurred.</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1" w:name="page132"/>
    <w:bookmarkEnd w:id="131"/>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May 23, 2023, the Company executed a further amendment to the secured convertible loan notes.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amendments are as follows:</w:t>
      </w:r>
    </w:p>
    <w:p>
      <w:pPr>
        <w:spacing w:after="0" w:line="117" w:lineRule="exact"/>
        <w:rPr>
          <w:sz w:val="20"/>
          <w:szCs w:val="20"/>
          <w:color w:val="auto"/>
        </w:rPr>
      </w:pPr>
    </w:p>
    <w:p>
      <w:pPr>
        <w:ind w:left="1020" w:hanging="503"/>
        <w:spacing w:after="0"/>
        <w:tabs>
          <w:tab w:leader="none" w:pos="102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additional $15,625,000 commitment has been added to the principal amount of the notes, split between a</w:t>
      </w:r>
    </w:p>
    <w:p>
      <w:pPr>
        <w:spacing w:after="0" w:line="117" w:lineRule="exact"/>
        <w:rPr>
          <w:rFonts w:ascii="Times New Roman" w:cs="Times New Roman" w:eastAsia="Times New Roman" w:hAnsi="Times New Roman"/>
          <w:sz w:val="18"/>
          <w:szCs w:val="18"/>
          <w:b w:val="1"/>
          <w:bCs w:val="1"/>
          <w:color w:val="auto"/>
        </w:rPr>
      </w:pPr>
    </w:p>
    <w:p>
      <w:pPr>
        <w:ind w:left="1020" w:right="440" w:hanging="503"/>
        <w:spacing w:after="0" w:line="282" w:lineRule="auto"/>
        <w:tabs>
          <w:tab w:leader="none" w:pos="102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Conversion of accrued interest of $3,000,000 into loan principal. Additionally $1.5m of Loans for no value , plus $1,040,989 of interest foregone giving total of $4,041,989 of total interest capitalized.</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$1,250,000 of loan principal previously advanced in February 2023</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$125,000 of loan principal advanced by a director and related party in February 2023</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additional $2,750,000 of loan notes to be advanced, and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$8,500,000 in notes upon completion of the Demerger, for which no monetary consideration will be received by the Company</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line="282" w:lineRule="auto"/>
        <w:tabs>
          <w:tab w:leader="none" w:pos="102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b w:val="1"/>
          <w:bCs w:val="1"/>
          <w:color w:val="auto"/>
        </w:rPr>
      </w:pPr>
    </w:p>
    <w:p>
      <w:pPr>
        <w:ind w:left="1020" w:right="360" w:hanging="503"/>
        <w:spacing w:after="0" w:line="282" w:lineRule="auto"/>
        <w:tabs>
          <w:tab w:leader="none" w:pos="102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b w:val="1"/>
          <w:bCs w:val="1"/>
          <w:color w:val="auto"/>
        </w:rPr>
      </w:pPr>
    </w:p>
    <w:p>
      <w:pPr>
        <w:ind w:left="1020" w:right="180" w:hanging="503"/>
        <w:spacing w:after="0" w:line="261" w:lineRule="auto"/>
        <w:tabs>
          <w:tab w:leader="none" w:pos="102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71" w:lineRule="exact"/>
        <w:rPr>
          <w:rFonts w:ascii="Times New Roman" w:cs="Times New Roman" w:eastAsia="Times New Roman" w:hAnsi="Times New Roman"/>
          <w:sz w:val="18"/>
          <w:szCs w:val="18"/>
          <w:b w:val="1"/>
          <w:bCs w:val="1"/>
          <w:color w:val="auto"/>
        </w:rPr>
      </w:pPr>
    </w:p>
    <w:p>
      <w:pPr>
        <w:ind w:left="1020" w:hanging="503"/>
        <w:spacing w:after="0" w:line="255" w:lineRule="auto"/>
        <w:tabs>
          <w:tab w:leader="none" w:pos="102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May 23, 2023 amendment terms of the secured convertible notes, Rezolve has given certain covenants to the noteholders which remain in force while the convertible notes are outstanding, including that the Rezolve group shall not incur any indebtedness that would rank senior to the secured convertible notes without the prior consent of holders of more than two thirds of the aggregate principal amount of the secured convertible notes outstanding from time to time (“the “Noteholder Majority”); and for so long as one or more of Apeiron Investment Group Ltd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18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execution of the amendment the secured convertible notes are then referred to as “the senior secured convertible notes”.</w:t>
      </w:r>
    </w:p>
    <w:p>
      <w:pPr>
        <w:spacing w:after="0" w:line="22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execution of the senior secured convertible note has been accounted for as a troubled debt restructuring since May 23, 2023. No gain has been recognized.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2" w:name="page133"/>
    <w:bookmarkEnd w:id="132"/>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carrying value of the convertible debt as at December 31, 2023 does not include the $8,500,000 of notes issuable upon completion of the Demerger. These were contingent upon completion of the Demerger therefore upon close of the Demerger on July 4, 2024, they were issued. The issuance of the Demerger notes do no result in any further cash to be received by the Company, rather they are treated as interest payable at maturity. The Demerger notes trigger a remeasurement of the senior secured convertible notes and the effective interest rate used to account for the senior secured convertible notes as a troubled debt restructuring.</w:t>
      </w:r>
    </w:p>
    <w:p>
      <w:pPr>
        <w:spacing w:after="0" w:line="18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December 5, 2024, pursuant to the terms of the Loan Note Instrument, one of the holders of the Senior Secured Convertible Notes converted all of their $8,000,000 outstanding Convertible Notes at a conversion price of $7 per ordinary share. The Company recognized a gain on extinguishment of $1,306,077, equal to the book value of the debt less the fair value of the ordinary shares issued on conversion.</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December 17, 2024, the Company, Apeiron Investment Group Ltd. and Bradley Wickens, the beneficial holders of the majority of Senior Secured Convertible Notes entered into an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amend the Loan Note Instrument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and that the beneficial holders shall procure that the registered nominees holding their Convertible Notes provide the necessary consents to the Amendment. Pursuant to the Amendment, the conversion price with respect to approximately $41,892,080 million of outstanding Senior Secured Convertible Notes was revised to equal $2 per ordinary share.</w:t>
      </w:r>
    </w:p>
    <w:p>
      <w:pPr>
        <w:spacing w:after="0" w:line="18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Pursuant to the Agreement, Apeiron Investment Group and Bradley Wickens will also procure that the registered nominees holding $41,512,877 of outstanding Convertible Notes and accrued interest of $1,851,020 (on behalf of Apeiron Investment Group Ltd. and Bradley Wickens) will exercise their option to convert all such outstanding Convertible Notes, at a conversion price of $2 per ordinary share. On December 27, 2024, 10,840,974 ordinary shares were issued to settle $20,756,439 and $925,510 of interest, respectively. The Company recorded a debt conversion expense of $39,658,290, equal to the fair value of the ordinary shares given up less the carrying value of the debt including accrued interest. On January 15, 2025 and February 13, 2025, respectively, a further 3,009,849 and 7,987,374 ordinary shares were issued to settle $20,756,439 and $925,510 of principle and interest. Following such conversions, there remains $0.4 million of Senior Secured Convertible Notes outstanding under the Loan Note Instrument.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 of the convertible debt was as follows: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4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95,309</w:t>
            </w: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80" w:type="dxa"/>
            <w:vAlign w:val="bottom"/>
          </w:tcPr>
          <w:p>
            <w:pPr>
              <w:spacing w:after="0"/>
              <w:rPr>
                <w:sz w:val="18"/>
                <w:szCs w:val="18"/>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(1,590,572)</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7,176,741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on convertible debt</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(7,401,611)</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under troubled debt restructuring</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12,103,565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80" w:type="dxa"/>
            <w:vAlign w:val="bottom"/>
          </w:tcPr>
          <w:p>
            <w:pPr>
              <w:spacing w:after="0"/>
              <w:rPr>
                <w:sz w:val="18"/>
                <w:szCs w:val="18"/>
                <w:color w:val="auto"/>
              </w:rPr>
            </w:pPr>
          </w:p>
        </w:tc>
      </w:tr>
      <w:tr>
        <w:trPr>
          <w:trHeight w:val="250"/>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convertible debt under troubled debt restructuring</w:t>
            </w:r>
          </w:p>
        </w:tc>
        <w:tc>
          <w:tcPr>
            <w:tcW w:w="5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10,383,432</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31,220,528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514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incurred any material debt issuance costs.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table sets forth the interest expense recognized related to the senior secured convertible notes and unsecured convertible loans: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2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15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4,872,506</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3,067,309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5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2,113,742</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491,928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6,986,248</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3,559,237</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-170815</wp:posOffset>
            </wp:positionV>
            <wp:extent cx="431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4" w:lineRule="exact"/>
        <w:rPr>
          <w:sz w:val="20"/>
          <w:szCs w:val="20"/>
          <w:color w:val="auto"/>
        </w:rPr>
      </w:pPr>
    </w:p>
    <w:p>
      <w:pPr>
        <w:ind w:left="520" w:right="20" w:hanging="37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7.4 </w:t>
      </w:r>
      <w:r>
        <w:rPr>
          <w:rFonts w:ascii="Times New Roman" w:cs="Times New Roman" w:eastAsia="Times New Roman" w:hAnsi="Times New Roman"/>
          <w:sz w:val="18"/>
          <w:szCs w:val="18"/>
          <w:color w:val="auto"/>
        </w:rPr>
        <w:t>A Short term convertible debt to a related party of $132,269 was also added to the Company’s senior secured convertible note including $125,000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convertible debt and $7,269 of interest.</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3" w:name="page134"/>
    <w:bookmarkEnd w:id="133"/>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ind w:left="520" w:right="80" w:hanging="37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7.5 </w:t>
      </w:r>
      <w:r>
        <w:rPr>
          <w:rFonts w:ascii="Times New Roman" w:cs="Times New Roman" w:eastAsia="Times New Roman" w:hAnsi="Times New Roman"/>
          <w:sz w:val="18"/>
          <w:szCs w:val="18"/>
          <w:color w:val="auto"/>
        </w:rPr>
        <w:t>On October 7, 2021, the Group acquired Jaymax International Service Inc. (“Jaymax”) (later renamed to “Rezolve Taiwan Limited”). As part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of Jaymax, the Company agreed to issue $1,400,000 in Rezolve ordinary shares to Jaymax’s former owner for completion of a 3-year noncompete period which began on the October 7, 2021. The cost of the share-based payment is considered to have vested immediately upon commencement of the non-compete period as the Company’s assumption is that it is more likely than not that the former owner will not breach the non-compete agreement. The share-based payment liability is to be settled by a fixed dollar amount of shares and therefore represents a liability in accordance with ASC 480. As at December 31, 2023, the liability has been measured at fair value using a discounted cash-flow model and a market participant borrowing rate of 10.8%. At December 31, 2024 the liability is equal its present value of $1,400,000 as the term of the non-compete agreement ended on October 7, 2024. The Company has yet to settle it in ordinary shares as at December 31, 2024.</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7.6  </w:t>
      </w:r>
      <w:r>
        <w:rPr>
          <w:rFonts w:ascii="Times New Roman" w:cs="Times New Roman" w:eastAsia="Times New Roman" w:hAnsi="Times New Roman"/>
          <w:sz w:val="18"/>
          <w:szCs w:val="18"/>
          <w:color w:val="auto"/>
        </w:rPr>
        <w:t>Convertible Promissory notes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notes</w:t>
            </w:r>
          </w:p>
        </w:tc>
        <w:tc>
          <w:tcPr>
            <w:tcW w:w="26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YA notes</w:t>
            </w:r>
          </w:p>
        </w:tc>
        <w:tc>
          <w:tcPr>
            <w:tcW w:w="2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2,250,245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2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1,146,966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 from sponsor</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3,031,614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50"/>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6,428,825</w:t>
            </w:r>
          </w:p>
        </w:tc>
        <w:tc>
          <w:tcPr>
            <w:tcW w:w="2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FF0FC"/>
          </w:tcPr>
          <w:p>
            <w:pPr>
              <w:ind w:left="14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Yorkville Standby Equity Purchase Agreement (“SEPA”)</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2, 2024, the Company obtained an unsecured loan of $2,000,000 from YA II PN, LTD (“Yorkville” or “YA”) with principal amount of $2,500,000. The Yorkville Note was issued at a 20% discount to the principal amount, and has a maturity date falling 6 months from the date of issue (unless extended by Yorkville) subject to acceleration upon the occurrence of an event of default.</w:t>
      </w:r>
    </w:p>
    <w:p>
      <w:pPr>
        <w:spacing w:after="0" w:line="176"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Yorkville Note is convertible into ordinary shares in Rezolve AI plc upon public listing (or if an event of default occurs or the note reaches maturity). Conversion is at the option of the noteholder at a conversion price calculated by reference to the lower of (i) a fixed price of $10 per share or (ii) a variable price based on 90% of the lowest daily daily volume weighted average ("VWAP") during 10 consecutive trading days immediately prior to conversion provided that such variable price shall not be lower than the floor price of $2 per share.</w:t>
      </w:r>
    </w:p>
    <w:p>
      <w:pPr>
        <w:spacing w:after="0" w:line="18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Yorkville note, an additional convertible promissory note (“the Other Promissory notes”) was offered to certain other investors on the same terms as the Yorkville Note. The Other Promissory Notes have a face value of $2,877,319 and were issued at a 20% discount. The interest rate was agreed at 10.0% per annum from the date the agreement was executed. Interest increases to 18% upon the occurrence of an event of default. The Other Promissory notes have a maturity date six months from issue.</w:t>
      </w:r>
    </w:p>
    <w:p>
      <w:pPr>
        <w:spacing w:after="0" w:line="18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Other Promissory Notes are convertible into ordinary shares in Rezolve AI plc upon public listing (or if an event of default occurs or the note reaches maturity). Conversion is at the option of the noteholder at a conversion price calculated by reference to the lower of (i) a fixed price of $10 per share or (ii) a variable price based on 90% of the lowest daily volume weighted average share price ("VWAP") during 10 consecutive trading days immediately prior to conversion provided that such variable price shall not be lower than the floor price of $2 per share.</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($7,500,000), which will be in three tranches, with the first tranche in an original principal amount of Two Million Five Hundred Thousand Dollars ($2,500,000) (the "First YA Note") funded upon execution of the Second A&amp;R YA Agreement, the second tranche in an original principal amount of Two Million Five Hundred Thousand Dollars ($2,500,000) funded upon filing of the Company’s F-1 registration statement, and the third tranche in an original principal amount of Two Million Five Hundred Thousand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4" w:name="page135"/>
    <w:bookmarkEnd w:id="134"/>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16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Second A&amp;R YA Agreement and upon effectiveness of the F-1 Registration Statement originally filed with U.S. Securities and Exchange Commission on September 6, 2024, and declared effective on November 27, 2024, on November 29, 2024, Rezolve issued YA a promissory note in the principal amount of $2,500,000 (the “</w:t>
      </w:r>
      <w:r>
        <w:rPr>
          <w:rFonts w:ascii="Times New Roman" w:cs="Times New Roman" w:eastAsia="Times New Roman" w:hAnsi="Times New Roman"/>
          <w:sz w:val="18"/>
          <w:szCs w:val="18"/>
          <w:b w:val="1"/>
          <w:bCs w:val="1"/>
          <w:i w:val="1"/>
          <w:iCs w:val="1"/>
          <w:color w:val="auto"/>
        </w:rPr>
        <w:t>Third YA Note</w:t>
      </w:r>
      <w:r>
        <w:rPr>
          <w:rFonts w:ascii="Times New Roman" w:cs="Times New Roman" w:eastAsia="Times New Roman" w:hAnsi="Times New Roman"/>
          <w:sz w:val="18"/>
          <w:szCs w:val="18"/>
          <w:color w:val="auto"/>
        </w:rPr>
        <w:t xml:space="preserve">”, and together with the </w:t>
      </w:r>
      <w:r>
        <w:rPr>
          <w:rFonts w:ascii="Times New Roman" w:cs="Times New Roman" w:eastAsia="Times New Roman" w:hAnsi="Times New Roman"/>
          <w:sz w:val="18"/>
          <w:szCs w:val="18"/>
          <w:b w:val="1"/>
          <w:bCs w:val="1"/>
          <w:i w:val="1"/>
          <w:iCs w:val="1"/>
          <w:color w:val="auto"/>
        </w:rPr>
        <w:t>First YA Note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Second YA Note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YA Notes</w:t>
      </w:r>
      <w:r>
        <w:rPr>
          <w:rFonts w:ascii="Times New Roman" w:cs="Times New Roman" w:eastAsia="Times New Roman" w:hAnsi="Times New Roman"/>
          <w:sz w:val="18"/>
          <w:szCs w:val="18"/>
          <w:color w:val="auto"/>
        </w:rPr>
        <w:t>"), reflecting the third tranche of the prepaid advances. The YA Notes bear interest at an annual rate of 10% of the outstanding principal balance of the YA Notes and mature on September 11, 2025. Under the YA Notes, YA may elect to convert all or part of the amount outstanding under the Note into ordinary shares of Rezolve at the Conversion Price (as defined in the Note), subject to certain limitations. Rezolve has the right to redeem early a portion or all amounts outstanding under the Note upon 10 days written notice upon the occurrence of certain events.</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2024, the Company received the Noteholder's request to convert of all of the principal and interest outstanding under the YA Notes. In connection therewith, the Company issued an aggregate of 4,310,208 Ordinary Shares (including in payment of a fee to YA) in December 2024, and a further 1,413,946 Ordinary Shares in January 2025. A loss on extinguishment of $4,175,791 was recognized. As of December 31, 2024, $2,705,929 in principal and interest was outstanding, which was subsequently settled in Ordinary Shares on February 5, 2025, and no further amounts remain outstanding.</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Promissory notes</w:t>
      </w:r>
    </w:p>
    <w:p>
      <w:pPr>
        <w:spacing w:after="0" w:line="121" w:lineRule="exact"/>
        <w:rPr>
          <w:sz w:val="20"/>
          <w:szCs w:val="20"/>
          <w:color w:val="auto"/>
        </w:rPr>
      </w:pPr>
    </w:p>
    <w:p>
      <w:pPr>
        <w:jc w:val="both"/>
        <w:ind w:right="520" w:firstLine="509"/>
        <w:spacing w:after="0" w:line="266" w:lineRule="auto"/>
        <w:rPr>
          <w:sz w:val="20"/>
          <w:szCs w:val="20"/>
          <w:color w:val="auto"/>
        </w:rPr>
      </w:pPr>
      <w:r>
        <w:rPr>
          <w:rFonts w:ascii="Times New Roman" w:cs="Times New Roman" w:eastAsia="Times New Roman" w:hAnsi="Times New Roman"/>
          <w:sz w:val="18"/>
          <w:szCs w:val="18"/>
          <w:color w:val="auto"/>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the “Net Investment Amount”.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Promissory Notes were issued during the course of February, 2024, pursuant to the terms of the Promissory Note Instruments.</w:t>
      </w:r>
    </w:p>
    <w:p>
      <w:pPr>
        <w:spacing w:after="0" w:line="11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With effect from the completion of the Pre-Closing Demerger, the rights and obligations of Rezolve Limited under the Subscription Agreements and the Promissory Note Instruments were novated to Rezolve AI plc.</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(except if an event of default has occurred and is continuing, an 18% interest rate will apply). The Promissory Notes are freely transferable in whole or in part, subject to the terms of the Promissory Notes Instrument.</w:t>
      </w:r>
    </w:p>
    <w:p>
      <w:pPr>
        <w:spacing w:after="0" w:line="72"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Promissory Notes are convertible into ordinary shares in Rezolve AI plc.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Rezolve has the right to redeem early a portion or all amounts outstanding under the Promissory Notes pursuant to a Redemption Notice, provided that on the date of the Redemption Notice the VWAP of the ordinary shares in Rezolve AI plc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Following the public listing of the ordinary shares in Rezolve AI plc, if a “Promissory Note Trigger Event” occurs (being where (i) the daily VWAP is less than the Floor Price for five (5) trading days during a period of seven (7) consecutive trading days (the “Promissory Note Floor Price Trigger”), or</w:t>
      </w:r>
    </w:p>
    <w:p>
      <w:pPr>
        <w:ind w:right="20" w:firstLine="8"/>
        <w:spacing w:after="0" w:line="251" w:lineRule="auto"/>
        <w:tabs>
          <w:tab w:leader="none" w:pos="26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AI plc has issued in excess of 99% of the ordinary shares available under the Exchange Cap unless Rezolve AI plc shareholders have approved such issuances, or if Rezolve AI plc is permitted to follow (and has elected to do so) its home country practices instead of the stockholder approval requirements of Nasdaq Rule 5635) (the “Promissory Note Exchange Cap Trigger”), then Rezolve AI plc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plc reduces the Floor Price (in accordance with its rights to do so under the Promissory Note Instruments), or (ii) in the event of an Exchange Cap</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5" w:name="page136"/>
    <w:bookmarkEnd w:id="135"/>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Trigger, the date Rezolve AI plc has obtained stockholder approval to increase the number of ordinary shares under the Exchange Cap (or if the Exchange Cap no longer applies), unless a subsequent Promissory Note Trigger Event occurs.</w:t>
      </w:r>
    </w:p>
    <w:p>
      <w:pPr>
        <w:spacing w:after="0" w:line="54"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On December 30, 2024, the Company repaid $1,472,231 of principal and interest to noteholders and related persons. As at December 31, 2024, certain noteholders and related parties have agreed to convert an aggregate of $1,189,096 of principal and interest into 425,288 Ordinary Shares. The outstanding balance at December 31, 2024 is $406,238, which the Company intends to settle by conversion into Ordinary Shares.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Cohen &amp; Company Financial Management LLC</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August 14, 2024 Rezolve AI issued a promissory note to pay to Cohen &amp; Company Financial Management LLC (“Cohen”) as an agent for Armada, in the principal sum of $3,144,883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Cohen’s request, Rezolve AI shall pay Cohen the principal amount plus all of the accrued interest in increments of 1/18 of the outstanding principal amount (the “Amortization Payment”) on a date determined by Cohen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Cohen shall have the right, at Cohen’s sole option, on any business day, to convert at the conversion price described in the note all or any portion of the outstanding principal amount of the note up to an amount described in the note. The promissory note was settled on February 10, 2025 by issuing ordinary shares, and no further amounts remain outstanding.</w:t>
      </w:r>
    </w:p>
    <w:p>
      <w:pPr>
        <w:spacing w:after="0" w:line="1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7.7  Advisors loans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the following promissory notes to financial advisors for fees payable contingent on the close of the Business Combination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Armada: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Northland Securities</w:t>
      </w:r>
    </w:p>
    <w:p>
      <w:pPr>
        <w:spacing w:after="0" w:line="11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 (a) $25,000,000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AI plc. The Company settled the promissory note with Northland on January 30, 2025 by issuing 391,681 ordinary shares and paying $3,500,000 in cash. No further amounts remain outstanding.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J.V.B. Financial Group</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volume weighted average share price ("VWP")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6" w:name="page137"/>
    <w:bookmarkEnd w:id="136"/>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by Rezolve AI plc. On February 26, 2025, the Company issued 778,165 ordinary shares to settle $2,000,000 of principle outstanding to the JVB promissory note.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Cantor Fitzgerald</w:t>
      </w:r>
    </w:p>
    <w:p>
      <w:pPr>
        <w:spacing w:after="0" w:line="119"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18"/>
          <w:szCs w:val="18"/>
          <w:color w:val="auto"/>
        </w:rPr>
        <w:t>On November 20, 2023, the Company engaged Cantor Fitzgerald ("Cantor") to act as its financial and capital markets advisor in connection with any transactions, placement agent and arranger in connection with any financing. A fee of $16,000,000 ("the Armada fee") contingent on the close of the Business Combination with Armada was payable in ordinary shares. The number of shares issuable in connection with the Armada fee was to be calculated using the greater of 1) 1.6 million and 2) the quotient obtained by dividing (x) $16,000,000 by (y) the daily VWAP of the ordinary shares over five trading days immediately preceding the date of the initial filing of the F-1 registration statement.</w:t>
      </w:r>
    </w:p>
    <w:p>
      <w:pPr>
        <w:spacing w:after="0" w:line="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December 5, 2024 the Company issued 17,354,231 ordinary shares to Cantor to settle the Armada fee. A loss on extinguishment of $1,804,814 was recognized. No further amounts remain outstanding.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amounts for advisors loans remain outstanding as of December 31, 2024:</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Advisors loans</w:t>
            </w:r>
          </w:p>
        </w:tc>
        <w:tc>
          <w:tcPr>
            <w:tcW w:w="29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Northland Securities</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5,491,806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J.V.B Financial Group</w:t>
            </w:r>
          </w:p>
        </w:tc>
        <w:tc>
          <w:tcPr>
            <w:tcW w:w="29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7,320,560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12,812,366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0" w:hanging="512"/>
        <w:spacing w:after="0"/>
        <w:tabs>
          <w:tab w:leader="none" w:pos="5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1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Subscription Agreements</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February 1, 2024, pursuant to the Promissory notes issued to certain institutional investors (see note 7.6), each holder of a Promissory note was also granted a freely transferable warrant (“Subscription Agreement Warrants”) by Rezolve upon completion of the Business Combination. The Subscription Agreement Warrants have an exercise price of $8.00 per share and may be exercised at any time during their three year term ending on January 31, 2027.</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certain circumstances, the Company may make an offer to all holders of its Ordinary Shares for the purchase by the Company of any of its Ordinary Shares. If such as offer is made by the Company, the Company shall give each holder of a Subscription Agreement Warrants at least 21 days’ notice that they are required to exercise their Subscription Agreement Warrants. If the holders of the Subscription Agreement Warrants do not exercise their Subscription Agreement Warrants within 14 days of receiving notice, the Company are authorized to execute a transaction to exercise the Subscription Agreement Warrants, deliver the Ordinary Shares to the holder and cancel the Subscription Agreement Warrants.</w:t>
      </w:r>
    </w:p>
    <w:p>
      <w:pPr>
        <w:spacing w:after="0" w:line="7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Subscription Agreement Warrants qualify for equity classification under ASC 815-40 as it is considered indexed to the Company's stock under ASC 815-40-15 and the Subscription Agreement Warrants permit the Company to share settle it. In no event will the Company be required to net cash settle any Subscription Agreement Warrants. The Company recorded these Subscription Agreement Warrants at fair value in equity on the date of issuance. The initial carrying amount of a freestanding equity-classified instrument is not subsequently adjusted to fair value unless, in subsequent periods, the instrument no longer qualifies for equity classification and so must be reclassified as an asset or a liability. The 569,982 Subscription Agreement Warrants outstanding at December 31, 2024 continue to qualify for equity classification. The Subscription Agreement Warrants have a remaining term of two years and one month as of December 31, 2024.</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Armada warrants</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August 15, 2024, under the terms of the Business Combination (see note 2.1), each outstanding Armada Warrant was exchanged for a Rezolve Warrant that entitles the holder to purchase one Rezolve Ordinary Share, at an exercise price of $11.50 per share, in lieu of one share of Armada Common Stock and otherwise on substantially the same terms and conditions as the terms of the original Armada Warrants. The Rezolve Warrants have a term of five years from the consummation of the Business Combination.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7" w:name="page138"/>
    <w:bookmarkEnd w:id="137"/>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Rezolve Warrants qualify for equity classification under ASC 815-40 as it is considered indexed to the Company's stock under ASC 815-40-15 and Rezolve Warrants permit the Company to share settle it. In no event will the Company be required to net cash settle any Rezolve Warrant. The Company recorded these warrants in equity on the date of issuance which was August 15, 2024 when the Business Combination was consummated (see note 2.1) as part of the accounting for the Business Combination as a reverse merger under ASC 805.</w:t>
      </w:r>
    </w:p>
    <w:p>
      <w:pPr>
        <w:spacing w:after="0" w:line="7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Rezolve Warrants trade under the symbol on the Nasdaq Stock Market LLC under the symbol RZLV.W. The initial carrying amount of a freestanding equity-classified instrument is not subsequently adjusted to fair value unless, in subsequent periods, the instrument no longer qualifies for equity classification and so must be reclassified as an asset or a liability. The 7,499,994 Rezolve Warrants outstanding at December 31, 2024 continue to qualify for equity classification. The Rezolve Warrants have a remaining term of four years and seven and a half months as of December 31, 2024.</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Warrants issued to institutional investors</w:t>
      </w:r>
    </w:p>
    <w:p>
      <w:pPr>
        <w:spacing w:after="0" w:line="119" w:lineRule="exact"/>
        <w:rPr>
          <w:sz w:val="20"/>
          <w:szCs w:val="20"/>
          <w:color w:val="auto"/>
        </w:rPr>
      </w:pPr>
    </w:p>
    <w:p>
      <w:pPr>
        <w:jc w:val="both"/>
        <w:ind w:right="580" w:firstLine="509"/>
        <w:spacing w:after="0" w:line="266" w:lineRule="auto"/>
        <w:rPr>
          <w:sz w:val="20"/>
          <w:szCs w:val="20"/>
          <w:color w:val="auto"/>
        </w:rPr>
      </w:pPr>
      <w:r>
        <w:rPr>
          <w:rFonts w:ascii="Times New Roman" w:cs="Times New Roman" w:eastAsia="Times New Roman" w:hAnsi="Times New Roman"/>
          <w:sz w:val="18"/>
          <w:szCs w:val="18"/>
          <w:color w:val="auto"/>
        </w:rPr>
        <w:t>On December 23, 2024, the Company completed a registered offering of (i) 5,000,000 Ordinary Shares, par value £0.0001 per share, and (ii) 5,000,000 warrants exercisable for an aggregate of 5,000,000 Ordinary Shares (the “Offering Warrants”), issued pursuant to the securities purchase agreement, dated December 19, 2024, between the Company and certain institutional investors.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offering price of each Ordinary Share and accompanying Offering Warrant was $3.00.</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Offering Warrants have an exercise price of $3.00 per share, are exercisable immediately upon issuance and will expire on the earlier of (i) thirty days after the volume weighted average price of the Ordinary Shares is at or above $6.00 for five consecutive trading days and (ii) five years from the date of issuance.</w:t>
      </w:r>
    </w:p>
    <w:p>
      <w:pPr>
        <w:spacing w:after="0" w:line="68"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consideration of H.C. Wainwright &amp; Co., LLC serving as the placement agent of this offering, the Company paid the H.C. Wainwright &amp; Co., LLC a cash fee equal to 5.5% of the aggregate gross proceeds of the Offering, and reimbursed the H.C. Wainwright &amp; Co., LLC for certain expenses and legal fees.</w:t>
      </w:r>
    </w:p>
    <w:p>
      <w:pPr>
        <w:spacing w:after="0" w:line="68"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Ordinary Shares and Offering Warrants were offered pursuant to a registration statement on Form F-1 (File No. 333-283622), as amended, which was declared effective by the Securities and Exchange Commission on December 19, 2024.</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received net proceeds of approximately $13.8 million from this offering, after deducting offering expenses payable by the Company, including H.C. Wainwright &amp; Co., LLC’s commissions and fees. The Company intends to use the net proceeds from the Offering for working capital, repayment of convertible debt and for general corporate purposes.</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Offering Warrants qualify for equity classification under ASC 815-40 as it is considered indexed to the Company's stock under ASC 815-40-15 and the Offering Warrants permit the Company to share settle it. In no event will the Company be required to net cash settle any Offering Warrants. The Company recorded these Offering Warrants at fair value in equity on the date of issuance. The initial carrying amount of a freestanding equity-classified instrument is not subsequently adjusted to fair value unless, in subsequent periods, the instrument no longer qualifies for equity classification and so must be reclassified as an asset or a liability. The 5,000,000 Offering Warrants outstanding at December 31, 2024 continue to qualify for equity classification. The Offering Warrants have a remaining term of five years as of December 31, 2024.</w:t>
      </w:r>
    </w:p>
    <w:p>
      <w:pPr>
        <w:spacing w:after="0" w:line="200" w:lineRule="exact"/>
        <w:rPr>
          <w:sz w:val="20"/>
          <w:szCs w:val="20"/>
          <w:color w:val="auto"/>
        </w:rPr>
      </w:pPr>
    </w:p>
    <w:p>
      <w:pPr>
        <w:spacing w:after="0" w:line="307" w:lineRule="exact"/>
        <w:rPr>
          <w:sz w:val="20"/>
          <w:szCs w:val="20"/>
          <w:color w:val="auto"/>
        </w:rPr>
      </w:pPr>
    </w:p>
    <w:p>
      <w:pPr>
        <w:ind w:left="520" w:hanging="512"/>
        <w:spacing w:after="0"/>
        <w:tabs>
          <w:tab w:leader="none" w:pos="52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 issued in lieu of cash payment for services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February 2024, the Company issued 4,514 ordinary shares to Sales Force in lieu of a cash payment for customer relationship platform services provided to the Company.</w:t>
      </w:r>
    </w:p>
    <w:p>
      <w:pPr>
        <w:spacing w:after="0" w:line="5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 December 2024, the Company issued 50,000 shares to D. Boral Capital LLC in lieu of a cash payment for financial and capital raising advisory services provided to the Company.</w:t>
      </w:r>
    </w:p>
    <w:p>
      <w:pPr>
        <w:spacing w:after="0" w:line="54"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In December 2024, the Company issued 50,000 shares to the Maxim Group in lieu of a cash payment for advisory services provided to the Company.</w:t>
      </w:r>
    </w:p>
    <w:p>
      <w:pPr>
        <w:spacing w:after="0" w:line="5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accordance with the guidance in ASC 505, the ordinary shares issued in lieu of cash payment for services were measured based on the fair value of services received or the ordinary shares granted, whichever was more reliably determinable. As the ordinary shares are publicly traded, the market price of the ordinary shares were readily and reliably determinable. The Company recognized expense and equity equal to the number of ordinary shares issued multiplied by the fair value per share on date of issuance. The equity impact consisted of ordinary shares at par value and the remaining proceeds in additional paid-in capital.</w:t>
      </w:r>
    </w:p>
    <w:p>
      <w:pPr>
        <w:spacing w:after="0" w:line="287" w:lineRule="exact"/>
        <w:rPr>
          <w:sz w:val="20"/>
          <w:szCs w:val="20"/>
          <w:color w:val="auto"/>
        </w:rPr>
      </w:pPr>
    </w:p>
    <w:p>
      <w:pPr>
        <w:ind w:left="520" w:hanging="512"/>
        <w:spacing w:after="0"/>
        <w:tabs>
          <w:tab w:leader="none" w:pos="52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8" w:name="page139"/>
    <w:bookmarkEnd w:id="138"/>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LTIP Plan</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In November 2022, the Company’s Board approved the 2022 Long-Term Incentive Plan (the “2022 LTIP”). Under the 2022 LTIP, the Company was authorized to issue a maximum number of 8,596,486 ordinary shares before any grants made in the year to directors, shareholders, consultants or financers to purchase or acquire ordinary shares. After awarding 277,325 warrants (note 8), 815,661 and 4,444,773 ordinary shares to financers, a consultant and its principal shareholder and founder, respectively, the Company had 3,058,728 ordinary shares available to grant. The Company granted 2,569,331 share options under the 2022 LTIP.</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share options under the terms of the 2022 LTIP have an exercise price equal to the nominal value of £0.0001 per option. Most share options granted have service-based vesting conditions with the exception of only two employees whose combined 407,830 share options vest at the earlier of a 3-year requisite service period and an IPO. The Company’s Board was required to approve the grant of the Company’s Share options and therefore as a result of some grantees who had completed their requisite service period prior to the Board’s approval, a number of grantee’s options fully vested on the grant date, while the remainder of grantees have partially completed their requisite service period. Option holders have a 5-year period to exercise the options before they expire. Forfeitures are recognized in the period of occurrence. No share options were granted by the Company prior to 2022.</w:t>
      </w:r>
    </w:p>
    <w:p>
      <w:pPr>
        <w:spacing w:after="0" w:line="16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Grants in 2022 under the 2022</w:t>
            </w:r>
          </w:p>
        </w:tc>
      </w:tr>
      <w:tr>
        <w:trPr>
          <w:trHeight w:val="173"/>
        </w:trPr>
        <w:tc>
          <w:tcPr>
            <w:tcW w:w="3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LTIP</w:t>
            </w:r>
          </w:p>
        </w:tc>
      </w:tr>
      <w:tr>
        <w:trPr>
          <w:trHeight w:val="209"/>
        </w:trPr>
        <w:tc>
          <w:tcPr>
            <w:tcW w:w="32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Expected term—years </w:t>
            </w:r>
            <w:r>
              <w:rPr>
                <w:rFonts w:ascii="Times New Roman" w:cs="Times New Roman" w:eastAsia="Times New Roman" w:hAnsi="Times New Roman"/>
                <w:sz w:val="24"/>
                <w:szCs w:val="24"/>
                <w:color w:val="auto"/>
                <w:vertAlign w:val="superscript"/>
              </w:rPr>
              <w:t>(1)</w:t>
            </w: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center"/>
              <w:ind w:left="115"/>
              <w:spacing w:after="0"/>
              <w:rPr>
                <w:sz w:val="20"/>
                <w:szCs w:val="20"/>
                <w:color w:val="auto"/>
              </w:rPr>
            </w:pPr>
            <w:r>
              <w:rPr>
                <w:rFonts w:ascii="Times New Roman" w:cs="Times New Roman" w:eastAsia="Times New Roman" w:hAnsi="Times New Roman"/>
                <w:sz w:val="18"/>
                <w:szCs w:val="18"/>
                <w:color w:val="auto"/>
              </w:rPr>
              <w:t>2.5 – 5.1</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center"/>
              <w:ind w:left="115"/>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4"/>
                <w:szCs w:val="24"/>
                <w:color w:val="auto"/>
                <w:vertAlign w:val="superscript"/>
              </w:rPr>
              <w:t>(2)</w:t>
            </w: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9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- 63.5%</w:t>
            </w:r>
          </w:p>
        </w:tc>
      </w:tr>
      <w:tr>
        <w:trPr>
          <w:trHeight w:val="216"/>
        </w:trPr>
        <w:tc>
          <w:tcPr>
            <w:tcW w:w="3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4"/>
                <w:szCs w:val="24"/>
                <w:color w:val="auto"/>
                <w:vertAlign w:val="superscript"/>
              </w:rPr>
              <w:t>(3)</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- 4.2%</w:t>
            </w: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4"/>
                <w:szCs w:val="24"/>
                <w:color w:val="auto"/>
                <w:vertAlign w:val="superscript"/>
              </w:rPr>
              <w:t>(4)</w:t>
            </w: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center"/>
              <w:ind w:left="115"/>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198" w:lineRule="exact"/>
        <w:rPr>
          <w:sz w:val="20"/>
          <w:szCs w:val="20"/>
          <w:color w:val="auto"/>
        </w:rPr>
      </w:pPr>
    </w:p>
    <w:p>
      <w:pPr>
        <w:ind w:left="1020" w:right="60" w:hanging="503"/>
        <w:spacing w:after="0" w:line="282" w:lineRule="auto"/>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225"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LTIP Plan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September 2023, the Company’s Board approved the 2023 Long-Term Incentive Plan (the “2023 LTIP”). Under the 2023 LTIP, the Company was authorized to issue a maximum number of 8,043,318 ordinary shares before any grants made in the year to directors, shareholders, consultants or financers to purchase or acquire ordinary shares. The Company granted 8,043,318 share options in the year ended December 31, 2023 including 4,078,303 share options issued to DBLP Sea Cow Ltd. (principal shareholder, and company owned by founder, chairman and CEO Dan Wagner).</w:t>
      </w:r>
    </w:p>
    <w:p>
      <w:pPr>
        <w:spacing w:after="0" w:line="7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granted 13,611,563 share options in the year ended December 31, 2024 including 4,876,969 share options issued to DBLP Sea Cow Ltd. (principal shareholder, and company owned by founder, chairman and CEO Dan Wagner).</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2023 LTIP also amends the 2022 LTIP (issued in November 2022) to:</w:t>
      </w:r>
    </w:p>
    <w:p>
      <w:pPr>
        <w:spacing w:after="0" w:line="117" w:lineRule="exact"/>
        <w:rPr>
          <w:sz w:val="20"/>
          <w:szCs w:val="20"/>
          <w:color w:val="auto"/>
        </w:rPr>
      </w:pPr>
    </w:p>
    <w:p>
      <w:pPr>
        <w:ind w:left="1020" w:right="540" w:hanging="503"/>
        <w:spacing w:after="0" w:line="282" w:lineRule="auto"/>
        <w:tabs>
          <w:tab w:leader="none" w:pos="1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who grantees whose requisite service period completes in the year 2024 to complete in the month of September 2024, and therefore consolidate the end vesting date to the month of September,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whose share options whose requisite service period was meant to complete in 2025 and 2026, vest in September of those years,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vesting profile from a cliff vesting to a graded vesting.</w:t>
      </w:r>
    </w:p>
    <w:p>
      <w:pPr>
        <w:spacing w:after="0" w:line="22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9" w:name="page140"/>
    <w:bookmarkEnd w:id="139"/>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share options under the terms of the 2023 LTIP have an exercise price equal to the nominal value of £0.0001 per option. Option holders have a 5-year period to exercise the options before they expire. Forfeitures are recognized in the period of occurrence.</w:t>
      </w:r>
    </w:p>
    <w:p>
      <w:pPr>
        <w:spacing w:after="0" w:line="143"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Grants in 2023 and 2024 under</w:t>
            </w:r>
          </w:p>
        </w:tc>
      </w:tr>
      <w:tr>
        <w:trPr>
          <w:trHeight w:val="173"/>
        </w:trPr>
        <w:tc>
          <w:tcPr>
            <w:tcW w:w="3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the 2023 LTIP</w:t>
            </w:r>
          </w:p>
        </w:tc>
        <w:tc>
          <w:tcPr>
            <w:tcW w:w="60" w:type="dxa"/>
            <w:vAlign w:val="bottom"/>
          </w:tcPr>
          <w:p>
            <w:pPr>
              <w:spacing w:after="0"/>
              <w:rPr>
                <w:sz w:val="15"/>
                <w:szCs w:val="15"/>
                <w:color w:val="auto"/>
              </w:rPr>
            </w:pPr>
          </w:p>
        </w:tc>
      </w:tr>
      <w:tr>
        <w:trPr>
          <w:trHeight w:val="210"/>
        </w:trPr>
        <w:tc>
          <w:tcPr>
            <w:tcW w:w="32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Expected term—years </w:t>
            </w:r>
            <w:r>
              <w:rPr>
                <w:rFonts w:ascii="Times New Roman" w:cs="Times New Roman" w:eastAsia="Times New Roman" w:hAnsi="Times New Roman"/>
                <w:sz w:val="24"/>
                <w:szCs w:val="24"/>
                <w:color w:val="auto"/>
                <w:vertAlign w:val="superscript"/>
              </w:rPr>
              <w:t>(1)</w:t>
            </w:r>
          </w:p>
        </w:tc>
        <w:tc>
          <w:tcPr>
            <w:tcW w:w="1420" w:type="dxa"/>
            <w:vAlign w:val="bottom"/>
            <w:shd w:val="clear" w:color="auto" w:fill="CFF0FC"/>
          </w:tcPr>
          <w:p>
            <w:pPr>
              <w:spacing w:after="0"/>
              <w:rPr>
                <w:sz w:val="18"/>
                <w:szCs w:val="18"/>
                <w:color w:val="auto"/>
              </w:rPr>
            </w:pPr>
          </w:p>
        </w:tc>
        <w:tc>
          <w:tcPr>
            <w:tcW w:w="2120" w:type="dxa"/>
            <w:vAlign w:val="bottom"/>
            <w:gridSpan w:val="3"/>
            <w:shd w:val="clear" w:color="auto" w:fill="CFF0FC"/>
          </w:tcPr>
          <w:p>
            <w:pPr>
              <w:jc w:val="center"/>
              <w:ind w:left="102"/>
              <w:spacing w:after="0"/>
              <w:rPr>
                <w:sz w:val="20"/>
                <w:szCs w:val="20"/>
                <w:color w:val="auto"/>
              </w:rPr>
            </w:pPr>
            <w:r>
              <w:rPr>
                <w:rFonts w:ascii="Times New Roman" w:cs="Times New Roman" w:eastAsia="Times New Roman" w:hAnsi="Times New Roman"/>
                <w:sz w:val="18"/>
                <w:szCs w:val="18"/>
                <w:color w:val="auto"/>
              </w:rPr>
              <w:t>1 – 5.1</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2520" w:type="dxa"/>
            <w:vAlign w:val="bottom"/>
            <w:gridSpan w:val="2"/>
          </w:tcPr>
          <w:p>
            <w:pPr>
              <w:jc w:val="right"/>
              <w:ind w:right="94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6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4"/>
                <w:szCs w:val="24"/>
                <w:color w:val="auto"/>
                <w:vertAlign w:val="superscript"/>
              </w:rPr>
              <w:t>(2)</w:t>
            </w:r>
          </w:p>
        </w:tc>
        <w:tc>
          <w:tcPr>
            <w:tcW w:w="2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- 63.5%</w:t>
            </w:r>
          </w:p>
        </w:tc>
        <w:tc>
          <w:tcPr>
            <w:tcW w:w="60" w:type="dxa"/>
            <w:vAlign w:val="bottom"/>
            <w:shd w:val="clear" w:color="auto" w:fill="CFF0FC"/>
          </w:tcPr>
          <w:p>
            <w:pPr>
              <w:spacing w:after="0"/>
              <w:rPr>
                <w:sz w:val="18"/>
                <w:szCs w:val="18"/>
                <w:color w:val="auto"/>
              </w:rPr>
            </w:pPr>
          </w:p>
        </w:tc>
      </w:tr>
      <w:tr>
        <w:trPr>
          <w:trHeight w:val="216"/>
        </w:trPr>
        <w:tc>
          <w:tcPr>
            <w:tcW w:w="3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4"/>
                <w:szCs w:val="24"/>
                <w:color w:val="auto"/>
                <w:vertAlign w:val="superscript"/>
              </w:rPr>
              <w:t>(3)</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- 4.2%</w:t>
            </w:r>
          </w:p>
        </w:tc>
        <w:tc>
          <w:tcPr>
            <w:tcW w:w="6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4"/>
                <w:szCs w:val="24"/>
                <w:color w:val="auto"/>
                <w:vertAlign w:val="superscript"/>
              </w:rPr>
              <w:t>(4)</w:t>
            </w:r>
          </w:p>
        </w:tc>
        <w:tc>
          <w:tcPr>
            <w:tcW w:w="3480" w:type="dxa"/>
            <w:vAlign w:val="bottom"/>
            <w:gridSpan w:val="3"/>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1020" w:hanging="503"/>
        <w:spacing w:after="0" w:line="282" w:lineRule="auto"/>
        <w:tabs>
          <w:tab w:leader="none" w:pos="10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225"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option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share option activity for the year ended December 31, 2024 was as follows: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6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6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160" w:type="dxa"/>
            <w:vAlign w:val="bottom"/>
          </w:tcPr>
          <w:p>
            <w:pPr>
              <w:spacing w:after="0"/>
              <w:rPr>
                <w:sz w:val="12"/>
                <w:szCs w:val="12"/>
                <w:color w:val="auto"/>
              </w:rPr>
            </w:pPr>
          </w:p>
        </w:tc>
        <w:tc>
          <w:tcPr>
            <w:tcW w:w="9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9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10,612,649</w:t>
            </w:r>
          </w:p>
        </w:tc>
        <w:tc>
          <w:tcPr>
            <w:tcW w:w="3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6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13,611,563</w:t>
            </w: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(587,296)</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23,636,916</w:t>
            </w:r>
          </w:p>
        </w:tc>
        <w:tc>
          <w:tcPr>
            <w:tcW w:w="3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exercisable</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17,559,511</w:t>
            </w:r>
          </w:p>
        </w:tc>
        <w:tc>
          <w:tcPr>
            <w:tcW w:w="3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0.0001</w:t>
            </w:r>
          </w:p>
        </w:tc>
        <w:tc>
          <w:tcPr>
            <w:tcW w:w="26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23,636,916</w:t>
            </w:r>
          </w:p>
        </w:tc>
        <w:tc>
          <w:tcPr>
            <w:tcW w:w="3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-333375</wp:posOffset>
            </wp:positionV>
            <wp:extent cx="603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-316865</wp:posOffset>
            </wp:positionV>
            <wp:extent cx="6032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-333375</wp:posOffset>
            </wp:positionV>
            <wp:extent cx="603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-316865</wp:posOffset>
            </wp:positionV>
            <wp:extent cx="6032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-333375</wp:posOffset>
            </wp:positionV>
            <wp:extent cx="596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-316865</wp:posOffset>
            </wp:positionV>
            <wp:extent cx="596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-333375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-316865</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603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603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03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03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fair-value per share of the options granted during the year December 31, 2024 and December 31, 2023 was $5.10 and $0.61, respectively. The total fair value of the options that vested during the year ended December 31, 2024 and December 31, 2023 was $68.8 million and $8,725,218, respectively.</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31,2024, the Company had $6.1 million of unrecognized share-based compensation expense related to share options. This cost is expected to be recognized over a weighted-average period of 3 years and 9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hanging="512"/>
        <w:spacing w:after="0"/>
        <w:tabs>
          <w:tab w:leader="none" w:pos="52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payables</w:t>
      </w:r>
    </w:p>
    <w:p>
      <w:pPr>
        <w:spacing w:after="0" w:line="3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140" w:name="page141"/>
    <w:bookmarkEnd w:id="140"/>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5"/>
                <w:szCs w:val="15"/>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r>
      <w:tr>
        <w:trPr>
          <w:trHeight w:val="21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related payables</w:t>
            </w:r>
          </w:p>
        </w:tc>
        <w:tc>
          <w:tcPr>
            <w:tcW w:w="17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2,225,906</w:t>
            </w:r>
          </w:p>
        </w:tc>
        <w:tc>
          <w:tcPr>
            <w:tcW w:w="3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2,632,334</w:t>
            </w:r>
          </w:p>
        </w:tc>
        <w:tc>
          <w:tcPr>
            <w:tcW w:w="8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5,694,788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1,323,842</w:t>
            </w:r>
          </w:p>
        </w:tc>
        <w:tc>
          <w:tcPr>
            <w:tcW w:w="80" w:type="dxa"/>
            <w:vAlign w:val="bottom"/>
          </w:tcPr>
          <w:p>
            <w:pPr>
              <w:spacing w:after="0"/>
              <w:rPr>
                <w:sz w:val="18"/>
                <w:szCs w:val="18"/>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VAT, duty and excise tax liability</w:t>
            </w: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1,557,733</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188,766</w:t>
            </w:r>
          </w:p>
        </w:tc>
        <w:tc>
          <w:tcPr>
            <w:tcW w:w="8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35,505</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347,848</w:t>
            </w:r>
          </w:p>
        </w:tc>
        <w:tc>
          <w:tcPr>
            <w:tcW w:w="80" w:type="dxa"/>
            <w:vAlign w:val="bottom"/>
          </w:tcPr>
          <w:p>
            <w:pPr>
              <w:spacing w:after="0"/>
              <w:rPr>
                <w:sz w:val="18"/>
                <w:szCs w:val="18"/>
                <w:color w:val="auto"/>
              </w:rPr>
            </w:pPr>
          </w:p>
        </w:tc>
      </w:tr>
      <w:tr>
        <w:trPr>
          <w:trHeight w:val="250"/>
        </w:trPr>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9,513,932</w:t>
            </w:r>
          </w:p>
        </w:tc>
        <w:tc>
          <w:tcPr>
            <w:tcW w:w="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4,492,790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431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431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2" w:lineRule="exact"/>
        <w:rPr>
          <w:sz w:val="20"/>
          <w:szCs w:val="20"/>
          <w:color w:val="auto"/>
        </w:rPr>
      </w:pPr>
    </w:p>
    <w:p>
      <w:pPr>
        <w:ind w:left="520" w:right="6400" w:hanging="512"/>
        <w:spacing w:after="0" w:line="412" w:lineRule="auto"/>
        <w:tabs>
          <w:tab w:leader="none" w:pos="5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and other non-operating income/(expense), net </w:t>
      </w:r>
      <w:r>
        <w:rPr>
          <w:rFonts w:ascii="Times New Roman" w:cs="Times New Roman" w:eastAsia="Times New Roman" w:hAnsi="Times New Roman"/>
          <w:sz w:val="18"/>
          <w:szCs w:val="18"/>
          <w:i w:val="1"/>
          <w:iCs w:val="1"/>
          <w:color w:val="auto"/>
        </w:rPr>
        <w:t>Sales and marketing expenses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7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Advertisement and publicity expenses</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887,333</w:t>
            </w:r>
          </w:p>
        </w:tc>
        <w:tc>
          <w:tcPr>
            <w:tcW w:w="80" w:type="dxa"/>
            <w:vAlign w:val="bottom"/>
            <w:shd w:val="clear" w:color="auto" w:fill="CFF0FC"/>
          </w:tcPr>
          <w:p>
            <w:pPr>
              <w:spacing w:after="0"/>
              <w:rPr>
                <w:sz w:val="18"/>
                <w:szCs w:val="18"/>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144,584</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salaries and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423,710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1,371,468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Consultancy charges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4,076,671</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1,602,332</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508,288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2,649,012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 to related parties</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389,444</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963,858</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6,285,446</w:t>
            </w: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6,731,254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1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0" w:type="dxa"/>
            <w:vAlign w:val="bottom"/>
          </w:tcPr>
          <w:p>
            <w:pPr>
              <w:spacing w:after="0"/>
              <w:rPr>
                <w:sz w:val="24"/>
                <w:szCs w:val="24"/>
                <w:color w:val="auto"/>
              </w:rPr>
            </w:pPr>
          </w:p>
        </w:tc>
        <w:tc>
          <w:tcPr>
            <w:tcW w:w="61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IT expenses</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782,665</w:t>
            </w:r>
          </w:p>
        </w:tc>
        <w:tc>
          <w:tcPr>
            <w:tcW w:w="3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1,135,355</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Legal and professional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36,486,915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2,274,891</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4,750,430</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777,161</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Employee salaries and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17,511,920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4,340,558</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Consultancy charges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3,662,209</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3,249,635</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3,806,361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2,543,621</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 to related parties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62,611,948</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2,306,182</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payments for consultancy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217,365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485,080</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gridSpan w:val="2"/>
            <w:shd w:val="clear" w:color="auto" w:fill="CFF0FC"/>
          </w:tcPr>
          <w:p>
            <w:pPr>
              <w:spacing w:after="0"/>
              <w:rPr>
                <w:sz w:val="18"/>
                <w:szCs w:val="18"/>
                <w:color w:val="auto"/>
              </w:rPr>
            </w:pPr>
          </w:p>
        </w:tc>
        <w:tc>
          <w:tcPr>
            <w:tcW w:w="12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1,600,599</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874,045</w:t>
            </w:r>
          </w:p>
        </w:tc>
        <w:tc>
          <w:tcPr>
            <w:tcW w:w="80" w:type="dxa"/>
            <w:vAlign w:val="bottom"/>
            <w:tcBorders>
              <w:bottom w:val="single" w:sz="8" w:color="CFF0FC"/>
            </w:tcBorders>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131,430,412</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17,986,528</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1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i w:val="1"/>
                <w:iCs w:val="1"/>
                <w:color w:val="auto"/>
              </w:rPr>
              <w:t>Other non-operating income (expense), net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 w:type="dxa"/>
            <w:vAlign w:val="bottom"/>
          </w:tcPr>
          <w:p>
            <w:pPr>
              <w:spacing w:after="0"/>
              <w:rPr>
                <w:sz w:val="24"/>
                <w:szCs w:val="24"/>
                <w:color w:val="auto"/>
              </w:rPr>
            </w:pPr>
          </w:p>
        </w:tc>
        <w:tc>
          <w:tcPr>
            <w:tcW w:w="61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7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gain/(loss)</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1,329,775</w:t>
            </w:r>
          </w:p>
        </w:tc>
        <w:tc>
          <w:tcPr>
            <w:tcW w:w="80" w:type="dxa"/>
            <w:vAlign w:val="bottom"/>
            <w:shd w:val="clear" w:color="auto" w:fill="CFF0FC"/>
          </w:tcPr>
          <w:p>
            <w:pPr>
              <w:spacing w:after="0"/>
              <w:rPr>
                <w:sz w:val="18"/>
                <w:szCs w:val="18"/>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(375,298)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R&amp;D credits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497,978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1,329,781</w:t>
            </w: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125,366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13.</w:t>
            </w:r>
          </w:p>
        </w:tc>
        <w:tc>
          <w:tcPr>
            <w:tcW w:w="61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Related party disclosures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520" w:type="dxa"/>
            <w:vAlign w:val="bottom"/>
            <w:vMerge w:val="continue"/>
          </w:tcPr>
          <w:p>
            <w:pPr>
              <w:spacing w:after="0"/>
              <w:rPr>
                <w:sz w:val="24"/>
                <w:szCs w:val="24"/>
                <w:color w:val="auto"/>
              </w:rPr>
            </w:pPr>
          </w:p>
        </w:tc>
        <w:tc>
          <w:tcPr>
            <w:tcW w:w="61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20" w:type="dxa"/>
            <w:vAlign w:val="bottom"/>
          </w:tcPr>
          <w:p>
            <w:pPr>
              <w:spacing w:after="0"/>
              <w:rPr>
                <w:sz w:val="24"/>
                <w:szCs w:val="24"/>
                <w:color w:val="auto"/>
              </w:rPr>
            </w:pPr>
          </w:p>
        </w:tc>
        <w:tc>
          <w:tcPr>
            <w:tcW w:w="5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Key managerial personnel (KMP) and Members of their immediate families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80" w:type="dxa"/>
            <w:vAlign w:val="bottom"/>
            <w:gridSpan w:val="2"/>
          </w:tcPr>
          <w:p>
            <w:pPr>
              <w:ind w:left="3760"/>
              <w:spacing w:after="0"/>
              <w:rPr>
                <w:sz w:val="20"/>
                <w:szCs w:val="20"/>
                <w:color w:val="auto"/>
              </w:rPr>
            </w:pPr>
            <w:r>
              <w:rPr>
                <w:rFonts w:ascii="Times New Roman" w:cs="Times New Roman" w:eastAsia="Times New Roman" w:hAnsi="Times New Roman"/>
                <w:sz w:val="18"/>
                <w:szCs w:val="18"/>
                <w:color w:val="auto"/>
              </w:rPr>
              <w:t>F-31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-5031105</wp:posOffset>
            </wp:positionV>
            <wp:extent cx="431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-5031105</wp:posOffset>
            </wp:positionV>
            <wp:extent cx="431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-2973705</wp:posOffset>
            </wp:positionV>
            <wp:extent cx="5143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-2973705</wp:posOffset>
            </wp:positionV>
            <wp:extent cx="5143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-1876425</wp:posOffset>
            </wp:positionV>
            <wp:extent cx="431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-1876425</wp:posOffset>
            </wp:positionV>
            <wp:extent cx="5143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870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tc>
      </w:tr>
      <w:tr>
        <w:trPr>
          <w:trHeight w:val="238"/>
        </w:trPr>
        <w:tc>
          <w:tcPr>
            <w:tcW w:w="2540" w:type="dxa"/>
            <w:vAlign w:val="bottom"/>
          </w:tcPr>
          <w:p>
            <w:pPr>
              <w:spacing w:after="0"/>
              <w:rPr>
                <w:sz w:val="20"/>
                <w:szCs w:val="20"/>
                <w:color w:val="auto"/>
              </w:rPr>
            </w:pPr>
          </w:p>
        </w:tc>
        <w:tc>
          <w:tcPr>
            <w:tcW w:w="870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r>
      <w:tr>
        <w:trPr>
          <w:trHeight w:val="243"/>
        </w:trPr>
        <w:tc>
          <w:tcPr>
            <w:tcW w:w="2540" w:type="dxa"/>
            <w:vAlign w:val="bottom"/>
          </w:tcPr>
          <w:p>
            <w:pPr>
              <w:spacing w:after="0"/>
              <w:rPr>
                <w:sz w:val="21"/>
                <w:szCs w:val="21"/>
                <w:color w:val="auto"/>
              </w:rPr>
            </w:pPr>
          </w:p>
        </w:tc>
        <w:tc>
          <w:tcPr>
            <w:tcW w:w="8700" w:type="dxa"/>
            <w:vAlign w:val="bottom"/>
          </w:tcPr>
          <w:p>
            <w:pPr>
              <w:spacing w:after="0"/>
              <w:rPr>
                <w:sz w:val="21"/>
                <w:szCs w:val="21"/>
                <w:color w:val="auto"/>
              </w:rPr>
            </w:pP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Dan Wagner</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Director and chief executive officer</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Richard Burchill</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Sauvik Banerjjee</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Chief executive officer, products, technology and digital services</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Salman Ahmad</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Chief technical officer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Peter Vesco</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Chief commercial officer</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Arthur Yao (1)</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Chief executive officer, Rezolve China</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Anthony Sharp</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Non-executive deputy chairman</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Sir David Wright</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Non-executive director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Steve Perry</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Non-executive director</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Derek Smith</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Non-executive director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Igor Lychagov</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Non-Executive director (resigned May 19, 2023)</w:t>
            </w:r>
          </w:p>
        </w:tc>
      </w:tr>
      <w:tr>
        <w:trPr>
          <w:trHeight w:val="210"/>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Susan Wagner</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Transactions and outstanding balances of related parties were as follows: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during the year</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2" w:name="page143"/>
    <w:bookmarkEnd w:id="142"/>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42"/>
        </w:trPr>
        <w:tc>
          <w:tcPr>
            <w:tcW w:w="71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Share Capital Issued at nominal value</w:t>
            </w:r>
          </w:p>
        </w:tc>
        <w:tc>
          <w:tcPr>
            <w:tcW w:w="140" w:type="dxa"/>
            <w:vAlign w:val="bottom"/>
            <w:tcBorders>
              <w:top w:val="single" w:sz="8" w:color="auto"/>
            </w:tcBorders>
            <w:shd w:val="clear" w:color="auto" w:fill="CFF0FC"/>
          </w:tcPr>
          <w:p>
            <w:pPr>
              <w:spacing w:after="0"/>
              <w:rPr>
                <w:sz w:val="12"/>
                <w:szCs w:val="12"/>
                <w:color w:val="auto"/>
              </w:rPr>
            </w:pPr>
          </w:p>
        </w:tc>
        <w:tc>
          <w:tcPr>
            <w:tcW w:w="1680" w:type="dxa"/>
            <w:vAlign w:val="bottom"/>
            <w:tcBorders>
              <w:top w:val="single" w:sz="8" w:color="auto"/>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7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Brooks Newmark</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2,977</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Igor Lychagov</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Convertible promissory notes repaid</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Adam Wagner</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31,250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John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19,844</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Arthur Yao</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93,750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Loans Repaid</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Convertible promissory notes taken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DBLP Sea Cow Ltd.</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Adam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31,250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John Wagner</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19,844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Arthur Yao</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93,750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Debt converted into shares, including interest</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Igor Lychagov</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3,559,380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Convertible Loans taken</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Steve Perry</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132,269</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Loans Taken</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Dan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4,463,322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191,405</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Igor Lychagov</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5,587,343</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Managerial remuneration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Key Management Personnel</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Dan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306,725</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296,067</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Salman Ahmad</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230,044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222,535</w:t>
            </w: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Richard Burchill</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281,164</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271,395</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Sauvik Banerjee</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393,440</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817,933</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1,183,437</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393,440</w:t>
            </w:r>
          </w:p>
        </w:tc>
        <w:tc>
          <w:tcPr>
            <w:tcW w:w="120" w:type="dxa"/>
            <w:vAlign w:val="bottom"/>
          </w:tcPr>
          <w:p>
            <w:pPr>
              <w:spacing w:after="0"/>
              <w:rPr>
                <w:sz w:val="12"/>
                <w:szCs w:val="12"/>
                <w:color w:val="auto"/>
              </w:rPr>
            </w:pPr>
          </w:p>
        </w:tc>
      </w:tr>
      <w:tr>
        <w:trPr>
          <w:trHeight w:val="148"/>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817,933</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789,997</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817,933</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1,183,437</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Share-based compensation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61,230,453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756,944</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Richard Burchill</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1,153,439</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1,326,703</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Salman Ahmad</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228,056</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222,535</w:t>
            </w: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Peter Vesco</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194,722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60,556</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Arthur Yao (1)</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194,722</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60,556</w:t>
            </w:r>
          </w:p>
        </w:tc>
        <w:tc>
          <w:tcPr>
            <w:tcW w:w="120" w:type="dxa"/>
            <w:vAlign w:val="bottom"/>
          </w:tcPr>
          <w:p>
            <w:pPr>
              <w:spacing w:after="0"/>
              <w:rPr>
                <w:sz w:val="12"/>
                <w:szCs w:val="12"/>
                <w:color w:val="auto"/>
              </w:rPr>
            </w:pPr>
          </w:p>
        </w:tc>
      </w:tr>
      <w:tr>
        <w:trPr>
          <w:trHeight w:val="148"/>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Sauvik Banerjee</w:t>
            </w:r>
          </w:p>
        </w:tc>
        <w:tc>
          <w:tcPr>
            <w:tcW w:w="140" w:type="dxa"/>
            <w:vAlign w:val="bottom"/>
            <w:tcBorders>
              <w:bottom w:val="single" w:sz="8" w:color="CFF0FC"/>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842,746</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63,001,392</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3,270,040</w:t>
            </w: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389,444</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963,858</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62,611,948</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2,306,182</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63,001,392</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3,270,040</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Consulting fees</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Peter Vesco</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321,675</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414,926</w:t>
            </w:r>
          </w:p>
        </w:tc>
        <w:tc>
          <w:tcPr>
            <w:tcW w:w="120" w:type="dxa"/>
            <w:vAlign w:val="bottom"/>
          </w:tcPr>
          <w:p>
            <w:pPr>
              <w:spacing w:after="0"/>
              <w:rPr>
                <w:sz w:val="12"/>
                <w:szCs w:val="12"/>
                <w:color w:val="auto"/>
              </w:rPr>
            </w:pPr>
          </w:p>
        </w:tc>
      </w:tr>
      <w:tr>
        <w:trPr>
          <w:trHeight w:val="148"/>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Arthur Yao (1)</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921,675</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1,014,926</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621,675</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714,926</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921,675</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1,014,926</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Director remuneration</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Sir David Wright</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95,852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92,521</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Anthony Sharp</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383,406</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380,084</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Steve Perry</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95,852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92,521</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Derek Smith</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95,852</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92,521</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670,961</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657,647</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670,961</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657,647</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670,961</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657,647</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Management remuneration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1,011,119</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2,072,224</w:t>
            </w:r>
          </w:p>
        </w:tc>
        <w:tc>
          <w:tcPr>
            <w:tcW w:w="120" w:type="dxa"/>
            <w:vAlign w:val="bottom"/>
          </w:tcPr>
          <w:p>
            <w:pPr>
              <w:spacing w:after="0"/>
              <w:rPr>
                <w:sz w:val="12"/>
                <w:szCs w:val="12"/>
                <w:color w:val="auto"/>
              </w:rPr>
            </w:pPr>
          </w:p>
        </w:tc>
      </w:tr>
      <w:tr>
        <w:trPr>
          <w:trHeight w:val="149"/>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64,400,841</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4,053,826</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65,411,960</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6,126,050</w:t>
            </w: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Business development expenses</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74"/>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Rezolve China (3)</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4,750,430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777,161</w:t>
            </w:r>
          </w:p>
        </w:tc>
        <w:tc>
          <w:tcPr>
            <w:tcW w:w="1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-3384550</wp:posOffset>
            </wp:positionV>
            <wp:extent cx="685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-3384550</wp:posOffset>
            </wp:positionV>
            <wp:extent cx="7747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-2621915</wp:posOffset>
            </wp:positionV>
            <wp:extent cx="685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-2621915</wp:posOffset>
            </wp:positionV>
            <wp:extent cx="7747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-1850390</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-1850390</wp:posOffset>
            </wp:positionV>
            <wp:extent cx="7747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-692785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-692785</wp:posOffset>
            </wp:positionV>
            <wp:extent cx="7747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-307340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-307340</wp:posOffset>
            </wp:positionV>
            <wp:extent cx="7747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3" w:name="page144"/>
    <w:bookmarkEnd w:id="143"/>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right="220" w:hanging="503"/>
        <w:spacing w:after="0" w:line="282" w:lineRule="auto"/>
        <w:tabs>
          <w:tab w:leader="none" w:pos="10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paid to Arthur Yao were paid out of Rezolve Limited in the UK. The Company’s operations in China have since been liquidated through the Demerger (Refer to Note 2.1—Basis of presentation).</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expensed all cash transferred to its former subsidiary Rezolve China (Refer to Note 2.1—Basis of presentation).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Outstanding balances as at reporting date</w:t>
      </w:r>
    </w:p>
    <w:p>
      <w:pPr>
        <w:spacing w:after="0" w:line="223"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Short term debt to related party</w:t>
            </w:r>
          </w:p>
        </w:tc>
        <w:tc>
          <w:tcPr>
            <w:tcW w:w="3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DBLP Sea Cow (2)</w:t>
            </w:r>
          </w:p>
        </w:tc>
        <w:tc>
          <w:tcPr>
            <w:tcW w:w="340" w:type="dxa"/>
            <w:vAlign w:val="bottom"/>
          </w:tcPr>
          <w:p>
            <w:pPr>
              <w:jc w:val="right"/>
              <w:ind w:right="184"/>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447,067</w:t>
            </w:r>
          </w:p>
        </w:tc>
        <w:tc>
          <w:tcPr>
            <w:tcW w:w="540" w:type="dxa"/>
            <w:vAlign w:val="bottom"/>
            <w:gridSpan w:val="2"/>
          </w:tcPr>
          <w:p>
            <w:pPr>
              <w:jc w:val="right"/>
              <w:ind w:right="188"/>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447,067</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Daniel Wagner</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4,655,144</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191,405</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Igor Lychagov</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5,587,343</w:t>
            </w:r>
          </w:p>
        </w:tc>
        <w:tc>
          <w:tcPr>
            <w:tcW w:w="80" w:type="dxa"/>
            <w:vAlign w:val="bottom"/>
          </w:tcPr>
          <w:p>
            <w:pPr>
              <w:spacing w:after="0"/>
              <w:rPr>
                <w:sz w:val="17"/>
                <w:szCs w:val="17"/>
                <w:color w:val="auto"/>
              </w:rPr>
            </w:pPr>
          </w:p>
        </w:tc>
      </w:tr>
      <w:tr>
        <w:trPr>
          <w:trHeight w:val="196"/>
        </w:trPr>
        <w:tc>
          <w:tcPr>
            <w:tcW w:w="5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5,102,211</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6,225,815</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Due to related party</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DBLP Sea Cow (2)</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Daniel Wagner</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899,978</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147,605</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Arthur Yao</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137,019</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61,945</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Peter Vesco</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31,248</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Steve Perry</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17,433</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Sauvik Banerjjee</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58,320</w:t>
            </w:r>
          </w:p>
        </w:tc>
        <w:tc>
          <w:tcPr>
            <w:tcW w:w="80" w:type="dxa"/>
            <w:vAlign w:val="bottom"/>
          </w:tcPr>
          <w:p>
            <w:pPr>
              <w:spacing w:after="0"/>
              <w:rPr>
                <w:sz w:val="17"/>
                <w:szCs w:val="17"/>
                <w:color w:val="auto"/>
              </w:rPr>
            </w:pPr>
          </w:p>
        </w:tc>
      </w:tr>
      <w:tr>
        <w:trPr>
          <w:trHeight w:val="203"/>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Anthony Sharp</w:t>
            </w:r>
          </w:p>
        </w:tc>
        <w:tc>
          <w:tcPr>
            <w:tcW w:w="3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127,325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1,054,429</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777,576</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Short term convertible debt</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Steve Perry</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95,309</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132,269</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Share Subscription Receivables</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Daniel Wagner</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111,845</w:t>
            </w:r>
          </w:p>
        </w:tc>
        <w:tc>
          <w:tcPr>
            <w:tcW w:w="80" w:type="dxa"/>
            <w:vAlign w:val="bottom"/>
          </w:tcPr>
          <w:p>
            <w:pPr>
              <w:spacing w:after="0"/>
              <w:rPr>
                <w:sz w:val="17"/>
                <w:szCs w:val="17"/>
                <w:color w:val="auto"/>
              </w:rPr>
            </w:pPr>
          </w:p>
        </w:tc>
      </w:tr>
      <w:tr>
        <w:trPr>
          <w:trHeight w:val="203"/>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DBLP Sea Cow (2)</w:t>
            </w:r>
          </w:p>
        </w:tc>
        <w:tc>
          <w:tcPr>
            <w:tcW w:w="3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7,999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4"/>
        </w:trPr>
        <w:tc>
          <w:tcPr>
            <w:tcW w:w="5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119,844</w:t>
            </w: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-921385</wp:posOffset>
            </wp:positionV>
            <wp:extent cx="431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-921385</wp:posOffset>
            </wp:positionV>
            <wp:extent cx="5143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-141605</wp:posOffset>
            </wp:positionV>
            <wp:extent cx="431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-141605</wp:posOffset>
            </wp:positionV>
            <wp:extent cx="514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78" w:lineRule="exact"/>
        <w:rPr>
          <w:sz w:val="20"/>
          <w:szCs w:val="20"/>
          <w:color w:val="auto"/>
        </w:rPr>
      </w:pPr>
    </w:p>
    <w:p>
      <w:pPr>
        <w:ind w:left="1020" w:right="580" w:hanging="503"/>
        <w:spacing w:after="0" w:line="282" w:lineRule="auto"/>
        <w:tabs>
          <w:tab w:leader="none" w:pos="10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 as lessee</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of the Company's lease arrangements in place during the years ended December 31, 2024 and 2023 are short-term leases as they have lease</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terms of 12 months or less and do not include options to purchase the underlying assets. Upon adoption of ASC 842, the Company elected not to record short-term leases on its consolidated balance sheet and instead recognize lease payments in its consolidated statement of operations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 w:hanging="512"/>
        <w:spacing w:after="0"/>
        <w:tabs>
          <w:tab w:leader="none" w:pos="52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files its primary tax return in the United Kingdom (“the UK”). Its subsidiaries file income tax returns in the United States (“the US”), Spain, India and Taiwan. The income taxes of the Company are presented on a separate return basis for each tax-paying entity.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Company's loss (income) before income taxes are as follows: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144" w:name="page145"/>
    <w:bookmarkEnd w:id="144"/>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7"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UK</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171,670,156</w:t>
            </w:r>
          </w:p>
        </w:tc>
        <w:tc>
          <w:tcPr>
            <w:tcW w:w="8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29,427,631</w:t>
            </w:r>
          </w:p>
        </w:tc>
        <w:tc>
          <w:tcPr>
            <w:tcW w:w="1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696,137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994,933</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Spain</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262,064</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298,927</w:t>
            </w:r>
          </w:p>
        </w:tc>
        <w:tc>
          <w:tcPr>
            <w:tcW w:w="1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1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(88,448)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(92,982)</w:t>
            </w: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1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61,948</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44,181</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172,601,857</w:t>
            </w:r>
          </w:p>
        </w:tc>
        <w:tc>
          <w:tcPr>
            <w:tcW w:w="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30,672,690</w:t>
            </w:r>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-153670</wp:posOffset>
            </wp:positionV>
            <wp:extent cx="7747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-153670</wp:posOffset>
            </wp:positionV>
            <wp:extent cx="11112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Current and deferred income tax expense consist of:</w:t>
      </w:r>
    </w:p>
    <w:p>
      <w:pPr>
        <w:spacing w:after="0" w:line="219" w:lineRule="exact"/>
        <w:rPr>
          <w:sz w:val="20"/>
          <w:szCs w:val="20"/>
          <w:color w:val="auto"/>
        </w:rPr>
      </w:pPr>
    </w:p>
    <w:tbl>
      <w:tblPr>
        <w:tblLayout w:type="fixed"/>
        <w:tblInd w:w="1420" w:type="dxa"/>
        <w:tblCellMar>
          <w:top w:w="0" w:type="dxa"/>
          <w:left w:w="0" w:type="dxa"/>
          <w:bottom w:w="0" w:type="dxa"/>
          <w:right w:w="0" w:type="dxa"/>
        </w:tblCellMar>
      </w:tblPr>
      <w:tr>
        <w:trPr>
          <w:trHeight w:val="173"/>
        </w:trPr>
        <w:tc>
          <w:tcPr>
            <w:tcW w:w="27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r>
      <w:tr>
        <w:trPr>
          <w:trHeight w:val="425"/>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24"/>
                <w:szCs w:val="24"/>
                <w:color w:val="auto"/>
              </w:rPr>
            </w:pPr>
          </w:p>
        </w:tc>
      </w:tr>
      <w:tr>
        <w:trPr>
          <w:trHeight w:val="210"/>
        </w:trPr>
        <w:tc>
          <w:tcPr>
            <w:tcW w:w="2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44,933</w:t>
            </w:r>
          </w:p>
        </w:tc>
        <w:tc>
          <w:tcPr>
            <w:tcW w:w="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63,408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18"/>
                <w:szCs w:val="18"/>
                <w:color w:val="auto"/>
              </w:rPr>
            </w:pPr>
          </w:p>
        </w:tc>
      </w:tr>
      <w:tr>
        <w:trPr>
          <w:trHeight w:val="209"/>
        </w:trPr>
        <w:tc>
          <w:tcPr>
            <w:tcW w:w="2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44,933</w:t>
            </w:r>
          </w:p>
        </w:tc>
        <w:tc>
          <w:tcPr>
            <w:tcW w:w="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63,408</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-299720</wp:posOffset>
            </wp:positionV>
            <wp:extent cx="5143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-299720</wp:posOffset>
            </wp:positionV>
            <wp:extent cx="5143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5143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5143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9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Income tax benefit attributable to our loss before income taxes differs from the amounts computed using the applicable income tax rate as a result of the following factors:</w:t>
      </w:r>
    </w:p>
    <w:p>
      <w:pPr>
        <w:spacing w:after="0" w:line="155"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(172,601,857)</w:t>
            </w:r>
          </w:p>
        </w:tc>
        <w:tc>
          <w:tcPr>
            <w:tcW w:w="220" w:type="dxa"/>
            <w:vAlign w:val="bottom"/>
            <w:tcBorders>
              <w:lef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(30,672,690)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at statutory tax rates (a)</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43,150,464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7,208,082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or non-taxable foreign currency exchange results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 rate differences (b)</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(23,423)</w:t>
            </w: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(29,893,933)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(2,050,426)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(12,858,776)</w:t>
            </w: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(4,996,208)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44,933</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63,408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-153670</wp:posOffset>
            </wp:positionV>
            <wp:extent cx="5143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-153670</wp:posOffset>
            </wp:positionV>
            <wp:extent cx="5143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18" w:lineRule="exact"/>
        <w:rPr>
          <w:sz w:val="20"/>
          <w:szCs w:val="20"/>
          <w:color w:val="auto"/>
        </w:rPr>
      </w:pPr>
    </w:p>
    <w:p>
      <w:pPr>
        <w:ind w:left="520" w:hanging="377"/>
        <w:spacing w:after="0" w:line="266" w:lineRule="auto"/>
        <w:tabs>
          <w:tab w:leader="none" w:pos="5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or “expected” tax rates are the U.K. rates of 25% for 2024 and 23.5% for 2023. The 2023 statutory rate represents that blended rate in effect for the year ended December 31, 2023 based on the 19.0% statutory rate that was in effect for the first quarter of 2023 and the 25.0% statutory rate that was in effect for the remainder of 2023.</w:t>
      </w:r>
    </w:p>
    <w:p>
      <w:pPr>
        <w:spacing w:after="0" w:line="67" w:lineRule="exact"/>
        <w:rPr>
          <w:rFonts w:ascii="Times New Roman" w:cs="Times New Roman" w:eastAsia="Times New Roman" w:hAnsi="Times New Roman"/>
          <w:sz w:val="18"/>
          <w:szCs w:val="18"/>
          <w:color w:val="auto"/>
        </w:rPr>
      </w:pPr>
    </w:p>
    <w:p>
      <w:pPr>
        <w:ind w:left="520" w:right="460" w:hanging="377"/>
        <w:spacing w:after="0" w:line="282" w:lineRule="auto"/>
        <w:tabs>
          <w:tab w:leader="none" w:pos="5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adjustments (either a benefit or expense) to the “expected” tax expense for statutory rates in jurisdictions in which we operate outside of the UK.</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and its subsidiaries are liable to income taxes in their respective jurisdiction. The Company has unused tax losses as follows as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Tax loss</w:t>
            </w:r>
          </w:p>
        </w:tc>
        <w:tc>
          <w:tcPr>
            <w:tcW w:w="180" w:type="dxa"/>
            <w:vAlign w:val="bottom"/>
          </w:tcPr>
          <w:p>
            <w:pPr>
              <w:spacing w:after="0"/>
              <w:rPr>
                <w:sz w:val="13"/>
                <w:szCs w:val="13"/>
                <w:color w:val="auto"/>
              </w:rPr>
            </w:pPr>
          </w:p>
        </w:tc>
        <w:tc>
          <w:tcPr>
            <w:tcW w:w="126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carryforward</w:t>
            </w:r>
          </w:p>
        </w:tc>
        <w:tc>
          <w:tcPr>
            <w:tcW w:w="180" w:type="dxa"/>
            <w:vAlign w:val="bottom"/>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UK (1)</w:t>
            </w:r>
          </w:p>
        </w:tc>
        <w:tc>
          <w:tcPr>
            <w:tcW w:w="2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41,980,917</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US</w:t>
            </w: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6,238,596</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Indefinite</w:t>
            </w:r>
          </w:p>
        </w:tc>
        <w:tc>
          <w:tcPr>
            <w:tcW w:w="0" w:type="dxa"/>
            <w:vAlign w:val="bottom"/>
          </w:tcPr>
          <w:p>
            <w:pPr>
              <w:spacing w:after="0"/>
              <w:rPr>
                <w:sz w:val="1"/>
                <w:szCs w:val="1"/>
                <w:color w:val="auto"/>
              </w:rPr>
            </w:pPr>
          </w:p>
        </w:tc>
      </w:tr>
      <w:tr>
        <w:trPr>
          <w:trHeight w:val="203"/>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Spain</w:t>
            </w:r>
          </w:p>
        </w:tc>
        <w:tc>
          <w:tcPr>
            <w:tcW w:w="2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1,106,475</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Indefinite</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India</w:t>
            </w: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3"/>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Taiwan</w:t>
            </w:r>
          </w:p>
        </w:tc>
        <w:tc>
          <w:tcPr>
            <w:tcW w:w="2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2,421,606</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 years</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20" w:right="540" w:hanging="512"/>
        <w:spacing w:after="0" w:line="266" w:lineRule="auto"/>
        <w:tabs>
          <w:tab w:leader="none" w:pos="5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losses carried forward in Rezolve Limited were not transferred to Rezolve AI plc in the Pre-Closing Demerger. As a result, all tax losses previously created in the UK was lost upon completion of the Pre-Closing Demerger, see note 2.1. Tax losses incurred subsequent to the Pre-Closing Demerger have an indefinite life.</w:t>
      </w:r>
    </w:p>
    <w:p>
      <w:pPr>
        <w:spacing w:after="0" w:line="67"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created a valuation allowance against the deferred tax asset resulting from such losses due to the Company’s history of past losses and lack of conclusive evidence to support the view that sufficient taxable profit will be generated in the future by the operating entities to offset such losses.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5" w:name="page146"/>
    <w:bookmarkEnd w:id="145"/>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changes in our unrecognized tax benefits for the indicated periods are summarized below:</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0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6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24,388,433</w:t>
            </w:r>
          </w:p>
        </w:tc>
        <w:tc>
          <w:tcPr>
            <w:tcW w:w="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Effect of rate changes: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10,719,324</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6,882,336</w:t>
            </w:r>
          </w:p>
        </w:tc>
        <w:tc>
          <w:tcPr>
            <w:tcW w:w="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Return to provision (based on tax return)</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16,505,726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losses lost on demerger</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(47,942,752)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588,135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2,483,300</w:t>
            </w:r>
          </w:p>
        </w:tc>
        <w:tc>
          <w:tcPr>
            <w:tcW w:w="80" w:type="dxa"/>
            <w:vAlign w:val="bottom"/>
          </w:tcPr>
          <w:p>
            <w:pPr>
              <w:spacing w:after="0"/>
              <w:rPr>
                <w:sz w:val="18"/>
                <w:szCs w:val="18"/>
                <w:color w:val="auto"/>
              </w:rPr>
            </w:pPr>
          </w:p>
        </w:tc>
      </w:tr>
      <w:tr>
        <w:trPr>
          <w:trHeight w:val="210"/>
        </w:trPr>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6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13,624,502</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-7620</wp:posOffset>
            </wp:positionV>
            <wp:extent cx="5143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assurance can be given that any of these tax benefits will be recognized or realized.</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2025, we do not expect any material reductions to our unrecognized tax benefits related to tax positions taken as of December 31, 2024. No assurance can be given as to the nature or impact of any changes in our unrecognized tax positions during 2024.</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the significant portions of our deferred tax assets and liabilities are presented below:</w:t>
      </w:r>
    </w:p>
    <w:p>
      <w:pPr>
        <w:spacing w:after="0" w:line="219"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5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and other carryforwards</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13,624,502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PP&amp;E</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 to related party</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1,556,454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5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7,382,329</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8,110,222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22,001,800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43,748,501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Derivative asset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(646,895)</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(485,477)</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(1,132,372)</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20,869,428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(20,869,428)</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 net of valuation allowance</w:t>
            </w: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-1148080</wp:posOffset>
            </wp:positionV>
            <wp:extent cx="514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-1148080</wp:posOffset>
            </wp:positionV>
            <wp:extent cx="431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-582295</wp:posOffset>
            </wp:positionV>
            <wp:extent cx="5143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-582295</wp:posOffset>
            </wp:positionV>
            <wp:extent cx="4318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5143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431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files income tax returns as prescribed by the tax laws of its operating jurisdictions. In the normal course of business, the Company is subject to examination by tax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recognized any uncertain tax position for the year ended December 31,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w:t>
      </w:r>
    </w:p>
    <w:p>
      <w:pPr>
        <w:spacing w:after="0" w:line="33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On October 3, 2024, the Company announced that it entered into a commercial agreement with Microsoft Corporation. Through this collaboration, Rezolve’s Brain Suite, including Brain Commerce, Brain Checkout, and Brain Assistant, will be powered by</w:t>
      </w:r>
    </w:p>
    <w:p>
      <w:pPr>
        <w:spacing w:after="0" w:line="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5" w:right="459" w:bottom="1440" w:gutter="0" w:footer="0" w:header="0"/>
        </w:sectPr>
      </w:pPr>
    </w:p>
    <w:bookmarkStart w:id="146" w:name="page147"/>
    <w:bookmarkEnd w:id="146"/>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Microsoft Azure and available globally via Microsoft’s Azure Marketplace and co-sell channels. The Company is committed to spend £117.98 million (approximately $147.66 million at December 31, 2024) under this agreement to purchase eligible services and offerings from Microsoft over the next 5 years.</w:t>
      </w:r>
    </w:p>
    <w:p>
      <w:pPr>
        <w:spacing w:after="0" w:line="68"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On November 20, 2024, the Company announced that it entered into a commercial agreement with Google Cloud EMEA Ltd (“Google”). Through this collaboration, Google will resell Rezolve AI’s Brain Suite. The Company’s commitments to purchase eligible services and offerings from Google is summarized in the table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Commitment amount</w:t>
            </w:r>
          </w:p>
        </w:tc>
        <w:tc>
          <w:tcPr>
            <w:tcW w:w="100" w:type="dxa"/>
            <w:vAlign w:val="bottom"/>
          </w:tcPr>
          <w:p>
            <w:pPr>
              <w:spacing w:after="0"/>
              <w:rPr>
                <w:sz w:val="15"/>
                <w:szCs w:val="15"/>
                <w:color w:val="auto"/>
              </w:rPr>
            </w:pPr>
          </w:p>
        </w:tc>
      </w:tr>
      <w:tr>
        <w:trPr>
          <w:trHeight w:val="210"/>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1</w:t>
            </w:r>
          </w:p>
        </w:tc>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3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FF0FC"/>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Commitment period 2</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Pr>
          <w:p>
            <w:pPr>
              <w:spacing w:after="0"/>
              <w:rPr>
                <w:sz w:val="18"/>
                <w:szCs w:val="18"/>
                <w:color w:val="auto"/>
              </w:rPr>
            </w:pPr>
          </w:p>
        </w:tc>
      </w:tr>
      <w:tr>
        <w:trPr>
          <w:trHeight w:val="216"/>
        </w:trPr>
        <w:tc>
          <w:tcPr>
            <w:tcW w:w="1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3</w:t>
            </w:r>
          </w:p>
        </w:tc>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34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Commitment</w:t>
            </w:r>
          </w:p>
        </w:tc>
        <w:tc>
          <w:tcPr>
            <w:tcW w:w="3720" w:type="dxa"/>
            <w:vAlign w:val="bottom"/>
          </w:tcPr>
          <w:p>
            <w:pPr>
              <w:spacing w:after="0"/>
              <w:rPr>
                <w:sz w:val="18"/>
                <w:szCs w:val="18"/>
                <w:color w:val="auto"/>
              </w:rPr>
            </w:pPr>
          </w:p>
        </w:tc>
        <w:tc>
          <w:tcPr>
            <w:tcW w:w="3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w:t>
            </w:r>
          </w:p>
        </w:tc>
        <w:tc>
          <w:tcPr>
            <w:tcW w:w="100" w:type="dxa"/>
            <w:vAlign w:val="bottom"/>
          </w:tcPr>
          <w:p>
            <w:pPr>
              <w:spacing w:after="0"/>
              <w:rPr>
                <w:sz w:val="18"/>
                <w:szCs w:val="18"/>
                <w:color w:val="auto"/>
              </w:rPr>
            </w:pPr>
          </w:p>
        </w:tc>
      </w:tr>
      <w:tr>
        <w:trPr>
          <w:trHeight w:val="20"/>
        </w:trPr>
        <w:tc>
          <w:tcPr>
            <w:tcW w:w="16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760" w:hanging="243"/>
        <w:spacing w:after="0"/>
        <w:tabs>
          <w:tab w:leader="none" w:pos="7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on November 15, 2024 and continuing for 12 months.</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1 and continuing for 12 months.</w:t>
      </w:r>
    </w:p>
    <w:p>
      <w:pPr>
        <w:spacing w:after="0" w:line="117" w:lineRule="exact"/>
        <w:rPr>
          <w:rFonts w:ascii="Times New Roman" w:cs="Times New Roman" w:eastAsia="Times New Roman" w:hAnsi="Times New Roman"/>
          <w:sz w:val="18"/>
          <w:szCs w:val="18"/>
          <w:color w:val="auto"/>
        </w:rPr>
      </w:pPr>
    </w:p>
    <w:p>
      <w:pPr>
        <w:ind w:left="760" w:hanging="243"/>
        <w:spacing w:after="0"/>
        <w:tabs>
          <w:tab w:leader="none" w:pos="7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2 and continuing for 12 months.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For financial statements as of December 31, 2024, we have evaluated subsequent events through April 23, 2025, which is the date such financial statements are available to be issued.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Senior-secured term-loan facility</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January 23, 2025, the Company entered into a senior-secured term-loan facility (the “Facility”) with Joh. Berenberg, Gossler &amp; Co. KG, a financial institution established under the laws of the Federal Republic of Germany (the “Lender”). Capitalized terms used but not defined herein shall have the meanings ascribed to them in the Facility.</w:t>
      </w:r>
    </w:p>
    <w:p>
      <w:pPr>
        <w:spacing w:after="0" w:line="68" w:lineRule="exact"/>
        <w:rPr>
          <w:sz w:val="20"/>
          <w:szCs w:val="20"/>
          <w:color w:val="auto"/>
        </w:rPr>
      </w:pPr>
    </w:p>
    <w:p>
      <w:pPr>
        <w:ind w:right="100" w:firstLine="554"/>
        <w:spacing w:after="0" w:line="282" w:lineRule="auto"/>
        <w:rPr>
          <w:sz w:val="20"/>
          <w:szCs w:val="20"/>
          <w:color w:val="auto"/>
        </w:rPr>
      </w:pPr>
      <w:r>
        <w:rPr>
          <w:rFonts w:ascii="Times New Roman" w:cs="Times New Roman" w:eastAsia="Times New Roman" w:hAnsi="Times New Roman"/>
          <w:sz w:val="18"/>
          <w:szCs w:val="18"/>
          <w:color w:val="auto"/>
        </w:rPr>
        <w:t>The committed amount of the Facility is $30,000,000 (the “Committed Amount”). The Company may draw the Committed Amount, in full but not in part, until February 20, 2025 upon the satisfaction or waiver of certain customary conditions precedent.</w:t>
      </w:r>
    </w:p>
    <w:p>
      <w:pPr>
        <w:spacing w:after="0" w:line="54" w:lineRule="exact"/>
        <w:rPr>
          <w:sz w:val="20"/>
          <w:szCs w:val="20"/>
          <w:color w:val="auto"/>
        </w:rPr>
      </w:pPr>
    </w:p>
    <w:p>
      <w:pPr>
        <w:ind w:right="20" w:firstLine="554"/>
        <w:spacing w:after="0" w:line="266" w:lineRule="auto"/>
        <w:rPr>
          <w:sz w:val="20"/>
          <w:szCs w:val="20"/>
          <w:color w:val="auto"/>
        </w:rPr>
      </w:pPr>
      <w:r>
        <w:rPr>
          <w:rFonts w:ascii="Times New Roman" w:cs="Times New Roman" w:eastAsia="Times New Roman" w:hAnsi="Times New Roman"/>
          <w:sz w:val="18"/>
          <w:szCs w:val="18"/>
          <w:color w:val="auto"/>
        </w:rPr>
        <w:t>Following a draw of the Committed Amount, the Company must repay the Facility in five (5) monthly installments of $6,000,000 beginning on August 15, 2025. If the Company fails to make a scheduled repayment, a 5% fee will be added to the outstanding balance remaining under the Facility. The Company may, in its sole discretion, make prepayments of at least $3,000,000.</w:t>
      </w:r>
    </w:p>
    <w:p>
      <w:pPr>
        <w:spacing w:after="0" w:line="68" w:lineRule="exact"/>
        <w:rPr>
          <w:sz w:val="20"/>
          <w:szCs w:val="20"/>
          <w:color w:val="auto"/>
        </w:rPr>
      </w:pPr>
    </w:p>
    <w:p>
      <w:pPr>
        <w:ind w:right="20" w:firstLine="554"/>
        <w:spacing w:after="0" w:line="266" w:lineRule="auto"/>
        <w:rPr>
          <w:sz w:val="20"/>
          <w:szCs w:val="20"/>
          <w:color w:val="auto"/>
        </w:rPr>
      </w:pPr>
      <w:r>
        <w:rPr>
          <w:rFonts w:ascii="Times New Roman" w:cs="Times New Roman" w:eastAsia="Times New Roman" w:hAnsi="Times New Roman"/>
          <w:sz w:val="18"/>
          <w:szCs w:val="18"/>
          <w:color w:val="auto"/>
        </w:rPr>
        <w:t>The Facility bears no interest. However, the Company will pay a $3,000,000 arrangement fee to the Lender on the earlier of (i) the drawing the Committed Amount and (ii) February 21, 2025. The arrangement fee will be deducted from the Committed Amount disbursed to the Company. As set forth in the Facility, the arrangement fee will be reduced in connection with any prepayments made by the Company.</w:t>
      </w:r>
    </w:p>
    <w:p>
      <w:pPr>
        <w:spacing w:after="0" w:line="68" w:lineRule="exact"/>
        <w:rPr>
          <w:sz w:val="20"/>
          <w:szCs w:val="20"/>
          <w:color w:val="auto"/>
        </w:rPr>
      </w:pPr>
    </w:p>
    <w:p>
      <w:pPr>
        <w:ind w:right="40" w:firstLine="554"/>
        <w:spacing w:after="0" w:line="261" w:lineRule="auto"/>
        <w:rPr>
          <w:sz w:val="20"/>
          <w:szCs w:val="20"/>
          <w:color w:val="auto"/>
        </w:rPr>
      </w:pPr>
      <w:r>
        <w:rPr>
          <w:rFonts w:ascii="Times New Roman" w:cs="Times New Roman" w:eastAsia="Times New Roman" w:hAnsi="Times New Roman"/>
          <w:sz w:val="18"/>
          <w:szCs w:val="18"/>
          <w:color w:val="auto"/>
        </w:rPr>
        <w:t>In connection with the Facility, the Company has made certain customary representations and warranties and is required to comply with various covenants, reporting requirements and other customary requirements for similar facilities. The Company has also agreed to repay the Facility in accordance with the amortization schedule described above, beginning on August 15, 2025, and may use the proceeds it receives under or in connection with that certain Second Amended and Restated Standby Equity Purchase Agreement entered with YA II PN, Ltd. on September 6, 2024 to do so.</w:t>
      </w:r>
    </w:p>
    <w:p>
      <w:pPr>
        <w:spacing w:after="0" w:line="72" w:lineRule="exact"/>
        <w:rPr>
          <w:sz w:val="20"/>
          <w:szCs w:val="20"/>
          <w:color w:val="auto"/>
        </w:rPr>
      </w:pPr>
    </w:p>
    <w:p>
      <w:pPr>
        <w:ind w:right="120" w:firstLine="554"/>
        <w:spacing w:after="0" w:line="266" w:lineRule="auto"/>
        <w:rPr>
          <w:sz w:val="20"/>
          <w:szCs w:val="20"/>
          <w:color w:val="auto"/>
        </w:rPr>
      </w:pPr>
      <w:r>
        <w:rPr>
          <w:rFonts w:ascii="Times New Roman" w:cs="Times New Roman" w:eastAsia="Times New Roman" w:hAnsi="Times New Roman"/>
          <w:sz w:val="18"/>
          <w:szCs w:val="18"/>
          <w:color w:val="auto"/>
        </w:rPr>
        <w:t>The Facility contains customary events of default for similar financing transactions, including, among other things, if a change of control of the Company occurs. At any time after an event of default, the Lender may accelerate and make payable all or part of the Facility. The Facility is governed by the laws of Germany, and the courts of Hamburg have exclusive jurisdiction over any disputes arising out of or in connection with the Facility.</w:t>
      </w:r>
    </w:p>
    <w:p>
      <w:pPr>
        <w:spacing w:after="0" w:line="68"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Lender or its affiliates have in the past provided and may from time to time in the future provide, investment banking and other services to the Company.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Bluedot Acquisition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7" w:name="page148"/>
    <w:bookmarkEnd w:id="147"/>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February 4, 2025, the Company entered into a purchase agreement with DBLP Sea Cow Ltd (“DBLP”), to acquire the entire issued and to be issued share capital of each of Bluedot Industries, Inc. and Bluedot Industries Pty. Ltd. As consideration for this acquisition, the Company issued 819,737 ordinary shares of the Company to DBLP.</w:t>
      </w:r>
    </w:p>
    <w:p>
      <w:pPr>
        <w:spacing w:after="0" w:line="176"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and beneficially owned by John Wagner. Both Daniel Wagner and John Wagner are directors of DBLP.</w:t>
      </w:r>
    </w:p>
    <w:p>
      <w:pPr>
        <w:spacing w:after="0" w:line="5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March 17, 2025, the Company entered into a share purchase agreement with Tanist Group Limited (“Tanist Group”) pursuant to which the Company acquired 100% of the issued and outstanding shares of Bluedot Innovation Pty. Ltd. As consideration for this acquisition, the Company issued 1,941,111 ordinary shares of the Company to the Tanist Group.</w:t>
      </w:r>
    </w:p>
    <w:p>
      <w:pPr>
        <w:spacing w:after="0" w:line="68"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Bluedot Industries, Inc., Bluedot Industries Pty. Ltd.and Bluedot Innovation Pty. Ltd, together “Bluedot”, is a developer of mobile location technology to enhance customer experiences.</w:t>
      </w:r>
    </w:p>
    <w:p>
      <w:pPr>
        <w:spacing w:after="0" w:line="54"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On February 20, 2025 and March 17, 2025, the Company closed the Bluedot Acquisition and issued the above mentioned ordinary shares as consideration to DBLP and the Tanist Group, respectively.</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utilizes the services of an independent valuation consultant, along with estimates and assumptions determined by management, to estimate the fair value of the assets acquired and liabilities assumed. Given the timing of the Bluedot Acquisition, the assets acquired are still in process of being valued by an independent valuation consultant. The liabilities assumed are also preliminary until the contractual post-closing adjustments are finalized. The final determination of the fair value of assets acquired and liabilities assumed will be completed within the one-year measurement period as allowed by ASC 805. Therefore the initial accounting for this acquisition is incomplete as of the date of issuance of these consolidated financial statements.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acquisition of Bluedot was not deemed significant under Rule 3-05 of Regulation S-X (“Rule 3-05”).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11, 2025, the Company entered into a purchase agreement with GroupBy Inc., GroupBy International Ltd., and Fortis Advisors LLC, as the representative of the sellers party thereto (“the Sellers”), to acquire the entire issued and to be issued share capital of each of GroupBy Inc., GroupBy International Ltd., GroupBy USA Inc., and GroupBy UK Ltd (together “GroupBy”).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GroupBy is an eCommerce Search and Product Discovery SaaS technology provider that powers some of the largest B2B and B2C brands.</w:t>
      </w:r>
    </w:p>
    <w:p>
      <w:pPr>
        <w:spacing w:after="0" w:line="22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utilizes the services of an independent valuation consultant, along with estimates and assumptions determined by management, to estimate the fair value of the assets acquired and liabilities assumed. Given the timing of the GroupBy Acquisition, the assets acquired are still in process of being valued by an independent valuation consultant. The liabilities assumed are also preliminary until the contractual post-closing adjustments are finalized. The final determination of the fair value of assets acquired and liabilities assumed will be completed within the one-year measurement period as allowed by ASC 805. Therefore the initial accounting for this acquisition is incomplete as of the date of issuance of these consolidated financial statements.</w:t>
      </w:r>
    </w:p>
    <w:p>
      <w:pPr>
        <w:spacing w:after="0" w:line="183"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acquisition of GroupBy was deemed significant under Rule 3-05 and separate financial statements for GroupBy are included elsewhere in this prospectus.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11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On February 21, 2025, the Company entered into a Securities Purchase Agreement (the “SPA”) with each of the investors listed on the Schedule of Buyers attached thereto (the “Buyers”). Capitalized terms used but not defined herein shall have the meanings ascribed to them in the SPA or the form of Convertible Note (as defined below), as applicable.</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Pursuant to the SPA, the Company has agreed to sell to the Buyers up to $1 billion of Convertible Notes. The Company has agreed to use all of the proceeds it receives from the sale of the Convertible Notes to cause a newly formed, wholly owned subsidiary of the Company (the “New SPV Subsidiary”), to purchase and hold Bitcoin, subject to certain conditions being met, as set out in the terms of the Convertible Notes.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8" w:name="page149"/>
    <w:bookmarkEnd w:id="148"/>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Subject to the satisfaction or waiver of certain conditions to closing set forth in the SPA, the Company will initially sell $100 million of Convertible Notes (the “Initial Notes”) to the Buyers (the “Initial Closing”). In connection with the Initial Closing, the Company will also issue a number of ordinary shares (“Closing Commitment Shares”) of the Company, par value £0.0001 (“Ordinary Shares”) equal to the applicable Commitment Shares Calculation set forth in the SPA. The Closing Commitment Shares shall be purchased for a price of £0.0001 per Closing Commitment Share and shall be delivered to the Buyers as set forth in the Schedule of Buyers on the date the Closing Commitment Shares are registered for resale under the Securities Exchange Act of 1934, as amended.</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Subject to the satisfaction or waiver of certain conditions to closing set forth in the SPA, beginning on June 25, 2025 and until February 21, 2028, the Lead Buyer may cause the Company to participate in additional closings (each, an “Additional Closing”) for up to $900 million of additional Convertible Notes (the “Additional Notes” and, together with the Initial Notes, the “Convertible Notes”) with a conversion price equal to the 20-day VWAP of the Ordinary Shares on the date of the applicable Additional Closing. In connection with each Additional Closing, the Company will sell Additional Notes to the Buyers and issue a number of Ordinary Shares (“Additional Commitment Shares” and, together with Closing Commitment Shares, “Commitment Shares”) to the Buyers equal to the applicable Commitment Shares Calculation set forth in the SPA. The Additional Commitment Shares shall be purchased for a price of £0.0001 per Additional Commitment Share and shall be delivered to the Buyers on a pro rata basis upon the delivery of the Conversion Notice associated with the Additional Notes purchased at the respective Additional Closing.</w:t>
      </w:r>
    </w:p>
    <w:p>
      <w:pPr>
        <w:spacing w:after="0" w:line="19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Notwithstanding the foregoing, in the event that the Lead Buyer does not purchase any Additional Notes on or prior to the earlier of (i) the Company meeting the Equity Conditions or (ii) December 24, 2025, the Company may reduce the maximum number Additional Notes purchasable by the Buyers from $900 million to $500 million.</w:t>
      </w:r>
    </w:p>
    <w:p>
      <w:pPr>
        <w:spacing w:after="0" w:line="17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Each Convertible Note shall mature on the fifth anniversary of its issuance date, subject to acceleration through full redemption or conversion pursuant to its terms, and shall accrue interest at the Effective Federal Funds Rate. Upon the option of the Buyers, (i) the Initial Notes will be convertible into Ordinary Shares at a conversion price of $3 per share and (ii) the Additional Notes will be convertible into Ordinary Shares at a conversion price equal to the 20-day VWAP of the Ordinary Shares as of the date of the applicable Additional Closing on which such Additional Notes were purchased. The conversion price will be subject to adjustment as provided in the Convertible Notes if, so long as any Convertible Notes remain outstanding, the Company issues or sells, or is deemed to have issued or sold, any Ordinary Shares or other instruments convertible into Ordinary Shares at an Effective Issuance Price Per Ordinary Share less than the Conversion Price of the then-outstanding Convertible Notes.</w:t>
      </w:r>
    </w:p>
    <w:p>
      <w:pPr>
        <w:spacing w:after="0" w:line="189" w:lineRule="exact"/>
        <w:rPr>
          <w:sz w:val="20"/>
          <w:szCs w:val="20"/>
          <w:color w:val="auto"/>
        </w:rPr>
      </w:pPr>
    </w:p>
    <w:p>
      <w:pPr>
        <w:jc w:val="both"/>
        <w:ind w:right="640" w:firstLine="509"/>
        <w:spacing w:after="0" w:line="266" w:lineRule="auto"/>
        <w:rPr>
          <w:sz w:val="20"/>
          <w:szCs w:val="20"/>
          <w:color w:val="auto"/>
        </w:rPr>
      </w:pPr>
      <w:r>
        <w:rPr>
          <w:rFonts w:ascii="Times New Roman" w:cs="Times New Roman" w:eastAsia="Times New Roman" w:hAnsi="Times New Roman"/>
          <w:sz w:val="18"/>
          <w:szCs w:val="18"/>
          <w:color w:val="auto"/>
        </w:rPr>
        <w:t>The Convertible Notes will be guaranteed by the Company and all of its direct and indirect subsidiaries, including the New SPV Subsidiary. Additionally, the Convertible Notes will be secured by a first priority perfected security interest in (i) all of the Bitcoin purchased by the New SPV Subsidiary and (i) all remaining cash proceeds from the sale of the Convertible Notes held by the New SPV Subsidiary.</w:t>
      </w:r>
    </w:p>
    <w:p>
      <w:pPr>
        <w:spacing w:after="0" w:line="17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Initial Closing, the Company will enter into a Pledge Agreement and Registration Rights Agreement in favor of the Buyers. The Registration Rights Agreement will register for resale all of the Ordinary Shares issued upon conversion of the Convertible Notes and all of the Commitment Shares.</w:t>
      </w:r>
    </w:p>
    <w:p>
      <w:pPr>
        <w:spacing w:after="0" w:line="17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Convertible Notes contain customary events of default for similar financing transactions, but with sole recourse (save in the case of certain major events of default set forth in the Note) to the segregated accounts held by the New SPV Subsidiary and irrespective to the market price of Bitcoin. In the event Bitcoin trades above the value of the Convertible Notes, the value in excess of the Convertible Notes will be for the account of the Company. At any time after an event of default, the Convertible Notes will accrue interest at a rate equal to the then applicable interest rate plus 5.0% and the Buyers may accelerate or redeem the Convertible Notes, as set forth in the Convertible Notes.</w:t>
      </w:r>
    </w:p>
    <w:p>
      <w:pPr>
        <w:spacing w:after="0" w:line="183"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Certain of the Buyers or their affiliates have in the past provided and may from time to time in the future provide investment banking and other services to the Company.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Reduction of additional paid-in-capital</w:t>
      </w:r>
    </w:p>
    <w:p>
      <w:pPr>
        <w:spacing w:after="0" w:line="11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On February 26, 2025, the board of the directors of the Company passed a resolution to reduce the additional paid-in-capital of the Company by $200,000,000. A recapitalization occurred capitalizing $200,000,000 to accumulated deficit.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and other liabilities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9" w:name="page150"/>
    <w:bookmarkEnd w:id="149"/>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During the first quarter of 2025, the Company settled certain of its outstanding convertible debt through the issuance of ordinary shares and also issued additional ordinary shares to a subscriber under its advanced subscription agreement for ordinary shares. See note 7 for more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Agreements</w:t>
      </w:r>
    </w:p>
    <w:p>
      <w:pPr>
        <w:spacing w:after="0" w:line="223"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On July 24, 2025, Rezolve AI plc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securities purchase agreements (the “</w:t>
      </w:r>
      <w:r>
        <w:rPr>
          <w:rFonts w:ascii="Times New Roman" w:cs="Times New Roman" w:eastAsia="Times New Roman" w:hAnsi="Times New Roman"/>
          <w:sz w:val="18"/>
          <w:szCs w:val="18"/>
          <w:b w:val="1"/>
          <w:bCs w:val="1"/>
          <w:i w:val="1"/>
          <w:iCs w:val="1"/>
          <w:color w:val="auto"/>
        </w:rPr>
        <w:t>Purchase Agreements</w:t>
      </w:r>
      <w:r>
        <w:rPr>
          <w:rFonts w:ascii="Times New Roman" w:cs="Times New Roman" w:eastAsia="Times New Roman" w:hAnsi="Times New Roman"/>
          <w:sz w:val="18"/>
          <w:szCs w:val="18"/>
          <w:color w:val="auto"/>
        </w:rPr>
        <w:t>”) with certain investors (the “</w:t>
      </w:r>
      <w:r>
        <w:rPr>
          <w:rFonts w:ascii="Times New Roman" w:cs="Times New Roman" w:eastAsia="Times New Roman" w:hAnsi="Times New Roman"/>
          <w:sz w:val="18"/>
          <w:szCs w:val="18"/>
          <w:b w:val="1"/>
          <w:bCs w:val="1"/>
          <w:i w:val="1"/>
          <w:iCs w:val="1"/>
          <w:color w:val="auto"/>
        </w:rPr>
        <w:t>Purchasers</w:t>
      </w:r>
      <w:r>
        <w:rPr>
          <w:rFonts w:ascii="Times New Roman" w:cs="Times New Roman" w:eastAsia="Times New Roman" w:hAnsi="Times New Roman"/>
          <w:sz w:val="18"/>
          <w:szCs w:val="18"/>
          <w:color w:val="auto"/>
        </w:rPr>
        <w:t>”) pursuant to which the Company agreed to sell and issue to the Purchasers in a private placement offering (the “</w:t>
      </w:r>
      <w:r>
        <w:rPr>
          <w:rFonts w:ascii="Times New Roman" w:cs="Times New Roman" w:eastAsia="Times New Roman" w:hAnsi="Times New Roman"/>
          <w:sz w:val="18"/>
          <w:szCs w:val="18"/>
          <w:b w:val="1"/>
          <w:bCs w:val="1"/>
          <w:i w:val="1"/>
          <w:iCs w:val="1"/>
          <w:color w:val="auto"/>
        </w:rPr>
        <w:t>PIPE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Financing</w:t>
      </w:r>
      <w:r>
        <w:rPr>
          <w:rFonts w:ascii="Times New Roman" w:cs="Times New Roman" w:eastAsia="Times New Roman" w:hAnsi="Times New Roman"/>
          <w:sz w:val="18"/>
          <w:szCs w:val="18"/>
          <w:color w:val="auto"/>
        </w:rPr>
        <w:t>”) 20,000,000 ordinary shares, par value £0.0001 per share (the “</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at an offering price of $2.50 per Ordinary Share.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intends to use the net proceeds of the PIPE Financing for working capital, potential accretive M&amp;A opportunities, and general corporate purposes. A.G.P/Alliance Global Partners (“</w:t>
      </w:r>
      <w:r>
        <w:rPr>
          <w:rFonts w:ascii="Times New Roman" w:cs="Times New Roman" w:eastAsia="Times New Roman" w:hAnsi="Times New Roman"/>
          <w:sz w:val="18"/>
          <w:szCs w:val="18"/>
          <w:b w:val="1"/>
          <w:bCs w:val="1"/>
          <w:i w:val="1"/>
          <w:iCs w:val="1"/>
          <w:color w:val="auto"/>
        </w:rPr>
        <w:t>A.G.P</w:t>
      </w:r>
      <w:r>
        <w:rPr>
          <w:rFonts w:ascii="Times New Roman" w:cs="Times New Roman" w:eastAsia="Times New Roman" w:hAnsi="Times New Roman"/>
          <w:sz w:val="18"/>
          <w:szCs w:val="18"/>
          <w:color w:val="auto"/>
        </w:rPr>
        <w:t>”) acted as a placement agent in connection with the PIPE Financing.</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PIPE Financing closed on July 25, 2025, resulting in aggregate gross proceeds to the Company of $50 million, before deducting the placement agent’s fee and offering expenses payable by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Placement Agent Agreement</w:t>
      </w:r>
    </w:p>
    <w:p>
      <w:pPr>
        <w:spacing w:after="0" w:line="227"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18"/>
          <w:szCs w:val="18"/>
          <w:color w:val="auto"/>
        </w:rPr>
        <w:t>The Company also entered into a Placement Agent Agreement with A.G.P dated July 24, 2025, pursuant to which A.G.P agreed to serve as placement agent for the Company in connection with the PIPE Financing. The Company agreed to pay A.G.P a cash fee equal to 7.0% of the gross cash proceeds received in the PIPE Financing; however, A.G.P. agreed to apply a credit to the Company equal to 3.5% of the aggregate participation from certain of the Purchasers. In addition, the Company agreed to reimburse A.G.P for up to $120,000 of its legal fees and other out-of-pocket expenses in connection with the PIPE Financing as well as non-accountable expenses incurred by A.G.P for up to $10,000 in connection with the PIPE Financing.</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0" w:name="page151"/>
    <w:bookmarkEnd w:id="15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the Board of Directors and Shareholders of GroupBy Group of Companies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combined consolidated financial statements of GroupBy Group of Companies, which comprise the balance sheets as of December 31, 2024 and December 31, 2023, and the related statements of loss and other comprehensive loss, changes in deficit, and cash flows for the years then ended, and the related notes to the combined consolidated financial statements, including a summary of material accounting policies.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combined consolidated financial statements referred to above present fairly, in all material respects, the financial position of GroupBy Group of Companies as of December 31, 2024 and December 31, 2023, and the results of its operations and its cash flows for the years then ended in accordance with IFRS® Accounting Standards as issued by the International Accounting Standards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Our responsibilities under those standards are further described in the Auditor’s Responsibilities for the Audit of the Combined Consolidated Financial Statements section of our report. We are required to be independent of GroupBy Group of Companies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Uncertainty Related to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draw attention to Note 3 in the combined consolidated financial statements, which indicated that GroupBy Group of Companies incurred a net loss during the years ended December 31, 2024 and December 31, 2023, and as of those dates, GroupBy Group of Companies’ current liabilities exceeded its total assets. As stated in Note 3, these events or conditions, along with other matters as set forth in Note 3, indicate that material uncertainty exists that casts significant doubt on GroupBy Group of Companies’ ability to continue as a going concern. Our opinion is not modified in respect of this matter.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Combined Consolidated Financial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combined consolidated financial statements in accordance with IFRS Accounting Standards as issued by the International Accounting Standards Board, and for the design, implementation, and maintenance of internal control relevant to the preparation and fair presentation of combined consolidated financial statements that are free from material misstatement, whether due to fraud or error.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preparing the combined consolidated financial statements, management is required to evaluate whether there are conditions or events, considered in the aggregate, that raise substantial doubt about GroupBy Group of Companies’ ability to continue as a going concern within one year after the date that the combined consolidated financial statements are available to be 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Responsibilities for the Audit of the Combined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combined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generally accepted auditing standards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combined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performing an audit in accordance with generally accepted auditing standards, we:</w:t>
      </w:r>
    </w:p>
    <w:p>
      <w:pPr>
        <w:spacing w:after="0" w:line="117" w:lineRule="exact"/>
        <w:rPr>
          <w:sz w:val="20"/>
          <w:szCs w:val="20"/>
          <w:color w:val="auto"/>
        </w:rPr>
      </w:pPr>
    </w:p>
    <w:p>
      <w:pPr>
        <w:ind w:left="5460" w:right="3640" w:hanging="4943"/>
        <w:spacing w:after="0" w:line="407" w:lineRule="auto"/>
        <w:tabs>
          <w:tab w:leader="none" w:pos="107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 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1" w:name="page152"/>
    <w:bookmarkEnd w:id="151"/>
    <w:p>
      <w:pPr>
        <w:ind w:left="1020" w:right="220" w:hanging="503"/>
        <w:spacing w:after="0" w:line="266" w:lineRule="auto"/>
        <w:tabs>
          <w:tab w:leader="none" w:pos="1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combined consolidated financial statements, whether due to fraud or error, and design and perform audit procedures responsive to those risks. Such procedures include examining, on a test basis, evidence regarding the amounts and disclosures in the combined consolidated financial statements.</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GroupBy Group of Companies’ internal control. Accordingly, no such opinion is expressed.</w:t>
      </w:r>
    </w:p>
    <w:p>
      <w:pPr>
        <w:spacing w:after="0" w:line="6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combined consolidated financial statements.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GroupBy Group of Companies’ ability to continue as a going concern for a reasonable period of time.We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MNP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Public Accountants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14, 2025</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CONSOLIDATED STATEMENT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6,482,298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3,376,896</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Accounts receivable </w:t>
            </w:r>
            <w:r>
              <w:rPr>
                <w:rFonts w:ascii="Times New Roman" w:cs="Times New Roman" w:eastAsia="Times New Roman" w:hAnsi="Times New Roman"/>
                <w:sz w:val="18"/>
                <w:szCs w:val="18"/>
                <w:i w:val="1"/>
                <w:iCs w:val="1"/>
                <w:color w:val="auto"/>
              </w:rPr>
              <w:t>(Note 5, Note 15)</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1,148,861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1,594,710</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Investment tax credits receivable </w:t>
            </w:r>
            <w:r>
              <w:rPr>
                <w:rFonts w:ascii="Times New Roman" w:cs="Times New Roman" w:eastAsia="Times New Roman" w:hAnsi="Times New Roman"/>
                <w:sz w:val="18"/>
                <w:szCs w:val="18"/>
                <w:i w:val="1"/>
                <w:iCs w:val="1"/>
                <w:color w:val="auto"/>
              </w:rPr>
              <w:t>(Note 7)</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148,630</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Prepaid expenses and deposits </w:t>
            </w:r>
            <w:r>
              <w:rPr>
                <w:rFonts w:ascii="Times New Roman" w:cs="Times New Roman" w:eastAsia="Times New Roman" w:hAnsi="Times New Roman"/>
                <w:sz w:val="18"/>
                <w:szCs w:val="18"/>
                <w:i w:val="1"/>
                <w:iCs w:val="1"/>
                <w:color w:val="auto"/>
              </w:rPr>
              <w:t>(Note 19)</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1,146,327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1,153,536</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Income taxes receivable</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222,222</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8,999,708</w:t>
            </w: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6,273,772</w:t>
            </w:r>
          </w:p>
        </w:tc>
        <w:tc>
          <w:tcPr>
            <w:tcW w:w="100" w:type="dxa"/>
            <w:vAlign w:val="bottom"/>
            <w:tcBorders>
              <w:top w:val="single" w:sz="8" w:color="CFF0FC"/>
            </w:tcBorders>
          </w:tcPr>
          <w:p>
            <w:pPr>
              <w:spacing w:after="0"/>
              <w:rPr>
                <w:sz w:val="18"/>
                <w:szCs w:val="18"/>
                <w:color w:val="auto"/>
              </w:rPr>
            </w:pPr>
          </w:p>
        </w:tc>
      </w:tr>
      <w:tr>
        <w:trPr>
          <w:trHeight w:val="210"/>
        </w:trPr>
        <w:tc>
          <w:tcPr>
            <w:tcW w:w="6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Property and equipment </w:t>
            </w:r>
            <w:r>
              <w:rPr>
                <w:rFonts w:ascii="Times New Roman" w:cs="Times New Roman" w:eastAsia="Times New Roman" w:hAnsi="Times New Roman"/>
                <w:sz w:val="18"/>
                <w:szCs w:val="18"/>
                <w:i w:val="1"/>
                <w:iCs w:val="1"/>
                <w:color w:val="auto"/>
              </w:rPr>
              <w:t>(Note 6)</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153,818</w:t>
            </w:r>
          </w:p>
        </w:tc>
        <w:tc>
          <w:tcPr>
            <w:tcW w:w="100" w:type="dxa"/>
            <w:vAlign w:val="bottom"/>
          </w:tcPr>
          <w:p>
            <w:pPr>
              <w:spacing w:after="0"/>
              <w:rPr>
                <w:sz w:val="18"/>
                <w:szCs w:val="18"/>
                <w:color w:val="auto"/>
              </w:rPr>
            </w:pPr>
          </w:p>
        </w:tc>
      </w:tr>
      <w:tr>
        <w:trPr>
          <w:trHeight w:val="216"/>
        </w:trPr>
        <w:tc>
          <w:tcPr>
            <w:tcW w:w="61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Right-of-use asset </w:t>
            </w:r>
            <w:r>
              <w:rPr>
                <w:rFonts w:ascii="Times New Roman" w:cs="Times New Roman" w:eastAsia="Times New Roman" w:hAnsi="Times New Roman"/>
                <w:sz w:val="18"/>
                <w:szCs w:val="18"/>
                <w:i w:val="1"/>
                <w:iCs w:val="1"/>
                <w:color w:val="auto"/>
              </w:rPr>
              <w:t>(Note 8)</w:t>
            </w:r>
          </w:p>
        </w:tc>
        <w:tc>
          <w:tcPr>
            <w:tcW w:w="16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174,568</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174,568</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374,938</w:t>
            </w:r>
          </w:p>
        </w:tc>
        <w:tc>
          <w:tcPr>
            <w:tcW w:w="100" w:type="dxa"/>
            <w:vAlign w:val="bottom"/>
          </w:tcPr>
          <w:p>
            <w:pPr>
              <w:spacing w:after="0"/>
              <w:rPr>
                <w:sz w:val="18"/>
                <w:szCs w:val="18"/>
                <w:color w:val="auto"/>
              </w:rPr>
            </w:pPr>
          </w:p>
        </w:tc>
      </w:tr>
      <w:tr>
        <w:trPr>
          <w:trHeight w:val="25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9,174,276</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6,648,710</w:t>
            </w:r>
          </w:p>
        </w:tc>
        <w:tc>
          <w:tcPr>
            <w:tcW w:w="100" w:type="dxa"/>
            <w:vAlign w:val="bottom"/>
            <w:shd w:val="clear" w:color="auto" w:fill="CFF0FC"/>
          </w:tcPr>
          <w:p>
            <w:pPr>
              <w:spacing w:after="0"/>
              <w:rPr>
                <w:sz w:val="21"/>
                <w:szCs w:val="21"/>
                <w:color w:val="auto"/>
              </w:rPr>
            </w:pPr>
          </w:p>
        </w:tc>
      </w:tr>
      <w:tr>
        <w:trPr>
          <w:trHeight w:val="196"/>
        </w:trPr>
        <w:tc>
          <w:tcPr>
            <w:tcW w:w="61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Bank indebtedness </w:t>
            </w:r>
            <w:r>
              <w:rPr>
                <w:rFonts w:ascii="Times New Roman" w:cs="Times New Roman" w:eastAsia="Times New Roman" w:hAnsi="Times New Roman"/>
                <w:sz w:val="18"/>
                <w:szCs w:val="18"/>
                <w:i w:val="1"/>
                <w:iCs w:val="1"/>
                <w:color w:val="auto"/>
              </w:rPr>
              <w:t>(Note 9)</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Accounts Payable and accrued liabilities </w:t>
            </w:r>
            <w:r>
              <w:rPr>
                <w:rFonts w:ascii="Times New Roman" w:cs="Times New Roman" w:eastAsia="Times New Roman" w:hAnsi="Times New Roman"/>
                <w:sz w:val="18"/>
                <w:szCs w:val="18"/>
                <w:i w:val="1"/>
                <w:iCs w:val="1"/>
                <w:color w:val="auto"/>
              </w:rPr>
              <w:t>(Note 10, Note 15)</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21,598,041</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10,416,166</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216,876</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Deferred revenue </w:t>
            </w:r>
            <w:r>
              <w:rPr>
                <w:rFonts w:ascii="Times New Roman" w:cs="Times New Roman" w:eastAsia="Times New Roman" w:hAnsi="Times New Roman"/>
                <w:sz w:val="18"/>
                <w:szCs w:val="18"/>
                <w:i w:val="1"/>
                <w:iCs w:val="1"/>
                <w:color w:val="auto"/>
              </w:rPr>
              <w:t>(Note 19)</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8,584,886</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8,118,419</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Current portion of lease liabilities </w:t>
            </w:r>
            <w:r>
              <w:rPr>
                <w:rFonts w:ascii="Times New Roman" w:cs="Times New Roman" w:eastAsia="Times New Roman" w:hAnsi="Times New Roman"/>
                <w:sz w:val="18"/>
                <w:szCs w:val="18"/>
                <w:i w:val="1"/>
                <w:iCs w:val="1"/>
                <w:color w:val="auto"/>
              </w:rPr>
              <w:t>(Note 8)</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43,069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36,137</w:t>
            </w:r>
          </w:p>
        </w:tc>
        <w:tc>
          <w:tcPr>
            <w:tcW w:w="100" w:type="dxa"/>
            <w:vAlign w:val="bottom"/>
          </w:tcPr>
          <w:p>
            <w:pPr>
              <w:spacing w:after="0"/>
              <w:rPr>
                <w:sz w:val="18"/>
                <w:szCs w:val="18"/>
                <w:color w:val="auto"/>
              </w:rPr>
            </w:pPr>
          </w:p>
        </w:tc>
      </w:tr>
      <w:tr>
        <w:trPr>
          <w:trHeight w:val="216"/>
        </w:trPr>
        <w:tc>
          <w:tcPr>
            <w:tcW w:w="61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Warrant liability </w:t>
            </w:r>
            <w:r>
              <w:rPr>
                <w:rFonts w:ascii="Times New Roman" w:cs="Times New Roman" w:eastAsia="Times New Roman" w:hAnsi="Times New Roman"/>
                <w:sz w:val="18"/>
                <w:szCs w:val="18"/>
                <w:i w:val="1"/>
                <w:iCs w:val="1"/>
                <w:color w:val="auto"/>
              </w:rPr>
              <w:t>(Note 11)</w:t>
            </w:r>
          </w:p>
        </w:tc>
        <w:tc>
          <w:tcPr>
            <w:tcW w:w="16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20,149</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42,246,145</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30,823,750</w:t>
            </w:r>
          </w:p>
        </w:tc>
        <w:tc>
          <w:tcPr>
            <w:tcW w:w="100" w:type="dxa"/>
            <w:vAlign w:val="bottom"/>
          </w:tcPr>
          <w:p>
            <w:pPr>
              <w:spacing w:after="0"/>
              <w:rPr>
                <w:sz w:val="18"/>
                <w:szCs w:val="18"/>
                <w:color w:val="auto"/>
              </w:rPr>
            </w:pP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Lease liabilities </w:t>
            </w:r>
            <w:r>
              <w:rPr>
                <w:rFonts w:ascii="Times New Roman" w:cs="Times New Roman" w:eastAsia="Times New Roman" w:hAnsi="Times New Roman"/>
                <w:sz w:val="18"/>
                <w:szCs w:val="18"/>
                <w:i w:val="1"/>
                <w:iCs w:val="1"/>
                <w:color w:val="auto"/>
              </w:rPr>
              <w:t>(Note 8)</w:t>
            </w:r>
          </w:p>
        </w:tc>
        <w:tc>
          <w:tcPr>
            <w:tcW w:w="1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148,945</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188,969</w:t>
            </w:r>
          </w:p>
        </w:tc>
        <w:tc>
          <w:tcPr>
            <w:tcW w:w="100" w:type="dxa"/>
            <w:vAlign w:val="bottom"/>
          </w:tcPr>
          <w:p>
            <w:pPr>
              <w:spacing w:after="0"/>
              <w:rPr>
                <w:sz w:val="18"/>
                <w:szCs w:val="18"/>
                <w:color w:val="auto"/>
              </w:rPr>
            </w:pPr>
          </w:p>
        </w:tc>
      </w:tr>
      <w:tr>
        <w:trPr>
          <w:trHeight w:val="25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42,395,090</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31,012,719</w:t>
            </w:r>
          </w:p>
        </w:tc>
        <w:tc>
          <w:tcPr>
            <w:tcW w:w="100" w:type="dxa"/>
            <w:vAlign w:val="bottom"/>
            <w:shd w:val="clear" w:color="auto" w:fill="CFF0FC"/>
          </w:tcPr>
          <w:p>
            <w:pPr>
              <w:spacing w:after="0"/>
              <w:rPr>
                <w:sz w:val="21"/>
                <w:szCs w:val="21"/>
                <w:color w:val="auto"/>
              </w:rPr>
            </w:pPr>
          </w:p>
        </w:tc>
      </w:tr>
      <w:tr>
        <w:trPr>
          <w:trHeight w:val="197"/>
        </w:trPr>
        <w:tc>
          <w:tcPr>
            <w:tcW w:w="61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Contingencies </w:t>
            </w:r>
            <w:r>
              <w:rPr>
                <w:rFonts w:ascii="Times New Roman" w:cs="Times New Roman" w:eastAsia="Times New Roman" w:hAnsi="Times New Roman"/>
                <w:sz w:val="18"/>
                <w:szCs w:val="18"/>
                <w:i w:val="1"/>
                <w:iCs w:val="1"/>
                <w:color w:val="auto"/>
              </w:rPr>
              <w:t>(Note 21)</w:t>
            </w:r>
          </w:p>
        </w:tc>
        <w:tc>
          <w:tcPr>
            <w:tcW w:w="16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Share capital </w:t>
            </w:r>
            <w:r>
              <w:rPr>
                <w:rFonts w:ascii="Times New Roman" w:cs="Times New Roman" w:eastAsia="Times New Roman" w:hAnsi="Times New Roman"/>
                <w:sz w:val="18"/>
                <w:szCs w:val="18"/>
                <w:i w:val="1"/>
                <w:iCs w:val="1"/>
                <w:color w:val="auto"/>
              </w:rPr>
              <w:t>(Note 13)</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14,005,728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14,005,728</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Warrants </w:t>
            </w:r>
            <w:r>
              <w:rPr>
                <w:rFonts w:ascii="Times New Roman" w:cs="Times New Roman" w:eastAsia="Times New Roman" w:hAnsi="Times New Roman"/>
                <w:sz w:val="18"/>
                <w:szCs w:val="18"/>
                <w:i w:val="1"/>
                <w:iCs w:val="1"/>
                <w:color w:val="auto"/>
              </w:rPr>
              <w:t>(Note 14)</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4,678,728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4,678,728</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Deficit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(58,196,350)</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(49,263,493)</w:t>
            </w:r>
          </w:p>
        </w:tc>
      </w:tr>
      <w:tr>
        <w:trPr>
          <w:trHeight w:val="216"/>
        </w:trPr>
        <w:tc>
          <w:tcPr>
            <w:tcW w:w="61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Contributed surplus </w:t>
            </w:r>
            <w:r>
              <w:rPr>
                <w:rFonts w:ascii="Times New Roman" w:cs="Times New Roman" w:eastAsia="Times New Roman" w:hAnsi="Times New Roman"/>
                <w:sz w:val="18"/>
                <w:szCs w:val="18"/>
                <w:i w:val="1"/>
                <w:iCs w:val="1"/>
                <w:color w:val="auto"/>
              </w:rPr>
              <w:t>(Note 20)</w:t>
            </w:r>
          </w:p>
        </w:tc>
        <w:tc>
          <w:tcPr>
            <w:tcW w:w="16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6,291,080</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6,215,028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(33,220,814)</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(24,364,009)</w:t>
            </w:r>
          </w:p>
        </w:tc>
      </w:tr>
      <w:tr>
        <w:trPr>
          <w:trHeight w:val="20"/>
        </w:trPr>
        <w:tc>
          <w:tcPr>
            <w:tcW w:w="6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9,174,276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6,648,710</w:t>
            </w:r>
          </w:p>
        </w:tc>
        <w:tc>
          <w:tcPr>
            <w:tcW w:w="100" w:type="dxa"/>
            <w:vAlign w:val="bottom"/>
            <w:shd w:val="clear" w:color="auto" w:fill="CFF0FC"/>
          </w:tcPr>
          <w:p>
            <w:pPr>
              <w:spacing w:after="0"/>
              <w:rPr>
                <w:sz w:val="19"/>
                <w:szCs w:val="19"/>
                <w:color w:val="auto"/>
              </w:rPr>
            </w:pPr>
          </w:p>
        </w:tc>
      </w:tr>
      <w:tr>
        <w:trPr>
          <w:trHeight w:val="20"/>
        </w:trPr>
        <w:tc>
          <w:tcPr>
            <w:tcW w:w="612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-3719830</wp:posOffset>
            </wp:positionV>
            <wp:extent cx="7747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-3719830</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-3154045</wp:posOffset>
            </wp:positionV>
            <wp:extent cx="7747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-2862580</wp:posOffset>
            </wp:positionV>
            <wp:extent cx="7747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-2845435</wp:posOffset>
            </wp:positionV>
            <wp:extent cx="7747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-2862580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-1739265</wp:posOffset>
            </wp:positionV>
            <wp:extent cx="7747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-1165225</wp:posOffset>
            </wp:positionV>
            <wp:extent cx="7747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-1148080</wp:posOffset>
            </wp:positionV>
            <wp:extent cx="7747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-316865</wp:posOffset>
            </wp:positionV>
            <wp:extent cx="7747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7747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7747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3" w:name="page154"/>
    <w:bookmarkEnd w:id="153"/>
    <w:p>
      <w:pPr>
        <w:ind w:left="4100"/>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COMBINED 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i w:val="1"/>
                <w:iCs w:val="1"/>
                <w:color w:val="auto"/>
              </w:rPr>
              <w:t>(Note 19)</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18,890,934</w:t>
            </w: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19,848,821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Costs of sales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11,874,137</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9,596,739</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7,016,797</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10,252,082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18"/>
                <w:szCs w:val="18"/>
                <w:i w:val="1"/>
                <w:iCs w:val="1"/>
                <w:color w:val="auto"/>
              </w:rPr>
              <w:t>(Note 7)</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6,835,367</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7,096,165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18"/>
                <w:szCs w:val="18"/>
                <w:i w:val="1"/>
                <w:iCs w:val="1"/>
                <w:color w:val="auto"/>
              </w:rPr>
              <w:t>(Note 19)</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4,906,824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4,158,183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General and administration </w:t>
            </w:r>
            <w:r>
              <w:rPr>
                <w:rFonts w:ascii="Times New Roman" w:cs="Times New Roman" w:eastAsia="Times New Roman" w:hAnsi="Times New Roman"/>
                <w:sz w:val="18"/>
                <w:szCs w:val="18"/>
                <w:i w:val="1"/>
                <w:iCs w:val="1"/>
                <w:color w:val="auto"/>
              </w:rPr>
              <w:t>(Note 12, Note 15, Note 16)</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2,789,811</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3,010,741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8"/>
                <w:szCs w:val="18"/>
                <w:i w:val="1"/>
                <w:iCs w:val="1"/>
                <w:color w:val="auto"/>
              </w:rPr>
              <w:t>(Note 6, Note 8)</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200,370</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136,194</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14,732,372</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14,401,283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the undernoted</w:t>
            </w: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(7,715,575)</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(4,149,201)</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expenses (income)</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and accretion </w:t>
            </w:r>
            <w:r>
              <w:rPr>
                <w:rFonts w:ascii="Times New Roman" w:cs="Times New Roman" w:eastAsia="Times New Roman" w:hAnsi="Times New Roman"/>
                <w:sz w:val="18"/>
                <w:szCs w:val="18"/>
                <w:i w:val="1"/>
                <w:iCs w:val="1"/>
                <w:color w:val="auto"/>
              </w:rPr>
              <w:t>(Note 8, Note 9)</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1,152,396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1,147,970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47,365</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87,320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Gain on revaluation of warrant liability </w:t>
            </w:r>
            <w:r>
              <w:rPr>
                <w:rFonts w:ascii="Times New Roman" w:cs="Times New Roman" w:eastAsia="Times New Roman" w:hAnsi="Times New Roman"/>
                <w:sz w:val="18"/>
                <w:szCs w:val="18"/>
                <w:i w:val="1"/>
                <w:iCs w:val="1"/>
                <w:color w:val="auto"/>
              </w:rPr>
              <w:t>(Note 11)</w:t>
            </w: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(16,003)</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(7,474)</w:t>
            </w: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1,183,758</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1,227,816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(8,899,333)</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(5,377,017)</w:t>
            </w: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Provision for income taxes </w:t>
            </w:r>
            <w:r>
              <w:rPr>
                <w:rFonts w:ascii="Times New Roman" w:cs="Times New Roman" w:eastAsia="Times New Roman" w:hAnsi="Times New Roman"/>
                <w:sz w:val="18"/>
                <w:szCs w:val="18"/>
                <w:i w:val="1"/>
                <w:iCs w:val="1"/>
                <w:color w:val="auto"/>
              </w:rPr>
              <w:t>(Note 18)</w:t>
            </w: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33,524</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(8,932,857)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(5,697,931)</w:t>
            </w:r>
          </w:p>
        </w:tc>
      </w:tr>
      <w:tr>
        <w:trPr>
          <w:trHeight w:val="20"/>
        </w:trPr>
        <w:tc>
          <w:tcPr>
            <w:tcW w:w="7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-2133600</wp:posOffset>
            </wp:positionV>
            <wp:extent cx="7683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-1293495</wp:posOffset>
            </wp:positionV>
            <wp:extent cx="7683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-454025</wp:posOffset>
            </wp:positionV>
            <wp:extent cx="7683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7683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CONSOLIDATED STATEMENTS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Contributed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14,005,728</w:t>
            </w:r>
          </w:p>
        </w:tc>
        <w:tc>
          <w:tcPr>
            <w:tcW w:w="30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4,678,728</w:t>
            </w:r>
          </w:p>
        </w:tc>
        <w:tc>
          <w:tcPr>
            <w:tcW w:w="32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6,085,161</w:t>
            </w:r>
          </w:p>
        </w:tc>
        <w:tc>
          <w:tcPr>
            <w:tcW w:w="3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(43,565,562)</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(18,795,945)</w:t>
            </w: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(5,697,931)</w:t>
            </w:r>
          </w:p>
        </w:tc>
        <w:tc>
          <w:tcPr>
            <w:tcW w:w="10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(5,697,931)</w:t>
            </w:r>
          </w:p>
        </w:tc>
        <w:tc>
          <w:tcPr>
            <w:tcW w:w="0" w:type="dxa"/>
            <w:vAlign w:val="bottom"/>
          </w:tcPr>
          <w:p>
            <w:pPr>
              <w:spacing w:after="0"/>
              <w:rPr>
                <w:sz w:val="1"/>
                <w:szCs w:val="1"/>
                <w:color w:val="auto"/>
              </w:rPr>
            </w:pPr>
          </w:p>
        </w:tc>
      </w:tr>
      <w:tr>
        <w:trPr>
          <w:trHeight w:val="149"/>
        </w:trPr>
        <w:tc>
          <w:tcPr>
            <w:tcW w:w="53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 xml:space="preserve">Recognition of share-based payments </w:t>
            </w:r>
            <w:r>
              <w:rPr>
                <w:rFonts w:ascii="Times New Roman" w:cs="Times New Roman" w:eastAsia="Times New Roman" w:hAnsi="Times New Roman"/>
                <w:sz w:val="14"/>
                <w:szCs w:val="14"/>
                <w:i w:val="1"/>
                <w:iCs w:val="1"/>
                <w:color w:val="auto"/>
              </w:rPr>
              <w:t>(Note 12)</w:t>
            </w:r>
          </w:p>
        </w:tc>
        <w:tc>
          <w:tcPr>
            <w:tcW w:w="18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129,867</w:t>
            </w: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129,867</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14,005,728</w:t>
            </w:r>
          </w:p>
        </w:tc>
        <w:tc>
          <w:tcPr>
            <w:tcW w:w="30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4,678,728</w:t>
            </w:r>
          </w:p>
        </w:tc>
        <w:tc>
          <w:tcPr>
            <w:tcW w:w="32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6,215,028</w:t>
            </w:r>
          </w:p>
        </w:tc>
        <w:tc>
          <w:tcPr>
            <w:tcW w:w="3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(49,263,493)</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(24,364,009)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(8,932,857)</w:t>
            </w:r>
          </w:p>
        </w:tc>
        <w:tc>
          <w:tcPr>
            <w:tcW w:w="1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(8,932,857)</w:t>
            </w: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 xml:space="preserve">Recognition of share-based payments </w:t>
            </w:r>
            <w:r>
              <w:rPr>
                <w:rFonts w:ascii="Times New Roman" w:cs="Times New Roman" w:eastAsia="Times New Roman" w:hAnsi="Times New Roman"/>
                <w:sz w:val="14"/>
                <w:szCs w:val="14"/>
                <w:i w:val="1"/>
                <w:iCs w:val="1"/>
                <w:color w:val="auto"/>
              </w:rPr>
              <w:t>(Note 12)</w:t>
            </w: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76,052</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76,052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14,005,728</w:t>
            </w:r>
          </w:p>
        </w:tc>
        <w:tc>
          <w:tcPr>
            <w:tcW w:w="30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4,678,728</w:t>
            </w:r>
          </w:p>
        </w:tc>
        <w:tc>
          <w:tcPr>
            <w:tcW w:w="32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6,291,080</w:t>
            </w:r>
          </w:p>
        </w:tc>
        <w:tc>
          <w:tcPr>
            <w:tcW w:w="3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(58,196,350)</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(33,220,814)</w:t>
            </w:r>
          </w:p>
        </w:tc>
        <w:tc>
          <w:tcPr>
            <w:tcW w:w="0" w:type="dxa"/>
            <w:vAlign w:val="bottom"/>
          </w:tcPr>
          <w:p>
            <w:pPr>
              <w:spacing w:after="0"/>
              <w:rPr>
                <w:sz w:val="1"/>
                <w:szCs w:val="1"/>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-410845</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-410845</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-410845</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-410845</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7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for) the following activities</w:t>
            </w:r>
          </w:p>
        </w:tc>
        <w:tc>
          <w:tcPr>
            <w:tcW w:w="17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(8,932,857)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(5,697,931)</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76,052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129,867</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lease liabilities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200,369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136,194</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foreign exchange loss (gain)</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(3,044)</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Gain on revaluation of warrant liability</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(16,004)</w:t>
            </w:r>
          </w:p>
        </w:tc>
        <w:tc>
          <w:tcPr>
            <w:tcW w:w="1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(7,474)</w:t>
            </w: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working capital accounts: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445,850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2,383,829</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tax credits receivable</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148,630</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(122,766)</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 (net)</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(439,098)</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192,488</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7,209</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(147,724)</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10,415,075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720,304</w:t>
            </w:r>
          </w:p>
        </w:tc>
        <w:tc>
          <w:tcPr>
            <w:tcW w:w="120" w:type="dxa"/>
            <w:vAlign w:val="bottom"/>
          </w:tcPr>
          <w:p>
            <w:pPr>
              <w:spacing w:after="0"/>
              <w:rPr>
                <w:sz w:val="18"/>
                <w:szCs w:val="18"/>
                <w:color w:val="auto"/>
              </w:rPr>
            </w:pPr>
          </w:p>
        </w:tc>
      </w:tr>
      <w:tr>
        <w:trPr>
          <w:trHeight w:val="216"/>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7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1,233,267</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3,264,176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3,135,449</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853,653</w:t>
            </w:r>
          </w:p>
        </w:tc>
        <w:tc>
          <w:tcPr>
            <w:tcW w:w="120" w:type="dxa"/>
            <w:vAlign w:val="bottom"/>
          </w:tcPr>
          <w:p>
            <w:pPr>
              <w:spacing w:after="0"/>
              <w:rPr>
                <w:sz w:val="18"/>
                <w:szCs w:val="18"/>
                <w:color w:val="auto"/>
              </w:rPr>
            </w:pP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Advances of bank indebtedness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of lease liabilities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(30,047)</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(90,630)</w:t>
            </w:r>
          </w:p>
        </w:tc>
      </w:tr>
      <w:tr>
        <w:trPr>
          <w:trHeight w:val="20"/>
        </w:trPr>
        <w:tc>
          <w:tcPr>
            <w:tcW w:w="5700" w:type="dxa"/>
            <w:vAlign w:val="bottom"/>
            <w:shd w:val="clear" w:color="auto" w:fill="CFF0FC"/>
          </w:tcPr>
          <w:p>
            <w:pPr>
              <w:spacing w:after="0" w:line="20" w:lineRule="exact"/>
              <w:rPr>
                <w:sz w:val="1"/>
                <w:szCs w:val="1"/>
                <w:color w:val="auto"/>
              </w:rPr>
            </w:pPr>
          </w:p>
        </w:tc>
        <w:tc>
          <w:tcPr>
            <w:tcW w:w="17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(30,047)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1,909,370</w:t>
            </w:r>
          </w:p>
        </w:tc>
        <w:tc>
          <w:tcPr>
            <w:tcW w:w="120" w:type="dxa"/>
            <w:vAlign w:val="bottom"/>
          </w:tcPr>
          <w:p>
            <w:pPr>
              <w:spacing w:after="0"/>
              <w:rPr>
                <w:sz w:val="18"/>
                <w:szCs w:val="18"/>
                <w:color w:val="auto"/>
              </w:rPr>
            </w:pP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(32,373)</w:t>
            </w:r>
          </w:p>
        </w:tc>
      </w:tr>
      <w:tr>
        <w:trPr>
          <w:trHeight w:val="216"/>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17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(32,093)</w:t>
            </w: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Increase in cash</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3,105,402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2,730,930</w:t>
            </w: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year</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3,376,896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645,966</w:t>
            </w:r>
          </w:p>
        </w:tc>
        <w:tc>
          <w:tcPr>
            <w:tcW w:w="120" w:type="dxa"/>
            <w:vAlign w:val="bottom"/>
          </w:tcPr>
          <w:p>
            <w:pPr>
              <w:spacing w:after="0"/>
              <w:rPr>
                <w:sz w:val="18"/>
                <w:szCs w:val="18"/>
                <w:color w:val="auto"/>
              </w:rPr>
            </w:pPr>
          </w:p>
        </w:tc>
      </w:tr>
      <w:tr>
        <w:trPr>
          <w:trHeight w:val="210"/>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end of year</w:t>
            </w:r>
          </w:p>
        </w:tc>
        <w:tc>
          <w:tcPr>
            <w:tcW w:w="19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6,482,298</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3,376,896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additions to right-of-use assets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(232,758)</w:t>
            </w:r>
          </w:p>
        </w:tc>
      </w:tr>
      <w:tr>
        <w:trPr>
          <w:trHeight w:val="238"/>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Non-cash additions to lease liabilities</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232,758</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-2139315</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-2139315</wp:posOffset>
            </wp:positionV>
            <wp:extent cx="7747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-1573530</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-1573530</wp:posOffset>
            </wp:positionV>
            <wp:extent cx="7747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-1007745</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-1007745</wp:posOffset>
            </wp:positionV>
            <wp:extent cx="7747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-433705</wp:posOffset>
            </wp:positionV>
            <wp:extent cx="6858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-433705</wp:posOffset>
            </wp:positionV>
            <wp:extent cx="7747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6" w:name="page157"/>
    <w:bookmarkEnd w:id="15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COMBINED CONSOLIDIDATED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For the year ended December 31, 2024</w:t>
      </w:r>
    </w:p>
    <w:p>
      <w:pPr>
        <w:spacing w:after="0" w:line="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218" w:lineRule="exact"/>
        <w:rPr>
          <w:sz w:val="20"/>
          <w:szCs w:val="20"/>
          <w:color w:val="auto"/>
        </w:rPr>
      </w:pPr>
    </w:p>
    <w:p>
      <w:pPr>
        <w:ind w:left="520" w:hanging="512"/>
        <w:spacing w:after="0"/>
        <w:tabs>
          <w:tab w:leader="none" w:pos="52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GroupBy Group of Companies (the “Group”) provides e-commerce software solutions that help their customers better connect with their customers by creating a more relevant user experience.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principal and registered address of the Group’s registered office is 250 The Esplanade, Suite 500, Toronto, ON M5A 4J6.</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0" w:hanging="512"/>
        <w:spacing w:after="0"/>
        <w:tabs>
          <w:tab w:leader="none" w:pos="52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of Compliance</w:t>
      </w:r>
    </w:p>
    <w:p>
      <w:pPr>
        <w:spacing w:after="0" w:line="22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combined consolidated financial statements have been prepared in accordance with International Financial Reporting Standards (“IFRS”) and interpretations adopted by the International Accounting Standards Board (“IASB”). The combined consolidated financial statements have been prepared on a historical cost basis, except for certain financial instruments that are measured at fair value as described in the accounting policies.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combined consolidated financial statements were approved by the Group’s board of directors on April 12, 2025.</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0" w:hanging="512"/>
        <w:spacing w:after="0"/>
        <w:tabs>
          <w:tab w:leader="none" w:pos="52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combined consolidated financial statements were prepared on a going concern basis under the historical cost basis except for the revaluation of certain financial instruments. The principal accounting policies are set out in Note 4.</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These combined consolidated financial statements have been presented on a going concern basis assuming that the Group will be able to realize its assets and to discharge its liabilities in the normal course of its operations. The Group has yet to achieve profitable operations.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 ended December 31, 2024, the Group incurred a net loss before other expenses and income taxes of $ 7,715,575 (2023 - $4,149,201</w:t>
      </w:r>
    </w:p>
    <w:p>
      <w:pPr>
        <w:spacing w:after="0" w:line="27" w:lineRule="exact"/>
        <w:rPr>
          <w:sz w:val="20"/>
          <w:szCs w:val="20"/>
          <w:color w:val="auto"/>
        </w:rPr>
      </w:pPr>
    </w:p>
    <w:p>
      <w:pPr>
        <w:ind w:right="160" w:firstLine="8"/>
        <w:spacing w:after="0" w:line="253" w:lineRule="auto"/>
        <w:tabs>
          <w:tab w:leader="none" w:pos="10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 net loss and comprehensive loss of $$8,932,857 (2023 - $$5,697,931). As at December 31,2024 , the Group has a deficit of $$58,196,350 (2023 - $$49,263,493), negative working capital of $33,212,913 (2023 - $24,648,395) and was not in compliance with their financial covenants (Note 9). These conditions, among others,create substantial doubt about the Group's ability to continue as a going concern. The Group is actively seeking new equity financing to relieve its debt load and provide sufficient capital to allow the Group to achieve positive operating cash flows. There can be no assurance the Group will be able to secure new financing or achieve its projected sales targets.</w:t>
      </w:r>
    </w:p>
    <w:p>
      <w:pPr>
        <w:spacing w:after="0" w:line="18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Management believes that the going concern assumption is appropriate for these combined consolidated financial statements. If the Group were unable to continue operations, material adjustments to the carrying amounts and classification of assets and liabilities would be necessary.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Functional and presentation currency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financial statements are presented in United States dollars, which is the functional currency of each entity within the Group.</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judgments, estimates and assumptions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preparation of the Group’s combined consolidated financial statements requires management to make judgments,estimates and assumptions that affect the reported amounts of revenues, expenses, assets and liabilities, and the disclosure of contingent liabilities, at the reporting date. These estimates and assumptions have been made using careful judgment; however, uncertainties could result in outcomes that would require a material adjustment to the carrying amount of the asset or liability affected in the future. The most significant estimates are as follows: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57" w:name="page158"/>
    <w:bookmarkEnd w:id="157"/>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Judgments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Group examines the contracts with their customers to determine the individual performance obligations and then allocates the consideration of the contract to each performance obligation. The Group's services are to give customers access to cloud-based search-enhancing and data curation algorithms. The Group has determined that performance of this service obligation occurs over the time that the contract is outstanding and as such, has recognized the revenue from each contract on a straight-line basis.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and warrant liability</w:t>
      </w:r>
    </w:p>
    <w:p>
      <w:pPr>
        <w:spacing w:after="0" w:line="22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Estimating the fair value of warrants and conversion features requires determining the most appropriate valuation model,which is dependent on the terms and conditions of the grant. This estimate also requires determining the most appropriate inputs to the valuation model including the expected life of the warrants and conversion feature, volatility and dividend yield and making assumptions about them.</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Functional currency</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Group's functional currency is dependent on which currency the Group primarily operates in. The Group has assessed its revenues and expenditures, financing, and cash balances, and determined that the primary revenues and expenditures of each entity within the Group are denominated in United States dollars.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Recoverability of the carrying values of property and equipment</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Group assesses its property and equipment for indications of impairment at the end of each reporting period. Such indicators include, but are not limited to, changes in the Group's business plans, changes in market conditions and evidence of physical damage.</w:t>
      </w:r>
    </w:p>
    <w:p>
      <w:pPr>
        <w:spacing w:after="0" w:line="16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Determination as to whether and to what degree property and equipment are impaired, involves management's application of judgment on highly uncertain matters such as future selling and purchasing prices, projected revenues and expenses, the effect of inflation on operating expenses, the Group's weighted average cost of capital and the economics of the industry.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Identification of cash-generating units</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Group has allocated its tangible assets to the smallest identifiable group of assets that generate cash inflows and that are largely independent of the cash inflows from other assets. The Group has applied judgment to determine its cash generating units.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 assesses its current liquidity and operational environment to determine if the going concern assumption is appropriate.</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Key sources of estimation uncertainty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Depreciation of the Group's property and equipment involves estimating their useful lives and residual values. These estimates may change as more experience is obtained, thereby impacting the value of the Group's property and equipment.</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Black-Scholes option pricing model was developed for use in estimating the fair value of traded options, which are fully transferable with no vesting restrictions. This option valuation model requires the input of highly subjective assumptions,including the expected stock price volatility, expected lives of the options, expected dividends to be paid by the Group and risk-free interest rates. Because the Group’s stock options have characteristics significantly different from those of traded options and because changes in the input assumptions can materially affect the fair value estimate, such value is subject to measurement uncertainty. The effect on the combined consolidated financial statements from changes in such estimates in future years could be significant.</w:t>
      </w:r>
    </w:p>
    <w:p>
      <w:pPr>
        <w:spacing w:after="0" w:line="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86" w:right="399" w:bottom="1440" w:gutter="0" w:footer="0" w:header="0"/>
        </w:sectPr>
      </w:pPr>
    </w:p>
    <w:bookmarkStart w:id="158" w:name="page159"/>
    <w:bookmarkEnd w:id="15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calculation of deferred taxes is based on assumptions, which are subject to uncertainty as to timing and which tax rates are expected to apply when temporary differences reverse. Deferred taxes recorded are also subject to uncertainty regarding the magnitude on non-capital losses available for carry forward and of the balances in various tax pools as the corporate tax return have not been prepared as of the date of financial statement preparation.</w:t>
      </w:r>
    </w:p>
    <w:p>
      <w:pPr>
        <w:spacing w:after="0" w:line="17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These estimates and assumptions are reviewed periodically and as adjustments become necessary, they are reported in net loss in the years in which they become known. Actual results may differ significantly from management estimates.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 tax credits</w:t>
      </w:r>
    </w:p>
    <w:p>
      <w:pPr>
        <w:spacing w:after="0" w:line="22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Investment tax credits are accrued when the Group has made the qualifying expenditures, provided there is reasonable assurance that the credits will be realized. When the investment tax credits are not accrued in the year in which the qualifying expenditures are made due to no reasonable assurance that the credits will be realized, such credits are accrued in the subsequent year in which reasonable assurance of realization is first obtained. This is accounted for as a change in accounting estimate.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Valuation of financial instruments</w:t>
      </w:r>
    </w:p>
    <w:p>
      <w:pPr>
        <w:spacing w:after="0" w:line="22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Group uses valuation techniques that include inputs that are not based on observable market data to estimate the fair value of certain types of financial instruments. Management believes that the chosen valuation techniques and assumptions used are appropriate in determining the fair value of financial instruments.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Expected credit losses</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Group recognizes an allowance for expected credit losses associated with its financial assets, other than those financial assets measured at fair value through profit and loss. Expected credit losses are measured to reflect a probability weighted amount, the time value of money, and reasonable and supportable information regarding past events, current conditions and forecasts of future economic conditions. The Group assesses credit-impairment at each reporting date. The expected credit losses are presented in the combined consolidated statement of financial position as a deduction from the gross carrying amount of the financial asset.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Material accounting policy information</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principle accounting policies adopted in the preparation of the combined consolidated financial statements are set out below. The policies have been consistently applied to all the years presented, unless otherwise stated.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 and combination</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combined consolidated financial statements incorporate the financial statements of GroupBy Inc. and the consolidated financial statements of GroupBy International Ltd. and its subsidiaries. GroupBy Inc. and GroupBy International Ltd. are companies under common control and were incorporated on November 15, 2012 and November 18, 2013, respectively,under the laws of the Province of Ontario. GroupBy International Ltd.'s wholly owned subsidiary, GroupBy USA Inc., was incorporated under the laws of the State of Delaware on November 18, 2013. GroupBy International Ltd.'s other wholly owned subsidiary, GroupBy UK Ltd., was incorporated on November 23, 2018 under the Companies Act 2006 of England and Wales.</w:t>
      </w:r>
    </w:p>
    <w:p>
      <w:pPr>
        <w:spacing w:after="0" w:line="183"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Subsidiaries are entities controlled by the Group. Control is achieved where the Group is exposed, or has rights, to variable returns from its involvement with the entities and has the ability to affect those returns through its power over the entities. In assessing control, only rights that give the Group the current ability to direct the relevant activities and that the Group has the practical ability to exercise, are considered.</w:t>
      </w:r>
    </w:p>
    <w:p>
      <w:pPr>
        <w:spacing w:after="0" w:line="17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results of subsidiaries are included in these combined consolidated financial statements from the effective date of acquisition, as appropriate. Where necessary, adjustments are made to the combined consolidated financial statements of acquired subsidiaries to conform their accounting policies to the Group's accounting policies. All inter-Group transactions,balances, income and expenses are eliminated on consolidation and combination.</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59" w:name="page160"/>
    <w:bookmarkEnd w:id="159"/>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combined consolidated financial statements have been prepared using uniform accounting policies for like transactions and other events in similar circumstances. Where necessary, adjustments are made to the financial statements of subsidiaries to ensure consistency with those used by other members of the Group.</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Any balances, unrealized gains and losses or income and expenses arising from inter-Group transactions, are eliminated upon consolidation and combination. Unrealized gains arising from transactions with equity accounted investees are eliminated against the investment to the extent of the Group’s interest in the investee. Unrealized losses are eliminated in the same manner as unrealized gains, but only to the extent that there is no evidence of impairment.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These combined consolidated financial statements have been presented in United States ("US") dollars, the functional currency of the Group's operations.</w:t>
      </w:r>
    </w:p>
    <w:p>
      <w:pPr>
        <w:spacing w:after="0" w:line="162"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Transactions denominated in foreign currencies are translated into the functional currency of the Group at exchange rates prevailing at the transaction dates (spot exchange rates). Monetary assets and liabilities are retranslated at the exchange rates at the combined consolidated statement of financial position date. Exchange gains and losses on translation or settlement are recognized in net loss for the year.</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Non-monetary items that are measured at historical cost are translated using the exchange rates at the date of the transaction and non-monetary items that are measured at fair value are translated using the exchange rates at the date when the items’ fair values were determined. Translation gains and losses are included in net loss and comprehensive loss for the year.</w:t>
      </w:r>
    </w:p>
    <w:p>
      <w:pPr>
        <w:spacing w:after="0" w:line="3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Group recognizes revenue when it transfers control of its services to the customer. As the Group has the right to bill customers in advance of providing the services, the Group recognizes the amount receivable with a corresponding deferred revenue. The Group follows a 5-step process to determine whether to recognize revenue:</w:t>
      </w:r>
    </w:p>
    <w:p>
      <w:pPr>
        <w:spacing w:after="0" w:line="176" w:lineRule="exact"/>
        <w:rPr>
          <w:sz w:val="20"/>
          <w:szCs w:val="20"/>
          <w:color w:val="auto"/>
        </w:rPr>
      </w:pPr>
    </w:p>
    <w:p>
      <w:pPr>
        <w:ind w:left="700" w:hanging="183"/>
        <w:spacing w:after="0"/>
        <w:tabs>
          <w:tab w:leader="none" w:pos="7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with a customer</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the performance obligations.</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performance obligations are satisfied.</w:t>
      </w:r>
    </w:p>
    <w:p>
      <w:pPr>
        <w:spacing w:after="0" w:line="22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Group's principal service involves cloud-based software solutions, which include the "Searchandiser" and "Edgecase Enrich" products. These services provide customers with e-commerce curation and intelligent search tools along with available support. Additional server time can be purchased separately and most contracts span multiple years. The Group recognizes revenue on a straight-line basis over the contract term as access to the software is provided. Additional server time is billed on a data-consumption basis and is recognized at the time the additional server time is provided. The Group recognizes sales commissions incurred to obtain new contracts as an asset which is amortized into expense on a straight-line basis over the term of the related contract.</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Group recognizes an asset, included in prepaid expenses and deposits, for the incremental costs of obtaining a contract with a customer if it expects the costs to be recoverable and has determined that such costs meet the requirements to be capitalized. Capitalized contract acquisition costs are amortized consistent with the pattern of transfer to the customer for the services to which the asset relates. The Group does not capitalize incremental costs of obtaining contracts if the amortization period is one year or less.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deferred taxes</w:t>
      </w:r>
    </w:p>
    <w:p>
      <w:pPr>
        <w:spacing w:after="0" w:line="229"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Income taxes are comprised of current and deferred taxes. Income taxes are recognized in the combined consolidated statement of loss and comprehensive loss except to the extent that it relates to items recognized directly in equity, in which case the income tax is also recognized directly in equity.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60" w:name="page161"/>
    <w:bookmarkEnd w:id="160"/>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Current tax is the expected taxes payable on the taxable income for the year, using tax rates enacted, or substantively enacted, at the end of the reporting period, and any adjustment to tax payable in respect of previous years.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Deferred tax is recognized in respect of temporary differences arising between the tax bases of assets and liabilities and their carrying amounts in the financial statements. Deferred tax is determined on a non-discounted basis using tax rates and laws that have been enacted or substantively enacted at the end of the reporting period and are expected to apply when the asset is realized, or liability is settled. Deferred tax assets are recognized for deductible temporary differences, unused tax losses and other income tax deductions to the extent that it is probable the Group will have taxable income against which those deductible temporary differences, unused tax losses and other income tax deductions can be utilized. The extent to which deductible temporary differences, unused tax losses and other income tax deductions are expected to be realized is reassessed at the end of each reporting period.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 tax credits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Investment tax credits (“ITCs”) are recognized where there is reasonable assurance that the ITCs will be received and all attached conditions will be complied with. When the ITCs relate to an expense item, it is recognized in revenue. Where the ITCs relate to an asset, it reduces the carrying amount of the asset. The ITCs are then recognized as income over the useful life of a depreciable asset by way of a reduced depreciation charge. The Group is actively engaged in scientific research and development (“R&amp;D”) and, accordingly, has previously filed for ITC refunds under both the Canadian federal and Ontario provincial Scientific Research and Experimental Development (“SR&amp;ED”) tax incentive programs. The ITCs recorded in the accounts are based on management’s interpretation of the Income Tax Act of Canada, provisions which govern the eligibility of R&amp;D costs. The claims are subject to review by the Canada Revenue Agency and the Minister of Revenue for Ontario before the refunds can be released.</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impairment losses. Cost includes expenditures that are directly attributable to the acquisition of the asset. Subsequent costs are included in the asset’s carrying amount or recognized as a separate asset, as appropriate, only when it is probable that future economic benefits associated with the item will flow to the Group and the cost can be measured reliably. The carrying amount of a replaced asset is derecognized when replaced. Repairs and maintenance costs are charged to the combined consolidated statement of loss and comprehensive loss during the period in which they are incurred.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Depreciation is provided using the declining balance method at rates intended to depreciate the cost of assets over their estimated useful lives.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methods of depreciation and depreciation rates applicable for each class of asset during the current and comparative years are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4920" w:type="dxa"/>
            <w:vAlign w:val="bottom"/>
          </w:tcPr>
          <w:p>
            <w:pPr>
              <w:ind w:left="364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1660" w:type="dxa"/>
            <w:vAlign w:val="bottom"/>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4920" w:type="dxa"/>
            <w:vAlign w:val="bottom"/>
            <w:shd w:val="clear" w:color="auto" w:fill="CFF0FC"/>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492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920" w:type="dxa"/>
            <w:vAlign w:val="bottom"/>
            <w:shd w:val="clear" w:color="auto" w:fill="CFF0FC"/>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492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3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Residual values, method of depreciation and useful lives of the assets are reviewed annually and adjusted, if required.</w:t>
      </w:r>
    </w:p>
    <w:p>
      <w:pPr>
        <w:spacing w:after="0" w:line="22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Gains and losses on disposals of property and equipment are determined by comparing the proceeds with the carrying amount of the asset and are included in the combined consolidated statement of loss and comprehensive loss.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22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Directors, officers, consultants, and employees of the Group receive remuneration in the form of share-based payment transactions, whereby directors, officers, consultants, and employees render services as consideration for equity instruments ("equity-settled share-based payments").</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Where equity instruments are issued and some or all of the goods or services received by the Group as consideration cannot be specifically identified, these non-identifiable goods or services are measured as the difference between the fair value of the share-based payment and the fair value of any identifiable goods or services received at the grant date.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1" w:name="page162"/>
    <w:bookmarkEnd w:id="161"/>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Equity-settled share-based payments to employees and others providing similar services are measured at the fair value of the equity instruments at the grant date. The fair value of the equity instruments granted is estimated using the Black-Scholes option pricing model, taking into account amounts that are believed to approximate the expected volatility of the trading price of the Group's stock, the expected lives of the awards of stock-based compensation, the fair value of the Group's stock and the risk-free interest rate, as determined at the grant date.</w:t>
      </w:r>
    </w:p>
    <w:p>
      <w:pPr>
        <w:spacing w:after="0" w:line="180"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the equity instruments granted is recognized as an expense over the vesting period, based on the Group's estimate of the number of equity instruments that will eventually vest, with a corresponding increase to contributed surplus.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9"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The Group’s financial assets, upon initial recognition, are measured at fair value and are classified as Fair Value through Profit or Loss (“FVTPL”), Fair Value through Other Comprehensive Income (“FVOCI”), or amortized cost. The classification is determined at initial recognition and is dependent on the business model in which a financial asset is managed and the characteristics of the contractual cash flows. Subsequent reclassification may only occur on the first day of the reporting period following a change to the business model.</w:t>
      </w:r>
    </w:p>
    <w:p>
      <w:pPr>
        <w:spacing w:after="0" w:line="1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Group’s financial liabilities, upon initial recognition, are measured at fair value and are classified as amortized cost or FVTPL. A financial liability is classified as amortized cost at initial recognition unless it is classified as held-for-trading, is a derivative instrument or is specifically designated as FVTPL. Financial liabilities classified as amortized cost are subsequently measured using the effective interest method while financial liabilities at FVTPL are subsequently measured at fair value with changes in fair value recognized in the combined consolidated statement of loss and comprehensive loss in the period in which such changes arise.</w:t>
      </w:r>
    </w:p>
    <w:p>
      <w:pPr>
        <w:spacing w:after="0" w:line="1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Group applies the simplified approach for trade receivables. The Group records an allowance for expected credit losses for financial assets that are measured at amortized cost. At each reporting date, the Group measures the allowance at an amount equal to the lifetime expected credit losses if the credit risk on its financial assets has increased significantly since initial recognition. If credit risk has not significantly increased since initial recognition, the Group measures the loss allowance at an amount equal to the 12-month expected credit losses.</w:t>
      </w:r>
    </w:p>
    <w:p>
      <w:pPr>
        <w:spacing w:after="0" w:line="180"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Transaction costs, other than those related to financial instruments classified as FVTPL, which are expensed as incurred,are capitalized to the carrying amount of the instrument and amortized using the effective interest method.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Group's classification of their financial instruments is disclosed below:</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60" w:type="dxa"/>
            <w:vAlign w:val="bottom"/>
            <w:tcBorders>
              <w:bottom w:val="single" w:sz="8" w:color="auto"/>
            </w:tcBorders>
          </w:tcPr>
          <w:p>
            <w:pPr>
              <w:ind w:left="3660"/>
              <w:spacing w:after="0"/>
              <w:rPr>
                <w:sz w:val="20"/>
                <w:szCs w:val="20"/>
                <w:color w:val="auto"/>
              </w:rPr>
            </w:pPr>
            <w:r>
              <w:rPr>
                <w:rFonts w:ascii="Times New Roman" w:cs="Times New Roman" w:eastAsia="Times New Roman" w:hAnsi="Times New Roman"/>
                <w:sz w:val="14"/>
                <w:szCs w:val="14"/>
                <w:b w:val="1"/>
                <w:bCs w:val="1"/>
                <w:color w:val="auto"/>
              </w:rPr>
              <w:t>Financial Asset/Liability</w:t>
            </w:r>
          </w:p>
        </w:tc>
        <w:tc>
          <w:tcPr>
            <w:tcW w:w="200" w:type="dxa"/>
            <w:vAlign w:val="bottom"/>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20" w:type="dxa"/>
            <w:vAlign w:val="bottom"/>
          </w:tcPr>
          <w:p>
            <w:pPr>
              <w:spacing w:after="0"/>
              <w:rPr>
                <w:sz w:val="15"/>
                <w:szCs w:val="15"/>
                <w:color w:val="auto"/>
              </w:rPr>
            </w:pPr>
          </w:p>
        </w:tc>
      </w:tr>
      <w:tr>
        <w:trPr>
          <w:trHeight w:val="210"/>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FVTPL</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tax credits and receivable</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Bank indebtedness</w:t>
            </w:r>
          </w:p>
        </w:tc>
        <w:tc>
          <w:tcPr>
            <w:tcW w:w="20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FVTPL</w:t>
            </w: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bl>
    <w:p>
      <w:pPr>
        <w:spacing w:after="0" w:line="3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Compound financial instruments and embedded derivatives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Group examines the terms of its preferred shares for the correct classification in shareholders' deficit or liabilities. The Class A preferred shares have a conversion feature that includes a price-based antidilution adjustment. The price-based antidilution adjustment ensures Class A preferred shareholders are made whole in the event of a down financing round at the expense of common shareholders; therefore, the conversion feature was assessed to be a derivative liability, and measured at fair value. The residual amount was classified as equity. The derivative liability was determined to have a value of $nil (2023 - $nil) as at December 31, 2024. The derivative liability is revalued using the option pricing model at the end of each reporting period, with any changes recognized on the combined consolidated statement of loss and other comprehensive loss.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2" w:name="page163"/>
    <w:bookmarkEnd w:id="16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At inception of a contract, the Group assesses whether a contract is, or contains, a lease based on whether the contract conveys the right to control the use of identified asset for a period of time in exchange for consideration. The Group recognizes a right-of-use asset and a lease liability at the lease commencement date. The right-of-use assets are initially measured based on the initial amount of the lease liability adjusted for any lease payments made at or before the commencement date, plus any initial direct costs incurred and an estimate of the costs to dismantle and remove the underlying assets or to restore the underlying assets or the site on which it is located, less any lease incentives received.The right-of-use assets are depreciated to the earlier of the end of their useful life or the lease term using the straight-line method as this most closely reflects the expected pattern of the consumption of the future economic benefits. The lease term includes periods covered by an option to extend if the Group is reasonably certain to exercise that option. In addition,the right-of-use assets can be periodically reduced by impairment losses, if any, and adjusted for certain remeasurements of the lease liability. The lease liabilities are initially measured at the present value of the lease payments that are not paid at the commencement date, discounted using the interest rate implicit in the lease or, if that rate cannot be readily determined, the Group’s incremental borrowing rate.</w:t>
      </w:r>
    </w:p>
    <w:p>
      <w:pPr>
        <w:spacing w:after="0" w:line="19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lease liabilities are measured at amortized cost using the effective interest method. It is remeasured when there is a change in future lease payments arising from the change in an index or rate, if there is a change in the Group’s estimate of the amount expected to be payable under a residual value guarantee, or if the Group changes its assessment of whether it will exercise a purchase, extension or termination option. When the lease liability is remeasured in this way, a corresponding adjustment is made to the carrying amount of the right-of-use asset, unless it has been reduced to zero.</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Group has elected to apply the practical expedient not to recognize right-of-use assets and lease liabilities for short-term leases that have a lease term of 12 months or less or to leases of low value assets when applicable. The lease payments associated with those leases are recognized as an expense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0" w:hanging="512"/>
        <w:spacing w:after="0"/>
        <w:tabs>
          <w:tab w:leader="none" w:pos="52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had the following receivables at the end of each reporting year:</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7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0"/>
        </w:trPr>
        <w:tc>
          <w:tcPr>
            <w:tcW w:w="170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2,094,161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2,567,563</w:t>
            </w:r>
          </w:p>
        </w:tc>
        <w:tc>
          <w:tcPr>
            <w:tcW w:w="2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Harmonized sales tax receivable</w:t>
            </w:r>
          </w:p>
        </w:tc>
        <w:tc>
          <w:tcPr>
            <w:tcW w:w="1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304,206</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326,459</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w:t>
            </w:r>
          </w:p>
        </w:tc>
        <w:tc>
          <w:tcPr>
            <w:tcW w:w="1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2,398,367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2,894,022</w:t>
            </w:r>
          </w:p>
        </w:tc>
        <w:tc>
          <w:tcPr>
            <w:tcW w:w="2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Less: provision for expected credit losses (Note 15)</w:t>
            </w:r>
          </w:p>
        </w:tc>
        <w:tc>
          <w:tcPr>
            <w:tcW w:w="1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1,249,506</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1,299,312</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1,148,861</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1,594,710</w:t>
            </w:r>
          </w:p>
        </w:tc>
        <w:tc>
          <w:tcPr>
            <w:tcW w:w="20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737"/>
        </w:trPr>
        <w:tc>
          <w:tcPr>
            <w:tcW w:w="1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2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color w:val="auto"/>
                <w:w w:val="99"/>
              </w:rPr>
              <w:t>F-53</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-1293495</wp:posOffset>
            </wp:positionV>
            <wp:extent cx="4318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-1293495</wp:posOffset>
            </wp:positionV>
            <wp:extent cx="4318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-1002030</wp:posOffset>
            </wp:positionV>
            <wp:extent cx="431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-984885</wp:posOffset>
            </wp:positionV>
            <wp:extent cx="431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-1002030</wp:posOffset>
            </wp:positionV>
            <wp:extent cx="431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-984885</wp:posOffset>
            </wp:positionV>
            <wp:extent cx="431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63" w:name="page164"/>
    <w:bookmarkEnd w:id="163"/>
    <w:p>
      <w:pPr>
        <w:ind w:left="520" w:hanging="512"/>
        <w:spacing w:after="0"/>
        <w:tabs>
          <w:tab w:leader="none" w:pos="52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4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4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Funiture and</w:t>
            </w:r>
          </w:p>
        </w:tc>
        <w:tc>
          <w:tcPr>
            <w:tcW w:w="12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140" w:type="dxa"/>
            <w:vAlign w:val="bottom"/>
          </w:tcPr>
          <w:p>
            <w:pPr>
              <w:spacing w:after="0"/>
              <w:rPr>
                <w:sz w:val="13"/>
                <w:szCs w:val="13"/>
                <w:color w:val="auto"/>
              </w:rPr>
            </w:pPr>
          </w:p>
        </w:tc>
        <w:tc>
          <w:tcPr>
            <w:tcW w:w="11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5"/>
                <w:szCs w:val="15"/>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sofware</w:t>
            </w:r>
          </w:p>
        </w:tc>
        <w:tc>
          <w:tcPr>
            <w:tcW w:w="14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fixtures</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56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419,028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187,975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32,373</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Disposals</w:t>
            </w:r>
          </w:p>
        </w:tc>
        <w:tc>
          <w:tcPr>
            <w:tcW w:w="15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0"/>
        </w:trPr>
        <w:tc>
          <w:tcPr>
            <w:tcW w:w="3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451,351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187,745</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38,239</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688,404</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15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Disposals</w:t>
            </w:r>
          </w:p>
        </w:tc>
        <w:tc>
          <w:tcPr>
            <w:tcW w:w="15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(451,351)</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(11,069)</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(187,745)</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(38,239)</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(688,404)</w:t>
            </w:r>
          </w:p>
        </w:tc>
        <w:tc>
          <w:tcPr>
            <w:tcW w:w="0" w:type="dxa"/>
            <w:vAlign w:val="bottom"/>
          </w:tcPr>
          <w:p>
            <w:pPr>
              <w:spacing w:after="0"/>
              <w:rPr>
                <w:sz w:val="1"/>
                <w:szCs w:val="1"/>
                <w:color w:val="auto"/>
              </w:rPr>
            </w:pPr>
          </w:p>
        </w:tc>
      </w:tr>
      <w:tr>
        <w:trPr>
          <w:trHeight w:val="210"/>
        </w:trPr>
        <w:tc>
          <w:tcPr>
            <w:tcW w:w="376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5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483,097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39,022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51,489</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5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343,323</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143,723</w:t>
            </w: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36,471</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534,586</w:t>
            </w: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111,902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153,818</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Disposals</w:t>
            </w:r>
          </w:p>
        </w:tc>
        <w:tc>
          <w:tcPr>
            <w:tcW w:w="15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(455,225)</w:t>
            </w:r>
          </w:p>
        </w:tc>
        <w:tc>
          <w:tcPr>
            <w:tcW w:w="1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(11,048)</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(183,893)</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(38,239)</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(688,404)</w:t>
            </w:r>
          </w:p>
        </w:tc>
        <w:tc>
          <w:tcPr>
            <w:tcW w:w="0" w:type="dxa"/>
            <w:vAlign w:val="bottom"/>
          </w:tcPr>
          <w:p>
            <w:pPr>
              <w:spacing w:after="0"/>
              <w:rPr>
                <w:sz w:val="1"/>
                <w:szCs w:val="1"/>
                <w:color w:val="auto"/>
              </w:rPr>
            </w:pPr>
          </w:p>
        </w:tc>
      </w:tr>
      <w:tr>
        <w:trPr>
          <w:trHeight w:val="210"/>
        </w:trPr>
        <w:tc>
          <w:tcPr>
            <w:tcW w:w="3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5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108,028</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44,022</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153,818</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-1859280</wp:posOffset>
            </wp:positionV>
            <wp:extent cx="7683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-1859280</wp:posOffset>
            </wp:positionV>
            <wp:extent cx="7747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-1859280</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-1859280</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-1859280</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-1576705</wp:posOffset>
            </wp:positionV>
            <wp:extent cx="7683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-1576705</wp:posOffset>
            </wp:positionV>
            <wp:extent cx="7747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-1576705</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-1576705</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-1576705</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-1010920</wp:posOffset>
            </wp:positionV>
            <wp:extent cx="7683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-1010920</wp:posOffset>
            </wp:positionV>
            <wp:extent cx="7747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-1010920</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-1010920</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-1010920</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-436245</wp:posOffset>
            </wp:positionV>
            <wp:extent cx="7683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-436245</wp:posOffset>
            </wp:positionV>
            <wp:extent cx="7747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-436245</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-436245</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-436245</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-153670</wp:posOffset>
            </wp:positionV>
            <wp:extent cx="7683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-153670</wp:posOffset>
            </wp:positionV>
            <wp:extent cx="7747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-153670</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-153670</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-153670</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hanging="512"/>
        <w:spacing w:after="0"/>
        <w:tabs>
          <w:tab w:leader="none" w:pos="52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Tax Credits</w:t>
      </w:r>
    </w:p>
    <w:p>
      <w:pPr>
        <w:spacing w:after="0" w:line="22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Group undertakes certain scientific research and experimental development ("SR&amp;ED") activities. As at December 31,2024, the Group accrued $nil (2023 - $148,630) of investment tax credits ("ITCs") receivable. During the year, ITCs of $nil (2023 - $148,630) have been included as a reduction in research and development costs in relation to its current year claim.</w:t>
      </w:r>
    </w:p>
    <w:p>
      <w:pPr>
        <w:spacing w:after="0" w:line="200" w:lineRule="exact"/>
        <w:rPr>
          <w:sz w:val="20"/>
          <w:szCs w:val="20"/>
          <w:color w:val="auto"/>
        </w:rPr>
      </w:pPr>
    </w:p>
    <w:p>
      <w:pPr>
        <w:spacing w:after="0" w:line="296" w:lineRule="exact"/>
        <w:rPr>
          <w:sz w:val="20"/>
          <w:szCs w:val="20"/>
          <w:color w:val="auto"/>
        </w:rPr>
      </w:pPr>
    </w:p>
    <w:p>
      <w:pPr>
        <w:ind w:left="520" w:hanging="512"/>
        <w:spacing w:after="0"/>
        <w:tabs>
          <w:tab w:leader="none" w:pos="52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Right-of-use assets and lease liabilities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December 31, 2024, the Group's right-of-use assets and lease liabilities include a lease agreement for office premises in Toronto, Ontario.</w:t>
      </w:r>
    </w:p>
    <w:p>
      <w:pPr>
        <w:spacing w:after="0" w:line="2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Right-of-use assets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illustrates the right-of-use assets balance during the year: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173"/>
        </w:trPr>
        <w:tc>
          <w:tcPr>
            <w:tcW w:w="7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Office premises</w:t>
            </w:r>
          </w:p>
        </w:tc>
        <w:tc>
          <w:tcPr>
            <w:tcW w:w="0" w:type="dxa"/>
            <w:vAlign w:val="bottom"/>
          </w:tcPr>
          <w:p>
            <w:pPr>
              <w:spacing w:after="0"/>
              <w:rPr>
                <w:sz w:val="1"/>
                <w:szCs w:val="1"/>
                <w:color w:val="auto"/>
              </w:rPr>
            </w:pPr>
          </w:p>
        </w:tc>
      </w:tr>
      <w:tr>
        <w:trPr>
          <w:trHeight w:val="210"/>
        </w:trPr>
        <w:tc>
          <w:tcPr>
            <w:tcW w:w="75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539,232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Disposals</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(539,232)</w:t>
            </w:r>
          </w:p>
        </w:tc>
        <w:tc>
          <w:tcPr>
            <w:tcW w:w="0" w:type="dxa"/>
            <w:vAlign w:val="bottom"/>
          </w:tcPr>
          <w:p>
            <w:pPr>
              <w:spacing w:after="0"/>
              <w:rPr>
                <w:sz w:val="1"/>
                <w:szCs w:val="1"/>
                <w:color w:val="auto"/>
              </w:rPr>
            </w:pPr>
          </w:p>
        </w:tc>
      </w:tr>
      <w:tr>
        <w:trPr>
          <w:trHeight w:val="210"/>
        </w:trPr>
        <w:tc>
          <w:tcPr>
            <w:tcW w:w="752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top w:val="single" w:sz="8" w:color="CFF0FC"/>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232,758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Disposals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232,758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Derecognition</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(539,232)</w:t>
            </w:r>
          </w:p>
        </w:tc>
        <w:tc>
          <w:tcPr>
            <w:tcW w:w="0" w:type="dxa"/>
            <w:vAlign w:val="bottom"/>
          </w:tcPr>
          <w:p>
            <w:pPr>
              <w:spacing w:after="0"/>
              <w:rPr>
                <w:sz w:val="1"/>
                <w:szCs w:val="1"/>
                <w:color w:val="auto"/>
              </w:rPr>
            </w:pPr>
          </w:p>
        </w:tc>
      </w:tr>
      <w:tr>
        <w:trPr>
          <w:trHeight w:val="210"/>
        </w:trPr>
        <w:tc>
          <w:tcPr>
            <w:tcW w:w="752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top w:val="single" w:sz="8" w:color="CFF0FC"/>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11,638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Derecognition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58,190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221,120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7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Additions to the right-of-use assets during the year were $nil (2023 - $232,758).</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The right-of-use assets are depreciated on a straight-line basis over the term of the respective leases.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 liabilities</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following table sets out the maturity analysis of the lease liabilities:</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752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4"/>
                <w:szCs w:val="14"/>
                <w:b w:val="1"/>
                <w:bCs w:val="1"/>
                <w:color w:val="auto"/>
              </w:rPr>
              <w:t>Maturity analysis - contractual undiscounted cash flows</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51,264</w:t>
            </w:r>
          </w:p>
        </w:tc>
        <w:tc>
          <w:tcPr>
            <w:tcW w:w="66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One to five years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159,320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More than five years</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undiscounted lease liabilities as at December 31</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210,584</w:t>
            </w:r>
          </w:p>
        </w:tc>
        <w:tc>
          <w:tcPr>
            <w:tcW w:w="6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included in the statement of financial position as at December 31</w:t>
            </w:r>
          </w:p>
        </w:tc>
        <w:tc>
          <w:tcPr>
            <w:tcW w:w="2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192,014</w:t>
            </w:r>
          </w:p>
        </w:tc>
        <w:tc>
          <w:tcPr>
            <w:tcW w:w="3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225,106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43,069</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148,945</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-4594225</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-4019550</wp:posOffset>
            </wp:positionV>
            <wp:extent cx="6858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-3462655</wp:posOffset>
            </wp:positionV>
            <wp:extent cx="6858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-565150</wp:posOffset>
            </wp:positionV>
            <wp:extent cx="7747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lease liabilities were measured at the present value of the remaining lease payments, discounted using the Group's estimated incremental borrowing rate at the inception of the leases. Leases are discounted at an estimated incremental borrowing rate of 9.00% (2023 - 9.75%). The expiration date of the outstanding lease agreement is September 2028 (2023 -September 2028).</w:t>
      </w:r>
    </w:p>
    <w:p>
      <w:pPr>
        <w:spacing w:after="0" w:line="17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Group incurred interest expense of $nil (2023 - $2,783) on the lease liabilities, which was included in interest and accretion in the combined consolidated statement of loss and other comprehensive loss.</w:t>
      </w:r>
    </w:p>
    <w:p>
      <w:pPr>
        <w:spacing w:after="0" w:line="266" w:lineRule="exact"/>
        <w:rPr>
          <w:sz w:val="20"/>
          <w:szCs w:val="20"/>
          <w:color w:val="auto"/>
        </w:rPr>
      </w:pPr>
    </w:p>
    <w:p>
      <w:pPr>
        <w:ind w:left="520" w:hanging="512"/>
        <w:spacing w:after="0"/>
        <w:tabs>
          <w:tab w:leader="none" w:pos="52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Bank indebtedness</w:t>
      </w:r>
    </w:p>
    <w:p>
      <w:pPr>
        <w:spacing w:after="0" w:line="22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Group has access to a revolving credit facility with Bridge Bank, a division of Western Alliance. This credit facility has a maximum credit limit of $12,000,000 (2023 - $12,000,000). As at December 31, 2024, the Group had utilized $12,000,000 (2023 - $12,000,000) of this facility. The facility bears interest at the greater of (i) 3.25% and; (ii) bank's prime rate plus 1.25% (2023 - greater of (i) 3.25% and; (ii) bank's prime rate plus 1.25%) per annum. The facility is secured by a first priority security interest over all rights, title and interests of the Group.</w:t>
      </w:r>
    </w:p>
    <w:p>
      <w:pPr>
        <w:spacing w:after="0" w:line="180"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During the year, the Group recognized interest expense of $1,147,083 (2023 - $1,140,563) related to the above facilities, which is included in interest and accretion expense on the combined consolidated statement of loss and other comprehensive loss.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65" w:name="page166"/>
    <w:bookmarkEnd w:id="165"/>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Under the terms of the credit agreement with Bridge Bank, the Group is governed by standard operating covenants and must comply with certain financial covenants with respect to minimum annual recurring revenue and minimum liquidity, as defined in the loan and security agreement that the Group must achieve over a series of predefined periods. As at December 31, 2024, the Group was not in compliance with these financial covenants (2023 - not in compliance).</w:t>
      </w:r>
    </w:p>
    <w:p>
      <w:pPr>
        <w:spacing w:after="0" w:line="284" w:lineRule="exact"/>
        <w:rPr>
          <w:sz w:val="20"/>
          <w:szCs w:val="20"/>
          <w:color w:val="auto"/>
        </w:rPr>
      </w:pPr>
    </w:p>
    <w:p>
      <w:pPr>
        <w:ind w:left="520" w:hanging="512"/>
        <w:spacing w:after="0"/>
        <w:tabs>
          <w:tab w:leader="none" w:pos="52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 remittances</w:t>
      </w:r>
    </w:p>
    <w:p>
      <w:pPr>
        <w:spacing w:after="0" w:line="229"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Government remittances payable of $12,662 (2023 - $4,374) related to United States sales taxes and United Kingdom value added taxes are included in accounts payable and accrued liabilities as at December 31, 2024.</w:t>
      </w:r>
    </w:p>
    <w:p>
      <w:pPr>
        <w:spacing w:after="0" w:line="266" w:lineRule="exact"/>
        <w:rPr>
          <w:sz w:val="20"/>
          <w:szCs w:val="20"/>
          <w:color w:val="auto"/>
        </w:rPr>
      </w:pPr>
    </w:p>
    <w:p>
      <w:pPr>
        <w:ind w:left="520" w:hanging="512"/>
        <w:spacing w:after="0"/>
        <w:tabs>
          <w:tab w:leader="none" w:pos="52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 liability</w:t>
      </w:r>
    </w:p>
    <w:p>
      <w:pPr>
        <w:spacing w:after="0" w:line="22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Group has issued warrants to Silicon Valley Bank in connection to a credit facility that was fully repaid and closed in the prior year. Each warrant is exchangeable for one Class A preferred share of GroupBy International Ltd. and GroupBy Inc. with an exercise price of $1.45 (2023 - $1.45). Upon initial recognition, the warrants were determined to be and presented as a warrant liability as the terms of the warrants give the holder the option to settle in cash or to exchange the warrants for Class A preferred share of an equivalent value.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12.</w:t>
            </w:r>
          </w:p>
        </w:tc>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Share-based payments</w:t>
            </w: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2"/>
            <w:vMerge w:val="restart"/>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3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230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December 31, 2022</w:t>
            </w:r>
          </w:p>
        </w:tc>
        <w:tc>
          <w:tcPr>
            <w:tcW w:w="4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14,883,972</w:t>
            </w:r>
          </w:p>
        </w:tc>
        <w:tc>
          <w:tcPr>
            <w:tcW w:w="22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issued</w:t>
            </w:r>
          </w:p>
        </w:tc>
        <w:tc>
          <w:tcPr>
            <w:tcW w:w="4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1,360,500</w:t>
            </w: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2160" w:type="dxa"/>
            <w:vAlign w:val="bottom"/>
            <w:gridSpan w:val="2"/>
            <w:shd w:val="clear" w:color="auto" w:fill="CFF0FC"/>
          </w:tcPr>
          <w:p>
            <w:pPr>
              <w:spacing w:after="0"/>
              <w:rPr>
                <w:sz w:val="18"/>
                <w:szCs w:val="18"/>
                <w:color w:val="auto"/>
              </w:rPr>
            </w:pPr>
          </w:p>
        </w:tc>
        <w:tc>
          <w:tcPr>
            <w:tcW w:w="2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(1,583,500)</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42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Options outstanding, December 31, 2023</w:t>
            </w:r>
          </w:p>
        </w:tc>
        <w:tc>
          <w:tcPr>
            <w:tcW w:w="2160" w:type="dxa"/>
            <w:vAlign w:val="bottom"/>
            <w:tcBorders>
              <w:top w:val="single" w:sz="8" w:color="CFF0FC"/>
            </w:tcBorders>
            <w:gridSpan w:val="2"/>
          </w:tcPr>
          <w:p>
            <w:pPr>
              <w:spacing w:after="0"/>
              <w:rPr>
                <w:sz w:val="18"/>
                <w:szCs w:val="18"/>
                <w:color w:val="auto"/>
              </w:rPr>
            </w:pP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14,660,972</w:t>
            </w:r>
          </w:p>
        </w:tc>
        <w:tc>
          <w:tcPr>
            <w:tcW w:w="220" w:type="dxa"/>
            <w:vAlign w:val="bottom"/>
            <w:tcBorders>
              <w:top w:val="single" w:sz="8" w:color="CFF0FC"/>
            </w:tcBorders>
          </w:tcPr>
          <w:p>
            <w:pPr>
              <w:spacing w:after="0"/>
              <w:rPr>
                <w:sz w:val="18"/>
                <w:szCs w:val="18"/>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issued</w:t>
            </w:r>
          </w:p>
        </w:tc>
        <w:tc>
          <w:tcPr>
            <w:tcW w:w="4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1,361,750</w:t>
            </w:r>
          </w:p>
        </w:tc>
        <w:tc>
          <w:tcPr>
            <w:tcW w:w="22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46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(132,500)</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expired</w:t>
            </w:r>
          </w:p>
        </w:tc>
        <w:tc>
          <w:tcPr>
            <w:tcW w:w="2160" w:type="dxa"/>
            <w:vAlign w:val="bottom"/>
            <w:gridSpan w:val="2"/>
            <w:shd w:val="clear" w:color="auto" w:fill="CFF0FC"/>
          </w:tcPr>
          <w:p>
            <w:pPr>
              <w:spacing w:after="0"/>
              <w:rPr>
                <w:sz w:val="18"/>
                <w:szCs w:val="18"/>
                <w:color w:val="auto"/>
              </w:rPr>
            </w:pPr>
          </w:p>
        </w:tc>
        <w:tc>
          <w:tcPr>
            <w:tcW w:w="2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(1,164,666)</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2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Options outstanding, December 31, 2024</w:t>
            </w:r>
          </w:p>
        </w:tc>
        <w:tc>
          <w:tcPr>
            <w:tcW w:w="2160" w:type="dxa"/>
            <w:vAlign w:val="bottom"/>
            <w:tcBorders>
              <w:top w:val="single" w:sz="8" w:color="CFF0FC"/>
            </w:tcBorders>
            <w:gridSpan w:val="2"/>
          </w:tcPr>
          <w:p>
            <w:pPr>
              <w:spacing w:after="0"/>
              <w:rPr>
                <w:sz w:val="18"/>
                <w:szCs w:val="18"/>
                <w:color w:val="auto"/>
              </w:rPr>
            </w:pP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14,725,556</w:t>
            </w:r>
          </w:p>
        </w:tc>
        <w:tc>
          <w:tcPr>
            <w:tcW w:w="220" w:type="dxa"/>
            <w:vAlign w:val="bottom"/>
            <w:tcBorders>
              <w:top w:val="single" w:sz="8" w:color="CFF0FC"/>
            </w:tcBorders>
          </w:tcPr>
          <w:p>
            <w:pPr>
              <w:spacing w:after="0"/>
              <w:rPr>
                <w:sz w:val="18"/>
                <w:szCs w:val="18"/>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0.50</w:t>
            </w:r>
          </w:p>
        </w:tc>
        <w:tc>
          <w:tcPr>
            <w:tcW w:w="26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3"/>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620" w:type="dxa"/>
            <w:vAlign w:val="bottom"/>
            <w:gridSpan w:val="4"/>
          </w:tcPr>
          <w:p>
            <w:pPr>
              <w:jc w:val="right"/>
              <w:ind w:right="3140"/>
              <w:spacing w:after="0"/>
              <w:rPr>
                <w:sz w:val="20"/>
                <w:szCs w:val="20"/>
                <w:color w:val="auto"/>
              </w:rPr>
            </w:pPr>
            <w:r>
              <w:rPr>
                <w:rFonts w:ascii="Times New Roman" w:cs="Times New Roman" w:eastAsia="Times New Roman" w:hAnsi="Times New Roman"/>
                <w:sz w:val="18"/>
                <w:szCs w:val="18"/>
                <w:color w:val="auto"/>
              </w:rPr>
              <w:t>F-56</w:t>
            </w: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-1559560</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-1559560</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-993775</wp:posOffset>
            </wp:positionV>
            <wp:extent cx="685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-993775</wp:posOffset>
            </wp:positionV>
            <wp:extent cx="685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0" w:type="dxa"/>
            <w:vAlign w:val="bottom"/>
          </w:tcPr>
          <w:p>
            <w:pPr>
              <w:spacing w:after="0"/>
              <w:rPr>
                <w:sz w:val="12"/>
                <w:szCs w:val="12"/>
                <w:color w:val="auto"/>
              </w:rPr>
            </w:pPr>
          </w:p>
        </w:tc>
        <w:tc>
          <w:tcPr>
            <w:tcW w:w="158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 at</w:t>
            </w:r>
          </w:p>
        </w:tc>
        <w:tc>
          <w:tcPr>
            <w:tcW w:w="200" w:type="dxa"/>
            <w:vAlign w:val="bottom"/>
          </w:tcPr>
          <w:p>
            <w:pPr>
              <w:spacing w:after="0"/>
              <w:rPr>
                <w:sz w:val="12"/>
                <w:szCs w:val="12"/>
                <w:color w:val="auto"/>
              </w:rPr>
            </w:pPr>
          </w:p>
        </w:tc>
        <w:tc>
          <w:tcPr>
            <w:tcW w:w="10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Remaining life (years)</w:t>
            </w:r>
          </w:p>
        </w:tc>
        <w:tc>
          <w:tcPr>
            <w:tcW w:w="0" w:type="dxa"/>
            <w:vAlign w:val="bottom"/>
          </w:tcPr>
          <w:p>
            <w:pPr>
              <w:spacing w:after="0"/>
              <w:rPr>
                <w:sz w:val="1"/>
                <w:szCs w:val="1"/>
                <w:color w:val="auto"/>
              </w:rPr>
            </w:pPr>
          </w:p>
        </w:tc>
      </w:tr>
      <w:tr>
        <w:trPr>
          <w:trHeight w:val="173"/>
        </w:trPr>
        <w:tc>
          <w:tcPr>
            <w:tcW w:w="4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Liquidity Event</w:t>
            </w: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17, 2014</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13, 2014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27, 2015</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25, 2015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382,273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382,273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 2015</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25, 2016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21, 2016</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27, 2016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15, 2016</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2017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15, 2017</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83,333</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83,333</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27, 2017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28, 2018</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31, 2018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September 14, 2018</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25, 2019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271,500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30, 2019</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557,500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557,500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27, 2019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26, 2020</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31, 2020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3,572,500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3,572,500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February 16, 2021</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761,500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761,500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12, 2021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October 15, 2021</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18, 2022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3,380,000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5, 2023</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22, 2024</w:t>
            </w:r>
          </w:p>
        </w:tc>
        <w:tc>
          <w:tcPr>
            <w:tcW w:w="14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1,324,750</w:t>
            </w:r>
          </w:p>
        </w:tc>
        <w:tc>
          <w:tcPr>
            <w:tcW w:w="2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1,324,750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14,725,556</w:t>
            </w:r>
          </w:p>
        </w:tc>
        <w:tc>
          <w:tcPr>
            <w:tcW w:w="2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14,725,556</w:t>
            </w:r>
          </w:p>
        </w:tc>
        <w:tc>
          <w:tcPr>
            <w:tcW w:w="2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-7620</wp:posOffset>
            </wp:positionV>
            <wp:extent cx="685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As at December 31, 2024, the weighted average exercise price of the outstanding and exercisable options is $0.50 (2023 -$0.50). The remaining contractual lives of outstanding and exercisable options and range between 0.1 and 1.4 years (2023- 0.1 and 2.4 years). Share-based payment expense for year was $76,062 (2023 - $129,867).</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are the assumptions that were used to value the options issued during the year ended December 31, 2024:</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2120" w:type="dxa"/>
            <w:vAlign w:val="bottom"/>
            <w:gridSpan w:val="2"/>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r>
      <w:tr>
        <w:trPr>
          <w:trHeight w:val="209"/>
        </w:trPr>
        <w:tc>
          <w:tcPr>
            <w:tcW w:w="6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Weighted average fair value per common share</w:t>
            </w:r>
          </w:p>
        </w:tc>
        <w:tc>
          <w:tcPr>
            <w:tcW w:w="280" w:type="dxa"/>
            <w:vAlign w:val="bottom"/>
          </w:tcPr>
          <w:p>
            <w:pPr>
              <w:spacing w:after="0"/>
              <w:rPr>
                <w:sz w:val="18"/>
                <w:szCs w:val="18"/>
                <w:color w:val="auto"/>
              </w:rPr>
            </w:pPr>
          </w:p>
        </w:tc>
        <w:tc>
          <w:tcPr>
            <w:tcW w:w="1840" w:type="dxa"/>
            <w:vAlign w:val="bottom"/>
            <w:tcBorders>
              <w:top w:val="single" w:sz="8" w:color="auto"/>
            </w:tcBorders>
          </w:tcPr>
          <w:p>
            <w:pPr>
              <w:jc w:val="right"/>
              <w:ind w:right="16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0.42</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2120" w:type="dxa"/>
            <w:vAlign w:val="bottom"/>
            <w:gridSpan w:val="2"/>
            <w:shd w:val="clear" w:color="auto" w:fill="CFF0FC"/>
          </w:tcPr>
          <w:p>
            <w:pPr>
              <w:jc w:val="right"/>
              <w:ind w:right="1676"/>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0.48</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120" w:type="dxa"/>
            <w:vAlign w:val="bottom"/>
            <w:gridSpan w:val="2"/>
          </w:tcPr>
          <w:p>
            <w:pPr>
              <w:jc w:val="center"/>
              <w:ind w:left="653"/>
              <w:spacing w:after="0"/>
              <w:rPr>
                <w:sz w:val="20"/>
                <w:szCs w:val="20"/>
                <w:color w:val="auto"/>
              </w:rPr>
            </w:pPr>
            <w:r>
              <w:rPr>
                <w:rFonts w:ascii="Times New Roman" w:cs="Times New Roman" w:eastAsia="Times New Roman" w:hAnsi="Times New Roman"/>
                <w:sz w:val="18"/>
                <w:szCs w:val="18"/>
                <w:b w:val="1"/>
                <w:bCs w:val="1"/>
                <w:color w:val="auto"/>
                <w:w w:val="99"/>
              </w:rPr>
              <w:t>61.88%</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rPr>
              <w:t>60.27%</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option life (years)</w:t>
            </w:r>
          </w:p>
        </w:tc>
        <w:tc>
          <w:tcPr>
            <w:tcW w:w="2120" w:type="dxa"/>
            <w:vAlign w:val="bottom"/>
            <w:gridSpan w:val="2"/>
            <w:shd w:val="clear" w:color="auto" w:fill="CFF0FC"/>
          </w:tcPr>
          <w:p>
            <w:pPr>
              <w:jc w:val="center"/>
              <w:ind w:left="633"/>
              <w:spacing w:after="0"/>
              <w:rPr>
                <w:sz w:val="20"/>
                <w:szCs w:val="20"/>
                <w:color w:val="auto"/>
              </w:rPr>
            </w:pPr>
            <w:r>
              <w:rPr>
                <w:rFonts w:ascii="Times New Roman" w:cs="Times New Roman" w:eastAsia="Times New Roman" w:hAnsi="Times New Roman"/>
                <w:sz w:val="18"/>
                <w:szCs w:val="18"/>
                <w:b w:val="1"/>
                <w:bCs w:val="1"/>
                <w:color w:val="auto"/>
              </w:rPr>
              <w:t>0.8-1.6</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120" w:type="dxa"/>
            <w:vAlign w:val="bottom"/>
            <w:gridSpan w:val="2"/>
          </w:tcPr>
          <w:p>
            <w:pPr>
              <w:jc w:val="center"/>
              <w:ind w:left="653"/>
              <w:spacing w:after="0"/>
              <w:rPr>
                <w:sz w:val="20"/>
                <w:szCs w:val="20"/>
                <w:color w:val="auto"/>
              </w:rPr>
            </w:pPr>
            <w:r>
              <w:rPr>
                <w:rFonts w:ascii="Times New Roman" w:cs="Times New Roman" w:eastAsia="Times New Roman" w:hAnsi="Times New Roman"/>
                <w:sz w:val="18"/>
                <w:szCs w:val="18"/>
                <w:b w:val="1"/>
                <w:bCs w:val="1"/>
                <w:color w:val="auto"/>
              </w:rPr>
              <w:t>0.00%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120" w:type="dxa"/>
            <w:vAlign w:val="bottom"/>
            <w:gridSpan w:val="2"/>
            <w:shd w:val="clear" w:color="auto" w:fill="CFF0FC"/>
          </w:tcPr>
          <w:p>
            <w:pPr>
              <w:jc w:val="center"/>
              <w:ind w:left="653"/>
              <w:spacing w:after="0"/>
              <w:rPr>
                <w:sz w:val="20"/>
                <w:szCs w:val="20"/>
                <w:color w:val="auto"/>
              </w:rPr>
            </w:pPr>
            <w:r>
              <w:rPr>
                <w:rFonts w:ascii="Times New Roman" w:cs="Times New Roman" w:eastAsia="Times New Roman" w:hAnsi="Times New Roman"/>
                <w:sz w:val="18"/>
                <w:szCs w:val="18"/>
                <w:b w:val="1"/>
                <w:bCs w:val="1"/>
                <w:color w:val="auto"/>
                <w:w w:val="99"/>
              </w:rPr>
              <w:t>2.79% - 4.39%</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center"/>
              <w:ind w:right="193"/>
              <w:spacing w:after="0"/>
              <w:rPr>
                <w:sz w:val="20"/>
                <w:szCs w:val="20"/>
                <w:color w:val="auto"/>
              </w:rPr>
            </w:pPr>
            <w:r>
              <w:rPr>
                <w:rFonts w:ascii="Times New Roman" w:cs="Times New Roman" w:eastAsia="Times New Roman" w:hAnsi="Times New Roman"/>
                <w:sz w:val="18"/>
                <w:szCs w:val="18"/>
                <w:color w:val="auto"/>
                <w:w w:val="99"/>
              </w:rPr>
              <w:t>3.56% - 4.96%</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0" w:hanging="512"/>
        <w:spacing w:after="0"/>
        <w:tabs>
          <w:tab w:leader="none" w:pos="52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The Group's authorized capital consists of:- An unlimited number of Class A common shares in the capital of GroupBy Inc. and GroupBy International Ltd.</w:t>
      </w:r>
    </w:p>
    <w:p>
      <w:pPr>
        <w:spacing w:after="0" w:line="162" w:lineRule="exact"/>
        <w:rPr>
          <w:sz w:val="20"/>
          <w:szCs w:val="20"/>
          <w:color w:val="auto"/>
        </w:rPr>
      </w:pPr>
    </w:p>
    <w:p>
      <w:pPr>
        <w:ind w:left="5460" w:right="2580" w:hanging="4943"/>
        <w:spacing w:after="0" w:line="407" w:lineRule="auto"/>
        <w:tabs>
          <w:tab w:leader="none" w:pos="62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B common shares in the capital of GroupBy Inc. and GroupBy International Ltd. 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67" w:name="page168"/>
    <w:bookmarkEnd w:id="167"/>
    <w:p>
      <w:pPr>
        <w:ind w:left="620" w:hanging="103"/>
        <w:spacing w:after="0"/>
        <w:tabs>
          <w:tab w:leader="none" w:pos="6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C common shares in the capital of GroupBy Inc. and GroupBy International Ltd.</w:t>
      </w:r>
    </w:p>
    <w:p>
      <w:pPr>
        <w:spacing w:after="0" w:line="225" w:lineRule="exact"/>
        <w:rPr>
          <w:rFonts w:ascii="Times New Roman" w:cs="Times New Roman" w:eastAsia="Times New Roman" w:hAnsi="Times New Roman"/>
          <w:sz w:val="18"/>
          <w:szCs w:val="18"/>
          <w:color w:val="auto"/>
        </w:rPr>
      </w:pPr>
    </w:p>
    <w:p>
      <w:pPr>
        <w:ind w:left="620" w:hanging="103"/>
        <w:spacing w:after="0"/>
        <w:tabs>
          <w:tab w:leader="none" w:pos="6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D common shares in the capital of GroupBy Inc. and GroupBy International Ltd.</w:t>
      </w:r>
    </w:p>
    <w:p>
      <w:pPr>
        <w:spacing w:after="0" w:line="225" w:lineRule="exact"/>
        <w:rPr>
          <w:rFonts w:ascii="Times New Roman" w:cs="Times New Roman" w:eastAsia="Times New Roman" w:hAnsi="Times New Roman"/>
          <w:sz w:val="18"/>
          <w:szCs w:val="18"/>
          <w:color w:val="auto"/>
        </w:rPr>
      </w:pPr>
    </w:p>
    <w:p>
      <w:pPr>
        <w:ind w:left="620" w:hanging="103"/>
        <w:spacing w:after="0"/>
        <w:tabs>
          <w:tab w:leader="none" w:pos="6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A preferred shares in the capital of GroupBy Inc. and GroupBy International Ltd.</w:t>
      </w:r>
    </w:p>
    <w:p>
      <w:pPr>
        <w:spacing w:after="0" w:line="225" w:lineRule="exact"/>
        <w:rPr>
          <w:rFonts w:ascii="Times New Roman" w:cs="Times New Roman" w:eastAsia="Times New Roman" w:hAnsi="Times New Roman"/>
          <w:sz w:val="18"/>
          <w:szCs w:val="18"/>
          <w:color w:val="auto"/>
        </w:rPr>
      </w:pPr>
    </w:p>
    <w:p>
      <w:pPr>
        <w:ind w:left="520" w:right="2380" w:hanging="3"/>
        <w:spacing w:after="0" w:line="500" w:lineRule="auto"/>
        <w:tabs>
          <w:tab w:leader="none" w:pos="62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unlimited number of Class A-1 preferred shares in the capital of GroupBy Inc. and GroupBy International Ltd. </w:t>
      </w:r>
      <w:r>
        <w:rPr>
          <w:rFonts w:ascii="Times New Roman" w:cs="Times New Roman" w:eastAsia="Times New Roman" w:hAnsi="Times New Roman"/>
          <w:sz w:val="18"/>
          <w:szCs w:val="18"/>
          <w:u w:val="single" w:color="auto"/>
          <w:color w:val="auto"/>
        </w:rPr>
        <w:t>Class A common shares</w:t>
      </w:r>
    </w:p>
    <w:p>
      <w:pPr>
        <w:spacing w:after="0" w:line="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A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A common shares shall be entitled to share equally with the holders of the Class B common shares, Class C common shares and Class D common shares, share for share, in the remaining property of the Group up on the liquidation, dissolution or winding up of the Group, whether voluntary or involuntary.</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holders of the Class A common shares shall be entitled to receive notice of and attend any meeting of the shareholders of the Group and shall be entitled to one vote in respect of each Class A common share held at all meetings 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B common shares</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B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B common shares shall be entitled to share equally with the holders of the Class A common shares, Class C common shares and Class D common shares, share for share, in the remaining property of the Group upon the liquidation, dissolution or winding up of the Group, whether voluntary or involuntary.</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holders of the Class B common share shall be entitled to receive notice of and attend any meeting of the shareholdersof the Group and shall be entitled to 1.0000000000001 votes in respect of each Class B common share held at all meetingsof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C common shares</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C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C common shares shall be entitled to share equally with the holders of the Class A common shares, Class B common shares and Class D common shares, share for share, in the remaining property of the Group up on the liquidation, dissolution or winding up of the Group, whether voluntary or involuntary.</w:t>
      </w:r>
    </w:p>
    <w:p>
      <w:pPr>
        <w:spacing w:after="0" w:line="17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holders of the Class C common share shall be entitled to receive notice of and attend any meeting of the shareholders of the Group and shall be entitled to 1.0000000000002 votes in respect of each Class C common share held at all meetings 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D common shares</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D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36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D common shares shall be entitled to share equally with the holders of the Class A common shares, Class B common shares and Class C common shares, share for share, in the remaining property of the Group up on the liquidation, dissolution or winding up of the Group, whether voluntary or involuntary.The holders of the Class D common share shall be entitled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8" w:name="page169"/>
    <w:bookmarkEnd w:id="168"/>
    <w:p>
      <w:pPr>
        <w:ind w:right="340"/>
        <w:spacing w:after="0" w:line="282" w:lineRule="auto"/>
        <w:rPr>
          <w:sz w:val="20"/>
          <w:szCs w:val="20"/>
          <w:color w:val="auto"/>
        </w:rPr>
      </w:pPr>
      <w:r>
        <w:rPr>
          <w:rFonts w:ascii="Times New Roman" w:cs="Times New Roman" w:eastAsia="Times New Roman" w:hAnsi="Times New Roman"/>
          <w:sz w:val="18"/>
          <w:szCs w:val="18"/>
          <w:color w:val="auto"/>
        </w:rPr>
        <w:t>to receive notice of and attend any meeting of the shareholders of the Group and shall be entitled to 1.0000000000003 votes in respect of each Class D common share held at all meetings 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A preferred shares and Class A-1 preferred shares</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Group shall not declare, pay or set aside any dividends on shares of any other class of the Group unless the holders of the Class A and Class A-1 preferred shares then outstanding simultaneously receive, on a pro-rata basis, a dividend on each outstanding Class A and Class A-1 preferred share.In the event of any voluntary or involuntary liquidation, dissolution or winding up of the Group, the holders of Class A and Class A-1 preferred shares are entitled to be paid out of the assets of the Group available for distribution to its shareholders on a pro-rata basis with the holders of the Class A and Class A-1 preferred shares and before any payment shall be made to the holders of common shares, with the amount payable in respect of each Class A preferred shares equal to an amount per share equal to the Class A original issue price (US$1.4543 per share), plus any dividends declared but unpaid thereon.</w:t>
      </w:r>
    </w:p>
    <w:p>
      <w:pPr>
        <w:spacing w:after="0" w:line="18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A preferred shares shall be entitled to cast the number of votes equal to the number of whole common shares into which the Class A and Class A-1 preferred shares are convertible as of the record date for determining shareholders entitled to vote on such matter. Holders of Class A preferred shares shall vote together with the holders of preferred shares and the holders of common shares as a single class.</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holders of Class A and A-1 preferred shares have conversion rights to convert, at the option of the holder, at any time and from time to time, and without payment of additional consideration by its holder, into such number of fully paid and nonassessable common shares as is determined by dividing the Class A original issue price by the Class A conversion price,as defined in the articles of the Group. Upon specific trigger events as specified in the articles of amendment, all outstanding Class A and Class A-1 preferred shares shall automatically be converted into common shares.</w:t>
      </w:r>
    </w:p>
    <w:p>
      <w:pPr>
        <w:spacing w:after="0" w:line="180"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Each holder of Class A and Class A-1 preferred shares shall be entitled to elect to receive distributions (including dividends)from the Group on the preferred shares as a return of stated capital upon liquidation of the Group's business. Every dollar paid as a return of stated capital shall be considered to have satisfied one dollar of the distribution entitlement of each preferred share.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0" w:type="dxa"/>
            <w:vAlign w:val="bottom"/>
            <w:tcBorders>
              <w:bottom w:val="single" w:sz="8" w:color="auto"/>
            </w:tcBorders>
          </w:tcPr>
          <w:p>
            <w:pPr>
              <w:spacing w:after="0"/>
              <w:rPr>
                <w:sz w:val="15"/>
                <w:szCs w:val="15"/>
                <w:color w:val="auto"/>
              </w:rPr>
            </w:pPr>
          </w:p>
        </w:tc>
        <w:tc>
          <w:tcPr>
            <w:tcW w:w="668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4"/>
                <w:szCs w:val="14"/>
                <w:b w:val="1"/>
                <w:bCs w:val="1"/>
                <w:color w:val="auto"/>
              </w:rPr>
              <w:t>Financial Asset/Liability</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6,075,633 Class A common shares (2023 - 6,075,633)</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836,742</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836,742</w:t>
            </w:r>
          </w:p>
        </w:tc>
        <w:tc>
          <w:tcPr>
            <w:tcW w:w="100" w:type="dxa"/>
            <w:vAlign w:val="bottom"/>
            <w:shd w:val="clear" w:color="auto" w:fill="CFF0FC"/>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28,188,792</w:t>
            </w: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shares (2023 - 28,188,792)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r>
      <w:tr>
        <w:trPr>
          <w:trHeight w:val="216"/>
        </w:trPr>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4,533,882 Class D common shares (2023 - 4,533,882)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14,492,467</w:t>
            </w: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preferred shares (2023 - 14,492,467)</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13,168,946</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13,168,946</w:t>
            </w:r>
          </w:p>
        </w:tc>
        <w:tc>
          <w:tcPr>
            <w:tcW w:w="100" w:type="dxa"/>
            <w:vAlign w:val="bottom"/>
          </w:tcPr>
          <w:p>
            <w:pPr>
              <w:spacing w:after="0"/>
              <w:rPr>
                <w:sz w:val="18"/>
                <w:szCs w:val="18"/>
                <w:color w:val="auto"/>
              </w:rPr>
            </w:pPr>
          </w:p>
        </w:tc>
      </w:tr>
      <w:tr>
        <w:trPr>
          <w:trHeight w:val="210"/>
        </w:trPr>
        <w:tc>
          <w:tcPr>
            <w:tcW w:w="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14,005,728</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14,005,728</w:t>
            </w:r>
          </w:p>
        </w:tc>
        <w:tc>
          <w:tcPr>
            <w:tcW w:w="100" w:type="dxa"/>
            <w:vAlign w:val="bottom"/>
            <w:shd w:val="clear" w:color="auto" w:fill="CFF0FC"/>
          </w:tcPr>
          <w:p>
            <w:pPr>
              <w:spacing w:after="0"/>
              <w:rPr>
                <w:sz w:val="18"/>
                <w:szCs w:val="18"/>
                <w:color w:val="auto"/>
              </w:rPr>
            </w:pPr>
          </w:p>
        </w:tc>
      </w:tr>
      <w:tr>
        <w:trPr>
          <w:trHeight w:val="20"/>
        </w:trPr>
        <w:tc>
          <w:tcPr>
            <w:tcW w:w="840" w:type="dxa"/>
            <w:vAlign w:val="bottom"/>
            <w:shd w:val="clear" w:color="auto" w:fill="CFF0FC"/>
          </w:tcPr>
          <w:p>
            <w:pPr>
              <w:spacing w:after="0" w:line="20" w:lineRule="exact"/>
              <w:rPr>
                <w:sz w:val="1"/>
                <w:szCs w:val="1"/>
                <w:color w:val="auto"/>
              </w:rPr>
            </w:pPr>
          </w:p>
        </w:tc>
        <w:tc>
          <w:tcPr>
            <w:tcW w:w="66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-7620</wp:posOffset>
            </wp:positionV>
            <wp:extent cx="7747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4"/>
        </w:trPr>
        <w:tc>
          <w:tcPr>
            <w:tcW w:w="3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300" w:type="dxa"/>
            <w:vAlign w:val="bottom"/>
          </w:tcPr>
          <w:p>
            <w:pPr>
              <w:spacing w:after="0"/>
              <w:rPr>
                <w:sz w:val="24"/>
                <w:szCs w:val="24"/>
                <w:color w:val="auto"/>
              </w:rPr>
            </w:pPr>
          </w:p>
        </w:tc>
        <w:tc>
          <w:tcPr>
            <w:tcW w:w="134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Weigthed Average</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Warrants included in equity, December 31, 2022</w:t>
            </w:r>
          </w:p>
        </w:tc>
        <w:tc>
          <w:tcPr>
            <w:tcW w:w="180" w:type="dxa"/>
            <w:vAlign w:val="bottom"/>
          </w:tcPr>
          <w:p>
            <w:pPr>
              <w:spacing w:after="0"/>
              <w:rPr>
                <w:sz w:val="18"/>
                <w:szCs w:val="18"/>
                <w:color w:val="auto"/>
              </w:rPr>
            </w:pPr>
          </w:p>
        </w:tc>
        <w:tc>
          <w:tcPr>
            <w:tcW w:w="30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11,429,093</w:t>
            </w:r>
          </w:p>
        </w:tc>
        <w:tc>
          <w:tcPr>
            <w:tcW w:w="300" w:type="dxa"/>
            <w:vAlign w:val="bottom"/>
          </w:tcPr>
          <w:p>
            <w:pPr>
              <w:spacing w:after="0"/>
              <w:rPr>
                <w:sz w:val="18"/>
                <w:szCs w:val="18"/>
                <w:color w:val="auto"/>
              </w:rPr>
            </w:pPr>
          </w:p>
        </w:tc>
        <w:tc>
          <w:tcPr>
            <w:tcW w:w="1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4,678,728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warrants issued</w:t>
            </w:r>
          </w:p>
        </w:tc>
        <w:tc>
          <w:tcPr>
            <w:tcW w:w="18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expired warrants</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included in equity, December 31, 2023</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11,429,093</w:t>
            </w:r>
          </w:p>
        </w:tc>
        <w:tc>
          <w:tcPr>
            <w:tcW w:w="46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4,678,728</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Add: warrants issued</w:t>
            </w:r>
          </w:p>
        </w:tc>
        <w:tc>
          <w:tcPr>
            <w:tcW w:w="1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expired warrants</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Warrants included in equity, December 31, 2024</w:t>
            </w:r>
          </w:p>
        </w:tc>
        <w:tc>
          <w:tcPr>
            <w:tcW w:w="180" w:type="dxa"/>
            <w:vAlign w:val="bottom"/>
          </w:tcPr>
          <w:p>
            <w:pPr>
              <w:spacing w:after="0"/>
              <w:rPr>
                <w:sz w:val="18"/>
                <w:szCs w:val="18"/>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11,429,093</w:t>
            </w:r>
          </w:p>
        </w:tc>
        <w:tc>
          <w:tcPr>
            <w:tcW w:w="4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4,678,728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-436245</wp:posOffset>
            </wp:positionV>
            <wp:extent cx="7683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-436245</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-436245</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-153670</wp:posOffset>
            </wp:positionV>
            <wp:extent cx="7683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-153670</wp:posOffset>
            </wp:positionV>
            <wp:extent cx="6858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-153670</wp:posOffset>
            </wp:positionV>
            <wp:extent cx="6858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total warrants included in equity include 135,000 (2023 - 135,000) warrants exchangeable for one class A common share of GroupBy International Ltd. and GroupBy Inc. with an exercise price of $2.14 (2023 - $2.14) and 11,294,093 (2023 - 11,294,093) warrants exchangeable for one class A preferred share of GroupBy International Ltd. and GroupBy Inc. During the year ended December 31, 2024, 8,767,105 warrants had their expiration date extended by a year from July 2024 to July 2025, and 2,526,988 warrants had their expiration date extended by a year from September 2024 to September 2025. No remeasurement adjustments were made as a result of the extension of the expiration dates.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9" w:name="page170"/>
    <w:bookmarkEnd w:id="169"/>
    <w:p>
      <w:pPr>
        <w:ind w:left="520" w:hanging="512"/>
        <w:spacing w:after="0"/>
        <w:tabs>
          <w:tab w:leader="none" w:pos="52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Group as part of its operations carries a number of financial instruments. It is management's opinion that the Group is not exposed to significant interest, currency or credit risks arising from these financial instruments except as otherwise disclosed.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Fair value is the amount for which an asset could be exchanged, or a liability settled, between knowledgeable, willing parties in an arm’s length transaction. Cash is classified as Level 1 in the fair value hierarchy. The fair value of the Group’s cash, accounts receivable, investment tax credits receivable, bank indebtedness, accounts payable and accrued liabilities, and income taxes payable are estimated by management to approximate their carrying values due to their short-term nature. The fair value of the Group's lease liabilities and long-term debt are also fairly reflected by their carrying values as they have been financed at interest rates which are similar to current market interest rates. The fair value of the Group's warrant liability is estimated using the Black-Scholes option pricing model, as described in Note 11, and is therefore classified as Level 3 in the fair value hierarchy.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Interest rate risk is the risk that the value of a financial instrument might be adversely affected by a change in the interest rates. Changes in market interest rates may have an effect on the cash flows associated with some financial assets and liabilities, known as cash flow risk, and on the fair value of other financial assets or liabilities, known as price risk. The Group is exposed to interest rate risk through the impact of changes in market interest rates on the fair values of its instruments.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 is exposed to interest rate cash flow risk on its bank indebtedness as it is subject to a floating interest rate.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 is exposed to interest rate price risk on its lease liabilities as they are subject to fixed interest rates.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Liquidity risk is the risk that the Group may not be able to generate sufficient cash resources to settle its obligations as they become due. The Group manages liquidity risk by maintaining adequate cash balances and borrowing facilities, by continuously monitoring forecast and actual cash flows, and by matching the maturity profiles of financial assets and liabilities.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the Group's financial liabilities that would be settled by cash resources and contractual maturities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&lt; 1 year</w:t>
            </w:r>
          </w:p>
        </w:tc>
        <w:tc>
          <w:tcPr>
            <w:tcW w:w="260" w:type="dxa"/>
            <w:vAlign w:val="bottom"/>
          </w:tcPr>
          <w:p>
            <w:pPr>
              <w:spacing w:after="0"/>
              <w:rPr>
                <w:sz w:val="15"/>
                <w:szCs w:val="15"/>
                <w:color w:val="auto"/>
              </w:rPr>
            </w:pPr>
          </w:p>
        </w:tc>
        <w:tc>
          <w:tcPr>
            <w:tcW w:w="10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1-2 years</w:t>
            </w:r>
          </w:p>
        </w:tc>
        <w:tc>
          <w:tcPr>
            <w:tcW w:w="3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&gt; 3 years</w:t>
            </w:r>
          </w:p>
        </w:tc>
        <w:tc>
          <w:tcPr>
            <w:tcW w:w="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20,831,240</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20,831,240</w:t>
            </w:r>
          </w:p>
        </w:tc>
        <w:tc>
          <w:tcPr>
            <w:tcW w:w="120" w:type="dxa"/>
            <w:vAlign w:val="bottom"/>
            <w:shd w:val="clear" w:color="auto" w:fill="CFF0FC"/>
          </w:tcPr>
          <w:p>
            <w:pPr>
              <w:spacing w:after="0"/>
              <w:rPr>
                <w:sz w:val="18"/>
                <w:szCs w:val="18"/>
                <w:color w:val="auto"/>
              </w:rPr>
            </w:pPr>
          </w:p>
        </w:tc>
      </w:t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Bank indebtedness</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12,000,000</w:t>
            </w:r>
          </w:p>
        </w:tc>
        <w:tc>
          <w:tcPr>
            <w:tcW w:w="120" w:type="dxa"/>
            <w:vAlign w:val="bottom"/>
          </w:tcPr>
          <w:p>
            <w:pPr>
              <w:spacing w:after="0"/>
              <w:rPr>
                <w:sz w:val="20"/>
                <w:szCs w:val="20"/>
                <w:color w:val="auto"/>
              </w:rPr>
            </w:pPr>
          </w:p>
        </w:tc>
      </w:tr>
    </w:tbl>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Note 8 describes the contractual maturities of the Group's lease liabilities.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Credit risk is the risk of loss associated with a counterparty’s inability to fulfill its payment obligations. The Group’s principal financial assets that expose it to credit risk are trade receivables and the Group mitigates this risk by monitoring the credit worthiness of its customers.</w:t>
      </w:r>
    </w:p>
    <w:p>
      <w:pPr>
        <w:spacing w:after="0" w:line="16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Group applies the simplified approach to provide for expected credit losses as prescribed by IFRS 9, which permits the use of the lifetime expected loss provision for all trade receivables and contract assets. The expected credit loss provision is based on the Group’s historical collections and loss experience and incorporates forward-looking factors, where appropriate. During the year, the Group recognized $nil (2023 - $103,685) of bad debt expense included in general and administrative expenses.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Lifetime</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113"/>
              <w:spacing w:after="0"/>
              <w:rPr>
                <w:sz w:val="20"/>
                <w:szCs w:val="20"/>
                <w:color w:val="auto"/>
              </w:rPr>
            </w:pPr>
            <w:r>
              <w:rPr>
                <w:rFonts w:ascii="Times New Roman" w:cs="Times New Roman" w:eastAsia="Times New Roman" w:hAnsi="Times New Roman"/>
                <w:sz w:val="14"/>
                <w:szCs w:val="14"/>
                <w:color w:val="auto"/>
              </w:rPr>
              <w:t>Lifetime</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Trade receivable aging</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200" w:type="dxa"/>
            <w:vAlign w:val="bottom"/>
            <w:vMerge w:val="restart"/>
          </w:tcPr>
          <w:p>
            <w:pPr>
              <w:spacing w:after="0"/>
              <w:rPr>
                <w:sz w:val="12"/>
                <w:szCs w:val="12"/>
                <w:color w:val="auto"/>
              </w:rPr>
            </w:pPr>
          </w:p>
        </w:tc>
        <w:tc>
          <w:tcPr>
            <w:tcW w:w="68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expected credit</w:t>
            </w:r>
          </w:p>
        </w:tc>
        <w:tc>
          <w:tcPr>
            <w:tcW w:w="220" w:type="dxa"/>
            <w:vAlign w:val="bottom"/>
            <w:vMerge w:val="restart"/>
          </w:tcPr>
          <w:p>
            <w:pPr>
              <w:spacing w:after="0"/>
              <w:rPr>
                <w:sz w:val="12"/>
                <w:szCs w:val="12"/>
                <w:color w:val="auto"/>
              </w:rPr>
            </w:pPr>
          </w:p>
        </w:tc>
        <w:tc>
          <w:tcPr>
            <w:tcW w:w="58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 allowance</w:t>
            </w:r>
          </w:p>
        </w:tc>
        <w:tc>
          <w:tcPr>
            <w:tcW w:w="200" w:type="dxa"/>
            <w:vAlign w:val="bottom"/>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loss allowance</w:t>
            </w:r>
          </w:p>
        </w:tc>
        <w:tc>
          <w:tcPr>
            <w:tcW w:w="220" w:type="dxa"/>
            <w:vAlign w:val="bottom"/>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0-30 days</w:t>
            </w:r>
          </w:p>
        </w:tc>
        <w:tc>
          <w:tcPr>
            <w:tcW w:w="180" w:type="dxa"/>
            <w:vAlign w:val="bottom"/>
          </w:tcPr>
          <w:p>
            <w:pPr>
              <w:spacing w:after="0"/>
              <w:rPr>
                <w:sz w:val="18"/>
                <w:szCs w:val="18"/>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921,012</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172,789</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1,397,441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217,685</w:t>
            </w: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31-60 days</w:t>
            </w:r>
          </w:p>
        </w:tc>
        <w:tc>
          <w:tcPr>
            <w:tcW w:w="1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225,992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129,560</w:t>
            </w:r>
          </w:p>
        </w:tc>
        <w:tc>
          <w:tcPr>
            <w:tcW w:w="12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57%</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177,415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96,525</w:t>
            </w:r>
          </w:p>
        </w:tc>
        <w:tc>
          <w:tcPr>
            <w:tcW w:w="10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61-90 days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25,800</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32,433</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than 90 days</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921,357</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921,357</w:t>
            </w:r>
          </w:p>
        </w:tc>
        <w:tc>
          <w:tcPr>
            <w:tcW w:w="12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952,669</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952,669</w:t>
            </w:r>
          </w:p>
        </w:tc>
        <w:tc>
          <w:tcPr>
            <w:tcW w:w="1000" w:type="dxa"/>
            <w:vAlign w:val="bottom"/>
            <w:tcBorders>
              <w:bottom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2,094,161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1,249,506</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2,567,563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1,299,312</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-153670</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-153670</wp:posOffset>
            </wp:positionV>
            <wp:extent cx="685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-153670</wp:posOffset>
            </wp:positionV>
            <wp:extent cx="685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-153670</wp:posOffset>
            </wp:positionV>
            <wp:extent cx="685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 credit concentration exists relating to accounts receivable. As at December 31, 2024, three customers (2022 - four) accounted for approximately 63% (2023 - 68% ) of accounts receivable and two customers (2023 - two) accounted for 43% of revenues from operations (2023 - 33%).</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Foreign currency risk is the risk that the fair value or future cash flows of a financial instrument will fluctuate because of changes in foreign exchange rates. The Group undertakes transactions denominated in foreign currencies and for which the related revenues, expenses, accounts receivable and accounts payable balances are subject to exchange rate fluctuations. Management regularly reviews the foreign exchange rates in relation to the United States dollar and the Group's foreign currency position. As at December 31, 2024, the following items are denominated in foreign currencies and are converted to the U.S. dollar equivalent:</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r>
      <w:tr>
        <w:trPr>
          <w:trHeight w:val="209"/>
        </w:trPr>
        <w:tc>
          <w:tcPr>
            <w:tcW w:w="6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Canadian Dollar</w:t>
            </w:r>
          </w:p>
        </w:tc>
        <w:tc>
          <w:tcPr>
            <w:tcW w:w="28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58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296,117</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81,651</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304,207</w:t>
            </w: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326,459</w:t>
            </w: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194,594</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225,106</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Investment tax credits receivable</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393,091</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439,784</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British pound sterling</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105,975</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210,264</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13,052</w:t>
            </w:r>
          </w:p>
        </w:tc>
        <w:tc>
          <w:tcPr>
            <w:tcW w:w="320" w:type="dxa"/>
            <w:vAlign w:val="bottom"/>
            <w:shd w:val="clear" w:color="auto" w:fill="CFF0FC"/>
          </w:tcPr>
          <w:p>
            <w:pPr>
              <w:spacing w:after="0"/>
              <w:rPr>
                <w:sz w:val="18"/>
                <w:szCs w:val="18"/>
                <w:color w:val="auto"/>
              </w:rPr>
            </w:pPr>
          </w:p>
        </w:tc>
      </w:tr>
      <w:tr>
        <w:trPr>
          <w:trHeight w:val="238"/>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58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9,751</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3,148.00</w:t>
            </w:r>
          </w:p>
        </w:tc>
        <w:tc>
          <w:tcPr>
            <w:tcW w:w="3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 w:right="7360" w:hanging="512"/>
        <w:spacing w:after="0" w:line="503" w:lineRule="auto"/>
        <w:tabs>
          <w:tab w:leader="none" w:pos="52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Related party transactions and balances </w:t>
      </w:r>
      <w:r>
        <w:rPr>
          <w:rFonts w:ascii="Times New Roman" w:cs="Times New Roman" w:eastAsia="Times New Roman" w:hAnsi="Times New Roman"/>
          <w:sz w:val="18"/>
          <w:szCs w:val="18"/>
          <w:b w:val="1"/>
          <w:bCs w:val="1"/>
          <w:i w:val="1"/>
          <w:iCs w:val="1"/>
          <w:color w:val="auto"/>
        </w:rPr>
        <w:t>Key management compensation of the Group</w:t>
      </w: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Key management personnel are comprised of four (2023 - four) of the Group’s directors and executive officers. In addition to salaries and benefits, key management personnel also receive share-based payments, which are further described in Note 12, and management fees.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management personnel compensation is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580" w:type="dxa"/>
            <w:vAlign w:val="bottom"/>
            <w:gridSpan w:val="2"/>
            <w:shd w:val="clear" w:color="auto" w:fill="CFF0FC"/>
          </w:tcPr>
          <w:p>
            <w:pPr>
              <w:jc w:val="right"/>
              <w:ind w:right="1139"/>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8,421</w:t>
            </w:r>
          </w:p>
        </w:tc>
        <w:tc>
          <w:tcPr>
            <w:tcW w:w="7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18,775</w:t>
            </w: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benefits (included in general and administrative expenses)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375,154</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431,998</w:t>
            </w:r>
          </w:p>
        </w:tc>
        <w:tc>
          <w:tcPr>
            <w:tcW w:w="320" w:type="dxa"/>
            <w:vAlign w:val="bottom"/>
          </w:tcPr>
          <w:p>
            <w:pPr>
              <w:spacing w:after="0"/>
              <w:rPr>
                <w:sz w:val="18"/>
                <w:szCs w:val="18"/>
                <w:color w:val="auto"/>
              </w:rPr>
            </w:pP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fees (included in general and administrative expenses)</w:t>
            </w:r>
          </w:p>
        </w:tc>
        <w:tc>
          <w:tcPr>
            <w:tcW w:w="2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474,213</w:t>
            </w:r>
          </w:p>
        </w:tc>
        <w:tc>
          <w:tcPr>
            <w:tcW w:w="3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493,169</w:t>
            </w:r>
          </w:p>
        </w:tc>
        <w:tc>
          <w:tcPr>
            <w:tcW w:w="320" w:type="dxa"/>
            <w:vAlign w:val="bottom"/>
            <w:tcBorders>
              <w:bottom w:val="single" w:sz="8" w:color="CFF0FC"/>
            </w:tcBorders>
            <w:shd w:val="clear" w:color="auto" w:fill="CFF0FC"/>
          </w:tcPr>
          <w:p>
            <w:pPr>
              <w:spacing w:after="0"/>
              <w:rPr>
                <w:sz w:val="18"/>
                <w:szCs w:val="18"/>
                <w:color w:val="auto"/>
              </w:rPr>
            </w:pPr>
          </w:p>
        </w:tc>
      </w:tr>
      <w:tr>
        <w:trPr>
          <w:trHeight w:val="210"/>
        </w:trPr>
        <w:tc>
          <w:tcPr>
            <w:tcW w:w="6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857,788</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943,942</w:t>
            </w:r>
          </w:p>
        </w:tc>
        <w:tc>
          <w:tcPr>
            <w:tcW w:w="32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-153670</wp:posOffset>
            </wp:positionV>
            <wp:extent cx="7747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-153670</wp:posOffset>
            </wp:positionV>
            <wp:extent cx="6858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0" w:hanging="512"/>
        <w:spacing w:after="0"/>
        <w:tabs>
          <w:tab w:leader="none" w:pos="52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management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71" w:name="page172"/>
    <w:bookmarkEnd w:id="171"/>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Group's objective in managing capital is to ensure sufficient liquidity to pursue its strategy of organic growth combined with strategic acquisitions, so that it can provide above average returns for its shareholders. The Group defines capital that it manages as the aggregate of its shareholders' deficit, which consists of issued capital, warrants, and deficit.</w:t>
      </w:r>
    </w:p>
    <w:p>
      <w:pPr>
        <w:spacing w:after="0" w:line="176"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 Group manages its capital structure and makes adjustments to it in light of general economic conditions and the risk characteristics of the underlying assets and the Group's working capital requirements. In order to maintain or adjust the capital structure, the Group, upon approval from its Board of Directors, may issue shares, repurchase shares through a normal course issuer bid and pay dividends. The Board of Directors reviews and approves any material transactions not in the ordinary course of business that may include various acquisition proposals, as well as capital and operating budgets. No changes were made in the objectives, policies or processes of capital management during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0" w:hanging="512"/>
        <w:spacing w:after="0"/>
        <w:tabs>
          <w:tab w:leader="none" w:pos="52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reconciliation of the combined Canadian federal and provincial statutory income tax rate of 26.5% (2023- 26.5%) to the effective tax rate is as follows: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Pr>
          <w:p>
            <w:pPr>
              <w:jc w:val="right"/>
              <w:ind w:right="9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6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 before recovery of income taxes</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(8,899,333)</w:t>
            </w:r>
          </w:p>
        </w:tc>
        <w:tc>
          <w:tcPr>
            <w:tcW w:w="100" w:type="dxa"/>
            <w:vAlign w:val="bottom"/>
            <w:shd w:val="clear" w:color="auto" w:fill="CFF0FC"/>
          </w:tcPr>
          <w:p>
            <w:pPr>
              <w:spacing w:after="0"/>
              <w:rPr>
                <w:sz w:val="12"/>
                <w:szCs w:val="12"/>
                <w:color w:val="auto"/>
              </w:rPr>
            </w:pP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(5,377,017)</w:t>
            </w:r>
          </w:p>
        </w:tc>
        <w:tc>
          <w:tcPr>
            <w:tcW w:w="100" w:type="dxa"/>
            <w:vAlign w:val="bottom"/>
            <w:shd w:val="clear" w:color="auto" w:fill="CFF0FC"/>
          </w:tcPr>
          <w:p>
            <w:pPr>
              <w:spacing w:after="0"/>
              <w:rPr>
                <w:sz w:val="12"/>
                <w:szCs w:val="12"/>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Expected income tax recovery at 26.5%</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(2,358,330.00)</w:t>
            </w:r>
          </w:p>
        </w:tc>
        <w:tc>
          <w:tcPr>
            <w:tcW w:w="220" w:type="dxa"/>
            <w:vAlign w:val="bottom"/>
          </w:tcPr>
          <w:p>
            <w:pPr>
              <w:spacing w:after="0"/>
              <w:rPr>
                <w:sz w:val="12"/>
                <w:szCs w:val="12"/>
                <w:color w:val="auto"/>
              </w:rPr>
            </w:pPr>
          </w:p>
        </w:tc>
        <w:tc>
          <w:tcPr>
            <w:tcW w:w="23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(1,424,909.00)</w:t>
            </w:r>
          </w:p>
        </w:tc>
      </w:tr>
      <w:tr>
        <w:trPr>
          <w:trHeight w:val="148"/>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Difference in tax rates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11,105</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(1,355)</w:t>
            </w: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adjustments</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26,044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6,615</w:t>
            </w:r>
          </w:p>
        </w:tc>
        <w:tc>
          <w:tcPr>
            <w:tcW w:w="100" w:type="dxa"/>
            <w:vAlign w:val="bottom"/>
          </w:tcPr>
          <w:p>
            <w:pPr>
              <w:spacing w:after="0"/>
              <w:rPr>
                <w:sz w:val="12"/>
                <w:szCs w:val="12"/>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State Tax</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2,131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FX translation</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948,432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(248,663)</w:t>
            </w:r>
          </w:p>
        </w:tc>
      </w:tr>
      <w:tr>
        <w:trPr>
          <w:trHeight w:val="148"/>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 based compensation and non-deductible expenses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133,605</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94,328</w:t>
            </w:r>
          </w:p>
        </w:tc>
        <w:tc>
          <w:tcPr>
            <w:tcW w:w="100" w:type="dxa"/>
            <w:vAlign w:val="bottom"/>
            <w:shd w:val="clear" w:color="auto" w:fill="CFF0FC"/>
          </w:tcPr>
          <w:p>
            <w:pPr>
              <w:spacing w:after="0"/>
              <w:rPr>
                <w:sz w:val="12"/>
                <w:szCs w:val="12"/>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Book to filing adjustment</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45,162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44,758</w:t>
            </w:r>
          </w:p>
        </w:tc>
        <w:tc>
          <w:tcPr>
            <w:tcW w:w="100" w:type="dxa"/>
            <w:vAlign w:val="bottom"/>
          </w:tcPr>
          <w:p>
            <w:pPr>
              <w:spacing w:after="0"/>
              <w:rPr>
                <w:sz w:val="12"/>
                <w:szCs w:val="12"/>
                <w:color w:val="auto"/>
              </w:rPr>
            </w:pPr>
          </w:p>
        </w:tc>
      </w:tr>
      <w:tr>
        <w:trPr>
          <w:trHeight w:val="149"/>
        </w:trPr>
        <w:tc>
          <w:tcPr>
            <w:tcW w:w="61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Change in tax benefits not recognized</w:t>
            </w:r>
          </w:p>
        </w:tc>
        <w:tc>
          <w:tcPr>
            <w:tcW w:w="220" w:type="dxa"/>
            <w:vAlign w:val="bottom"/>
            <w:tcBorders>
              <w:bottom w:val="single" w:sz="8" w:color="CFF0FC"/>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1,225,375</w:t>
            </w: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22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1,850,140</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1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Current tax expense</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33,524</w:t>
            </w:r>
          </w:p>
        </w:tc>
        <w:tc>
          <w:tcPr>
            <w:tcW w:w="100" w:type="dxa"/>
            <w:vAlign w:val="bottom"/>
          </w:tcPr>
          <w:p>
            <w:pPr>
              <w:spacing w:after="0"/>
              <w:rPr>
                <w:sz w:val="12"/>
                <w:szCs w:val="12"/>
                <w:color w:val="auto"/>
              </w:rPr>
            </w:pP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320,914</w:t>
            </w:r>
          </w:p>
        </w:tc>
        <w:tc>
          <w:tcPr>
            <w:tcW w:w="100" w:type="dxa"/>
            <w:vAlign w:val="bottom"/>
          </w:tcPr>
          <w:p>
            <w:pPr>
              <w:spacing w:after="0"/>
              <w:rPr>
                <w:sz w:val="12"/>
                <w:szCs w:val="12"/>
                <w:color w:val="auto"/>
              </w:rPr>
            </w:pPr>
          </w:p>
        </w:tc>
      </w:tr>
      <w:tr>
        <w:trPr>
          <w:trHeight w:val="142"/>
        </w:trPr>
        <w:tc>
          <w:tcPr>
            <w:tcW w:w="6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The Group's income tax is allocated as follows: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tax expense</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33,524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320,914</w:t>
            </w:r>
          </w:p>
        </w:tc>
        <w:tc>
          <w:tcPr>
            <w:tcW w:w="100" w:type="dxa"/>
            <w:vAlign w:val="bottom"/>
          </w:tcPr>
          <w:p>
            <w:pPr>
              <w:spacing w:after="0"/>
              <w:rPr>
                <w:sz w:val="12"/>
                <w:szCs w:val="12"/>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tax expense</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42"/>
        </w:trPr>
        <w:tc>
          <w:tcPr>
            <w:tcW w:w="610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top w:val="single" w:sz="8" w:color="CFF0FC"/>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33,524</w:t>
            </w:r>
          </w:p>
        </w:tc>
        <w:tc>
          <w:tcPr>
            <w:tcW w:w="10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320,914</w:t>
            </w:r>
          </w:p>
        </w:tc>
        <w:tc>
          <w:tcPr>
            <w:tcW w:w="100" w:type="dxa"/>
            <w:vAlign w:val="bottom"/>
            <w:tcBorders>
              <w:top w:val="single" w:sz="8" w:color="CFF0FC"/>
            </w:tcBorders>
          </w:tcPr>
          <w:p>
            <w:pPr>
              <w:spacing w:after="0"/>
              <w:rPr>
                <w:sz w:val="12"/>
                <w:szCs w:val="12"/>
                <w:color w:val="auto"/>
              </w:rPr>
            </w:pPr>
          </w:p>
        </w:tc>
      </w:tr>
      <w:tr>
        <w:trPr>
          <w:trHeight w:val="142"/>
        </w:trPr>
        <w:tc>
          <w:tcPr>
            <w:tcW w:w="6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The following table summarizes the components of deferred tax:</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Deferred Tax Assets</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Right of use obligations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46,262</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59,653</w:t>
            </w:r>
          </w:p>
        </w:tc>
        <w:tc>
          <w:tcPr>
            <w:tcW w:w="100" w:type="dxa"/>
            <w:vAlign w:val="bottom"/>
            <w:shd w:val="clear" w:color="auto" w:fill="CFF0FC"/>
          </w:tcPr>
          <w:p>
            <w:pPr>
              <w:spacing w:after="0"/>
              <w:rPr>
                <w:sz w:val="12"/>
                <w:szCs w:val="12"/>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SR&amp;ED pool from T661</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47,699</w:t>
            </w: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(13,593)</w:t>
            </w: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Financing costs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Federal ITCs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(31,510)</w:t>
            </w:r>
          </w:p>
        </w:tc>
      </w:tr>
      <w:tr>
        <w:trPr>
          <w:trHeight w:val="148"/>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 and lease receivables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(46,262)</w:t>
            </w:r>
          </w:p>
        </w:tc>
        <w:tc>
          <w:tcPr>
            <w:tcW w:w="220" w:type="dxa"/>
            <w:vAlign w:val="bottom"/>
            <w:shd w:val="clear" w:color="auto" w:fill="CFF0FC"/>
          </w:tcPr>
          <w:p>
            <w:pPr>
              <w:spacing w:after="0"/>
              <w:rPr>
                <w:sz w:val="12"/>
                <w:szCs w:val="12"/>
                <w:color w:val="auto"/>
              </w:rPr>
            </w:pPr>
          </w:p>
        </w:tc>
        <w:tc>
          <w:tcPr>
            <w:tcW w:w="2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(58,599.00)</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12(1)(x) Inducement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(3,650.00)</w:t>
            </w:r>
          </w:p>
        </w:tc>
      </w:tr>
      <w:tr>
        <w:trPr>
          <w:trHeight w:val="142"/>
        </w:trPr>
        <w:tc>
          <w:tcPr>
            <w:tcW w:w="61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top w:val="single" w:sz="8" w:color="auto"/>
              <w:bottom w:val="single" w:sz="8" w:color="auto"/>
            </w:tcBorders>
            <w:shd w:val="clear" w:color="auto" w:fill="CFF0FC"/>
          </w:tcPr>
          <w:p>
            <w:pPr>
              <w:spacing w:after="0"/>
              <w:rPr>
                <w:sz w:val="12"/>
                <w:szCs w:val="12"/>
                <w:color w:val="auto"/>
              </w:rPr>
            </w:pP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FF0FC"/>
            </w:tcBorders>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-1859280</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-1422400</wp:posOffset>
            </wp:positionV>
            <wp:extent cx="685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liabilities:</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have been offset where they relate to income taxes levied by the same taxation authority and the Group has the legal right and intent to offset. During the year, $nil (2023 - $nil) net deferred tax liabilities were recognized in net loss and $nil (2023 - $nil) net deferred tax liabilities were recognized in equity.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Unrecognized deferred tax assets:</w:t>
      </w:r>
    </w:p>
    <w:p>
      <w:pPr>
        <w:spacing w:after="0" w:line="22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Deferred taxes are provided as a result of temporary differences that arise due to the differences between the income tax values and the carrying amount of assets and liabilities. Deferred tax assets have not been recognized in respect of the following deductible temporary differences: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24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1,084,954</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1,242,482</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16,189</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reserves</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1,249,506</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1,272,731</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issuance costs - 20(1)(e)</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21,779</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Non-capital losses carried forward - Canada</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39,585,210</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37,762,917</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Non-capital losses carried forward - Foreign</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3,235,107</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208,466</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SR&amp;ED pool from T661</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1,048,835</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1,025,175</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Costs - US</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118,445</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144,446</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ORDTC</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35,887</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39,043</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Others</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22,404</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24,373</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Charitable donations carryforward</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2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46,418,316</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41,731,303</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Canadian non-capital loss carry forwards expire as noted in the table below. Share issue and financing costs will be fully amortized in 2024. The remaining deductible temporary differences may be carried forward indefinitely. Deferred tax assets have not been recognized in respect of these items because it is not probable that future taxable profit will be available against which the Group can utilize the benefits there from.</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Group's unused Canadian non-capital income tax losses, for which no deferred tax has been recognized, expires as follows:</w:t>
      </w:r>
    </w:p>
    <w:p>
      <w:pPr>
        <w:spacing w:after="0" w:line="200" w:lineRule="exact"/>
        <w:rPr>
          <w:sz w:val="20"/>
          <w:szCs w:val="20"/>
          <w:color w:val="auto"/>
        </w:rPr>
      </w:pPr>
    </w:p>
    <w:p>
      <w:pPr>
        <w:spacing w:after="0" w:line="259" w:lineRule="exact"/>
        <w:rPr>
          <w:sz w:val="20"/>
          <w:szCs w:val="20"/>
          <w:color w:val="auto"/>
        </w:rPr>
      </w:pPr>
    </w:p>
    <w:tbl>
      <w:tblPr>
        <w:tblLayout w:type="fixed"/>
        <w:tblInd w:w="1580" w:type="dxa"/>
        <w:tblCellMar>
          <w:top w:w="0" w:type="dxa"/>
          <w:left w:w="0" w:type="dxa"/>
          <w:bottom w:w="0" w:type="dxa"/>
          <w:right w:w="0" w:type="dxa"/>
        </w:tblCellMar>
      </w:tblP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2034</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491,819</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2035</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493,259</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2036</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1,275,928</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2037</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3,580,452</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2038</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4,935,279</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2039</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4,948,348</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2040</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2,178,411</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2041</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3,157,169</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2042</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8,197,548</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2043</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5,312,888</w:t>
            </w:r>
          </w:p>
        </w:tc>
        <w:tc>
          <w:tcPr>
            <w:tcW w:w="300" w:type="dxa"/>
            <w:vAlign w:val="bottom"/>
          </w:tcPr>
          <w:p>
            <w:pPr>
              <w:spacing w:after="0"/>
              <w:rPr>
                <w:sz w:val="18"/>
                <w:szCs w:val="18"/>
                <w:color w:val="auto"/>
              </w:rPr>
            </w:pPr>
          </w:p>
        </w:tc>
      </w:tr>
      <w:tr>
        <w:trPr>
          <w:trHeight w:val="216"/>
        </w:trPr>
        <w:tc>
          <w:tcPr>
            <w:tcW w:w="4280" w:type="dxa"/>
            <w:vAlign w:val="bottom"/>
            <w:tcBorders>
              <w:bottom w:val="single" w:sz="8" w:color="CFF0FC"/>
            </w:tcBorders>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2044</w:t>
            </w:r>
          </w:p>
        </w:tc>
        <w:tc>
          <w:tcPr>
            <w:tcW w:w="1460" w:type="dxa"/>
            <w:vAlign w:val="bottom"/>
            <w:tcBorders>
              <w:bottom w:val="single" w:sz="8" w:color="CFF0FC"/>
            </w:tcBorders>
            <w:shd w:val="clear" w:color="auto" w:fill="CFF0FC"/>
          </w:tcPr>
          <w:p>
            <w:pPr>
              <w:spacing w:after="0"/>
              <w:rPr>
                <w:sz w:val="18"/>
                <w:szCs w:val="18"/>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5,014,108</w:t>
            </w:r>
          </w:p>
        </w:tc>
        <w:tc>
          <w:tcPr>
            <w:tcW w:w="300" w:type="dxa"/>
            <w:vAlign w:val="bottom"/>
            <w:tcBorders>
              <w:bottom w:val="single" w:sz="8" w:color="CFF0FC"/>
            </w:tcBorders>
            <w:shd w:val="clear" w:color="auto" w:fill="CFF0FC"/>
          </w:tcPr>
          <w:p>
            <w:pPr>
              <w:spacing w:after="0"/>
              <w:rPr>
                <w:sz w:val="18"/>
                <w:szCs w:val="18"/>
                <w:color w:val="auto"/>
              </w:rPr>
            </w:pPr>
          </w:p>
        </w:tc>
      </w:tr>
      <w:tr>
        <w:trPr>
          <w:trHeight w:val="210"/>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39,585,210</w:t>
            </w:r>
          </w:p>
        </w:tc>
        <w:tc>
          <w:tcPr>
            <w:tcW w:w="3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-153670</wp:posOffset>
            </wp:positionV>
            <wp:extent cx="431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0" w:hanging="512"/>
        <w:spacing w:after="0"/>
        <w:tabs>
          <w:tab w:leader="none" w:pos="52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Revenue is disaggregated primarily by geographical market. The Group has one reportable segment (cloud-based services). Contract liabilities include deferred revenue which represents cash received in advance of service being provided.Contract costs include prepaid commissions which are paid in advance and deferred over the life of the contract. These prepaid commissions are included in prepaid expenses and deposits.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by geography</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270,805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301,842</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8,361,218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11,763,759</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16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5,722,919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4,915,000</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Australia</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1,223,946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783,420</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6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3,003,926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1,780,000</w:t>
            </w:r>
          </w:p>
        </w:tc>
        <w:tc>
          <w:tcPr>
            <w:tcW w:w="100" w:type="dxa"/>
            <w:vAlign w:val="bottom"/>
          </w:tcPr>
          <w:p>
            <w:pPr>
              <w:spacing w:after="0"/>
              <w:rPr>
                <w:sz w:val="18"/>
                <w:szCs w:val="18"/>
                <w:color w:val="auto"/>
              </w:rPr>
            </w:pPr>
          </w:p>
        </w:tc>
      </w:tr>
      <w:tr>
        <w:trPr>
          <w:trHeight w:val="216"/>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308,120</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304,800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18,890,934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19,848,821</w:t>
            </w:r>
          </w:p>
        </w:tc>
        <w:tc>
          <w:tcPr>
            <w:tcW w:w="100" w:type="dxa"/>
            <w:vAlign w:val="bottom"/>
          </w:tcPr>
          <w:p>
            <w:pPr>
              <w:spacing w:after="0"/>
              <w:rPr>
                <w:sz w:val="18"/>
                <w:szCs w:val="18"/>
                <w:color w:val="auto"/>
              </w:rPr>
            </w:pPr>
          </w:p>
        </w:tc>
      </w:tr>
      <w:tr>
        <w:trPr>
          <w:trHeight w:val="21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Contract costs (included in prepaid expenses and deposits)</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561,085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422,123</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679,520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831,259</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(included in sales and marketing expenses)</w:t>
            </w:r>
          </w:p>
        </w:tc>
        <w:tc>
          <w:tcPr>
            <w:tcW w:w="166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(573,611)</w:t>
            </w:r>
          </w:p>
        </w:tc>
        <w:tc>
          <w:tcPr>
            <w:tcW w:w="14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(692,297)</w:t>
            </w:r>
          </w:p>
        </w:tc>
      </w:tr>
      <w:tr>
        <w:trPr>
          <w:trHeight w:val="210"/>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1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666,994</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561,085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revenue</w:t>
            </w:r>
          </w:p>
        </w:tc>
        <w:tc>
          <w:tcPr>
            <w:tcW w:w="1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8,118,419</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4,854,243</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6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19,785,348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22,719,505</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recognized to revenue</w:t>
            </w:r>
          </w:p>
        </w:tc>
        <w:tc>
          <w:tcPr>
            <w:tcW w:w="16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(18,552,081)</w:t>
            </w:r>
          </w:p>
        </w:tc>
        <w:tc>
          <w:tcPr>
            <w:tcW w:w="1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(19,455,329)</w:t>
            </w:r>
          </w:p>
        </w:tc>
      </w:tr>
      <w:tr>
        <w:trPr>
          <w:trHeight w:val="209"/>
        </w:trPr>
        <w:tc>
          <w:tcPr>
            <w:tcW w:w="6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16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9,351,686</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8,118,419</w:t>
            </w:r>
          </w:p>
        </w:tc>
        <w:tc>
          <w:tcPr>
            <w:tcW w:w="10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-1559560</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-710565</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w:t>
            </w: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Contributed surplus</w:t>
            </w:r>
          </w:p>
        </w:tc>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88"/>
        </w:trPr>
        <w:tc>
          <w:tcPr>
            <w:tcW w:w="3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r>
      <w:tr>
        <w:trPr>
          <w:trHeight w:val="209"/>
        </w:trPr>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6,215,028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6,085,161</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payments (Note 12)</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76,052</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129,867</w:t>
            </w:r>
          </w:p>
        </w:tc>
        <w:tc>
          <w:tcPr>
            <w:tcW w:w="100" w:type="dxa"/>
            <w:vAlign w:val="bottom"/>
          </w:tcPr>
          <w:p>
            <w:pPr>
              <w:spacing w:after="0"/>
              <w:rPr>
                <w:sz w:val="18"/>
                <w:szCs w:val="18"/>
                <w:color w:val="auto"/>
              </w:rPr>
            </w:pPr>
          </w:p>
        </w:tc>
      </w:tr>
      <w:tr>
        <w:trPr>
          <w:trHeight w:val="210"/>
        </w:trPr>
        <w:tc>
          <w:tcPr>
            <w:tcW w:w="4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27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6,291,080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6,215,028</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Group is subject to various claims in the normal course of operations. Litigation is subject to many uncertainties, and the outcome of individual matters is not predictable with assurance. In the opinion of management, based on the advice and information provided by the Group's legal counsel, final determination of these other litigations will not materially affect the Group's financial position or results of operations.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Statement of claim - July 27, 2021</w:t>
      </w:r>
    </w:p>
    <w:p>
      <w:pPr>
        <w:spacing w:after="0" w:line="227"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On July 27, 2021, the Group filed a claim against Wondr Gaming Corp (the "Defendant"), alleging breach of contract and unjust enrichment and seeking $4,136,807 plus interest and costs. The Defendant is contesting the claim.</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September 7, 2021, the Defendant filed a Statement of Defence and Counterclaim in the Ontario Superior Court of Justice against GroupBy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Defendant claims, among other things, the Group's failure to perform the services and misrepresentation and seeks dismissal of the 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the Company is counterclaiming seeking damages of $400,000 plus costs for breach of contract and negligent misrepresentation.</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litigation is subject to many uncertainties, it is not possible to predict the ultimate outcome of this claim or to estimate the loss, if any, which may result. Accordingly, the outcome of the claim is not yet determinable, and the extent to which an outflow of funds may be required to settle this possible obligation cannot be reliably measured.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Statement of claim - May 16, 2024</w:t>
      </w:r>
    </w:p>
    <w:p>
      <w:pPr>
        <w:spacing w:after="0" w:line="22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On May 16, 2024, the Group was named as a defendant in a case to recover a payment of $2,500,000 made by Bed Bath &amp; Beyond Inc. ("BBB") to the Company on February 20, 2023.</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74" w:name="page175"/>
    <w:bookmarkEnd w:id="174"/>
    <w:p>
      <w:pPr>
        <w:ind w:firstLine="509"/>
        <w:spacing w:after="0" w:line="266" w:lineRule="auto"/>
        <w:rPr>
          <w:sz w:val="20"/>
          <w:szCs w:val="20"/>
          <w:color w:val="auto"/>
        </w:rPr>
      </w:pPr>
      <w:r>
        <w:rPr>
          <w:rFonts w:ascii="Times New Roman" w:cs="Times New Roman" w:eastAsia="Times New Roman" w:hAnsi="Times New Roman"/>
          <w:sz w:val="18"/>
          <w:szCs w:val="18"/>
          <w:color w:val="auto"/>
        </w:rPr>
        <w:t>As litigation is subject to many uncertainties, it is not possible to predict the ultimate outcome of this claim or to estimate the loss, if any, which may result. Accordingly, the outcome of the claim is not yet determinable, and the extent to which an outflow of funds may be required to settle this possible obligation cannot be reliably measured.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Subsequent to year end, Rezolve AI plc ("Rezolve") acquired all issued and outstanding shares of the Group in exchange for 3,999,902 shares in Rezolve. Upon acquisition of the shares, the Group entered into a novation agreement to novate its rights, benefits, obligations, and liabilities under the bank indebtedness to Rezolve. The options outstanding as of the closing date were deemed to be underwater and cancelled on the closing date, in accordance with the terms of the option plan and existing option agreements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Rezolve’s articles of association provide that, to the extent permitted by the U.K. Companies Act, Rezolve may indemnify its directors against and every other officer of the company against any liability incurred by such director or officer for any negligence, default, breach of duty or breach of trust or otherwise in relation to the affairs or activities of Rezolve or any associated company. In addition, Rezolve will from Closing maintain directors’ and officers’ insurance to insure such persons against certain liabilities.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Insofar as indemnification of liabilities arising under the Securities Act may be permitted to our board, executive officers or persons controlling us pursuant to the foregoing provisions, we have been advised that, in the opinion of the SEC, such indemnification is against public policy as expressed in the Securities Act and is therefore unenforceable.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Recent Sales of Unregistered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Set forth below is information regarding all securities sold or granted by us within the past three years that were not registered under the Securities Act and the consideration, if any, received by us for such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Rezolve Limited issued Convertible Notes in the aggregate principal amount of up to $49,892,080 pursuant to a Convertible Note instrument originally made by Rezolve Limited and dated December 16, 2021, as amended and restated on November 21, 2022 and May 23, 2023 and as amended on December 18, 2023, December 29 2023 and as further amended and restated on January 26, 2024, and novated from Rezolve Limited to the Company at time of the Pre-Closing Demerger by a deed of novation dated July 4, 2024. The Convertible Notes were not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Warrants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Closing, the Company issued a total of 569,982 private warrants to holders of Promissory Notes pursuant to the Company's obligations under the subscription agreements entered into between the Company, Rezolve Limited and the holders of Promissory Notes in February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Bluedot Acquisition</w:t>
      </w:r>
    </w:p>
    <w:p>
      <w:pPr>
        <w:spacing w:after="0" w:line="227"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On February 4, 2025, Rezolve entered into the First BlueDot Purchase Agreement, by and between the Company and DBLP, pursuant to which the Company agreed to purchase, and DBLP agreed to sell, the entire issued and to be issued share capital of each of Bluedot Industries, Inc., a Delaware corporation, and Bluedot Industries Pty. Ltd, an Australian proprietary limited company registered in Victoria on 7 December 2013 with Australian Company Number 165 206 566.</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February 20, 2025, Rezolve closed the First Bluedot Acquisition. As consideration for the First Bluedot Acquisition, Rezolve issued 819,737 ordinary shares of the Company in a private placement to DBLP.</w:t>
      </w:r>
    </w:p>
    <w:p>
      <w:pPr>
        <w:spacing w:after="0" w:line="162"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On March 17, 2025, Rezolve entered into the Second Bluedot Purchase Agreement, by and between the Company and Tanist , pursuant to which the Company agreed to purchase, and Tanist agreed to sell, the entire issued and to be issued share capital of Bluedot Innovation Pty. Ltd, an Australian proprietary limited company registered in South Australia 161 734 621.</w:t>
      </w:r>
    </w:p>
    <w:p>
      <w:pPr>
        <w:spacing w:after="0" w:line="17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 March 17, 2025, Rezolve closed the Second Bluedot Acquisition. As consideration for the Second Bluedot Acquisition, Rezolve issued 1,941,111 ordinary shares of the Company in a private placement to Tanist.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6" w:name="page177"/>
    <w:bookmarkEnd w:id="176"/>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GroupBy Acquisition</w:t>
      </w:r>
    </w:p>
    <w:p>
      <w:pPr>
        <w:spacing w:after="0" w:line="22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On February 11, 2025, Rezolve entered into the GroupBy Purchase Agreement, by and among the Company, GroupBy, GroupBy International and the Sellers, pursuant to which the Company agreed to purchase, and the Sellers agreed to sell, the entire issued and to be issued share capital of each of GroupBy and GroupBy International.</w:t>
      </w:r>
    </w:p>
    <w:p>
      <w:pPr>
        <w:spacing w:after="0" w:line="17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Financing</w:t>
      </w:r>
    </w:p>
    <w:p>
      <w:pPr>
        <w:spacing w:after="0" w:line="22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July 24, 2025, Rezolve entered into the Purchase Agreements with the Selling Holders, for the purchase and sale of 20,000,000 Ordinary Shares in a private placement at a price of $2.50 per share.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July 25, Rezolve closed the PIPE Financing and received aggregate gross proceeds of approximately $50 million, before deducting placement agent fees and other offering expenses. The PIPE Shares were offered pursuant to the exemption from registration under Section 4(a)(2) of the Securities Act and Rule 506(b) of Regulation D promulgated thereunder, and applicable state securities laws.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 and Financial Statements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(a)Exhibits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Borders>
              <w:top w:val="single" w:sz="8" w:color="auto"/>
            </w:tcBorders>
            <w:shd w:val="clear" w:color="auto" w:fill="000000"/>
          </w:tcPr>
          <w:p>
            <w:pPr>
              <w:spacing w:after="0"/>
              <w:rPr>
                <w:sz w:val="18"/>
                <w:szCs w:val="18"/>
                <w:color w:val="auto"/>
              </w:rPr>
            </w:pPr>
          </w:p>
        </w:tc>
        <w:tc>
          <w:tcPr>
            <w:tcW w:w="90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0" w:type="dxa"/>
            <w:vAlign w:val="bottom"/>
            <w:tcBorders>
              <w:top w:val="single" w:sz="8" w:color="auto"/>
            </w:tcBorders>
            <w:gridSpan w:val="1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Borders>
              <w:top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auto"/>
            </w:tcBorders>
            <w:shd w:val="clear" w:color="auto" w:fill="000000"/>
          </w:tcPr>
          <w:p>
            <w:pPr>
              <w:spacing w:after="0"/>
              <w:rPr>
                <w:sz w:val="22"/>
                <w:szCs w:val="22"/>
                <w:color w:val="auto"/>
              </w:rPr>
            </w:pPr>
          </w:p>
        </w:tc>
        <w:tc>
          <w:tcPr>
            <w:tcW w:w="90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0" w:type="dxa"/>
            <w:vAlign w:val="bottom"/>
            <w:tcBorders>
              <w:bottom w:val="single" w:sz="8" w:color="auto"/>
            </w:tcBorders>
            <w:shd w:val="clear" w:color="auto" w:fill="000000"/>
          </w:tcPr>
          <w:p>
            <w:pPr>
              <w:spacing w:after="0"/>
              <w:rPr>
                <w:sz w:val="13"/>
                <w:szCs w:val="13"/>
                <w:color w:val="auto"/>
              </w:rPr>
            </w:pPr>
          </w:p>
        </w:tc>
        <w:tc>
          <w:tcPr>
            <w:tcW w:w="900" w:type="dxa"/>
            <w:vAlign w:val="bottom"/>
          </w:tcPr>
          <w:p>
            <w:pPr>
              <w:ind w:left="100"/>
              <w:spacing w:after="0" w:line="152" w:lineRule="exact"/>
              <w:rPr>
                <w:sz w:val="20"/>
                <w:szCs w:val="20"/>
                <w:color w:val="auto"/>
              </w:rPr>
            </w:pPr>
            <w:r>
              <w:rPr>
                <w:rFonts w:ascii="Times New Roman" w:cs="Times New Roman" w:eastAsia="Times New Roman" w:hAnsi="Times New Roman"/>
                <w:sz w:val="17"/>
                <w:szCs w:val="17"/>
                <w:color w:val="auto"/>
              </w:rPr>
              <w:t>2.1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700" w:type="dxa"/>
            <w:vAlign w:val="bottom"/>
            <w:tcBorders>
              <w:bottom w:val="single" w:sz="8" w:color="0000FF"/>
            </w:tcBorders>
            <w:gridSpan w:val="17"/>
          </w:tcPr>
          <w:p>
            <w:pPr>
              <w:spacing w:after="0" w:line="152" w:lineRule="exact"/>
              <w:rPr>
                <w:rFonts w:ascii="Times New Roman" w:cs="Times New Roman" w:eastAsia="Times New Roman" w:hAnsi="Times New Roman"/>
                <w:sz w:val="17"/>
                <w:szCs w:val="17"/>
                <w:color w:val="0000FF"/>
              </w:rPr>
            </w:pPr>
            <w:hyperlink r:id="rId597">
              <w:r>
                <w:rPr>
                  <w:rFonts w:ascii="Times New Roman" w:cs="Times New Roman" w:eastAsia="Times New Roman" w:hAnsi="Times New Roman"/>
                  <w:sz w:val="17"/>
                  <w:szCs w:val="17"/>
                  <w:color w:val="0000FF"/>
                </w:rPr>
                <w:t>Business Combination Agreement, dated December 17, 2021, as amended on November 10, 2022 and as further amended and restated</w:t>
              </w:r>
            </w:hyperlink>
          </w:p>
        </w:tc>
        <w:tc>
          <w:tcPr>
            <w:tcW w:w="100" w:type="dxa"/>
            <w:vAlign w:val="bottom"/>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shd w:val="clear" w:color="auto" w:fill="000000"/>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3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597">
              <w:r>
                <w:rPr>
                  <w:rFonts w:ascii="Times New Roman" w:cs="Times New Roman" w:eastAsia="Times New Roman" w:hAnsi="Times New Roman"/>
                  <w:sz w:val="18"/>
                  <w:szCs w:val="18"/>
                  <w:color w:val="0000FF"/>
                </w:rPr>
                <w:t>on June 16, 2023, as amended on August 4, 2023 (incorporated by reference to Exhibit 2.1 of Rezolve AI Limited’s Registration</w:t>
              </w:r>
            </w:hyperlink>
          </w:p>
        </w:tc>
        <w:tc>
          <w:tcPr>
            <w:tcW w:w="500" w:type="dxa"/>
            <w:vAlign w:val="bottom"/>
            <w:gridSpan w:val="8"/>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000000"/>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gridSpan w:val="18"/>
          </w:tcPr>
          <w:p>
            <w:pPr>
              <w:spacing w:after="0" w:line="196" w:lineRule="exact"/>
              <w:rPr>
                <w:rFonts w:ascii="Times New Roman" w:cs="Times New Roman" w:eastAsia="Times New Roman" w:hAnsi="Times New Roman"/>
                <w:sz w:val="18"/>
                <w:szCs w:val="18"/>
                <w:color w:val="0000FF"/>
              </w:rPr>
            </w:pPr>
            <w:hyperlink r:id="rId597">
              <w:r>
                <w:rPr>
                  <w:rFonts w:ascii="Times New Roman" w:cs="Times New Roman" w:eastAsia="Times New Roman" w:hAnsi="Times New Roman"/>
                  <w:sz w:val="18"/>
                  <w:szCs w:val="18"/>
                  <w:color w:val="0000FF"/>
                </w:rPr>
                <w:t>Statement on Form F-4, Amendment No. 2, filed with the SEC on September 25, 2023).</w:t>
              </w:r>
            </w:hyperlink>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top w:val="single" w:sz="8" w:color="0000FF"/>
              <w:bottom w:val="single" w:sz="8" w:color="auto"/>
            </w:tcBorders>
          </w:tcPr>
          <w:p>
            <w:pPr>
              <w:spacing w:after="0" w:line="20" w:lineRule="exact"/>
              <w:rPr>
                <w:sz w:val="1"/>
                <w:szCs w:val="1"/>
                <w:color w:val="auto"/>
              </w:rPr>
            </w:pPr>
          </w:p>
        </w:tc>
        <w:tc>
          <w:tcPr>
            <w:tcW w:w="200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shd w:val="clear" w:color="auto" w:fill="000000"/>
          </w:tcPr>
          <w:p>
            <w:pPr>
              <w:spacing w:after="0"/>
              <w:rPr>
                <w:sz w:val="14"/>
                <w:szCs w:val="14"/>
                <w:color w:val="auto"/>
              </w:rPr>
            </w:pPr>
          </w:p>
        </w:tc>
        <w:tc>
          <w:tcPr>
            <w:tcW w:w="90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320" w:type="dxa"/>
            <w:vAlign w:val="bottom"/>
            <w:tcBorders>
              <w:bottom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598">
              <w:r>
                <w:rPr>
                  <w:rFonts w:ascii="Times New Roman" w:cs="Times New Roman" w:eastAsia="Times New Roman" w:hAnsi="Times New Roman"/>
                  <w:sz w:val="18"/>
                  <w:szCs w:val="18"/>
                  <w:color w:val="0000FF"/>
                </w:rPr>
                <w:t>First Amendment to the Business Combination Agreement, dated as of August 4, 2023, by and among Armada Rezolve Limited,</w:t>
              </w:r>
            </w:hyperlink>
          </w:p>
        </w:tc>
        <w:tc>
          <w:tcPr>
            <w:tcW w:w="480" w:type="dxa"/>
            <w:vAlign w:val="bottom"/>
            <w:gridSpan w:val="7"/>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shd w:val="clear" w:color="auto" w:fill="000000"/>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598">
              <w:r>
                <w:rPr>
                  <w:rFonts w:ascii="Times New Roman" w:cs="Times New Roman" w:eastAsia="Times New Roman" w:hAnsi="Times New Roman"/>
                  <w:sz w:val="18"/>
                  <w:szCs w:val="18"/>
                  <w:color w:val="0000FF"/>
                </w:rPr>
                <w:t>Rezolve and Rezolve Merger Sub (incorporated by reference to Exhibit 2.2 of Rezolve AI Limited’s Registration Statement on Form</w:t>
              </w:r>
            </w:hyperlink>
          </w:p>
        </w:tc>
        <w:tc>
          <w:tcPr>
            <w:tcW w:w="200" w:type="dxa"/>
            <w:vAlign w:val="bottom"/>
            <w:gridSpan w:val="3"/>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000000"/>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gridSpan w:val="18"/>
          </w:tcPr>
          <w:p>
            <w:pPr>
              <w:spacing w:after="0" w:line="196" w:lineRule="exact"/>
              <w:rPr>
                <w:rFonts w:ascii="Times New Roman" w:cs="Times New Roman" w:eastAsia="Times New Roman" w:hAnsi="Times New Roman"/>
                <w:sz w:val="18"/>
                <w:szCs w:val="18"/>
                <w:color w:val="0000FF"/>
              </w:rPr>
            </w:pPr>
            <w:hyperlink r:id="rId598">
              <w:r>
                <w:rPr>
                  <w:rFonts w:ascii="Times New Roman" w:cs="Times New Roman" w:eastAsia="Times New Roman" w:hAnsi="Times New Roman"/>
                  <w:sz w:val="18"/>
                  <w:szCs w:val="18"/>
                  <w:color w:val="0000FF"/>
                </w:rPr>
                <w:t>F-4, Amendment No. 2, filed with the SEC on September 25, 2023).</w:t>
              </w:r>
            </w:hyperlink>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top w:val="single" w:sz="8" w:color="0000FF"/>
              <w:bottom w:val="single" w:sz="8" w:color="auto"/>
            </w:tcBorders>
          </w:tcPr>
          <w:p>
            <w:pPr>
              <w:spacing w:after="0" w:line="20" w:lineRule="exact"/>
              <w:rPr>
                <w:sz w:val="1"/>
                <w:szCs w:val="1"/>
                <w:color w:val="auto"/>
              </w:rPr>
            </w:pPr>
          </w:p>
        </w:tc>
        <w:tc>
          <w:tcPr>
            <w:tcW w:w="200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shd w:val="clear" w:color="auto" w:fill="000000"/>
          </w:tcPr>
          <w:p>
            <w:pPr>
              <w:spacing w:after="0"/>
              <w:rPr>
                <w:sz w:val="14"/>
                <w:szCs w:val="14"/>
                <w:color w:val="auto"/>
              </w:rPr>
            </w:pPr>
          </w:p>
        </w:tc>
        <w:tc>
          <w:tcPr>
            <w:tcW w:w="90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60" w:type="dxa"/>
            <w:vAlign w:val="bottom"/>
            <w:tcBorders>
              <w:bottom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599">
              <w:r>
                <w:rPr>
                  <w:rFonts w:ascii="Times New Roman" w:cs="Times New Roman" w:eastAsia="Times New Roman" w:hAnsi="Times New Roman"/>
                  <w:sz w:val="18"/>
                  <w:szCs w:val="18"/>
                  <w:color w:val="0000FF"/>
                </w:rPr>
                <w:t>Amended and Restated Memorandum and Articles of Association of Rezolve (incorporated by reference to Exhibit 1.1 of Rezolve AI</w:t>
              </w:r>
            </w:hyperlink>
          </w:p>
        </w:tc>
        <w:tc>
          <w:tcPr>
            <w:tcW w:w="140" w:type="dxa"/>
            <w:vAlign w:val="bottom"/>
            <w:gridSpan w:val="2"/>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000000"/>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gridSpan w:val="18"/>
          </w:tcPr>
          <w:p>
            <w:pPr>
              <w:spacing w:after="0" w:line="196" w:lineRule="exact"/>
              <w:rPr>
                <w:rFonts w:ascii="Times New Roman" w:cs="Times New Roman" w:eastAsia="Times New Roman" w:hAnsi="Times New Roman"/>
                <w:sz w:val="18"/>
                <w:szCs w:val="18"/>
                <w:color w:val="0000FF"/>
              </w:rPr>
            </w:pPr>
            <w:hyperlink r:id="rId599">
              <w:r>
                <w:rPr>
                  <w:rFonts w:ascii="Times New Roman" w:cs="Times New Roman" w:eastAsia="Times New Roman" w:hAnsi="Times New Roman"/>
                  <w:sz w:val="18"/>
                  <w:szCs w:val="18"/>
                  <w:color w:val="0000FF"/>
                </w:rPr>
                <w:t>Limited’s Shell Company Report on Form 20-F, filed with the SEC on April 24, 2025).</w:t>
              </w:r>
            </w:hyperlink>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top w:val="single" w:sz="8" w:color="0000EE"/>
              <w:bottom w:val="single" w:sz="8" w:color="auto"/>
            </w:tcBorders>
          </w:tcPr>
          <w:p>
            <w:pPr>
              <w:spacing w:after="0" w:line="20" w:lineRule="exact"/>
              <w:rPr>
                <w:sz w:val="1"/>
                <w:szCs w:val="1"/>
                <w:color w:val="auto"/>
              </w:rPr>
            </w:pPr>
          </w:p>
        </w:tc>
        <w:tc>
          <w:tcPr>
            <w:tcW w:w="200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112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shd w:val="clear" w:color="auto" w:fill="000000"/>
          </w:tcPr>
          <w:p>
            <w:pPr>
              <w:spacing w:after="0"/>
              <w:rPr>
                <w:sz w:val="14"/>
                <w:szCs w:val="14"/>
                <w:color w:val="auto"/>
              </w:rPr>
            </w:pPr>
          </w:p>
        </w:tc>
        <w:tc>
          <w:tcPr>
            <w:tcW w:w="90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600">
              <w:r>
                <w:rPr>
                  <w:rFonts w:ascii="Times New Roman" w:cs="Times New Roman" w:eastAsia="Times New Roman" w:hAnsi="Times New Roman"/>
                  <w:sz w:val="18"/>
                  <w:szCs w:val="18"/>
                  <w:color w:val="0000FF"/>
                </w:rPr>
                <w:t>Specimen of Ordinary Share Certificate (incorporated by reference to Exhibit 2.1 of Rezolve AI Limited’s Shell Company Report on</w:t>
              </w:r>
            </w:hyperlink>
          </w:p>
        </w:tc>
        <w:tc>
          <w:tcPr>
            <w:tcW w:w="200" w:type="dxa"/>
            <w:vAlign w:val="bottom"/>
            <w:gridSpan w:val="3"/>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000000"/>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gridSpan w:val="18"/>
          </w:tcPr>
          <w:p>
            <w:pPr>
              <w:spacing w:after="0" w:line="196" w:lineRule="exact"/>
              <w:rPr>
                <w:rFonts w:ascii="Times New Roman" w:cs="Times New Roman" w:eastAsia="Times New Roman" w:hAnsi="Times New Roman"/>
                <w:sz w:val="18"/>
                <w:szCs w:val="18"/>
                <w:color w:val="0000FF"/>
              </w:rPr>
            </w:pPr>
            <w:hyperlink r:id="rId600">
              <w:r>
                <w:rPr>
                  <w:rFonts w:ascii="Times New Roman" w:cs="Times New Roman" w:eastAsia="Times New Roman" w:hAnsi="Times New Roman"/>
                  <w:sz w:val="18"/>
                  <w:szCs w:val="18"/>
                  <w:color w:val="0000FF"/>
                </w:rPr>
                <w:t>Form 20-F, filed with the SEC on August 22, 2024).</w:t>
              </w:r>
            </w:hyperlink>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top w:val="single" w:sz="8" w:color="0000FF"/>
              <w:bottom w:val="single" w:sz="8" w:color="auto"/>
            </w:tcBorders>
          </w:tcPr>
          <w:p>
            <w:pPr>
              <w:spacing w:after="0" w:line="20" w:lineRule="exact"/>
              <w:rPr>
                <w:sz w:val="1"/>
                <w:szCs w:val="1"/>
                <w:color w:val="auto"/>
              </w:rPr>
            </w:pPr>
          </w:p>
        </w:tc>
        <w:tc>
          <w:tcPr>
            <w:tcW w:w="200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shd w:val="clear" w:color="auto" w:fill="000000"/>
          </w:tcPr>
          <w:p>
            <w:pPr>
              <w:spacing w:after="0"/>
              <w:rPr>
                <w:sz w:val="14"/>
                <w:szCs w:val="14"/>
                <w:color w:val="auto"/>
              </w:rPr>
            </w:pPr>
          </w:p>
        </w:tc>
        <w:tc>
          <w:tcPr>
            <w:tcW w:w="90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540" w:type="dxa"/>
            <w:vAlign w:val="bottom"/>
            <w:tcBorders>
              <w:bottom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601">
              <w:r>
                <w:rPr>
                  <w:rFonts w:ascii="Times New Roman" w:cs="Times New Roman" w:eastAsia="Times New Roman" w:hAnsi="Times New Roman"/>
                  <w:sz w:val="18"/>
                  <w:szCs w:val="18"/>
                  <w:color w:val="0000FF"/>
                </w:rPr>
                <w:t>Specimen Rezolve Warrant Certificate (incorporated by reference to Exhibit 2.2 of Rezolve AI Limited’s Shell Company Report on</w:t>
              </w:r>
            </w:hyperlink>
          </w:p>
        </w:tc>
        <w:tc>
          <w:tcPr>
            <w:tcW w:w="260" w:type="dxa"/>
            <w:vAlign w:val="bottom"/>
            <w:gridSpan w:val="4"/>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000000"/>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gridSpan w:val="18"/>
          </w:tcPr>
          <w:p>
            <w:pPr>
              <w:spacing w:after="0" w:line="196" w:lineRule="exact"/>
              <w:rPr>
                <w:rFonts w:ascii="Times New Roman" w:cs="Times New Roman" w:eastAsia="Times New Roman" w:hAnsi="Times New Roman"/>
                <w:sz w:val="18"/>
                <w:szCs w:val="18"/>
                <w:color w:val="0000FF"/>
              </w:rPr>
            </w:pPr>
            <w:hyperlink r:id="rId601">
              <w:r>
                <w:rPr>
                  <w:rFonts w:ascii="Times New Roman" w:cs="Times New Roman" w:eastAsia="Times New Roman" w:hAnsi="Times New Roman"/>
                  <w:sz w:val="18"/>
                  <w:szCs w:val="18"/>
                  <w:color w:val="0000FF"/>
                </w:rPr>
                <w:t>Form 20-F, filed with the SEC on August 22, 2024).</w:t>
              </w:r>
            </w:hyperlink>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top w:val="single" w:sz="8" w:color="0000FF"/>
              <w:bottom w:val="single" w:sz="8" w:color="auto"/>
            </w:tcBorders>
          </w:tcPr>
          <w:p>
            <w:pPr>
              <w:spacing w:after="0" w:line="20" w:lineRule="exact"/>
              <w:rPr>
                <w:sz w:val="1"/>
                <w:szCs w:val="1"/>
                <w:color w:val="auto"/>
              </w:rPr>
            </w:pPr>
          </w:p>
        </w:tc>
        <w:tc>
          <w:tcPr>
            <w:tcW w:w="200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920" w:type="dxa"/>
            <w:vAlign w:val="bottom"/>
            <w:tcBorders>
              <w:bottom w:val="single" w:sz="8" w:color="A0A0A0"/>
            </w:tcBorders>
            <w:gridSpan w:val="2"/>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80" w:type="dxa"/>
            <w:vAlign w:val="bottom"/>
            <w:tcBorders>
              <w:bottom w:val="single" w:sz="8" w:color="A0A0A0"/>
            </w:tcBorders>
          </w:tcPr>
          <w:p>
            <w:pPr>
              <w:spacing w:after="0"/>
              <w:rPr>
                <w:sz w:val="18"/>
                <w:szCs w:val="18"/>
                <w:color w:val="auto"/>
              </w:rPr>
            </w:pPr>
          </w:p>
        </w:tc>
        <w:tc>
          <w:tcPr>
            <w:tcW w:w="400" w:type="dxa"/>
            <w:vAlign w:val="bottom"/>
            <w:tcBorders>
              <w:bottom w:val="single" w:sz="8" w:color="A0A0A0"/>
            </w:tcBorders>
            <w:gridSpan w:val="2"/>
          </w:tcPr>
          <w:p>
            <w:pPr>
              <w:spacing w:after="0"/>
              <w:rPr>
                <w:sz w:val="18"/>
                <w:szCs w:val="18"/>
                <w:color w:val="auto"/>
              </w:rPr>
            </w:pPr>
          </w:p>
        </w:tc>
        <w:tc>
          <w:tcPr>
            <w:tcW w:w="1760" w:type="dxa"/>
            <w:vAlign w:val="bottom"/>
            <w:tcBorders>
              <w:bottom w:val="single" w:sz="8" w:color="A0A0A0"/>
            </w:tcBorders>
          </w:tcPr>
          <w:p>
            <w:pPr>
              <w:spacing w:after="0"/>
              <w:rPr>
                <w:sz w:val="18"/>
                <w:szCs w:val="18"/>
                <w:color w:val="auto"/>
              </w:rPr>
            </w:pPr>
          </w:p>
        </w:tc>
        <w:tc>
          <w:tcPr>
            <w:tcW w:w="2000" w:type="dxa"/>
            <w:vAlign w:val="bottom"/>
            <w:tcBorders>
              <w:bottom w:val="single" w:sz="8" w:color="A0A0A0"/>
            </w:tcBorders>
          </w:tcPr>
          <w:p>
            <w:pPr>
              <w:spacing w:after="0"/>
              <w:rPr>
                <w:sz w:val="18"/>
                <w:szCs w:val="18"/>
                <w:color w:val="auto"/>
              </w:rPr>
            </w:pPr>
          </w:p>
        </w:tc>
        <w:tc>
          <w:tcPr>
            <w:tcW w:w="1160" w:type="dxa"/>
            <w:vAlign w:val="bottom"/>
            <w:tcBorders>
              <w:bottom w:val="single" w:sz="8" w:color="A0A0A0"/>
            </w:tcBorders>
          </w:tcPr>
          <w:p>
            <w:pPr>
              <w:spacing w:after="0"/>
              <w:rPr>
                <w:sz w:val="18"/>
                <w:szCs w:val="18"/>
                <w:color w:val="auto"/>
              </w:rPr>
            </w:pPr>
          </w:p>
        </w:tc>
        <w:tc>
          <w:tcPr>
            <w:tcW w:w="1120" w:type="dxa"/>
            <w:vAlign w:val="bottom"/>
            <w:tcBorders>
              <w:bottom w:val="single" w:sz="8" w:color="A0A0A0"/>
            </w:tcBorders>
          </w:tcPr>
          <w:p>
            <w:pPr>
              <w:spacing w:after="0"/>
              <w:rPr>
                <w:sz w:val="18"/>
                <w:szCs w:val="18"/>
                <w:color w:val="auto"/>
              </w:rPr>
            </w:pPr>
          </w:p>
        </w:tc>
        <w:tc>
          <w:tcPr>
            <w:tcW w:w="300" w:type="dxa"/>
            <w:vAlign w:val="bottom"/>
            <w:tcBorders>
              <w:bottom w:val="single" w:sz="8" w:color="A0A0A0"/>
            </w:tcBorders>
          </w:tcPr>
          <w:p>
            <w:pPr>
              <w:spacing w:after="0"/>
              <w:rPr>
                <w:sz w:val="18"/>
                <w:szCs w:val="18"/>
                <w:color w:val="auto"/>
              </w:rPr>
            </w:pPr>
          </w:p>
        </w:tc>
        <w:tc>
          <w:tcPr>
            <w:tcW w:w="246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200" w:type="dxa"/>
            <w:vAlign w:val="bottom"/>
            <w:tcBorders>
              <w:bottom w:val="single" w:sz="8" w:color="A0A0A0"/>
            </w:tcBorders>
          </w:tcPr>
          <w:p>
            <w:pPr>
              <w:spacing w:after="0"/>
              <w:rPr>
                <w:sz w:val="18"/>
                <w:szCs w:val="18"/>
                <w:color w:val="auto"/>
              </w:rPr>
            </w:pPr>
          </w:p>
        </w:tc>
        <w:tc>
          <w:tcPr>
            <w:tcW w:w="22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16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60" w:type="dxa"/>
            <w:vAlign w:val="bottom"/>
            <w:tcBorders>
              <w:bottom w:val="single" w:sz="8" w:color="A0A0A0"/>
            </w:tcBorders>
          </w:tcPr>
          <w:p>
            <w:pPr>
              <w:spacing w:after="0"/>
              <w:rPr>
                <w:sz w:val="18"/>
                <w:szCs w:val="18"/>
                <w:color w:val="auto"/>
              </w:rPr>
            </w:pPr>
          </w:p>
        </w:tc>
        <w:tc>
          <w:tcPr>
            <w:tcW w:w="6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120" w:type="dxa"/>
            <w:vAlign w:val="bottom"/>
            <w:tcBorders>
              <w:bottom w:val="single" w:sz="8" w:color="A0A0A0"/>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9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4"/>
                <w:szCs w:val="24"/>
                <w:color w:val="auto"/>
              </w:rPr>
            </w:pPr>
          </w:p>
        </w:tc>
        <w:tc>
          <w:tcPr>
            <w:tcW w:w="80" w:type="dxa"/>
            <w:vAlign w:val="bottom"/>
            <w:vMerge w:val="restart"/>
          </w:tcPr>
          <w:p>
            <w:pPr>
              <w:spacing w:after="0"/>
              <w:rPr>
                <w:sz w:val="24"/>
                <w:szCs w:val="24"/>
                <w:color w:val="auto"/>
              </w:rPr>
            </w:pPr>
          </w:p>
        </w:tc>
        <w:tc>
          <w:tcPr>
            <w:tcW w:w="9880" w:type="dxa"/>
            <w:vAlign w:val="bottom"/>
            <w:gridSpan w:val="14"/>
            <w:vMerge w:val="restart"/>
          </w:tcPr>
          <w:p>
            <w:pPr>
              <w:spacing w:after="0"/>
              <w:rPr>
                <w:rFonts w:ascii="Times New Roman" w:cs="Times New Roman" w:eastAsia="Times New Roman" w:hAnsi="Times New Roman"/>
                <w:sz w:val="18"/>
                <w:szCs w:val="18"/>
                <w:color w:val="0000FF"/>
              </w:rPr>
            </w:pPr>
            <w:hyperlink r:id="rId602">
              <w:r>
                <w:rPr>
                  <w:rFonts w:ascii="Times New Roman" w:cs="Times New Roman" w:eastAsia="Times New Roman" w:hAnsi="Times New Roman"/>
                  <w:sz w:val="18"/>
                  <w:szCs w:val="18"/>
                  <w:color w:val="0000FF"/>
                </w:rPr>
                <w:t>Warrant Agreement, dated August 15, 2024, by and among Rezolve AI Limited and Computershare Inc. and its affiliate, Computershare</w:t>
              </w:r>
            </w:hyperlink>
          </w:p>
        </w:tc>
        <w:tc>
          <w:tcPr>
            <w:tcW w:w="320" w:type="dxa"/>
            <w:vAlign w:val="bottom"/>
            <w:gridSpan w:val="6"/>
            <w:vMerge w:val="restart"/>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auto"/>
            </w:tcBorders>
            <w:shd w:val="clear" w:color="auto" w:fill="000000"/>
          </w:tcPr>
          <w:p>
            <w:pPr>
              <w:spacing w:after="0"/>
              <w:rPr>
                <w:sz w:val="15"/>
                <w:szCs w:val="15"/>
                <w:color w:val="auto"/>
              </w:rPr>
            </w:pPr>
          </w:p>
        </w:tc>
        <w:tc>
          <w:tcPr>
            <w:tcW w:w="900" w:type="dxa"/>
            <w:vAlign w:val="bottom"/>
            <w:vMerge w:val="continue"/>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80" w:type="dxa"/>
            <w:vAlign w:val="bottom"/>
            <w:vMerge w:val="continue"/>
          </w:tcPr>
          <w:p>
            <w:pPr>
              <w:spacing w:after="0"/>
              <w:rPr>
                <w:sz w:val="15"/>
                <w:szCs w:val="15"/>
                <w:color w:val="auto"/>
              </w:rPr>
            </w:pPr>
          </w:p>
        </w:tc>
        <w:tc>
          <w:tcPr>
            <w:tcW w:w="9880" w:type="dxa"/>
            <w:vAlign w:val="bottom"/>
            <w:tcBorders>
              <w:bottom w:val="single" w:sz="8" w:color="0000FF"/>
            </w:tcBorders>
            <w:gridSpan w:val="14"/>
            <w:vMerge w:val="continue"/>
          </w:tcPr>
          <w:p>
            <w:pPr>
              <w:spacing w:after="0"/>
              <w:rPr>
                <w:sz w:val="15"/>
                <w:szCs w:val="15"/>
                <w:color w:val="auto"/>
              </w:rPr>
            </w:pPr>
          </w:p>
        </w:tc>
        <w:tc>
          <w:tcPr>
            <w:tcW w:w="320" w:type="dxa"/>
            <w:vAlign w:val="bottom"/>
            <w:gridSpan w:val="6"/>
            <w:vMerge w:val="continue"/>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shd w:val="clear" w:color="auto" w:fill="000000"/>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99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602">
              <w:r>
                <w:rPr>
                  <w:rFonts w:ascii="Times New Roman" w:cs="Times New Roman" w:eastAsia="Times New Roman" w:hAnsi="Times New Roman"/>
                  <w:sz w:val="18"/>
                  <w:szCs w:val="18"/>
                  <w:color w:val="0000FF"/>
                </w:rPr>
                <w:t>Trust Company, N.A. (incorporated by reference to Exhibit 4.3 of Rezolve AI Limited’s Shell Company Report on Form 20-F, filed with</w:t>
              </w:r>
            </w:hyperlink>
          </w:p>
        </w:tc>
        <w:tc>
          <w:tcPr>
            <w:tcW w:w="280" w:type="dxa"/>
            <w:vAlign w:val="bottom"/>
            <w:gridSpan w:val="5"/>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000000"/>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280" w:type="dxa"/>
            <w:vAlign w:val="bottom"/>
            <w:gridSpan w:val="21"/>
          </w:tcPr>
          <w:p>
            <w:pPr>
              <w:ind w:left="80"/>
              <w:spacing w:after="0" w:line="196" w:lineRule="exact"/>
              <w:rPr>
                <w:rFonts w:ascii="Times New Roman" w:cs="Times New Roman" w:eastAsia="Times New Roman" w:hAnsi="Times New Roman"/>
                <w:sz w:val="18"/>
                <w:szCs w:val="18"/>
                <w:color w:val="0000FF"/>
              </w:rPr>
            </w:pPr>
            <w:hyperlink r:id="rId602">
              <w:r>
                <w:rPr>
                  <w:rFonts w:ascii="Times New Roman" w:cs="Times New Roman" w:eastAsia="Times New Roman" w:hAnsi="Times New Roman"/>
                  <w:sz w:val="18"/>
                  <w:szCs w:val="18"/>
                  <w:color w:val="0000FF"/>
                </w:rPr>
                <w:t>the SEC on August 22, 2024).</w:t>
              </w:r>
            </w:hyperlink>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760" w:type="dxa"/>
            <w:vAlign w:val="bottom"/>
            <w:tcBorders>
              <w:top w:val="single" w:sz="8" w:color="0000FF"/>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shd w:val="clear" w:color="auto" w:fill="000000"/>
          </w:tcPr>
          <w:p>
            <w:pPr>
              <w:spacing w:after="0"/>
              <w:rPr>
                <w:sz w:val="14"/>
                <w:szCs w:val="14"/>
                <w:color w:val="auto"/>
              </w:rPr>
            </w:pPr>
          </w:p>
        </w:tc>
        <w:tc>
          <w:tcPr>
            <w:tcW w:w="90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9200" w:type="dxa"/>
            <w:vAlign w:val="bottom"/>
            <w:tcBorders>
              <w:bottom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603">
              <w:r>
                <w:rPr>
                  <w:rFonts w:ascii="Times New Roman" w:cs="Times New Roman" w:eastAsia="Times New Roman" w:hAnsi="Times New Roman"/>
                  <w:sz w:val="18"/>
                  <w:szCs w:val="18"/>
                  <w:color w:val="0000FF"/>
                </w:rPr>
                <w:t>Warrant Assignment, Assumption and Amendment Agreement, dated August 15, 2024, by and among Rezolve AI Limited and</w:t>
              </w:r>
            </w:hyperlink>
          </w:p>
        </w:tc>
        <w:tc>
          <w:tcPr>
            <w:tcW w:w="1000" w:type="dxa"/>
            <w:vAlign w:val="bottom"/>
            <w:gridSpan w:val="12"/>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shd w:val="clear" w:color="auto" w:fill="000000"/>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94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603">
              <w:r>
                <w:rPr>
                  <w:rFonts w:ascii="Times New Roman" w:cs="Times New Roman" w:eastAsia="Times New Roman" w:hAnsi="Times New Roman"/>
                  <w:sz w:val="18"/>
                  <w:szCs w:val="18"/>
                  <w:color w:val="0000FF"/>
                </w:rPr>
                <w:t>Computershare Inc. and its affiliate, Computershare Trust Company, N.A. (incorporated by reference to Exhibit 4.4 of Rezolve AI</w:t>
              </w:r>
            </w:hyperlink>
          </w:p>
        </w:tc>
        <w:tc>
          <w:tcPr>
            <w:tcW w:w="760" w:type="dxa"/>
            <w:vAlign w:val="bottom"/>
            <w:gridSpan w:val="10"/>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000000"/>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280" w:type="dxa"/>
            <w:vAlign w:val="bottom"/>
            <w:gridSpan w:val="21"/>
          </w:tcPr>
          <w:p>
            <w:pPr>
              <w:ind w:left="80"/>
              <w:spacing w:after="0" w:line="196" w:lineRule="exact"/>
              <w:rPr>
                <w:rFonts w:ascii="Times New Roman" w:cs="Times New Roman" w:eastAsia="Times New Roman" w:hAnsi="Times New Roman"/>
                <w:sz w:val="18"/>
                <w:szCs w:val="18"/>
                <w:color w:val="0000FF"/>
              </w:rPr>
            </w:pPr>
            <w:hyperlink r:id="rId603">
              <w:r>
                <w:rPr>
                  <w:rFonts w:ascii="Times New Roman" w:cs="Times New Roman" w:eastAsia="Times New Roman" w:hAnsi="Times New Roman"/>
                  <w:sz w:val="18"/>
                  <w:szCs w:val="18"/>
                  <w:color w:val="0000FF"/>
                </w:rPr>
                <w:t>Limited’s Shell Company Report on Form 20-F, filed with the SEC on August 22, 2024).</w:t>
              </w:r>
            </w:hyperlink>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760" w:type="dxa"/>
            <w:vAlign w:val="bottom"/>
            <w:tcBorders>
              <w:top w:val="single" w:sz="8" w:color="0000FF"/>
              <w:bottom w:val="single" w:sz="8" w:color="auto"/>
            </w:tcBorders>
          </w:tcPr>
          <w:p>
            <w:pPr>
              <w:spacing w:after="0" w:line="20" w:lineRule="exact"/>
              <w:rPr>
                <w:sz w:val="1"/>
                <w:szCs w:val="1"/>
                <w:color w:val="auto"/>
              </w:rPr>
            </w:pPr>
          </w:p>
        </w:tc>
        <w:tc>
          <w:tcPr>
            <w:tcW w:w="200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shd w:val="clear" w:color="auto" w:fill="000000"/>
          </w:tcPr>
          <w:p>
            <w:pPr>
              <w:spacing w:after="0"/>
              <w:rPr>
                <w:sz w:val="14"/>
                <w:szCs w:val="14"/>
                <w:color w:val="auto"/>
              </w:rPr>
            </w:pPr>
          </w:p>
        </w:tc>
        <w:tc>
          <w:tcPr>
            <w:tcW w:w="90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4.5</w:t>
            </w: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9660" w:type="dxa"/>
            <w:vAlign w:val="bottom"/>
            <w:tcBorders>
              <w:bottom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604">
              <w:r>
                <w:rPr>
                  <w:rFonts w:ascii="Times New Roman" w:cs="Times New Roman" w:eastAsia="Times New Roman" w:hAnsi="Times New Roman"/>
                  <w:sz w:val="18"/>
                  <w:szCs w:val="18"/>
                  <w:color w:val="0000FF"/>
                </w:rPr>
                <w:t>Investor Rights Agreement, dated August 15, 2024, by and among Rezolve AI Limited and the holders party thereto (incorporated by</w:t>
              </w:r>
            </w:hyperlink>
          </w:p>
        </w:tc>
        <w:tc>
          <w:tcPr>
            <w:tcW w:w="540" w:type="dxa"/>
            <w:vAlign w:val="bottom"/>
            <w:gridSpan w:val="9"/>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000000"/>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280" w:type="dxa"/>
            <w:vAlign w:val="bottom"/>
            <w:gridSpan w:val="21"/>
          </w:tcPr>
          <w:p>
            <w:pPr>
              <w:ind w:left="80"/>
              <w:spacing w:after="0" w:line="196" w:lineRule="exact"/>
              <w:rPr>
                <w:rFonts w:ascii="Times New Roman" w:cs="Times New Roman" w:eastAsia="Times New Roman" w:hAnsi="Times New Roman"/>
                <w:sz w:val="18"/>
                <w:szCs w:val="18"/>
                <w:color w:val="0000FF"/>
              </w:rPr>
            </w:pPr>
            <w:hyperlink r:id="rId604">
              <w:r>
                <w:rPr>
                  <w:rFonts w:ascii="Times New Roman" w:cs="Times New Roman" w:eastAsia="Times New Roman" w:hAnsi="Times New Roman"/>
                  <w:sz w:val="18"/>
                  <w:szCs w:val="18"/>
                  <w:color w:val="0000FF"/>
                </w:rPr>
                <w:t>reference to Exhibit 4.6 of Rezolve AI Limited’s Shell Company Report on Form 20-F, filed with the SEC on August 22, 2024).</w:t>
              </w:r>
            </w:hyperlink>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760" w:type="dxa"/>
            <w:vAlign w:val="bottom"/>
            <w:tcBorders>
              <w:top w:val="single" w:sz="8" w:color="0000FF"/>
              <w:bottom w:val="single" w:sz="8" w:color="auto"/>
            </w:tcBorders>
          </w:tcPr>
          <w:p>
            <w:pPr>
              <w:spacing w:after="0" w:line="20" w:lineRule="exact"/>
              <w:rPr>
                <w:sz w:val="1"/>
                <w:szCs w:val="1"/>
                <w:color w:val="auto"/>
              </w:rPr>
            </w:pPr>
          </w:p>
        </w:tc>
        <w:tc>
          <w:tcPr>
            <w:tcW w:w="200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4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20" w:type="dxa"/>
            <w:vAlign w:val="bottom"/>
            <w:gridSpan w:val="7"/>
          </w:tcPr>
          <w:p>
            <w:pPr>
              <w:jc w:val="right"/>
              <w:ind w:right="580"/>
              <w:spacing w:after="0"/>
              <w:rPr>
                <w:sz w:val="20"/>
                <w:szCs w:val="20"/>
                <w:color w:val="auto"/>
              </w:rPr>
            </w:pPr>
            <w:r>
              <w:rPr>
                <w:rFonts w:ascii="Times New Roman" w:cs="Times New Roman" w:eastAsia="Times New Roman" w:hAnsi="Times New Roman"/>
                <w:sz w:val="18"/>
                <w:szCs w:val="18"/>
                <w:color w:val="auto"/>
              </w:rPr>
              <w:t>112</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7" w:name="page178"/>
    <w:bookmarkEnd w:id="177"/>
    <w:tbl>
      <w:tblPr>
        <w:tblLayout w:type="fixed"/>
        <w:tblInd w:w="10" w:type="dxa"/>
        <w:tblCellMar>
          <w:top w:w="0" w:type="dxa"/>
          <w:left w:w="0" w:type="dxa"/>
          <w:bottom w:w="0" w:type="dxa"/>
          <w:right w:w="0" w:type="dxa"/>
        </w:tblCellMar>
      </w:tblPr>
      <w:tr>
        <w:trPr>
          <w:trHeight w:val="207"/>
        </w:trPr>
        <w:tc>
          <w:tcPr>
            <w:tcW w:w="9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7"/>
                <w:szCs w:val="17"/>
                <w:color w:val="auto"/>
              </w:rPr>
            </w:pPr>
          </w:p>
        </w:tc>
        <w:tc>
          <w:tcPr>
            <w:tcW w:w="10200" w:type="dxa"/>
            <w:vAlign w:val="bottom"/>
            <w:tcBorders>
              <w:right w:val="single" w:sz="8" w:color="auto"/>
            </w:tcBorders>
            <w:gridSpan w:val="25"/>
          </w:tcPr>
          <w:p>
            <w:pPr>
              <w:spacing w:after="0"/>
              <w:rPr>
                <w:rFonts w:ascii="Times New Roman" w:cs="Times New Roman" w:eastAsia="Times New Roman" w:hAnsi="Times New Roman"/>
                <w:sz w:val="18"/>
                <w:szCs w:val="18"/>
                <w:color w:val="0000FF"/>
              </w:rPr>
            </w:pPr>
            <w:hyperlink r:id="rId607">
              <w:r>
                <w:rPr>
                  <w:rFonts w:ascii="Times New Roman" w:cs="Times New Roman" w:eastAsia="Times New Roman" w:hAnsi="Times New Roman"/>
                  <w:sz w:val="18"/>
                  <w:szCs w:val="18"/>
                  <w:color w:val="0000FF"/>
                </w:rPr>
                <w:t>Form of Lock-In Agreement, dated August 15, 2024, by and among Rezolve AI Limited and the holders party thereto (incorporated by</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5"/>
          </w:tcPr>
          <w:p>
            <w:pPr>
              <w:spacing w:after="0" w:line="196" w:lineRule="exact"/>
              <w:rPr>
                <w:rFonts w:ascii="Times New Roman" w:cs="Times New Roman" w:eastAsia="Times New Roman" w:hAnsi="Times New Roman"/>
                <w:sz w:val="18"/>
                <w:szCs w:val="18"/>
                <w:color w:val="0000FF"/>
              </w:rPr>
            </w:pPr>
            <w:hyperlink r:id="rId607">
              <w:r>
                <w:rPr>
                  <w:rFonts w:ascii="Times New Roman" w:cs="Times New Roman" w:eastAsia="Times New Roman" w:hAnsi="Times New Roman"/>
                  <w:sz w:val="18"/>
                  <w:szCs w:val="18"/>
                  <w:color w:val="0000FF"/>
                </w:rPr>
                <w:t>reference to Exhibit 4.7 of Rezolve AI Limited’s Shell Company Report on Form 20-F, filed with the SEC on August 22,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1460" w:type="dxa"/>
            <w:vAlign w:val="bottom"/>
            <w:tcBorders>
              <w:top w:val="single" w:sz="8" w:color="0000FF"/>
              <w:bottom w:val="single" w:sz="8" w:color="auto"/>
            </w:tcBorders>
          </w:tcPr>
          <w:p>
            <w:pPr>
              <w:spacing w:after="0" w:line="20" w:lineRule="exact"/>
              <w:rPr>
                <w:sz w:val="1"/>
                <w:szCs w:val="1"/>
                <w:color w:val="auto"/>
              </w:rPr>
            </w:pPr>
          </w:p>
        </w:tc>
        <w:tc>
          <w:tcPr>
            <w:tcW w:w="12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4"/>
                <w:szCs w:val="14"/>
                <w:color w:val="auto"/>
              </w:rPr>
            </w:pPr>
          </w:p>
        </w:tc>
        <w:tc>
          <w:tcPr>
            <w:tcW w:w="10200" w:type="dxa"/>
            <w:vAlign w:val="bottom"/>
            <w:tcBorders>
              <w:right w:val="single" w:sz="8" w:color="auto"/>
            </w:tcBorders>
            <w:gridSpan w:val="25"/>
          </w:tcPr>
          <w:p>
            <w:pPr>
              <w:spacing w:after="0" w:line="169" w:lineRule="exact"/>
              <w:rPr>
                <w:sz w:val="20"/>
                <w:szCs w:val="20"/>
                <w:color w:val="auto"/>
              </w:rPr>
            </w:pPr>
            <w:r>
              <w:rPr>
                <w:rFonts w:ascii="Times New Roman" w:cs="Times New Roman" w:eastAsia="Times New Roman" w:hAnsi="Times New Roman"/>
                <w:sz w:val="18"/>
                <w:szCs w:val="18"/>
                <w:color w:val="0000FF"/>
              </w:rPr>
              <w:t>Opinion of Taylor Wessing LLP</w:t>
            </w:r>
            <w:r>
              <w:rPr>
                <w:rFonts w:ascii="Times New Roman" w:cs="Times New Roman" w:eastAsia="Times New Roman" w:hAnsi="Times New Roman"/>
                <w:sz w:val="18"/>
                <w:szCs w:val="18"/>
                <w:color w:val="000000"/>
              </w:rPr>
              <w:t>.</w:t>
            </w: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4"/>
                <w:szCs w:val="14"/>
                <w:color w:val="auto"/>
              </w:rPr>
            </w:pPr>
          </w:p>
        </w:tc>
        <w:tc>
          <w:tcPr>
            <w:tcW w:w="10200" w:type="dxa"/>
            <w:vAlign w:val="bottom"/>
            <w:tcBorders>
              <w:right w:val="single" w:sz="8" w:color="auto"/>
            </w:tcBorders>
            <w:gridSpan w:val="25"/>
          </w:tcPr>
          <w:p>
            <w:pPr>
              <w:spacing w:after="0" w:line="169" w:lineRule="exact"/>
              <w:rPr>
                <w:rFonts w:ascii="Times New Roman" w:cs="Times New Roman" w:eastAsia="Times New Roman" w:hAnsi="Times New Roman"/>
                <w:sz w:val="18"/>
                <w:szCs w:val="18"/>
                <w:color w:val="0000FF"/>
              </w:rPr>
            </w:pPr>
            <w:hyperlink r:id="rId608">
              <w:r>
                <w:rPr>
                  <w:rFonts w:ascii="Times New Roman" w:cs="Times New Roman" w:eastAsia="Times New Roman" w:hAnsi="Times New Roman"/>
                  <w:sz w:val="18"/>
                  <w:szCs w:val="18"/>
                  <w:color w:val="0000FF"/>
                </w:rPr>
                <w:t>Loan Note Instrument dated December 16, 2021, as amended and restated on November 21, 2022 and May 23, 2023, and as further</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5"/>
          </w:tcPr>
          <w:p>
            <w:pPr>
              <w:spacing w:after="0" w:line="196" w:lineRule="exact"/>
              <w:rPr>
                <w:rFonts w:ascii="Times New Roman" w:cs="Times New Roman" w:eastAsia="Times New Roman" w:hAnsi="Times New Roman"/>
                <w:sz w:val="18"/>
                <w:szCs w:val="18"/>
                <w:color w:val="0000FF"/>
              </w:rPr>
            </w:pPr>
            <w:hyperlink r:id="rId608">
              <w:r>
                <w:rPr>
                  <w:rFonts w:ascii="Times New Roman" w:cs="Times New Roman" w:eastAsia="Times New Roman" w:hAnsi="Times New Roman"/>
                  <w:sz w:val="18"/>
                  <w:szCs w:val="18"/>
                  <w:color w:val="0000FF"/>
                </w:rPr>
                <w:t>amended and restated on December 18, 2023 and December 29, 2023 (incorporated by reference to Exhibit 10.17 of Rezolve AI Limited’s</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5"/>
          </w:tcPr>
          <w:p>
            <w:pPr>
              <w:spacing w:after="0" w:line="196" w:lineRule="exact"/>
              <w:rPr>
                <w:rFonts w:ascii="Times New Roman" w:cs="Times New Roman" w:eastAsia="Times New Roman" w:hAnsi="Times New Roman"/>
                <w:sz w:val="18"/>
                <w:szCs w:val="18"/>
                <w:color w:val="0000FF"/>
              </w:rPr>
            </w:pPr>
            <w:hyperlink r:id="rId608">
              <w:r>
                <w:rPr>
                  <w:rFonts w:ascii="Times New Roman" w:cs="Times New Roman" w:eastAsia="Times New Roman" w:hAnsi="Times New Roman"/>
                  <w:sz w:val="18"/>
                  <w:szCs w:val="18"/>
                  <w:color w:val="0000FF"/>
                </w:rPr>
                <w:t>Registration Statement on Form F-4, Amendment No. 6, filed with the SEC on June 11,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1460" w:type="dxa"/>
            <w:vAlign w:val="bottom"/>
            <w:tcBorders>
              <w:top w:val="single" w:sz="8" w:color="0000FF"/>
              <w:bottom w:val="single" w:sz="8" w:color="auto"/>
            </w:tcBorders>
          </w:tcPr>
          <w:p>
            <w:pPr>
              <w:spacing w:after="0" w:line="20" w:lineRule="exact"/>
              <w:rPr>
                <w:sz w:val="1"/>
                <w:szCs w:val="1"/>
                <w:color w:val="auto"/>
              </w:rPr>
            </w:pPr>
          </w:p>
        </w:tc>
        <w:tc>
          <w:tcPr>
            <w:tcW w:w="12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4"/>
                <w:szCs w:val="14"/>
                <w:color w:val="auto"/>
              </w:rPr>
            </w:pPr>
          </w:p>
        </w:tc>
        <w:tc>
          <w:tcPr>
            <w:tcW w:w="10200" w:type="dxa"/>
            <w:vAlign w:val="bottom"/>
            <w:tcBorders>
              <w:right w:val="single" w:sz="8" w:color="auto"/>
            </w:tcBorders>
            <w:gridSpan w:val="25"/>
          </w:tcPr>
          <w:p>
            <w:pPr>
              <w:spacing w:after="0" w:line="169" w:lineRule="exact"/>
              <w:rPr>
                <w:rFonts w:ascii="Times New Roman" w:cs="Times New Roman" w:eastAsia="Times New Roman" w:hAnsi="Times New Roman"/>
                <w:sz w:val="18"/>
                <w:szCs w:val="18"/>
                <w:color w:val="0000FF"/>
              </w:rPr>
            </w:pPr>
            <w:hyperlink r:id="rId609">
              <w:r>
                <w:rPr>
                  <w:rFonts w:ascii="Times New Roman" w:cs="Times New Roman" w:eastAsia="Times New Roman" w:hAnsi="Times New Roman"/>
                  <w:sz w:val="18"/>
                  <w:szCs w:val="18"/>
                  <w:color w:val="0000FF"/>
                </w:rPr>
                <w:t>Binding Term Sheet, dated August 30, 2021, by and among Rezolve, Radio Group and the other parties thereto (incorporated by reference</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5"/>
          </w:tcPr>
          <w:p>
            <w:pPr>
              <w:spacing w:after="0" w:line="196" w:lineRule="exact"/>
              <w:rPr>
                <w:rFonts w:ascii="Times New Roman" w:cs="Times New Roman" w:eastAsia="Times New Roman" w:hAnsi="Times New Roman"/>
                <w:sz w:val="18"/>
                <w:szCs w:val="18"/>
                <w:color w:val="0000FF"/>
              </w:rPr>
            </w:pPr>
            <w:hyperlink r:id="rId609">
              <w:r>
                <w:rPr>
                  <w:rFonts w:ascii="Times New Roman" w:cs="Times New Roman" w:eastAsia="Times New Roman" w:hAnsi="Times New Roman"/>
                  <w:sz w:val="18"/>
                  <w:szCs w:val="18"/>
                  <w:color w:val="0000FF"/>
                </w:rPr>
                <w:t>to Exhibit 10.18 of Rezolve AI Limited’s Registration Statement on Form F-4, Amendment No. 5, filed with the SEC on May 20, 2024).</w:t>
              </w:r>
            </w:hyperlink>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1460" w:type="dxa"/>
            <w:vAlign w:val="bottom"/>
            <w:tcBorders>
              <w:top w:val="single" w:sz="8" w:color="0000FF"/>
              <w:bottom w:val="single" w:sz="8" w:color="auto"/>
            </w:tcBorders>
          </w:tcPr>
          <w:p>
            <w:pPr>
              <w:spacing w:after="0" w:line="20" w:lineRule="exact"/>
              <w:rPr>
                <w:sz w:val="1"/>
                <w:szCs w:val="1"/>
                <w:color w:val="auto"/>
              </w:rPr>
            </w:pPr>
          </w:p>
        </w:tc>
        <w:tc>
          <w:tcPr>
            <w:tcW w:w="12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4"/>
                <w:szCs w:val="14"/>
                <w:color w:val="auto"/>
              </w:rPr>
            </w:pPr>
          </w:p>
        </w:tc>
        <w:tc>
          <w:tcPr>
            <w:tcW w:w="10200" w:type="dxa"/>
            <w:vAlign w:val="bottom"/>
            <w:tcBorders>
              <w:right w:val="single" w:sz="8" w:color="auto"/>
            </w:tcBorders>
            <w:gridSpan w:val="25"/>
          </w:tcPr>
          <w:p>
            <w:pPr>
              <w:spacing w:after="0" w:line="169" w:lineRule="exact"/>
              <w:rPr>
                <w:rFonts w:ascii="Times New Roman" w:cs="Times New Roman" w:eastAsia="Times New Roman" w:hAnsi="Times New Roman"/>
                <w:sz w:val="18"/>
                <w:szCs w:val="18"/>
                <w:color w:val="0000FF"/>
              </w:rPr>
            </w:pPr>
            <w:hyperlink r:id="rId610">
              <w:r>
                <w:rPr>
                  <w:rFonts w:ascii="Times New Roman" w:cs="Times New Roman" w:eastAsia="Times New Roman" w:hAnsi="Times New Roman"/>
                  <w:sz w:val="18"/>
                  <w:szCs w:val="18"/>
                  <w:color w:val="0000FF"/>
                </w:rPr>
                <w:t>Amendment to Binding Term Sheet, dated May 24, 2023, by and among Rezolve, Radio Group and the other parties thereto (incorporated</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5"/>
          </w:tcPr>
          <w:p>
            <w:pPr>
              <w:spacing w:after="0" w:line="196" w:lineRule="exact"/>
              <w:rPr>
                <w:rFonts w:ascii="Times New Roman" w:cs="Times New Roman" w:eastAsia="Times New Roman" w:hAnsi="Times New Roman"/>
                <w:sz w:val="18"/>
                <w:szCs w:val="18"/>
                <w:color w:val="0000FF"/>
              </w:rPr>
            </w:pPr>
            <w:hyperlink r:id="rId610">
              <w:r>
                <w:rPr>
                  <w:rFonts w:ascii="Times New Roman" w:cs="Times New Roman" w:eastAsia="Times New Roman" w:hAnsi="Times New Roman"/>
                  <w:sz w:val="18"/>
                  <w:szCs w:val="18"/>
                  <w:color w:val="0000FF"/>
                </w:rPr>
                <w:t>by reference to Exhibit 10.19 of Rezolve AI Limited’s Registration Statement on Form F-4, Amendment No. 5, filed with the SEC on May</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0" w:type="dxa"/>
            <w:vAlign w:val="bottom"/>
            <w:gridSpan w:val="4"/>
          </w:tcPr>
          <w:p>
            <w:pPr>
              <w:ind w:left="80"/>
              <w:spacing w:after="0" w:line="196" w:lineRule="exact"/>
              <w:rPr>
                <w:rFonts w:ascii="Times New Roman" w:cs="Times New Roman" w:eastAsia="Times New Roman" w:hAnsi="Times New Roman"/>
                <w:sz w:val="18"/>
                <w:szCs w:val="18"/>
                <w:color w:val="0000FF"/>
              </w:rPr>
            </w:pPr>
            <w:hyperlink r:id="rId610">
              <w:r>
                <w:rPr>
                  <w:rFonts w:ascii="Times New Roman" w:cs="Times New Roman" w:eastAsia="Times New Roman" w:hAnsi="Times New Roman"/>
                  <w:sz w:val="18"/>
                  <w:szCs w:val="18"/>
                  <w:color w:val="0000FF"/>
                </w:rPr>
                <w:t>20, 2024).</w:t>
              </w:r>
            </w:hyperlink>
          </w:p>
        </w:tc>
        <w:tc>
          <w:tcPr>
            <w:tcW w:w="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4"/>
                <w:szCs w:val="14"/>
                <w:color w:val="auto"/>
              </w:rPr>
            </w:pPr>
          </w:p>
        </w:tc>
        <w:tc>
          <w:tcPr>
            <w:tcW w:w="10200" w:type="dxa"/>
            <w:vAlign w:val="bottom"/>
            <w:tcBorders>
              <w:right w:val="single" w:sz="8" w:color="auto"/>
            </w:tcBorders>
            <w:gridSpan w:val="25"/>
          </w:tcPr>
          <w:p>
            <w:pPr>
              <w:spacing w:after="0" w:line="169" w:lineRule="exact"/>
              <w:rPr>
                <w:rFonts w:ascii="Times New Roman" w:cs="Times New Roman" w:eastAsia="Times New Roman" w:hAnsi="Times New Roman"/>
                <w:sz w:val="18"/>
                <w:szCs w:val="18"/>
                <w:color w:val="0000FF"/>
              </w:rPr>
            </w:pPr>
            <w:hyperlink r:id="rId611">
              <w:r>
                <w:rPr>
                  <w:rFonts w:ascii="Times New Roman" w:cs="Times New Roman" w:eastAsia="Times New Roman" w:hAnsi="Times New Roman"/>
                  <w:sz w:val="18"/>
                  <w:szCs w:val="18"/>
                  <w:color w:val="0000FF"/>
                </w:rPr>
                <w:t>Agreement in Context of the Binding Term Sheet, dated May 24, 2023, by and among Rezolve, Radio Group and the other parties thereto</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5"/>
          </w:tcPr>
          <w:p>
            <w:pPr>
              <w:spacing w:after="0" w:line="196" w:lineRule="exact"/>
              <w:rPr>
                <w:rFonts w:ascii="Times New Roman" w:cs="Times New Roman" w:eastAsia="Times New Roman" w:hAnsi="Times New Roman"/>
                <w:sz w:val="18"/>
                <w:szCs w:val="18"/>
                <w:color w:val="0000FF"/>
              </w:rPr>
            </w:pPr>
            <w:hyperlink r:id="rId611">
              <w:r>
                <w:rPr>
                  <w:rFonts w:ascii="Times New Roman" w:cs="Times New Roman" w:eastAsia="Times New Roman" w:hAnsi="Times New Roman"/>
                  <w:sz w:val="18"/>
                  <w:szCs w:val="18"/>
                  <w:color w:val="0000FF"/>
                </w:rPr>
                <w:t>(incorporated by reference to Exhibit 10.20 of Rezolve AI Limited’s Registration Statement on Form F-4, Amendment No. 6, filed with the</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auto"/>
            </w:tcBorders>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5"/>
          </w:tcPr>
          <w:p>
            <w:pPr>
              <w:spacing w:after="0" w:line="196" w:lineRule="exact"/>
              <w:rPr>
                <w:rFonts w:ascii="Times New Roman" w:cs="Times New Roman" w:eastAsia="Times New Roman" w:hAnsi="Times New Roman"/>
                <w:sz w:val="18"/>
                <w:szCs w:val="18"/>
                <w:color w:val="0000FF"/>
              </w:rPr>
            </w:pPr>
            <w:hyperlink r:id="rId611">
              <w:r>
                <w:rPr>
                  <w:rFonts w:ascii="Times New Roman" w:cs="Times New Roman" w:eastAsia="Times New Roman" w:hAnsi="Times New Roman"/>
                  <w:sz w:val="18"/>
                  <w:szCs w:val="18"/>
                  <w:color w:val="0000FF"/>
                </w:rPr>
                <w:t>SEC on June 11,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4"/>
                <w:szCs w:val="14"/>
                <w:color w:val="auto"/>
              </w:rPr>
            </w:pPr>
          </w:p>
        </w:tc>
        <w:tc>
          <w:tcPr>
            <w:tcW w:w="10200" w:type="dxa"/>
            <w:vAlign w:val="bottom"/>
            <w:tcBorders>
              <w:right w:val="single" w:sz="8" w:color="auto"/>
            </w:tcBorders>
            <w:gridSpan w:val="25"/>
          </w:tcPr>
          <w:p>
            <w:pPr>
              <w:spacing w:after="0" w:line="169" w:lineRule="exact"/>
              <w:rPr>
                <w:rFonts w:ascii="Times New Roman" w:cs="Times New Roman" w:eastAsia="Times New Roman" w:hAnsi="Times New Roman"/>
                <w:sz w:val="18"/>
                <w:szCs w:val="18"/>
                <w:color w:val="0000FF"/>
              </w:rPr>
            </w:pPr>
            <w:hyperlink r:id="rId612">
              <w:r>
                <w:rPr>
                  <w:rFonts w:ascii="Times New Roman" w:cs="Times New Roman" w:eastAsia="Times New Roman" w:hAnsi="Times New Roman"/>
                  <w:sz w:val="18"/>
                  <w:szCs w:val="18"/>
                  <w:color w:val="0000FF"/>
                </w:rPr>
                <w:t>Contractual Agreement, dated August 30, 2021, by and among Rezolve, Radio Group and the other parties thereto (incorporated by</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5"/>
          </w:tcPr>
          <w:p>
            <w:pPr>
              <w:spacing w:after="0" w:line="196" w:lineRule="exact"/>
              <w:rPr>
                <w:rFonts w:ascii="Times New Roman" w:cs="Times New Roman" w:eastAsia="Times New Roman" w:hAnsi="Times New Roman"/>
                <w:sz w:val="18"/>
                <w:szCs w:val="18"/>
                <w:color w:val="0000FF"/>
              </w:rPr>
            </w:pPr>
            <w:hyperlink r:id="rId612">
              <w:r>
                <w:rPr>
                  <w:rFonts w:ascii="Times New Roman" w:cs="Times New Roman" w:eastAsia="Times New Roman" w:hAnsi="Times New Roman"/>
                  <w:sz w:val="18"/>
                  <w:szCs w:val="18"/>
                  <w:color w:val="0000FF"/>
                </w:rPr>
                <w:t>reference to Exhibit 10.21 of Rezolve AI Limited’s Registration Statement on Form F-4, Amendment No. 6, filed with the SEC on June 11,</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auto"/>
            </w:tcBorders>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20" w:type="dxa"/>
            <w:vAlign w:val="bottom"/>
            <w:gridSpan w:val="3"/>
          </w:tcPr>
          <w:p>
            <w:pPr>
              <w:ind w:left="80"/>
              <w:spacing w:after="0" w:line="196" w:lineRule="exact"/>
              <w:rPr>
                <w:rFonts w:ascii="Times New Roman" w:cs="Times New Roman" w:eastAsia="Times New Roman" w:hAnsi="Times New Roman"/>
                <w:sz w:val="18"/>
                <w:szCs w:val="18"/>
                <w:color w:val="0000FF"/>
              </w:rPr>
            </w:pPr>
            <w:hyperlink r:id="rId612">
              <w:r>
                <w:rPr>
                  <w:rFonts w:ascii="Times New Roman" w:cs="Times New Roman" w:eastAsia="Times New Roman" w:hAnsi="Times New Roman"/>
                  <w:sz w:val="18"/>
                  <w:szCs w:val="18"/>
                  <w:color w:val="0000FF"/>
                </w:rPr>
                <w:t>2024).</w:t>
              </w:r>
            </w:hyperlink>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4"/>
                <w:szCs w:val="14"/>
                <w:color w:val="auto"/>
              </w:rPr>
            </w:pPr>
          </w:p>
        </w:tc>
        <w:tc>
          <w:tcPr>
            <w:tcW w:w="10200" w:type="dxa"/>
            <w:vAlign w:val="bottom"/>
            <w:tcBorders>
              <w:right w:val="single" w:sz="8" w:color="auto"/>
            </w:tcBorders>
            <w:gridSpan w:val="25"/>
          </w:tcPr>
          <w:p>
            <w:pPr>
              <w:spacing w:after="0" w:line="169" w:lineRule="exact"/>
              <w:rPr>
                <w:rFonts w:ascii="Times New Roman" w:cs="Times New Roman" w:eastAsia="Times New Roman" w:hAnsi="Times New Roman"/>
                <w:sz w:val="18"/>
                <w:szCs w:val="18"/>
                <w:color w:val="0000FF"/>
              </w:rPr>
            </w:pPr>
            <w:hyperlink r:id="rId613">
              <w:r>
                <w:rPr>
                  <w:rFonts w:ascii="Times New Roman" w:cs="Times New Roman" w:eastAsia="Times New Roman" w:hAnsi="Times New Roman"/>
                  <w:sz w:val="18"/>
                  <w:szCs w:val="18"/>
                  <w:color w:val="0000FF"/>
                </w:rPr>
                <w:t>Contractual Relationship, dated April 30, 2023 (incorporated by reference to Exhibit 10.22 of Rezolve AI Limited’s Registration Statement</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5"/>
          </w:tcPr>
          <w:p>
            <w:pPr>
              <w:spacing w:after="0" w:line="196" w:lineRule="exact"/>
              <w:rPr>
                <w:rFonts w:ascii="Times New Roman" w:cs="Times New Roman" w:eastAsia="Times New Roman" w:hAnsi="Times New Roman"/>
                <w:sz w:val="18"/>
                <w:szCs w:val="18"/>
                <w:color w:val="0000FF"/>
              </w:rPr>
            </w:pPr>
            <w:hyperlink r:id="rId613">
              <w:r>
                <w:rPr>
                  <w:rFonts w:ascii="Times New Roman" w:cs="Times New Roman" w:eastAsia="Times New Roman" w:hAnsi="Times New Roman"/>
                  <w:sz w:val="18"/>
                  <w:szCs w:val="18"/>
                  <w:color w:val="0000FF"/>
                </w:rPr>
                <w:t>on Form F-4, Amendment No. 5, filed with the SEC on May 20, 2024).</w:t>
              </w:r>
            </w:hyperlink>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1460" w:type="dxa"/>
            <w:vAlign w:val="bottom"/>
            <w:tcBorders>
              <w:top w:val="single" w:sz="8" w:color="0000FF"/>
              <w:bottom w:val="single" w:sz="8" w:color="auto"/>
            </w:tcBorders>
          </w:tcPr>
          <w:p>
            <w:pPr>
              <w:spacing w:after="0" w:line="20" w:lineRule="exact"/>
              <w:rPr>
                <w:sz w:val="1"/>
                <w:szCs w:val="1"/>
                <w:color w:val="auto"/>
              </w:rPr>
            </w:pPr>
          </w:p>
        </w:tc>
        <w:tc>
          <w:tcPr>
            <w:tcW w:w="12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4"/>
                <w:szCs w:val="14"/>
                <w:color w:val="auto"/>
              </w:rPr>
            </w:pPr>
          </w:p>
        </w:tc>
        <w:tc>
          <w:tcPr>
            <w:tcW w:w="10200" w:type="dxa"/>
            <w:vAlign w:val="bottom"/>
            <w:tcBorders>
              <w:right w:val="single" w:sz="8" w:color="auto"/>
            </w:tcBorders>
            <w:gridSpan w:val="25"/>
          </w:tcPr>
          <w:p>
            <w:pPr>
              <w:spacing w:after="0" w:line="169" w:lineRule="exact"/>
              <w:rPr>
                <w:rFonts w:ascii="Times New Roman" w:cs="Times New Roman" w:eastAsia="Times New Roman" w:hAnsi="Times New Roman"/>
                <w:sz w:val="18"/>
                <w:szCs w:val="18"/>
                <w:color w:val="0000FF"/>
              </w:rPr>
            </w:pPr>
            <w:hyperlink r:id="rId614">
              <w:r>
                <w:rPr>
                  <w:rFonts w:ascii="Times New Roman" w:cs="Times New Roman" w:eastAsia="Times New Roman" w:hAnsi="Times New Roman"/>
                  <w:sz w:val="18"/>
                  <w:szCs w:val="18"/>
                  <w:color w:val="0000FF"/>
                </w:rPr>
                <w:t>Power of Disposal over ANY Lifestyle Marketing GmbH, dated November 17, 2023 (incorporated by reference to Exhibit 10.23 of Rezolve</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auto"/>
            </w:tcBorders>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5"/>
          </w:tcPr>
          <w:p>
            <w:pPr>
              <w:spacing w:after="0" w:line="196" w:lineRule="exact"/>
              <w:rPr>
                <w:rFonts w:ascii="Times New Roman" w:cs="Times New Roman" w:eastAsia="Times New Roman" w:hAnsi="Times New Roman"/>
                <w:sz w:val="18"/>
                <w:szCs w:val="18"/>
                <w:color w:val="0000FF"/>
              </w:rPr>
            </w:pPr>
            <w:hyperlink r:id="rId614">
              <w:r>
                <w:rPr>
                  <w:rFonts w:ascii="Times New Roman" w:cs="Times New Roman" w:eastAsia="Times New Roman" w:hAnsi="Times New Roman"/>
                  <w:sz w:val="18"/>
                  <w:szCs w:val="18"/>
                  <w:color w:val="0000FF"/>
                </w:rPr>
                <w:t>AI Limited’s Registration Statement on Form F-4, filed with the SEC on May 20,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1460" w:type="dxa"/>
            <w:vAlign w:val="bottom"/>
            <w:tcBorders>
              <w:top w:val="single" w:sz="8" w:color="0000FF"/>
              <w:bottom w:val="single" w:sz="8" w:color="auto"/>
            </w:tcBorders>
          </w:tcPr>
          <w:p>
            <w:pPr>
              <w:spacing w:after="0" w:line="20" w:lineRule="exact"/>
              <w:rPr>
                <w:sz w:val="1"/>
                <w:szCs w:val="1"/>
                <w:color w:val="auto"/>
              </w:rPr>
            </w:pPr>
          </w:p>
        </w:tc>
        <w:tc>
          <w:tcPr>
            <w:tcW w:w="12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4"/>
                <w:szCs w:val="14"/>
                <w:color w:val="auto"/>
              </w:rPr>
            </w:pPr>
          </w:p>
        </w:tc>
        <w:tc>
          <w:tcPr>
            <w:tcW w:w="10200" w:type="dxa"/>
            <w:vAlign w:val="bottom"/>
            <w:tcBorders>
              <w:right w:val="single" w:sz="8" w:color="auto"/>
            </w:tcBorders>
            <w:gridSpan w:val="25"/>
          </w:tcPr>
          <w:p>
            <w:pPr>
              <w:spacing w:after="0" w:line="169" w:lineRule="exact"/>
              <w:rPr>
                <w:rFonts w:ascii="Times New Roman" w:cs="Times New Roman" w:eastAsia="Times New Roman" w:hAnsi="Times New Roman"/>
                <w:sz w:val="18"/>
                <w:szCs w:val="18"/>
                <w:color w:val="0000FF"/>
              </w:rPr>
            </w:pPr>
            <w:hyperlink r:id="rId615">
              <w:r>
                <w:rPr>
                  <w:rFonts w:ascii="Times New Roman" w:cs="Times New Roman" w:eastAsia="Times New Roman" w:hAnsi="Times New Roman"/>
                  <w:sz w:val="18"/>
                  <w:szCs w:val="18"/>
                  <w:color w:val="0000FF"/>
                </w:rPr>
                <w:t>Loan Agreement, dated September 28, 2023, by and among Rezolve, Radio Group and the other parties thereto (incorporated by reference</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auto"/>
            </w:tcBorders>
            <w:gridSpan w:val="3"/>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5"/>
          </w:tcPr>
          <w:p>
            <w:pPr>
              <w:spacing w:after="0" w:line="196" w:lineRule="exact"/>
              <w:rPr>
                <w:rFonts w:ascii="Times New Roman" w:cs="Times New Roman" w:eastAsia="Times New Roman" w:hAnsi="Times New Roman"/>
                <w:sz w:val="18"/>
                <w:szCs w:val="18"/>
                <w:color w:val="0000FF"/>
              </w:rPr>
            </w:pPr>
            <w:hyperlink r:id="rId615">
              <w:r>
                <w:rPr>
                  <w:rFonts w:ascii="Times New Roman" w:cs="Times New Roman" w:eastAsia="Times New Roman" w:hAnsi="Times New Roman"/>
                  <w:sz w:val="18"/>
                  <w:szCs w:val="18"/>
                  <w:color w:val="0000FF"/>
                </w:rPr>
                <w:t>to Exhibit 10.24 of Rezolve AI Limited’s Registration Statement on Form F-4, filed with the SEC on May 20, 2024).</w:t>
              </w:r>
            </w:hyperlink>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1460" w:type="dxa"/>
            <w:vAlign w:val="bottom"/>
            <w:tcBorders>
              <w:top w:val="single" w:sz="8" w:color="0000FF"/>
              <w:bottom w:val="single" w:sz="8" w:color="auto"/>
            </w:tcBorders>
          </w:tcPr>
          <w:p>
            <w:pPr>
              <w:spacing w:after="0" w:line="20" w:lineRule="exact"/>
              <w:rPr>
                <w:sz w:val="1"/>
                <w:szCs w:val="1"/>
                <w:color w:val="auto"/>
              </w:rPr>
            </w:pPr>
          </w:p>
        </w:tc>
        <w:tc>
          <w:tcPr>
            <w:tcW w:w="12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4"/>
                <w:szCs w:val="14"/>
                <w:color w:val="auto"/>
              </w:rPr>
            </w:pPr>
          </w:p>
        </w:tc>
        <w:tc>
          <w:tcPr>
            <w:tcW w:w="10200" w:type="dxa"/>
            <w:vAlign w:val="bottom"/>
            <w:tcBorders>
              <w:right w:val="single" w:sz="8" w:color="auto"/>
            </w:tcBorders>
            <w:gridSpan w:val="25"/>
          </w:tcPr>
          <w:p>
            <w:pPr>
              <w:spacing w:after="0" w:line="169" w:lineRule="exact"/>
              <w:rPr>
                <w:rFonts w:ascii="Times New Roman" w:cs="Times New Roman" w:eastAsia="Times New Roman" w:hAnsi="Times New Roman"/>
                <w:sz w:val="18"/>
                <w:szCs w:val="18"/>
                <w:color w:val="0000FF"/>
              </w:rPr>
            </w:pPr>
            <w:hyperlink r:id="rId616">
              <w:r>
                <w:rPr>
                  <w:rFonts w:ascii="Times New Roman" w:cs="Times New Roman" w:eastAsia="Times New Roman" w:hAnsi="Times New Roman"/>
                  <w:sz w:val="18"/>
                  <w:szCs w:val="18"/>
                  <w:color w:val="0000FF"/>
                </w:rPr>
                <w:t>Amended and Restated Standby Equity Purchase Agreement, dated as of February 2, 2024, by and between YA II PN, Ltd., Armada</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auto"/>
            </w:tcBorders>
            <w:gridSpan w:val="3"/>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5"/>
          </w:tcPr>
          <w:p>
            <w:pPr>
              <w:spacing w:after="0" w:line="196" w:lineRule="exact"/>
              <w:rPr>
                <w:rFonts w:ascii="Times New Roman" w:cs="Times New Roman" w:eastAsia="Times New Roman" w:hAnsi="Times New Roman"/>
                <w:sz w:val="18"/>
                <w:szCs w:val="18"/>
                <w:color w:val="0000FF"/>
              </w:rPr>
            </w:pPr>
            <w:hyperlink r:id="rId616">
              <w:r>
                <w:rPr>
                  <w:rFonts w:ascii="Times New Roman" w:cs="Times New Roman" w:eastAsia="Times New Roman" w:hAnsi="Times New Roman"/>
                  <w:sz w:val="18"/>
                  <w:szCs w:val="18"/>
                  <w:color w:val="0000FF"/>
                </w:rPr>
                <w:t>Acquisition Corp. I, Rezolve Limited and Rezolve AI Limited (incorporated by reference to Exhibit 2.1 of Armada's Current Report on</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auto"/>
            </w:tcBorders>
            <w:gridSpan w:val="3"/>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5"/>
          </w:tcPr>
          <w:p>
            <w:pPr>
              <w:spacing w:after="0" w:line="196" w:lineRule="exact"/>
              <w:rPr>
                <w:rFonts w:ascii="Times New Roman" w:cs="Times New Roman" w:eastAsia="Times New Roman" w:hAnsi="Times New Roman"/>
                <w:sz w:val="18"/>
                <w:szCs w:val="18"/>
                <w:color w:val="0000FF"/>
              </w:rPr>
            </w:pPr>
            <w:hyperlink r:id="rId616">
              <w:r>
                <w:rPr>
                  <w:rFonts w:ascii="Times New Roman" w:cs="Times New Roman" w:eastAsia="Times New Roman" w:hAnsi="Times New Roman"/>
                  <w:sz w:val="18"/>
                  <w:szCs w:val="18"/>
                  <w:color w:val="0000FF"/>
                </w:rPr>
                <w:t>Form 8-K, filed with the SEC on February 9,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98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1460" w:type="dxa"/>
            <w:vAlign w:val="bottom"/>
            <w:tcBorders>
              <w:top w:val="single" w:sz="8" w:color="0000EE"/>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4"/>
                <w:szCs w:val="14"/>
                <w:color w:val="auto"/>
              </w:rPr>
            </w:pPr>
          </w:p>
        </w:tc>
        <w:tc>
          <w:tcPr>
            <w:tcW w:w="10200" w:type="dxa"/>
            <w:vAlign w:val="bottom"/>
            <w:tcBorders>
              <w:right w:val="single" w:sz="8" w:color="auto"/>
            </w:tcBorders>
            <w:gridSpan w:val="25"/>
          </w:tcPr>
          <w:p>
            <w:pPr>
              <w:spacing w:after="0" w:line="169" w:lineRule="exact"/>
              <w:rPr>
                <w:rFonts w:ascii="Times New Roman" w:cs="Times New Roman" w:eastAsia="Times New Roman" w:hAnsi="Times New Roman"/>
                <w:sz w:val="18"/>
                <w:szCs w:val="18"/>
                <w:color w:val="0000FF"/>
              </w:rPr>
            </w:pPr>
            <w:hyperlink r:id="rId617">
              <w:r>
                <w:rPr>
                  <w:rFonts w:ascii="Times New Roman" w:cs="Times New Roman" w:eastAsia="Times New Roman" w:hAnsi="Times New Roman"/>
                  <w:sz w:val="18"/>
                  <w:szCs w:val="18"/>
                  <w:color w:val="0000FF"/>
                </w:rPr>
                <w:t>Second Amended and Restated Standby Equity Purchase Agreement, dated as of September 6, 2024, by and between YA II PN, Ltd. and</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gridSpan w:val="7"/>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auto"/>
            </w:tcBorders>
            <w:gridSpan w:val="3"/>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5"/>
          </w:tcPr>
          <w:p>
            <w:pPr>
              <w:spacing w:after="0" w:line="196" w:lineRule="exact"/>
              <w:rPr>
                <w:rFonts w:ascii="Times New Roman" w:cs="Times New Roman" w:eastAsia="Times New Roman" w:hAnsi="Times New Roman"/>
                <w:sz w:val="18"/>
                <w:szCs w:val="18"/>
                <w:color w:val="0000FF"/>
              </w:rPr>
            </w:pPr>
            <w:hyperlink r:id="rId617">
              <w:r>
                <w:rPr>
                  <w:rFonts w:ascii="Times New Roman" w:cs="Times New Roman" w:eastAsia="Times New Roman" w:hAnsi="Times New Roman"/>
                  <w:sz w:val="18"/>
                  <w:szCs w:val="18"/>
                  <w:color w:val="0000FF"/>
                </w:rPr>
                <w:t>Rezolve AI Limited (incorporated by reference to Exhibit 99.1 of Rezolve's Report on Form 6-K, filed with the SEC on September 13,</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20" w:type="dxa"/>
            <w:vAlign w:val="bottom"/>
            <w:gridSpan w:val="3"/>
          </w:tcPr>
          <w:p>
            <w:pPr>
              <w:ind w:left="80"/>
              <w:spacing w:after="0" w:line="196" w:lineRule="exact"/>
              <w:rPr>
                <w:rFonts w:ascii="Times New Roman" w:cs="Times New Roman" w:eastAsia="Times New Roman" w:hAnsi="Times New Roman"/>
                <w:sz w:val="18"/>
                <w:szCs w:val="18"/>
                <w:color w:val="0000FF"/>
              </w:rPr>
            </w:pPr>
            <w:hyperlink r:id="rId617">
              <w:r>
                <w:rPr>
                  <w:rFonts w:ascii="Times New Roman" w:cs="Times New Roman" w:eastAsia="Times New Roman" w:hAnsi="Times New Roman"/>
                  <w:sz w:val="18"/>
                  <w:szCs w:val="18"/>
                  <w:color w:val="0000FF"/>
                </w:rPr>
                <w:t>2024).</w:t>
              </w:r>
            </w:hyperlink>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4"/>
                <w:szCs w:val="14"/>
                <w:color w:val="auto"/>
              </w:rPr>
            </w:pPr>
          </w:p>
        </w:tc>
        <w:tc>
          <w:tcPr>
            <w:tcW w:w="10200" w:type="dxa"/>
            <w:vAlign w:val="bottom"/>
            <w:tcBorders>
              <w:right w:val="single" w:sz="8" w:color="auto"/>
            </w:tcBorders>
            <w:gridSpan w:val="25"/>
          </w:tcPr>
          <w:p>
            <w:pPr>
              <w:spacing w:after="0" w:line="169" w:lineRule="exact"/>
              <w:rPr>
                <w:rFonts w:ascii="Times New Roman" w:cs="Times New Roman" w:eastAsia="Times New Roman" w:hAnsi="Times New Roman"/>
                <w:sz w:val="18"/>
                <w:szCs w:val="18"/>
                <w:color w:val="0000FF"/>
              </w:rPr>
            </w:pPr>
            <w:hyperlink r:id="rId618">
              <w:r>
                <w:rPr>
                  <w:rFonts w:ascii="Times New Roman" w:cs="Times New Roman" w:eastAsia="Times New Roman" w:hAnsi="Times New Roman"/>
                  <w:sz w:val="18"/>
                  <w:szCs w:val="18"/>
                  <w:color w:val="0000FF"/>
                </w:rPr>
                <w:t>Promissory Note, dated as of September 9, 2024, by and among YA II PN, Ltd. and Rezolve AI Limited (incorporated by reference to</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gridSpan w:val="7"/>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auto"/>
            </w:tcBorders>
            <w:gridSpan w:val="3"/>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5"/>
          </w:tcPr>
          <w:p>
            <w:pPr>
              <w:spacing w:after="0" w:line="196" w:lineRule="exact"/>
              <w:rPr>
                <w:rFonts w:ascii="Times New Roman" w:cs="Times New Roman" w:eastAsia="Times New Roman" w:hAnsi="Times New Roman"/>
                <w:sz w:val="18"/>
                <w:szCs w:val="18"/>
                <w:color w:val="0000FF"/>
              </w:rPr>
            </w:pPr>
            <w:hyperlink r:id="rId618">
              <w:r>
                <w:rPr>
                  <w:rFonts w:ascii="Times New Roman" w:cs="Times New Roman" w:eastAsia="Times New Roman" w:hAnsi="Times New Roman"/>
                  <w:sz w:val="18"/>
                  <w:szCs w:val="18"/>
                  <w:color w:val="0000FF"/>
                </w:rPr>
                <w:t>Exhibit 99.2 of Rezolve’s Report on Form 6-K, filed with the SEC on September 13, 2024).</w:t>
              </w:r>
            </w:hyperlink>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1460" w:type="dxa"/>
            <w:vAlign w:val="bottom"/>
            <w:tcBorders>
              <w:top w:val="single" w:sz="8" w:color="0000FF"/>
              <w:bottom w:val="single" w:sz="8" w:color="auto"/>
            </w:tcBorders>
          </w:tcPr>
          <w:p>
            <w:pPr>
              <w:spacing w:after="0" w:line="20" w:lineRule="exact"/>
              <w:rPr>
                <w:sz w:val="1"/>
                <w:szCs w:val="1"/>
                <w:color w:val="auto"/>
              </w:rPr>
            </w:pPr>
          </w:p>
        </w:tc>
        <w:tc>
          <w:tcPr>
            <w:tcW w:w="12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4"/>
                <w:szCs w:val="14"/>
                <w:color w:val="auto"/>
              </w:rPr>
            </w:pPr>
          </w:p>
        </w:tc>
        <w:tc>
          <w:tcPr>
            <w:tcW w:w="10200" w:type="dxa"/>
            <w:vAlign w:val="bottom"/>
            <w:tcBorders>
              <w:right w:val="single" w:sz="8" w:color="auto"/>
            </w:tcBorders>
            <w:gridSpan w:val="25"/>
          </w:tcPr>
          <w:p>
            <w:pPr>
              <w:spacing w:after="0" w:line="169" w:lineRule="exact"/>
              <w:rPr>
                <w:rFonts w:ascii="Times New Roman" w:cs="Times New Roman" w:eastAsia="Times New Roman" w:hAnsi="Times New Roman"/>
                <w:sz w:val="18"/>
                <w:szCs w:val="18"/>
                <w:color w:val="0000FF"/>
              </w:rPr>
            </w:pPr>
            <w:hyperlink r:id="rId619">
              <w:r>
                <w:rPr>
                  <w:rFonts w:ascii="Times New Roman" w:cs="Times New Roman" w:eastAsia="Times New Roman" w:hAnsi="Times New Roman"/>
                  <w:sz w:val="18"/>
                  <w:szCs w:val="18"/>
                  <w:color w:val="0000FF"/>
                </w:rPr>
                <w:t>Promissory Note, dated as of November 29, 2024, by and among YA II PN, Ltd. and Rezolve AI Limited (incorporated by reference to</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gridSpan w:val="7"/>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auto"/>
            </w:tcBorders>
            <w:gridSpan w:val="3"/>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5"/>
          </w:tcPr>
          <w:p>
            <w:pPr>
              <w:spacing w:after="0" w:line="196" w:lineRule="exact"/>
              <w:rPr>
                <w:rFonts w:ascii="Times New Roman" w:cs="Times New Roman" w:eastAsia="Times New Roman" w:hAnsi="Times New Roman"/>
                <w:sz w:val="18"/>
                <w:szCs w:val="18"/>
                <w:color w:val="0000FF"/>
              </w:rPr>
            </w:pPr>
            <w:hyperlink r:id="rId619">
              <w:r>
                <w:rPr>
                  <w:rFonts w:ascii="Times New Roman" w:cs="Times New Roman" w:eastAsia="Times New Roman" w:hAnsi="Times New Roman"/>
                  <w:sz w:val="18"/>
                  <w:szCs w:val="18"/>
                  <w:color w:val="0000FF"/>
                </w:rPr>
                <w:t>Exhibit 99.1 of Rezolve's Report on Form 6-K, filed December 5,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98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1460" w:type="dxa"/>
            <w:vAlign w:val="bottom"/>
            <w:tcBorders>
              <w:top w:val="single" w:sz="8" w:color="0000EE"/>
              <w:bottom w:val="single" w:sz="8" w:color="auto"/>
            </w:tcBorders>
          </w:tcPr>
          <w:p>
            <w:pPr>
              <w:spacing w:after="0" w:line="20" w:lineRule="exact"/>
              <w:rPr>
                <w:sz w:val="1"/>
                <w:szCs w:val="1"/>
                <w:color w:val="auto"/>
              </w:rPr>
            </w:pPr>
          </w:p>
        </w:tc>
        <w:tc>
          <w:tcPr>
            <w:tcW w:w="12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4"/>
                <w:szCs w:val="14"/>
                <w:color w:val="auto"/>
              </w:rPr>
            </w:pPr>
          </w:p>
        </w:tc>
        <w:tc>
          <w:tcPr>
            <w:tcW w:w="10200" w:type="dxa"/>
            <w:vAlign w:val="bottom"/>
            <w:tcBorders>
              <w:right w:val="single" w:sz="8" w:color="auto"/>
            </w:tcBorders>
            <w:gridSpan w:val="25"/>
          </w:tcPr>
          <w:p>
            <w:pPr>
              <w:spacing w:after="0" w:line="169" w:lineRule="exact"/>
              <w:rPr>
                <w:rFonts w:ascii="Times New Roman" w:cs="Times New Roman" w:eastAsia="Times New Roman" w:hAnsi="Times New Roman"/>
                <w:sz w:val="18"/>
                <w:szCs w:val="18"/>
                <w:color w:val="0000FF"/>
              </w:rPr>
            </w:pPr>
            <w:hyperlink r:id="rId620">
              <w:r>
                <w:rPr>
                  <w:rFonts w:ascii="Times New Roman" w:cs="Times New Roman" w:eastAsia="Times New Roman" w:hAnsi="Times New Roman"/>
                  <w:sz w:val="18"/>
                  <w:szCs w:val="18"/>
                  <w:color w:val="0000FF"/>
                </w:rPr>
                <w:t>Letter Agreement, dated as of December 17, 2024, by and among the Company, Apeiron Investment Group Ltd. and Bradley Wickens</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gridSpan w:val="7"/>
            <w:shd w:val="clear" w:color="auto" w:fill="0000FF"/>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auto"/>
            </w:tcBorders>
            <w:gridSpan w:val="3"/>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5"/>
          </w:tcPr>
          <w:p>
            <w:pPr>
              <w:spacing w:after="0" w:line="196" w:lineRule="exact"/>
              <w:rPr>
                <w:rFonts w:ascii="Times New Roman" w:cs="Times New Roman" w:eastAsia="Times New Roman" w:hAnsi="Times New Roman"/>
                <w:sz w:val="18"/>
                <w:szCs w:val="18"/>
                <w:color w:val="0000FF"/>
              </w:rPr>
            </w:pPr>
            <w:hyperlink r:id="rId620">
              <w:r>
                <w:rPr>
                  <w:rFonts w:ascii="Times New Roman" w:cs="Times New Roman" w:eastAsia="Times New Roman" w:hAnsi="Times New Roman"/>
                  <w:sz w:val="18"/>
                  <w:szCs w:val="18"/>
                  <w:color w:val="0000FF"/>
                </w:rPr>
                <w:t>(incorporated by reference to Exhibit 10.2 of Rezolve's Report on Form 6-K, filed December 18,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1460" w:type="dxa"/>
            <w:vAlign w:val="bottom"/>
            <w:tcBorders>
              <w:top w:val="single" w:sz="8" w:color="0000FF"/>
              <w:bottom w:val="single" w:sz="8" w:color="auto"/>
            </w:tcBorders>
          </w:tcPr>
          <w:p>
            <w:pPr>
              <w:spacing w:after="0" w:line="20" w:lineRule="exact"/>
              <w:rPr>
                <w:sz w:val="1"/>
                <w:szCs w:val="1"/>
                <w:color w:val="auto"/>
              </w:rPr>
            </w:pPr>
          </w:p>
        </w:tc>
        <w:tc>
          <w:tcPr>
            <w:tcW w:w="12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4"/>
                <w:szCs w:val="14"/>
                <w:color w:val="auto"/>
              </w:rPr>
            </w:pPr>
          </w:p>
        </w:tc>
        <w:tc>
          <w:tcPr>
            <w:tcW w:w="10200" w:type="dxa"/>
            <w:vAlign w:val="bottom"/>
            <w:tcBorders>
              <w:right w:val="single" w:sz="8" w:color="auto"/>
            </w:tcBorders>
            <w:gridSpan w:val="25"/>
          </w:tcPr>
          <w:p>
            <w:pPr>
              <w:spacing w:after="0" w:line="169" w:lineRule="exact"/>
              <w:rPr>
                <w:rFonts w:ascii="Times New Roman" w:cs="Times New Roman" w:eastAsia="Times New Roman" w:hAnsi="Times New Roman"/>
                <w:sz w:val="18"/>
                <w:szCs w:val="18"/>
                <w:color w:val="0000FF"/>
              </w:rPr>
            </w:pPr>
            <w:hyperlink r:id="rId621">
              <w:r>
                <w:rPr>
                  <w:rFonts w:ascii="Times New Roman" w:cs="Times New Roman" w:eastAsia="Times New Roman" w:hAnsi="Times New Roman"/>
                  <w:sz w:val="18"/>
                  <w:szCs w:val="18"/>
                  <w:color w:val="0000FF"/>
                </w:rPr>
                <w:t>Form of Deed of Amendment (incorporated by reference to Exhibit 10.3 of Rezolve's Report on Form 6-K, filed December 18, 2024).</w:t>
              </w:r>
            </w:hyperlink>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98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1460" w:type="dxa"/>
            <w:vAlign w:val="bottom"/>
            <w:tcBorders>
              <w:top w:val="single" w:sz="8" w:color="0000EE"/>
              <w:bottom w:val="single" w:sz="8" w:color="auto"/>
            </w:tcBorders>
          </w:tcPr>
          <w:p>
            <w:pPr>
              <w:spacing w:after="0" w:line="20" w:lineRule="exact"/>
              <w:rPr>
                <w:sz w:val="1"/>
                <w:szCs w:val="1"/>
                <w:color w:val="auto"/>
              </w:rPr>
            </w:pPr>
          </w:p>
        </w:tc>
        <w:tc>
          <w:tcPr>
            <w:tcW w:w="12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10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96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4"/>
                <w:szCs w:val="14"/>
                <w:color w:val="auto"/>
              </w:rPr>
            </w:pPr>
          </w:p>
        </w:tc>
        <w:tc>
          <w:tcPr>
            <w:tcW w:w="10200" w:type="dxa"/>
            <w:vAlign w:val="bottom"/>
            <w:tcBorders>
              <w:right w:val="single" w:sz="8" w:color="auto"/>
            </w:tcBorders>
            <w:gridSpan w:val="25"/>
          </w:tcPr>
          <w:p>
            <w:pPr>
              <w:spacing w:after="0" w:line="169" w:lineRule="exact"/>
              <w:rPr>
                <w:rFonts w:ascii="Times New Roman" w:cs="Times New Roman" w:eastAsia="Times New Roman" w:hAnsi="Times New Roman"/>
                <w:sz w:val="18"/>
                <w:szCs w:val="18"/>
                <w:color w:val="0000FF"/>
              </w:rPr>
            </w:pPr>
            <w:hyperlink r:id="rId622">
              <w:r>
                <w:rPr>
                  <w:rFonts w:ascii="Times New Roman" w:cs="Times New Roman" w:eastAsia="Times New Roman" w:hAnsi="Times New Roman"/>
                  <w:sz w:val="18"/>
                  <w:szCs w:val="18"/>
                  <w:color w:val="0000FF"/>
                </w:rPr>
                <w:t>Form of Securities Purchase Agreement (incorporated by reference to Exhibit 10.1 of Rezolve's Report on Form 6-K, filed December 23,</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20" w:type="dxa"/>
            <w:vAlign w:val="bottom"/>
            <w:gridSpan w:val="3"/>
          </w:tcPr>
          <w:p>
            <w:pPr>
              <w:ind w:left="80"/>
              <w:spacing w:after="0" w:line="196" w:lineRule="exact"/>
              <w:rPr>
                <w:rFonts w:ascii="Times New Roman" w:cs="Times New Roman" w:eastAsia="Times New Roman" w:hAnsi="Times New Roman"/>
                <w:sz w:val="18"/>
                <w:szCs w:val="18"/>
                <w:color w:val="0000FF"/>
              </w:rPr>
            </w:pPr>
            <w:hyperlink r:id="rId622">
              <w:r>
                <w:rPr>
                  <w:rFonts w:ascii="Times New Roman" w:cs="Times New Roman" w:eastAsia="Times New Roman" w:hAnsi="Times New Roman"/>
                  <w:sz w:val="18"/>
                  <w:szCs w:val="18"/>
                  <w:color w:val="0000FF"/>
                </w:rPr>
                <w:t>2024).</w:t>
              </w:r>
            </w:hyperlink>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4"/>
                <w:szCs w:val="14"/>
                <w:color w:val="auto"/>
              </w:rPr>
            </w:pPr>
          </w:p>
        </w:tc>
        <w:tc>
          <w:tcPr>
            <w:tcW w:w="10200" w:type="dxa"/>
            <w:vAlign w:val="bottom"/>
            <w:tcBorders>
              <w:right w:val="single" w:sz="8" w:color="auto"/>
            </w:tcBorders>
            <w:gridSpan w:val="25"/>
          </w:tcPr>
          <w:p>
            <w:pPr>
              <w:spacing w:after="0" w:line="169" w:lineRule="exact"/>
              <w:rPr>
                <w:rFonts w:ascii="Times New Roman" w:cs="Times New Roman" w:eastAsia="Times New Roman" w:hAnsi="Times New Roman"/>
                <w:sz w:val="18"/>
                <w:szCs w:val="18"/>
                <w:color w:val="0000FF"/>
              </w:rPr>
            </w:pPr>
            <w:hyperlink r:id="rId623">
              <w:r>
                <w:rPr>
                  <w:rFonts w:ascii="Times New Roman" w:cs="Times New Roman" w:eastAsia="Times New Roman" w:hAnsi="Times New Roman"/>
                  <w:sz w:val="18"/>
                  <w:szCs w:val="18"/>
                  <w:color w:val="0000FF"/>
                </w:rPr>
                <w:t>Loan Agreement, dated January 23, 2025, between Rezolve AI Ltd., as borrower, and Joh. Berenberg, Gossler &amp; Co. KG, as lender</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gridSpan w:val="7"/>
            <w:shd w:val="clear" w:color="auto" w:fill="0000FF"/>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40" w:type="dxa"/>
            <w:vAlign w:val="bottom"/>
            <w:tcBorders>
              <w:right w:val="single" w:sz="8" w:color="auto"/>
            </w:tcBorders>
            <w:gridSpan w:val="3"/>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5"/>
          </w:tcPr>
          <w:p>
            <w:pPr>
              <w:spacing w:after="0" w:line="196" w:lineRule="exact"/>
              <w:rPr>
                <w:rFonts w:ascii="Times New Roman" w:cs="Times New Roman" w:eastAsia="Times New Roman" w:hAnsi="Times New Roman"/>
                <w:sz w:val="18"/>
                <w:szCs w:val="18"/>
                <w:color w:val="0000FF"/>
              </w:rPr>
            </w:pPr>
            <w:hyperlink r:id="rId623">
              <w:r>
                <w:rPr>
                  <w:rFonts w:ascii="Times New Roman" w:cs="Times New Roman" w:eastAsia="Times New Roman" w:hAnsi="Times New Roman"/>
                  <w:sz w:val="18"/>
                  <w:szCs w:val="18"/>
                  <w:color w:val="0000FF"/>
                </w:rPr>
                <w:t>(incorporated by reference to Exhibit 10.1 of Rezolve's Report on Form 6-K, filed January 29, 2025.</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1460" w:type="dxa"/>
            <w:vAlign w:val="bottom"/>
            <w:tcBorders>
              <w:top w:val="single" w:sz="8" w:color="0000FF"/>
              <w:bottom w:val="single" w:sz="8" w:color="auto"/>
            </w:tcBorders>
          </w:tcPr>
          <w:p>
            <w:pPr>
              <w:spacing w:after="0" w:line="20" w:lineRule="exact"/>
              <w:rPr>
                <w:sz w:val="1"/>
                <w:szCs w:val="1"/>
                <w:color w:val="auto"/>
              </w:rPr>
            </w:pPr>
          </w:p>
        </w:tc>
        <w:tc>
          <w:tcPr>
            <w:tcW w:w="12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4"/>
                <w:szCs w:val="14"/>
                <w:color w:val="auto"/>
              </w:rPr>
            </w:pPr>
          </w:p>
        </w:tc>
        <w:tc>
          <w:tcPr>
            <w:tcW w:w="10200" w:type="dxa"/>
            <w:vAlign w:val="bottom"/>
            <w:tcBorders>
              <w:right w:val="single" w:sz="8" w:color="auto"/>
            </w:tcBorders>
            <w:gridSpan w:val="25"/>
          </w:tcPr>
          <w:p>
            <w:pPr>
              <w:spacing w:after="0" w:line="169" w:lineRule="exact"/>
              <w:rPr>
                <w:rFonts w:ascii="Times New Roman" w:cs="Times New Roman" w:eastAsia="Times New Roman" w:hAnsi="Times New Roman"/>
                <w:sz w:val="18"/>
                <w:szCs w:val="18"/>
                <w:color w:val="0000FF"/>
              </w:rPr>
            </w:pPr>
            <w:hyperlink r:id="rId624">
              <w:r>
                <w:rPr>
                  <w:rFonts w:ascii="Times New Roman" w:cs="Times New Roman" w:eastAsia="Times New Roman" w:hAnsi="Times New Roman"/>
                  <w:sz w:val="18"/>
                  <w:szCs w:val="18"/>
                  <w:color w:val="0000FF"/>
                </w:rPr>
                <w:t>Purchase Agreement, dated February 4, 2025, by and between Rezolve AI Limited and DBLP Sea Cow Ltd. (incorporated by reference to</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gridSpan w:val="7"/>
            <w:shd w:val="clear" w:color="auto" w:fill="0000FF"/>
          </w:tcPr>
          <w:p>
            <w:pPr>
              <w:spacing w:after="0" w:line="20" w:lineRule="exact"/>
              <w:rPr>
                <w:sz w:val="1"/>
                <w:szCs w:val="1"/>
                <w:color w:val="auto"/>
              </w:rPr>
            </w:pPr>
          </w:p>
        </w:tc>
        <w:tc>
          <w:tcPr>
            <w:tcW w:w="4840" w:type="dxa"/>
            <w:vAlign w:val="bottom"/>
            <w:gridSpan w:val="15"/>
            <w:shd w:val="clear" w:color="auto" w:fill="0000FF"/>
          </w:tcPr>
          <w:p>
            <w:pPr>
              <w:spacing w:after="0" w:line="20" w:lineRule="exact"/>
              <w:rPr>
                <w:sz w:val="1"/>
                <w:szCs w:val="1"/>
                <w:color w:val="auto"/>
              </w:rPr>
            </w:pPr>
          </w:p>
        </w:tc>
        <w:tc>
          <w:tcPr>
            <w:tcW w:w="240" w:type="dxa"/>
            <w:vAlign w:val="bottom"/>
            <w:tcBorders>
              <w:right w:val="single" w:sz="8" w:color="auto"/>
            </w:tcBorders>
            <w:gridSpan w:val="3"/>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5"/>
          </w:tcPr>
          <w:p>
            <w:pPr>
              <w:spacing w:after="0" w:line="196" w:lineRule="exact"/>
              <w:rPr>
                <w:rFonts w:ascii="Times New Roman" w:cs="Times New Roman" w:eastAsia="Times New Roman" w:hAnsi="Times New Roman"/>
                <w:sz w:val="18"/>
                <w:szCs w:val="18"/>
                <w:color w:val="0000FF"/>
              </w:rPr>
            </w:pPr>
            <w:hyperlink r:id="rId624">
              <w:r>
                <w:rPr>
                  <w:rFonts w:ascii="Times New Roman" w:cs="Times New Roman" w:eastAsia="Times New Roman" w:hAnsi="Times New Roman"/>
                  <w:sz w:val="18"/>
                  <w:szCs w:val="18"/>
                  <w:color w:val="0000FF"/>
                </w:rPr>
                <w:t>Exhibit 10.1 of Rezolve's Report on Form 6-K, filed February 7, 2025).</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1460" w:type="dxa"/>
            <w:vAlign w:val="bottom"/>
            <w:tcBorders>
              <w:top w:val="single" w:sz="8" w:color="0000FF"/>
              <w:bottom w:val="single" w:sz="8" w:color="auto"/>
            </w:tcBorders>
          </w:tcPr>
          <w:p>
            <w:pPr>
              <w:spacing w:after="0" w:line="20" w:lineRule="exact"/>
              <w:rPr>
                <w:sz w:val="1"/>
                <w:szCs w:val="1"/>
                <w:color w:val="auto"/>
              </w:rPr>
            </w:pPr>
          </w:p>
        </w:tc>
        <w:tc>
          <w:tcPr>
            <w:tcW w:w="12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561"/>
        </w:trPr>
        <w:tc>
          <w:tcPr>
            <w:tcW w:w="940" w:type="dxa"/>
            <w:vAlign w:val="bottom"/>
          </w:tcPr>
          <w:p>
            <w:pPr>
              <w:spacing w:after="0"/>
              <w:rPr>
                <w:sz w:val="24"/>
                <w:szCs w:val="24"/>
                <w:color w:val="auto"/>
              </w:rPr>
            </w:pPr>
          </w:p>
        </w:tc>
        <w:tc>
          <w:tcPr>
            <w:tcW w:w="5140" w:type="dxa"/>
            <w:vAlign w:val="bottom"/>
            <w:gridSpan w:val="7"/>
          </w:tcPr>
          <w:p>
            <w:pPr>
              <w:ind w:left="454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763"/>
        </w:trPr>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8" w:name="page179"/>
    <w:bookmarkEnd w:id="178"/>
    <w:tbl>
      <w:tblPr>
        <w:tblLayout w:type="fixed"/>
        <w:tblInd w:w="10" w:type="dxa"/>
        <w:tblCellMar>
          <w:top w:w="0" w:type="dxa"/>
          <w:left w:w="0" w:type="dxa"/>
          <w:bottom w:w="0" w:type="dxa"/>
          <w:right w:w="0" w:type="dxa"/>
        </w:tblCellMar>
      </w:tblPr>
      <w:tr>
        <w:trPr>
          <w:trHeight w:val="192"/>
        </w:trPr>
        <w:tc>
          <w:tcPr>
            <w:tcW w:w="920" w:type="dxa"/>
            <w:vAlign w:val="bottom"/>
            <w:tcBorders>
              <w:top w:val="single" w:sz="8" w:color="auto"/>
              <w:left w:val="single" w:sz="8" w:color="auto"/>
              <w:right w:val="single" w:sz="8" w:color="auto"/>
            </w:tcBorders>
          </w:tcPr>
          <w:p>
            <w:pPr>
              <w:ind w:left="120"/>
              <w:spacing w:after="0" w:line="192" w:lineRule="exact"/>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top w:val="single" w:sz="8" w:color="auto"/>
            </w:tcBorders>
          </w:tcPr>
          <w:p>
            <w:pPr>
              <w:spacing w:after="0"/>
              <w:rPr>
                <w:sz w:val="16"/>
                <w:szCs w:val="16"/>
                <w:color w:val="auto"/>
              </w:rPr>
            </w:pPr>
          </w:p>
        </w:tc>
        <w:tc>
          <w:tcPr>
            <w:tcW w:w="9860" w:type="dxa"/>
            <w:vAlign w:val="bottom"/>
            <w:tcBorders>
              <w:top w:val="single" w:sz="8" w:color="auto"/>
              <w:bottom w:val="single" w:sz="8" w:color="0000FF"/>
            </w:tcBorders>
            <w:gridSpan w:val="12"/>
          </w:tcPr>
          <w:p>
            <w:pPr>
              <w:spacing w:after="0" w:line="192" w:lineRule="exact"/>
              <w:rPr>
                <w:rFonts w:ascii="Times New Roman" w:cs="Times New Roman" w:eastAsia="Times New Roman" w:hAnsi="Times New Roman"/>
                <w:sz w:val="18"/>
                <w:szCs w:val="18"/>
                <w:color w:val="0000FF"/>
              </w:rPr>
            </w:pPr>
            <w:hyperlink r:id="rId627">
              <w:r>
                <w:rPr>
                  <w:rFonts w:ascii="Times New Roman" w:cs="Times New Roman" w:eastAsia="Times New Roman" w:hAnsi="Times New Roman"/>
                  <w:sz w:val="18"/>
                  <w:szCs w:val="18"/>
                  <w:color w:val="0000FF"/>
                </w:rPr>
                <w:t>Purchase Agreement, dated February 11, 2025, by and among Rezolve AI Limited, GroupBy Inc, GroupBy International Ltd. and Fortis</w:t>
              </w:r>
            </w:hyperlink>
          </w:p>
        </w:tc>
        <w:tc>
          <w:tcPr>
            <w:tcW w:w="360" w:type="dxa"/>
            <w:vAlign w:val="bottom"/>
            <w:tcBorders>
              <w:top w:val="single" w:sz="8" w:color="auto"/>
              <w:right w:val="single" w:sz="8" w:color="auto"/>
            </w:tcBorders>
            <w:gridSpan w:val="5"/>
          </w:tcPr>
          <w:p>
            <w:pPr>
              <w:spacing w:after="0"/>
              <w:rPr>
                <w:sz w:val="16"/>
                <w:szCs w:val="16"/>
                <w:color w:val="auto"/>
              </w:rPr>
            </w:pPr>
          </w:p>
        </w:tc>
      </w:tr>
      <w:tr>
        <w:trPr>
          <w:trHeight w:val="196"/>
        </w:trPr>
        <w:tc>
          <w:tcPr>
            <w:tcW w:w="92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627">
              <w:r>
                <w:rPr>
                  <w:rFonts w:ascii="Times New Roman" w:cs="Times New Roman" w:eastAsia="Times New Roman" w:hAnsi="Times New Roman"/>
                  <w:sz w:val="18"/>
                  <w:szCs w:val="18"/>
                  <w:color w:val="0000FF"/>
                </w:rPr>
                <w:t>Advisors LLC, as representative of the sellers party thereto (incorporated by reference to Exhibit 10.1 of Rezolve's Report on Form 6-K,</w:t>
              </w:r>
            </w:hyperlink>
          </w:p>
        </w:tc>
        <w:tc>
          <w:tcPr>
            <w:tcW w:w="360" w:type="dxa"/>
            <w:vAlign w:val="bottom"/>
            <w:tcBorders>
              <w:right w:val="single" w:sz="8" w:color="auto"/>
            </w:tcBorders>
            <w:gridSpan w:val="5"/>
          </w:tcPr>
          <w:p>
            <w:pPr>
              <w:spacing w:after="0"/>
              <w:rPr>
                <w:sz w:val="17"/>
                <w:szCs w:val="17"/>
                <w:color w:val="auto"/>
              </w:rPr>
            </w:pPr>
          </w:p>
        </w:tc>
      </w:tr>
      <w:tr>
        <w:trPr>
          <w:trHeight w:val="196"/>
        </w:trPr>
        <w:tc>
          <w:tcPr>
            <w:tcW w:w="920" w:type="dxa"/>
            <w:vAlign w:val="bottom"/>
            <w:tcBorders>
              <w:left w:val="single" w:sz="8" w:color="auto"/>
              <w:right w:val="single" w:sz="8" w:color="auto"/>
            </w:tcBorders>
          </w:tcPr>
          <w:p>
            <w:pPr>
              <w:spacing w:after="0"/>
              <w:rPr>
                <w:sz w:val="17"/>
                <w:szCs w:val="17"/>
                <w:color w:val="auto"/>
              </w:rPr>
            </w:pPr>
          </w:p>
        </w:tc>
        <w:tc>
          <w:tcPr>
            <w:tcW w:w="10320" w:type="dxa"/>
            <w:vAlign w:val="bottom"/>
            <w:tcBorders>
              <w:right w:val="single" w:sz="8" w:color="auto"/>
            </w:tcBorders>
            <w:gridSpan w:val="18"/>
          </w:tcPr>
          <w:p>
            <w:pPr>
              <w:ind w:left="100"/>
              <w:spacing w:after="0" w:line="196" w:lineRule="exact"/>
              <w:rPr>
                <w:rFonts w:ascii="Times New Roman" w:cs="Times New Roman" w:eastAsia="Times New Roman" w:hAnsi="Times New Roman"/>
                <w:sz w:val="18"/>
                <w:szCs w:val="18"/>
                <w:color w:val="0000FF"/>
              </w:rPr>
            </w:pPr>
            <w:hyperlink r:id="rId627">
              <w:r>
                <w:rPr>
                  <w:rFonts w:ascii="Times New Roman" w:cs="Times New Roman" w:eastAsia="Times New Roman" w:hAnsi="Times New Roman"/>
                  <w:sz w:val="18"/>
                  <w:szCs w:val="18"/>
                  <w:color w:val="0000FF"/>
                </w:rPr>
                <w:t>filed February 11, 2025).</w:t>
              </w:r>
            </w:hyperlink>
          </w:p>
        </w:tc>
      </w:tr>
      <w:tr>
        <w:trPr>
          <w:trHeight w:val="60"/>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top w:val="single" w:sz="8" w:color="0000FF"/>
              <w:bottom w:val="single" w:sz="8" w:color="0000FF"/>
            </w:tcBorders>
          </w:tcPr>
          <w:p>
            <w:pPr>
              <w:spacing w:after="0"/>
              <w:rPr>
                <w:sz w:val="5"/>
                <w:szCs w:val="5"/>
                <w:color w:val="auto"/>
              </w:rPr>
            </w:pPr>
          </w:p>
        </w:tc>
        <w:tc>
          <w:tcPr>
            <w:tcW w:w="100" w:type="dxa"/>
            <w:vAlign w:val="bottom"/>
            <w:tcBorders>
              <w:top w:val="single" w:sz="8" w:color="0000FF"/>
              <w:bottom w:val="single" w:sz="8" w:color="0000FF"/>
            </w:tcBorders>
          </w:tcPr>
          <w:p>
            <w:pPr>
              <w:spacing w:after="0"/>
              <w:rPr>
                <w:sz w:val="5"/>
                <w:szCs w:val="5"/>
                <w:color w:val="auto"/>
              </w:rPr>
            </w:pPr>
          </w:p>
        </w:tc>
        <w:tc>
          <w:tcPr>
            <w:tcW w:w="1360" w:type="dxa"/>
            <w:vAlign w:val="bottom"/>
            <w:tcBorders>
              <w:top w:val="single" w:sz="8" w:color="0000FF"/>
              <w:bottom w:val="single" w:sz="8" w:color="0000FF"/>
            </w:tcBorders>
          </w:tcPr>
          <w:p>
            <w:pPr>
              <w:spacing w:after="0"/>
              <w:rPr>
                <w:sz w:val="5"/>
                <w:szCs w:val="5"/>
                <w:color w:val="auto"/>
              </w:rPr>
            </w:pPr>
          </w:p>
        </w:tc>
        <w:tc>
          <w:tcPr>
            <w:tcW w:w="220" w:type="dxa"/>
            <w:vAlign w:val="bottom"/>
            <w:tcBorders>
              <w:top w:val="single" w:sz="8" w:color="0000FF"/>
              <w:bottom w:val="single" w:sz="8" w:color="0000FF"/>
            </w:tcBorders>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r>
      <w:tr>
        <w:trPr>
          <w:trHeight w:val="129"/>
        </w:trPr>
        <w:tc>
          <w:tcPr>
            <w:tcW w:w="920" w:type="dxa"/>
            <w:vAlign w:val="bottom"/>
            <w:tcBorders>
              <w:top w:val="single" w:sz="8" w:color="auto"/>
              <w:right w:val="single" w:sz="8" w:color="auto"/>
            </w:tcBorders>
          </w:tcPr>
          <w:p>
            <w:pPr>
              <w:ind w:left="120"/>
              <w:spacing w:after="0" w:line="130" w:lineRule="exact"/>
              <w:rPr>
                <w:sz w:val="20"/>
                <w:szCs w:val="20"/>
                <w:color w:val="auto"/>
              </w:rPr>
            </w:pPr>
            <w:r>
              <w:rPr>
                <w:rFonts w:ascii="Times New Roman" w:cs="Times New Roman" w:eastAsia="Times New Roman" w:hAnsi="Times New Roman"/>
                <w:sz w:val="15"/>
                <w:szCs w:val="15"/>
                <w:color w:val="auto"/>
              </w:rPr>
              <w:t>10.19</w:t>
            </w:r>
          </w:p>
        </w:tc>
        <w:tc>
          <w:tcPr>
            <w:tcW w:w="100" w:type="dxa"/>
            <w:vAlign w:val="bottom"/>
            <w:tcBorders>
              <w:top w:val="single" w:sz="8" w:color="auto"/>
            </w:tcBorders>
          </w:tcPr>
          <w:p>
            <w:pPr>
              <w:spacing w:after="0"/>
              <w:rPr>
                <w:sz w:val="11"/>
                <w:szCs w:val="11"/>
                <w:color w:val="auto"/>
              </w:rPr>
            </w:pPr>
          </w:p>
        </w:tc>
        <w:tc>
          <w:tcPr>
            <w:tcW w:w="9480" w:type="dxa"/>
            <w:vAlign w:val="bottom"/>
            <w:tcBorders>
              <w:top w:val="single" w:sz="8" w:color="auto"/>
              <w:bottom w:val="single" w:sz="8" w:color="0000FF"/>
            </w:tcBorders>
            <w:gridSpan w:val="11"/>
          </w:tcPr>
          <w:p>
            <w:pPr>
              <w:spacing w:after="0" w:line="130" w:lineRule="exact"/>
              <w:rPr>
                <w:rFonts w:ascii="Times New Roman" w:cs="Times New Roman" w:eastAsia="Times New Roman" w:hAnsi="Times New Roman"/>
                <w:sz w:val="15"/>
                <w:szCs w:val="15"/>
                <w:color w:val="0000FF"/>
              </w:rPr>
            </w:pPr>
            <w:hyperlink r:id="rId628">
              <w:r>
                <w:rPr>
                  <w:rFonts w:ascii="Times New Roman" w:cs="Times New Roman" w:eastAsia="Times New Roman" w:hAnsi="Times New Roman"/>
                  <w:sz w:val="15"/>
                  <w:szCs w:val="15"/>
                  <w:color w:val="0000FF"/>
                </w:rPr>
                <w:t>Form of Securities Purchase Agreement, dated February 21, 2025, between Rezolve AI Ltd., and each of the investors listed on the</w:t>
              </w:r>
            </w:hyperlink>
          </w:p>
        </w:tc>
        <w:tc>
          <w:tcPr>
            <w:tcW w:w="740" w:type="dxa"/>
            <w:vAlign w:val="bottom"/>
            <w:tcBorders>
              <w:top w:val="single" w:sz="8" w:color="auto"/>
              <w:right w:val="single" w:sz="8" w:color="auto"/>
            </w:tcBorders>
            <w:gridSpan w:val="6"/>
          </w:tcPr>
          <w:p>
            <w:pPr>
              <w:spacing w:after="0"/>
              <w:rPr>
                <w:sz w:val="11"/>
                <w:szCs w:val="11"/>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320" w:type="dxa"/>
            <w:vAlign w:val="bottom"/>
            <w:tcBorders>
              <w:right w:val="single" w:sz="8" w:color="auto"/>
            </w:tcBorders>
            <w:gridSpan w:val="18"/>
          </w:tcPr>
          <w:p>
            <w:pPr>
              <w:ind w:left="100"/>
              <w:spacing w:after="0" w:line="196" w:lineRule="exact"/>
              <w:rPr>
                <w:rFonts w:ascii="Times New Roman" w:cs="Times New Roman" w:eastAsia="Times New Roman" w:hAnsi="Times New Roman"/>
                <w:sz w:val="18"/>
                <w:szCs w:val="18"/>
                <w:color w:val="0000FF"/>
              </w:rPr>
            </w:pPr>
            <w:hyperlink r:id="rId628">
              <w:r>
                <w:rPr>
                  <w:rFonts w:ascii="Times New Roman" w:cs="Times New Roman" w:eastAsia="Times New Roman" w:hAnsi="Times New Roman"/>
                  <w:sz w:val="18"/>
                  <w:szCs w:val="18"/>
                  <w:color w:val="0000FF"/>
                </w:rPr>
                <w:t>Schedule of Buyers attached thereto (incorporated by reference to Exhibit 10.1 of Rezolve's Report on Form 6-K, filed February 25, 2025).</w:t>
              </w:r>
            </w:hyperlink>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74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42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10.20</w:t>
            </w:r>
          </w:p>
        </w:tc>
        <w:tc>
          <w:tcPr>
            <w:tcW w:w="10320" w:type="dxa"/>
            <w:vAlign w:val="bottom"/>
            <w:tcBorders>
              <w:right w:val="single" w:sz="8" w:color="auto"/>
            </w:tcBorders>
            <w:gridSpan w:val="18"/>
          </w:tcPr>
          <w:p>
            <w:pPr>
              <w:ind w:left="100"/>
              <w:spacing w:after="0" w:line="169" w:lineRule="exact"/>
              <w:rPr>
                <w:rFonts w:ascii="Times New Roman" w:cs="Times New Roman" w:eastAsia="Times New Roman" w:hAnsi="Times New Roman"/>
                <w:sz w:val="18"/>
                <w:szCs w:val="18"/>
                <w:color w:val="0000FF"/>
              </w:rPr>
            </w:pPr>
            <w:hyperlink r:id="rId629">
              <w:r>
                <w:rPr>
                  <w:rFonts w:ascii="Times New Roman" w:cs="Times New Roman" w:eastAsia="Times New Roman" w:hAnsi="Times New Roman"/>
                  <w:sz w:val="18"/>
                  <w:szCs w:val="18"/>
                  <w:color w:val="0000FF"/>
                </w:rPr>
                <w:t>Form of Convertible Note (incorporated by reference to Exhibit 10.2 of Rezolve's Report on Form 6-K, filed February 25, 2025).</w:t>
              </w:r>
            </w:hyperlink>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74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42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4"/>
                <w:szCs w:val="14"/>
                <w:color w:val="auto"/>
              </w:rPr>
            </w:pPr>
          </w:p>
        </w:tc>
        <w:tc>
          <w:tcPr>
            <w:tcW w:w="9460" w:type="dxa"/>
            <w:vAlign w:val="bottom"/>
            <w:tcBorders>
              <w:bottom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630">
              <w:r>
                <w:rPr>
                  <w:rFonts w:ascii="Times New Roman" w:cs="Times New Roman" w:eastAsia="Times New Roman" w:hAnsi="Times New Roman"/>
                  <w:sz w:val="18"/>
                  <w:szCs w:val="18"/>
                  <w:color w:val="0000FF"/>
                </w:rPr>
                <w:t>Amendment to the Purchase Agreement, dated February 28, 2025, by and among Rezolve AI Limited and Fortis Advisors LLC, as</w:t>
              </w:r>
            </w:hyperlink>
          </w:p>
        </w:tc>
        <w:tc>
          <w:tcPr>
            <w:tcW w:w="760" w:type="dxa"/>
            <w:vAlign w:val="bottom"/>
            <w:tcBorders>
              <w:right w:val="single" w:sz="8" w:color="auto"/>
            </w:tcBorders>
            <w:gridSpan w:val="7"/>
          </w:tcPr>
          <w:p>
            <w:pPr>
              <w:spacing w:after="0"/>
              <w:rPr>
                <w:sz w:val="14"/>
                <w:szCs w:val="14"/>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320" w:type="dxa"/>
            <w:vAlign w:val="bottom"/>
            <w:tcBorders>
              <w:right w:val="single" w:sz="8" w:color="auto"/>
            </w:tcBorders>
            <w:gridSpan w:val="18"/>
          </w:tcPr>
          <w:p>
            <w:pPr>
              <w:ind w:left="100"/>
              <w:spacing w:after="0" w:line="196" w:lineRule="exact"/>
              <w:rPr>
                <w:rFonts w:ascii="Times New Roman" w:cs="Times New Roman" w:eastAsia="Times New Roman" w:hAnsi="Times New Roman"/>
                <w:sz w:val="18"/>
                <w:szCs w:val="18"/>
                <w:color w:val="0000FF"/>
              </w:rPr>
            </w:pPr>
            <w:hyperlink r:id="rId630">
              <w:r>
                <w:rPr>
                  <w:rFonts w:ascii="Times New Roman" w:cs="Times New Roman" w:eastAsia="Times New Roman" w:hAnsi="Times New Roman"/>
                  <w:sz w:val="18"/>
                  <w:szCs w:val="18"/>
                  <w:color w:val="0000FF"/>
                </w:rPr>
                <w:t>representative of the sellers party thereto (incorporated by reference to Exhibit 10.1 of Rezolve's Report on Form 6-K, filed March 6, 2025).</w:t>
              </w:r>
            </w:hyperlink>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74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42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10.22</w:t>
            </w:r>
          </w:p>
        </w:tc>
        <w:tc>
          <w:tcPr>
            <w:tcW w:w="10320" w:type="dxa"/>
            <w:vAlign w:val="bottom"/>
            <w:tcBorders>
              <w:right w:val="single" w:sz="8" w:color="auto"/>
            </w:tcBorders>
            <w:gridSpan w:val="18"/>
          </w:tcPr>
          <w:p>
            <w:pPr>
              <w:ind w:left="100"/>
              <w:spacing w:after="0" w:line="169" w:lineRule="exact"/>
              <w:rPr>
                <w:rFonts w:ascii="Times New Roman" w:cs="Times New Roman" w:eastAsia="Times New Roman" w:hAnsi="Times New Roman"/>
                <w:sz w:val="18"/>
                <w:szCs w:val="18"/>
                <w:color w:val="0000FF"/>
              </w:rPr>
            </w:pPr>
            <w:hyperlink r:id="rId631">
              <w:r>
                <w:rPr>
                  <w:rFonts w:ascii="Times New Roman" w:cs="Times New Roman" w:eastAsia="Times New Roman" w:hAnsi="Times New Roman"/>
                  <w:sz w:val="18"/>
                  <w:szCs w:val="18"/>
                  <w:color w:val="0000FF"/>
                </w:rPr>
                <w:t>Form of Securities Purchase Agreement (incorporated by reference to Exhibit 10.1 of Rezolve's Report on Form 6-K, filed July 25, 2025).</w:t>
              </w:r>
            </w:hyperlink>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74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42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14"/>
                <w:szCs w:val="14"/>
                <w:color w:val="auto"/>
              </w:rPr>
            </w:pPr>
          </w:p>
        </w:tc>
        <w:tc>
          <w:tcPr>
            <w:tcW w:w="1004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632">
              <w:r>
                <w:rPr>
                  <w:rFonts w:ascii="Times New Roman" w:cs="Times New Roman" w:eastAsia="Times New Roman" w:hAnsi="Times New Roman"/>
                  <w:sz w:val="18"/>
                  <w:szCs w:val="18"/>
                  <w:color w:val="0000FF"/>
                </w:rPr>
                <w:t>Placement Agent Agreement, dated July 24, 2025, between Rezolve AI plc and A.G.P/Alliance Global Partners (incorporated by reference</w:t>
              </w:r>
            </w:hyperlink>
          </w:p>
        </w:tc>
        <w:tc>
          <w:tcPr>
            <w:tcW w:w="180" w:type="dxa"/>
            <w:vAlign w:val="bottom"/>
            <w:tcBorders>
              <w:right w:val="single" w:sz="8" w:color="auto"/>
            </w:tcBorders>
            <w:gridSpan w:val="2"/>
          </w:tcPr>
          <w:p>
            <w:pPr>
              <w:spacing w:after="0"/>
              <w:rPr>
                <w:sz w:val="14"/>
                <w:szCs w:val="14"/>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320" w:type="dxa"/>
            <w:vAlign w:val="bottom"/>
            <w:tcBorders>
              <w:right w:val="single" w:sz="8" w:color="auto"/>
            </w:tcBorders>
            <w:gridSpan w:val="18"/>
          </w:tcPr>
          <w:p>
            <w:pPr>
              <w:ind w:left="100"/>
              <w:spacing w:after="0" w:line="196" w:lineRule="exact"/>
              <w:rPr>
                <w:rFonts w:ascii="Times New Roman" w:cs="Times New Roman" w:eastAsia="Times New Roman" w:hAnsi="Times New Roman"/>
                <w:sz w:val="18"/>
                <w:szCs w:val="18"/>
                <w:color w:val="0000FF"/>
              </w:rPr>
            </w:pPr>
            <w:hyperlink r:id="rId632">
              <w:r>
                <w:rPr>
                  <w:rFonts w:ascii="Times New Roman" w:cs="Times New Roman" w:eastAsia="Times New Roman" w:hAnsi="Times New Roman"/>
                  <w:sz w:val="18"/>
                  <w:szCs w:val="18"/>
                  <w:color w:val="0000FF"/>
                </w:rPr>
                <w:t>to Exhibit 10.2 of Rezolve's Report on Form 6-K, filed July 25, 2025).</w:t>
              </w:r>
            </w:hyperlink>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74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10.24</w:t>
            </w:r>
          </w:p>
        </w:tc>
        <w:tc>
          <w:tcPr>
            <w:tcW w:w="10320" w:type="dxa"/>
            <w:vAlign w:val="bottom"/>
            <w:tcBorders>
              <w:right w:val="single" w:sz="8" w:color="auto"/>
            </w:tcBorders>
            <w:gridSpan w:val="18"/>
          </w:tcPr>
          <w:p>
            <w:pPr>
              <w:ind w:left="100"/>
              <w:spacing w:after="0" w:line="169" w:lineRule="exact"/>
              <w:rPr>
                <w:rFonts w:ascii="Times New Roman" w:cs="Times New Roman" w:eastAsia="Times New Roman" w:hAnsi="Times New Roman"/>
                <w:sz w:val="18"/>
                <w:szCs w:val="18"/>
                <w:color w:val="0000FF"/>
              </w:rPr>
            </w:pPr>
            <w:hyperlink r:id="rId633">
              <w:r>
                <w:rPr>
                  <w:rFonts w:ascii="Times New Roman" w:cs="Times New Roman" w:eastAsia="Times New Roman" w:hAnsi="Times New Roman"/>
                  <w:sz w:val="18"/>
                  <w:szCs w:val="18"/>
                  <w:color w:val="0000FF"/>
                </w:rPr>
                <w:t>Form of Registration Rights Agreement (incorporated by reference to Exhibit 10.3 of Rezolve's Report on Form 6-K, filed July 25, 2025).</w:t>
              </w:r>
            </w:hyperlink>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74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42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23.1*</w:t>
            </w:r>
          </w:p>
        </w:tc>
        <w:tc>
          <w:tcPr>
            <w:tcW w:w="10320" w:type="dxa"/>
            <w:vAlign w:val="bottom"/>
            <w:tcBorders>
              <w:right w:val="single" w:sz="8" w:color="auto"/>
            </w:tcBorders>
            <w:gridSpan w:val="18"/>
          </w:tcPr>
          <w:p>
            <w:pPr>
              <w:ind w:left="100"/>
              <w:spacing w:after="0" w:line="169" w:lineRule="exact"/>
              <w:rPr>
                <w:sz w:val="20"/>
                <w:szCs w:val="20"/>
                <w:color w:val="auto"/>
              </w:rPr>
            </w:pPr>
            <w:r>
              <w:rPr>
                <w:rFonts w:ascii="Times New Roman" w:cs="Times New Roman" w:eastAsia="Times New Roman" w:hAnsi="Times New Roman"/>
                <w:sz w:val="18"/>
                <w:szCs w:val="18"/>
                <w:color w:val="0000FF"/>
              </w:rPr>
              <w:t>Consent of Grassi &amp; Co., CPAs, PC.</w:t>
            </w:r>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23.2*</w:t>
            </w:r>
          </w:p>
        </w:tc>
        <w:tc>
          <w:tcPr>
            <w:tcW w:w="10320" w:type="dxa"/>
            <w:vAlign w:val="bottom"/>
            <w:tcBorders>
              <w:right w:val="single" w:sz="8" w:color="auto"/>
            </w:tcBorders>
            <w:gridSpan w:val="18"/>
          </w:tcPr>
          <w:p>
            <w:pPr>
              <w:ind w:left="100"/>
              <w:spacing w:after="0" w:line="169" w:lineRule="exact"/>
              <w:rPr>
                <w:sz w:val="20"/>
                <w:szCs w:val="20"/>
                <w:color w:val="auto"/>
              </w:rPr>
            </w:pPr>
            <w:r>
              <w:rPr>
                <w:rFonts w:ascii="Times New Roman" w:cs="Times New Roman" w:eastAsia="Times New Roman" w:hAnsi="Times New Roman"/>
                <w:sz w:val="18"/>
                <w:szCs w:val="18"/>
                <w:color w:val="0000FF"/>
              </w:rPr>
              <w:t>Consent of MNP LLP</w:t>
            </w:r>
            <w:r>
              <w:rPr>
                <w:rFonts w:ascii="Times New Roman" w:cs="Times New Roman" w:eastAsia="Times New Roman" w:hAnsi="Times New Roman"/>
                <w:sz w:val="18"/>
                <w:szCs w:val="18"/>
                <w:color w:val="000000"/>
              </w:rPr>
              <w:t>.</w:t>
            </w: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II-2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98"/>
        </w:trPr>
        <w:tc>
          <w:tcPr>
            <w:tcW w:w="920" w:type="dxa"/>
            <w:vAlign w:val="bottom"/>
            <w:tcBorders>
              <w:bottom w:val="single" w:sz="8" w:color="A0A0A0"/>
            </w:tcBorders>
          </w:tcPr>
          <w:p>
            <w:pPr>
              <w:spacing w:after="0"/>
              <w:rPr>
                <w:sz w:val="17"/>
                <w:szCs w:val="17"/>
                <w:color w:val="auto"/>
              </w:rPr>
            </w:pPr>
          </w:p>
        </w:tc>
        <w:tc>
          <w:tcPr>
            <w:tcW w:w="100" w:type="dxa"/>
            <w:vAlign w:val="bottom"/>
            <w:tcBorders>
              <w:bottom w:val="single" w:sz="8" w:color="A0A0A0"/>
            </w:tcBorders>
          </w:tcPr>
          <w:p>
            <w:pPr>
              <w:spacing w:after="0"/>
              <w:rPr>
                <w:sz w:val="17"/>
                <w:szCs w:val="17"/>
                <w:color w:val="auto"/>
              </w:rPr>
            </w:pPr>
          </w:p>
        </w:tc>
        <w:tc>
          <w:tcPr>
            <w:tcW w:w="120" w:type="dxa"/>
            <w:vAlign w:val="bottom"/>
            <w:tcBorders>
              <w:bottom w:val="single" w:sz="8" w:color="A0A0A0"/>
            </w:tcBorders>
          </w:tcPr>
          <w:p>
            <w:pPr>
              <w:spacing w:after="0"/>
              <w:rPr>
                <w:sz w:val="17"/>
                <w:szCs w:val="17"/>
                <w:color w:val="auto"/>
              </w:rPr>
            </w:pPr>
          </w:p>
        </w:tc>
        <w:tc>
          <w:tcPr>
            <w:tcW w:w="100" w:type="dxa"/>
            <w:vAlign w:val="bottom"/>
            <w:tcBorders>
              <w:bottom w:val="single" w:sz="8" w:color="A0A0A0"/>
            </w:tcBorders>
          </w:tcPr>
          <w:p>
            <w:pPr>
              <w:spacing w:after="0"/>
              <w:rPr>
                <w:sz w:val="17"/>
                <w:szCs w:val="17"/>
                <w:color w:val="auto"/>
              </w:rPr>
            </w:pPr>
          </w:p>
        </w:tc>
        <w:tc>
          <w:tcPr>
            <w:tcW w:w="1360" w:type="dxa"/>
            <w:vAlign w:val="bottom"/>
            <w:tcBorders>
              <w:bottom w:val="single" w:sz="8" w:color="A0A0A0"/>
            </w:tcBorders>
          </w:tcPr>
          <w:p>
            <w:pPr>
              <w:spacing w:after="0"/>
              <w:rPr>
                <w:sz w:val="17"/>
                <w:szCs w:val="17"/>
                <w:color w:val="auto"/>
              </w:rPr>
            </w:pPr>
          </w:p>
        </w:tc>
        <w:tc>
          <w:tcPr>
            <w:tcW w:w="220" w:type="dxa"/>
            <w:vAlign w:val="bottom"/>
            <w:tcBorders>
              <w:bottom w:val="single" w:sz="8" w:color="A0A0A0"/>
            </w:tcBorders>
          </w:tcPr>
          <w:p>
            <w:pPr>
              <w:spacing w:after="0"/>
              <w:rPr>
                <w:sz w:val="17"/>
                <w:szCs w:val="17"/>
                <w:color w:val="auto"/>
              </w:rPr>
            </w:pPr>
          </w:p>
        </w:tc>
        <w:tc>
          <w:tcPr>
            <w:tcW w:w="200" w:type="dxa"/>
            <w:vAlign w:val="bottom"/>
            <w:tcBorders>
              <w:bottom w:val="single" w:sz="8" w:color="A0A0A0"/>
            </w:tcBorders>
          </w:tcPr>
          <w:p>
            <w:pPr>
              <w:spacing w:after="0"/>
              <w:rPr>
                <w:sz w:val="17"/>
                <w:szCs w:val="17"/>
                <w:color w:val="auto"/>
              </w:rPr>
            </w:pPr>
          </w:p>
        </w:tc>
        <w:tc>
          <w:tcPr>
            <w:tcW w:w="640" w:type="dxa"/>
            <w:vAlign w:val="bottom"/>
            <w:tcBorders>
              <w:bottom w:val="single" w:sz="8" w:color="A0A0A0"/>
            </w:tcBorders>
          </w:tcPr>
          <w:p>
            <w:pPr>
              <w:spacing w:after="0"/>
              <w:rPr>
                <w:sz w:val="17"/>
                <w:szCs w:val="17"/>
                <w:color w:val="auto"/>
              </w:rPr>
            </w:pPr>
          </w:p>
        </w:tc>
        <w:tc>
          <w:tcPr>
            <w:tcW w:w="1740" w:type="dxa"/>
            <w:vAlign w:val="bottom"/>
            <w:tcBorders>
              <w:bottom w:val="single" w:sz="8" w:color="A0A0A0"/>
            </w:tcBorders>
          </w:tcPr>
          <w:p>
            <w:pPr>
              <w:spacing w:after="0"/>
              <w:rPr>
                <w:sz w:val="17"/>
                <w:szCs w:val="17"/>
                <w:color w:val="auto"/>
              </w:rPr>
            </w:pPr>
          </w:p>
        </w:tc>
        <w:tc>
          <w:tcPr>
            <w:tcW w:w="700" w:type="dxa"/>
            <w:vAlign w:val="bottom"/>
            <w:tcBorders>
              <w:bottom w:val="single" w:sz="8" w:color="A0A0A0"/>
            </w:tcBorders>
          </w:tcPr>
          <w:p>
            <w:pPr>
              <w:spacing w:after="0"/>
              <w:rPr>
                <w:sz w:val="17"/>
                <w:szCs w:val="17"/>
                <w:color w:val="auto"/>
              </w:rPr>
            </w:pPr>
          </w:p>
        </w:tc>
        <w:tc>
          <w:tcPr>
            <w:tcW w:w="4220" w:type="dxa"/>
            <w:vAlign w:val="bottom"/>
            <w:tcBorders>
              <w:bottom w:val="single" w:sz="8" w:color="A0A0A0"/>
            </w:tcBorders>
          </w:tcPr>
          <w:p>
            <w:pPr>
              <w:spacing w:after="0"/>
              <w:rPr>
                <w:sz w:val="17"/>
                <w:szCs w:val="17"/>
                <w:color w:val="auto"/>
              </w:rPr>
            </w:pPr>
          </w:p>
        </w:tc>
        <w:tc>
          <w:tcPr>
            <w:tcW w:w="160" w:type="dxa"/>
            <w:vAlign w:val="bottom"/>
            <w:tcBorders>
              <w:bottom w:val="single" w:sz="8" w:color="A0A0A0"/>
            </w:tcBorders>
          </w:tcPr>
          <w:p>
            <w:pPr>
              <w:spacing w:after="0"/>
              <w:rPr>
                <w:sz w:val="17"/>
                <w:szCs w:val="17"/>
                <w:color w:val="auto"/>
              </w:rPr>
            </w:pPr>
          </w:p>
        </w:tc>
        <w:tc>
          <w:tcPr>
            <w:tcW w:w="20" w:type="dxa"/>
            <w:vAlign w:val="bottom"/>
            <w:tcBorders>
              <w:bottom w:val="single" w:sz="8" w:color="A0A0A0"/>
            </w:tcBorders>
          </w:tcPr>
          <w:p>
            <w:pPr>
              <w:spacing w:after="0"/>
              <w:rPr>
                <w:sz w:val="17"/>
                <w:szCs w:val="17"/>
                <w:color w:val="auto"/>
              </w:rPr>
            </w:pPr>
          </w:p>
        </w:tc>
        <w:tc>
          <w:tcPr>
            <w:tcW w:w="380" w:type="dxa"/>
            <w:vAlign w:val="bottom"/>
            <w:tcBorders>
              <w:bottom w:val="single" w:sz="8" w:color="A0A0A0"/>
            </w:tcBorders>
          </w:tcPr>
          <w:p>
            <w:pPr>
              <w:spacing w:after="0"/>
              <w:rPr>
                <w:sz w:val="17"/>
                <w:szCs w:val="17"/>
                <w:color w:val="auto"/>
              </w:rPr>
            </w:pPr>
          </w:p>
        </w:tc>
        <w:tc>
          <w:tcPr>
            <w:tcW w:w="80" w:type="dxa"/>
            <w:vAlign w:val="bottom"/>
            <w:tcBorders>
              <w:bottom w:val="single" w:sz="8" w:color="A0A0A0"/>
            </w:tcBorders>
          </w:tcPr>
          <w:p>
            <w:pPr>
              <w:spacing w:after="0"/>
              <w:rPr>
                <w:sz w:val="17"/>
                <w:szCs w:val="17"/>
                <w:color w:val="auto"/>
              </w:rPr>
            </w:pPr>
          </w:p>
        </w:tc>
        <w:tc>
          <w:tcPr>
            <w:tcW w:w="80" w:type="dxa"/>
            <w:vAlign w:val="bottom"/>
            <w:tcBorders>
              <w:bottom w:val="single" w:sz="8" w:color="A0A0A0"/>
            </w:tcBorders>
          </w:tcPr>
          <w:p>
            <w:pPr>
              <w:spacing w:after="0"/>
              <w:rPr>
                <w:sz w:val="17"/>
                <w:szCs w:val="17"/>
                <w:color w:val="auto"/>
              </w:rPr>
            </w:pPr>
          </w:p>
        </w:tc>
        <w:tc>
          <w:tcPr>
            <w:tcW w:w="20" w:type="dxa"/>
            <w:vAlign w:val="bottom"/>
            <w:tcBorders>
              <w:bottom w:val="single" w:sz="8" w:color="A0A0A0"/>
            </w:tcBorders>
          </w:tcPr>
          <w:p>
            <w:pPr>
              <w:spacing w:after="0"/>
              <w:rPr>
                <w:sz w:val="17"/>
                <w:szCs w:val="17"/>
                <w:color w:val="auto"/>
              </w:rPr>
            </w:pPr>
          </w:p>
        </w:tc>
        <w:tc>
          <w:tcPr>
            <w:tcW w:w="40" w:type="dxa"/>
            <w:vAlign w:val="bottom"/>
            <w:tcBorders>
              <w:bottom w:val="single" w:sz="8" w:color="A0A0A0"/>
            </w:tcBorders>
          </w:tcPr>
          <w:p>
            <w:pPr>
              <w:spacing w:after="0"/>
              <w:rPr>
                <w:sz w:val="17"/>
                <w:szCs w:val="17"/>
                <w:color w:val="auto"/>
              </w:rPr>
            </w:pPr>
          </w:p>
        </w:tc>
        <w:tc>
          <w:tcPr>
            <w:tcW w:w="140" w:type="dxa"/>
            <w:vAlign w:val="bottom"/>
            <w:tcBorders>
              <w:bottom w:val="single" w:sz="8" w:color="A0A0A0"/>
            </w:tcBorders>
          </w:tcPr>
          <w:p>
            <w:pPr>
              <w:spacing w:after="0"/>
              <w:rPr>
                <w:sz w:val="17"/>
                <w:szCs w:val="17"/>
                <w:color w:val="auto"/>
              </w:rPr>
            </w:pPr>
          </w:p>
        </w:tc>
      </w:tr>
      <w:tr>
        <w:trPr>
          <w:trHeight w:val="462"/>
        </w:trPr>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132"/>
        </w:trPr>
        <w:tc>
          <w:tcPr>
            <w:tcW w:w="920" w:type="dxa"/>
            <w:vAlign w:val="bottom"/>
            <w:tcBorders>
              <w:left w:val="single" w:sz="8" w:color="auto"/>
            </w:tcBorders>
          </w:tcPr>
          <w:p>
            <w:pPr>
              <w:ind w:left="120"/>
              <w:spacing w:after="0" w:line="133" w:lineRule="exact"/>
              <w:rPr>
                <w:sz w:val="20"/>
                <w:szCs w:val="20"/>
                <w:color w:val="auto"/>
              </w:rPr>
            </w:pPr>
            <w:r>
              <w:rPr>
                <w:rFonts w:ascii="Times New Roman" w:cs="Times New Roman" w:eastAsia="Times New Roman" w:hAnsi="Times New Roman"/>
                <w:sz w:val="15"/>
                <w:szCs w:val="15"/>
                <w:color w:val="auto"/>
              </w:rPr>
              <w:t>23.3*</w:t>
            </w:r>
          </w:p>
        </w:tc>
        <w:tc>
          <w:tcPr>
            <w:tcW w:w="1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100" w:type="dxa"/>
            <w:vAlign w:val="bottom"/>
            <w:tcBorders>
              <w:right w:val="single" w:sz="8" w:color="auto"/>
            </w:tcBorders>
            <w:gridSpan w:val="16"/>
          </w:tcPr>
          <w:p>
            <w:pPr>
              <w:ind w:left="100"/>
              <w:spacing w:after="0" w:line="133" w:lineRule="exact"/>
              <w:rPr>
                <w:sz w:val="20"/>
                <w:szCs w:val="20"/>
                <w:color w:val="auto"/>
              </w:rPr>
            </w:pPr>
            <w:r>
              <w:rPr>
                <w:rFonts w:ascii="Times New Roman" w:cs="Times New Roman" w:eastAsia="Times New Roman" w:hAnsi="Times New Roman"/>
                <w:sz w:val="15"/>
                <w:szCs w:val="15"/>
                <w:color w:val="0000FF"/>
              </w:rPr>
              <w:t>Consent of Taylor Wessing LLP (included in Exhibit 5.1)</w:t>
            </w:r>
            <w:r>
              <w:rPr>
                <w:rFonts w:ascii="Times New Roman" w:cs="Times New Roman" w:eastAsia="Times New Roman" w:hAnsi="Times New Roman"/>
                <w:sz w:val="15"/>
                <w:szCs w:val="15"/>
                <w:color w:val="000000"/>
              </w:rPr>
              <w:t>.</w:t>
            </w:r>
          </w:p>
        </w:tc>
      </w:tr>
      <w:tr>
        <w:trPr>
          <w:trHeight w:val="60"/>
        </w:trPr>
        <w:tc>
          <w:tcPr>
            <w:tcW w:w="920" w:type="dxa"/>
            <w:vAlign w:val="bottom"/>
            <w:tcBorders>
              <w:left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tcBorders>
              <w:top w:val="single" w:sz="8" w:color="0000FF"/>
              <w:bottom w:val="single" w:sz="8" w:color="0000FF"/>
            </w:tcBorders>
          </w:tcPr>
          <w:p>
            <w:pPr>
              <w:spacing w:after="0"/>
              <w:rPr>
                <w:sz w:val="5"/>
                <w:szCs w:val="5"/>
                <w:color w:val="auto"/>
              </w:rPr>
            </w:pPr>
          </w:p>
        </w:tc>
        <w:tc>
          <w:tcPr>
            <w:tcW w:w="220" w:type="dxa"/>
            <w:vAlign w:val="bottom"/>
            <w:tcBorders>
              <w:top w:val="single" w:sz="8" w:color="0000FF"/>
              <w:bottom w:val="single" w:sz="8" w:color="0000FF"/>
            </w:tcBorders>
          </w:tcPr>
          <w:p>
            <w:pPr>
              <w:spacing w:after="0"/>
              <w:rPr>
                <w:sz w:val="5"/>
                <w:szCs w:val="5"/>
                <w:color w:val="auto"/>
              </w:rPr>
            </w:pPr>
          </w:p>
        </w:tc>
        <w:tc>
          <w:tcPr>
            <w:tcW w:w="200" w:type="dxa"/>
            <w:vAlign w:val="bottom"/>
            <w:tcBorders>
              <w:top w:val="single" w:sz="8" w:color="0000FF"/>
              <w:bottom w:val="single" w:sz="8" w:color="0000FF"/>
            </w:tcBorders>
          </w:tcPr>
          <w:p>
            <w:pPr>
              <w:spacing w:after="0"/>
              <w:rPr>
                <w:sz w:val="5"/>
                <w:szCs w:val="5"/>
                <w:color w:val="auto"/>
              </w:rPr>
            </w:pPr>
          </w:p>
        </w:tc>
        <w:tc>
          <w:tcPr>
            <w:tcW w:w="640" w:type="dxa"/>
            <w:vAlign w:val="bottom"/>
            <w:tcBorders>
              <w:top w:val="single" w:sz="8" w:color="0000FF"/>
              <w:bottom w:val="single" w:sz="8" w:color="0000FF"/>
            </w:tcBorders>
          </w:tcPr>
          <w:p>
            <w:pPr>
              <w:spacing w:after="0"/>
              <w:rPr>
                <w:sz w:val="5"/>
                <w:szCs w:val="5"/>
                <w:color w:val="auto"/>
              </w:rPr>
            </w:pPr>
          </w:p>
        </w:tc>
        <w:tc>
          <w:tcPr>
            <w:tcW w:w="1740" w:type="dxa"/>
            <w:vAlign w:val="bottom"/>
            <w:tcBorders>
              <w:top w:val="single" w:sz="8" w:color="0000FF"/>
              <w:bottom w:val="single" w:sz="8" w:color="0000FF"/>
            </w:tcBorders>
          </w:tcPr>
          <w:p>
            <w:pPr>
              <w:spacing w:after="0"/>
              <w:rPr>
                <w:sz w:val="5"/>
                <w:szCs w:val="5"/>
                <w:color w:val="auto"/>
              </w:rPr>
            </w:pPr>
          </w:p>
        </w:tc>
        <w:tc>
          <w:tcPr>
            <w:tcW w:w="700" w:type="dxa"/>
            <w:vAlign w:val="bottom"/>
          </w:tcPr>
          <w:p>
            <w:pPr>
              <w:spacing w:after="0"/>
              <w:rPr>
                <w:sz w:val="5"/>
                <w:szCs w:val="5"/>
                <w:color w:val="auto"/>
              </w:rPr>
            </w:pPr>
          </w:p>
        </w:tc>
        <w:tc>
          <w:tcPr>
            <w:tcW w:w="4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r>
      <w:tr>
        <w:trPr>
          <w:trHeight w:val="152"/>
        </w:trPr>
        <w:tc>
          <w:tcPr>
            <w:tcW w:w="920" w:type="dxa"/>
            <w:vAlign w:val="bottom"/>
            <w:tcBorders>
              <w:top w:val="single" w:sz="8" w:color="auto"/>
            </w:tcBorders>
          </w:tcPr>
          <w:p>
            <w:pPr>
              <w:ind w:left="120"/>
              <w:spacing w:after="0" w:line="152" w:lineRule="exact"/>
              <w:rPr>
                <w:sz w:val="20"/>
                <w:szCs w:val="20"/>
                <w:color w:val="auto"/>
              </w:rPr>
            </w:pPr>
            <w:r>
              <w:rPr>
                <w:rFonts w:ascii="Times New Roman" w:cs="Times New Roman" w:eastAsia="Times New Roman" w:hAnsi="Times New Roman"/>
                <w:sz w:val="17"/>
                <w:szCs w:val="17"/>
                <w:color w:val="auto"/>
              </w:rPr>
              <w:t>101.INS</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10100" w:type="dxa"/>
            <w:vAlign w:val="bottom"/>
            <w:tcBorders>
              <w:top w:val="single" w:sz="8" w:color="auto"/>
              <w:right w:val="single" w:sz="8" w:color="auto"/>
            </w:tcBorders>
            <w:gridSpan w:val="16"/>
          </w:tcPr>
          <w:p>
            <w:pPr>
              <w:ind w:left="100"/>
              <w:spacing w:after="0" w:line="152" w:lineRule="exact"/>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 are</w:t>
            </w:r>
          </w:p>
        </w:tc>
      </w:tr>
      <w:tr>
        <w:trPr>
          <w:trHeight w:val="234"/>
        </w:trPr>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100" w:type="dxa"/>
            <w:vAlign w:val="bottom"/>
            <w:tcBorders>
              <w:bottom w:val="single" w:sz="8" w:color="auto"/>
              <w:right w:val="single" w:sz="8" w:color="auto"/>
            </w:tcBorders>
            <w:gridSpan w:val="16"/>
          </w:tcPr>
          <w:p>
            <w:pPr>
              <w:ind w:left="1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0"/>
        </w:trPr>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00" w:type="dxa"/>
            <w:vAlign w:val="bottom"/>
            <w:tcBorders>
              <w:bottom w:val="single" w:sz="8" w:color="auto"/>
              <w:right w:val="single" w:sz="8" w:color="auto"/>
            </w:tcBorders>
            <w:gridSpan w:val="16"/>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09"/>
        </w:trPr>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00" w:type="dxa"/>
            <w:vAlign w:val="bottom"/>
            <w:tcBorders>
              <w:bottom w:val="single" w:sz="8" w:color="auto"/>
              <w:right w:val="single" w:sz="8" w:color="auto"/>
            </w:tcBorders>
            <w:gridSpan w:val="16"/>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w:t>
            </w:r>
          </w:p>
        </w:tc>
      </w:tr>
      <w:tr>
        <w:trPr>
          <w:trHeight w:val="169"/>
        </w:trPr>
        <w:tc>
          <w:tcPr>
            <w:tcW w:w="920" w:type="dxa"/>
            <w:vAlign w:val="bottom"/>
          </w:tcPr>
          <w:p>
            <w:pPr>
              <w:ind w:left="120"/>
              <w:spacing w:after="0" w:line="169"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100" w:type="dxa"/>
            <w:vAlign w:val="bottom"/>
            <w:tcBorders>
              <w:right w:val="single" w:sz="8" w:color="auto"/>
            </w:tcBorders>
            <w:gridSpan w:val="16"/>
          </w:tcPr>
          <w:p>
            <w:pPr>
              <w:ind w:left="100"/>
              <w:spacing w:after="0" w:line="169" w:lineRule="exact"/>
              <w:rPr>
                <w:sz w:val="20"/>
                <w:szCs w:val="20"/>
                <w:color w:val="auto"/>
              </w:rPr>
            </w:pPr>
            <w:r>
              <w:rPr>
                <w:rFonts w:ascii="Times New Roman" w:cs="Times New Roman" w:eastAsia="Times New Roman" w:hAnsi="Times New Roman"/>
                <w:sz w:val="18"/>
                <w:szCs w:val="18"/>
                <w:color w:val="0000FF"/>
              </w:rPr>
              <w:t>Calculation of Fee Table</w:t>
            </w:r>
            <w:r>
              <w:rPr>
                <w:rFonts w:ascii="Times New Roman" w:cs="Times New Roman" w:eastAsia="Times New Roman" w:hAnsi="Times New Roman"/>
                <w:sz w:val="18"/>
                <w:szCs w:val="18"/>
                <w:color w:val="000000"/>
              </w:rPr>
              <w:t>.</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(1)To file, during any period in which offers or sales are being made, a post-effective amendment to this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(i)To include any prospectus required by Section 10(a)(3) of the Securities Act of 1933, as amended;</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(iii)To include any material information with respect to the plan of distribution not previously disclosed in the registration statement or any material change to such information in the registration statement.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79" w:name="page180"/>
    <w:bookmarkEnd w:id="179"/>
    <w:p>
      <w:pPr>
        <w:spacing w:after="0" w:line="282" w:lineRule="auto"/>
        <w:rPr>
          <w:sz w:val="20"/>
          <w:szCs w:val="20"/>
          <w:color w:val="auto"/>
        </w:rPr>
      </w:pPr>
      <w:r>
        <w:rPr>
          <w:rFonts w:ascii="Times New Roman" w:cs="Times New Roman" w:eastAsia="Times New Roman" w:hAnsi="Times New Roman"/>
          <w:sz w:val="18"/>
          <w:szCs w:val="18"/>
          <w:color w:val="auto"/>
        </w:rPr>
        <w:t>(2)That,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(3)To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(4)That,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(5)To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(6)That,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(i)Any preliminary prospectus or prospectus of the undersigned registrant relating to the offering required to be filed pursuant to Rule 424;</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(ii)Any free writing prospectus relating to the offering prepared by or on behalf of the undersigned registrant or used or referred to by the undersigned registrant;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(iii)The portion of any other free writing prospectus relating to the offering containing material information about the undersigned registrant or its securities provided by or on behalf of the undersigned registrant;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(iv)Any other communication that is an offer in the offering made by the undersigned registrant to the purchaser.</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Registration Statement on Form F-1 to be signed on its behalf by the undersigned, thereunto duly authorized, in the city of London, United Kingdom, on the 30th day of July, 2025.</w:t>
      </w:r>
    </w:p>
    <w:p>
      <w:pPr>
        <w:spacing w:after="0" w:line="3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5715</wp:posOffset>
            </wp:positionV>
            <wp:extent cx="185166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6">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ind w:left="2400"/>
        <w:spacing w:after="0"/>
        <w:rPr>
          <w:sz w:val="20"/>
          <w:szCs w:val="20"/>
          <w:color w:val="auto"/>
        </w:rPr>
      </w:pPr>
      <w:r>
        <w:rPr>
          <w:rFonts w:ascii="Times New Roman" w:cs="Times New Roman" w:eastAsia="Times New Roman" w:hAnsi="Times New Roman"/>
          <w:sz w:val="18"/>
          <w:szCs w:val="18"/>
          <w:color w:val="auto"/>
        </w:rPr>
        <w:t>Daniel Wagner</w:t>
      </w:r>
    </w:p>
    <w:p>
      <w:pPr>
        <w:spacing w:after="0" w:line="2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8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on Form F-1 has been signed by the following persons in the capacities and on the dates indicated.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6100" w:type="dxa"/>
            <w:vAlign w:val="bottom"/>
            <w:tcBorders>
              <w:bottom w:val="single" w:sz="8" w:color="auto"/>
            </w:tcBorders>
          </w:tcPr>
          <w:p>
            <w:pPr>
              <w:ind w:left="29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Daniel Wagner</w:t>
            </w:r>
          </w:p>
        </w:tc>
        <w:tc>
          <w:tcPr>
            <w:tcW w:w="12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30, 2025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Daniel Wagner</w:t>
            </w:r>
          </w:p>
        </w:tc>
        <w:tc>
          <w:tcPr>
            <w:tcW w:w="120" w:type="dxa"/>
            <w:vAlign w:val="bottom"/>
          </w:tcPr>
          <w:p>
            <w:pPr>
              <w:spacing w:after="0"/>
              <w:rPr>
                <w:sz w:val="7"/>
                <w:szCs w:val="7"/>
                <w:color w:val="auto"/>
              </w:rPr>
            </w:pPr>
          </w:p>
        </w:tc>
        <w:tc>
          <w:tcPr>
            <w:tcW w:w="6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7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 Richard Burchill</w:t>
            </w:r>
          </w:p>
        </w:tc>
        <w:tc>
          <w:tcPr>
            <w:tcW w:w="12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30, 2025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Richard Burchill</w:t>
            </w:r>
          </w:p>
        </w:tc>
        <w:tc>
          <w:tcPr>
            <w:tcW w:w="120" w:type="dxa"/>
            <w:vAlign w:val="bottom"/>
          </w:tcPr>
          <w:p>
            <w:pPr>
              <w:spacing w:after="0"/>
              <w:rPr>
                <w:sz w:val="7"/>
                <w:szCs w:val="7"/>
                <w:color w:val="auto"/>
              </w:rPr>
            </w:pPr>
          </w:p>
        </w:tc>
        <w:tc>
          <w:tcPr>
            <w:tcW w:w="6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July 30, 2025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/s/ Anthony Sharp</w:t>
            </w: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July 30,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Anthony Sharp</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Sir David Wright</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July 30,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Sir David Wright</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Stephen Perry</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July 30,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Stephen Perry</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July 30,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John Wagner</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Derek Smith</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July 30,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Derek Smith</w:t>
            </w:r>
          </w:p>
        </w:tc>
        <w:tc>
          <w:tcPr>
            <w:tcW w:w="120" w:type="dxa"/>
            <w:vAlign w:val="bottom"/>
          </w:tcPr>
          <w:p>
            <w:pPr>
              <w:spacing w:after="0"/>
              <w:rPr>
                <w:sz w:val="18"/>
                <w:szCs w:val="18"/>
                <w:color w:val="auto"/>
              </w:rPr>
            </w:pPr>
          </w:p>
        </w:tc>
        <w:tc>
          <w:tcPr>
            <w:tcW w:w="6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Stephen Herbert</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July 30,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Stephen Herbert</w:t>
            </w:r>
          </w:p>
        </w:tc>
        <w:tc>
          <w:tcPr>
            <w:tcW w:w="120" w:type="dxa"/>
            <w:vAlign w:val="bottom"/>
          </w:tcPr>
          <w:p>
            <w:pPr>
              <w:spacing w:after="0"/>
              <w:rPr>
                <w:sz w:val="18"/>
                <w:szCs w:val="18"/>
                <w:color w:val="auto"/>
              </w:rPr>
            </w:pPr>
          </w:p>
        </w:tc>
        <w:tc>
          <w:tcPr>
            <w:tcW w:w="6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1" w:name="page182"/>
    <w:bookmarkEnd w:id="1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THE REGISTRANT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on Form F-1 to be signed on its behalf by the undersigned, thereunto duly authorized, in the city of New York, New York, on the 30th of July, 2025.</w:t>
      </w:r>
    </w:p>
    <w:p>
      <w:pPr>
        <w:spacing w:after="0" w:line="37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2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 Colleen A.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17145</wp:posOffset>
            </wp:positionV>
            <wp:extent cx="567499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8">
                      <a:extLst>
                        <a:ext uri="{28A0092B-C50C-407E-A947-70E740481C1C}"/>
                      </a:extLst>
                    </a:blip>
                    <a:srcRect/>
                    <a:stretch>
                      <a:fillRect/>
                    </a:stretch>
                  </pic:blipFill>
                  <pic:spPr bwMode="auto">
                    <a:xfrm>
                      <a:off x="0" y="0"/>
                      <a:ext cx="5674995" cy="8255"/>
                    </a:xfrm>
                    <a:prstGeom prst="rect">
                      <a:avLst/>
                    </a:prstGeom>
                    <a:noFill/>
                  </pic:spPr>
                </pic:pic>
              </a:graphicData>
            </a:graphic>
          </wp:anchor>
        </w:drawing>
      </w:r>
    </w:p>
    <w:p>
      <w:pPr>
        <w:spacing w:after="0" w:line="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Colleen A. DeVries</w:t>
      </w:r>
    </w:p>
    <w:p>
      <w:pPr>
        <w:spacing w:after="0" w:line="2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Senior Vice-President on behalf of Cogency Global Inc</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2" w:name="page183"/>
    <w:bookmarkEnd w:id="182"/>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4587875</wp:posOffset>
            </wp:positionH>
            <wp:positionV relativeFrom="paragraph">
              <wp:posOffset>289560</wp:posOffset>
            </wp:positionV>
            <wp:extent cx="1534160" cy="26543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40">
                      <a:extLst>
                        <a:ext uri="{28A0092B-C50C-407E-A947-70E740481C1C}"/>
                      </a:extLst>
                    </a:blip>
                    <a:srcRect/>
                    <a:stretch>
                      <a:fillRect/>
                    </a:stretch>
                  </pic:blipFill>
                  <pic:spPr bwMode="auto">
                    <a:xfrm>
                      <a:off x="0" y="0"/>
                      <a:ext cx="153416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9"/>
          <w:szCs w:val="19"/>
          <w:color w:val="auto"/>
        </w:rPr>
        <w:t>30 July 2025</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19"/>
          <w:szCs w:val="19"/>
          <w:color w:val="auto"/>
        </w:rPr>
        <w:t>Rezolve AI PLC 21 Sackville</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Street London W1S 3DN United</w:t>
      </w:r>
    </w:p>
    <w:p>
      <w:pPr>
        <w:ind w:left="20"/>
        <w:spacing w:after="0"/>
        <w:rPr>
          <w:sz w:val="20"/>
          <w:szCs w:val="20"/>
          <w:color w:val="auto"/>
        </w:rPr>
      </w:pPr>
      <w:r>
        <w:rPr>
          <w:rFonts w:ascii="Arial" w:cs="Arial" w:eastAsia="Arial" w:hAnsi="Arial"/>
          <w:sz w:val="19"/>
          <w:szCs w:val="19"/>
          <w:color w:val="auto"/>
        </w:rPr>
        <w:t>Kingdom</w:t>
      </w: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Re: Rezolve AI PLC – Registration Statement on Form F-1</w:t>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9"/>
          <w:szCs w:val="19"/>
          <w:color w:val="auto"/>
        </w:rPr>
        <w:t>Dear Addressee</w:t>
      </w:r>
    </w:p>
    <w:p>
      <w:pPr>
        <w:spacing w:after="0" w:line="200" w:lineRule="exact"/>
        <w:rPr>
          <w:sz w:val="20"/>
          <w:szCs w:val="20"/>
          <w:color w:val="auto"/>
        </w:rPr>
      </w:pPr>
    </w:p>
    <w:p>
      <w:pPr>
        <w:spacing w:after="0" w:line="230" w:lineRule="exact"/>
        <w:rPr>
          <w:sz w:val="20"/>
          <w:szCs w:val="20"/>
          <w:color w:val="auto"/>
        </w:rPr>
      </w:pPr>
    </w:p>
    <w:p>
      <w:pPr>
        <w:ind w:left="760" w:hanging="757"/>
        <w:spacing w:after="0"/>
        <w:tabs>
          <w:tab w:leader="none" w:pos="760" w:val="left"/>
        </w:tabs>
        <w:numPr>
          <w:ilvl w:val="0"/>
          <w:numId w:val="137"/>
        </w:numPr>
        <w:rPr>
          <w:rFonts w:ascii="Arial" w:cs="Arial" w:eastAsia="Arial" w:hAnsi="Arial"/>
          <w:sz w:val="19"/>
          <w:szCs w:val="19"/>
          <w:b w:val="1"/>
          <w:bCs w:val="1"/>
          <w:color w:val="auto"/>
        </w:rPr>
      </w:pPr>
      <w:r>
        <w:rPr>
          <w:rFonts w:ascii="Arial" w:cs="Arial" w:eastAsia="Arial" w:hAnsi="Arial"/>
          <w:sz w:val="19"/>
          <w:szCs w:val="19"/>
          <w:b w:val="1"/>
          <w:bCs w:val="1"/>
          <w:color w:val="auto"/>
        </w:rPr>
        <w:t>Introduction</w:t>
      </w:r>
    </w:p>
    <w:p>
      <w:pPr>
        <w:spacing w:after="0" w:line="214" w:lineRule="exact"/>
        <w:rPr>
          <w:sz w:val="20"/>
          <w:szCs w:val="20"/>
          <w:color w:val="auto"/>
        </w:rPr>
      </w:pPr>
    </w:p>
    <w:p>
      <w:pPr>
        <w:jc w:val="both"/>
        <w:ind w:left="680" w:right="980" w:hanging="682"/>
        <w:spacing w:after="0" w:line="246" w:lineRule="auto"/>
        <w:tabs>
          <w:tab w:leader="none" w:pos="66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9"/>
          <w:szCs w:val="19"/>
          <w:color w:val="auto"/>
        </w:rPr>
        <w:t>We have acted as English legal advisers to Rezolve AI PLC, a public limited company incorporated in England and Wales with company number 14573691 and with its registered office at 21 Sackville Street, London, United Kingdom, W1S 3DN (the “</w:t>
      </w:r>
      <w:r>
        <w:rPr>
          <w:rFonts w:ascii="Arial" w:cs="Arial" w:eastAsia="Arial" w:hAnsi="Arial"/>
          <w:sz w:val="19"/>
          <w:szCs w:val="19"/>
          <w:b w:val="1"/>
          <w:bCs w:val="1"/>
          <w:color w:val="auto"/>
        </w:rPr>
        <w:t>Company</w:t>
      </w:r>
      <w:r>
        <w:rPr>
          <w:rFonts w:ascii="Arial" w:cs="Arial" w:eastAsia="Arial" w:hAnsi="Arial"/>
          <w:sz w:val="19"/>
          <w:szCs w:val="19"/>
          <w:color w:val="auto"/>
        </w:rPr>
        <w:t>”), in connection with the registration statement (as amended through the date hereof,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of the Company on Form F-1 filed with the 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 pursuant to the Securities Act of 1933, as amended (the “</w:t>
      </w:r>
      <w:r>
        <w:rPr>
          <w:rFonts w:ascii="Arial" w:cs="Arial" w:eastAsia="Arial" w:hAnsi="Arial"/>
          <w:sz w:val="19"/>
          <w:szCs w:val="19"/>
          <w:b w:val="1"/>
          <w:bCs w:val="1"/>
          <w:color w:val="auto"/>
        </w:rPr>
        <w:t>Securities Act</w:t>
      </w:r>
      <w:r>
        <w:rPr>
          <w:rFonts w:ascii="Arial" w:cs="Arial" w:eastAsia="Arial" w:hAnsi="Arial"/>
          <w:sz w:val="19"/>
          <w:szCs w:val="19"/>
          <w:color w:val="auto"/>
        </w:rPr>
        <w:t>”), and the rules and regulations thereunder (the “</w:t>
      </w:r>
      <w:r>
        <w:rPr>
          <w:rFonts w:ascii="Arial" w:cs="Arial" w:eastAsia="Arial" w:hAnsi="Arial"/>
          <w:sz w:val="19"/>
          <w:szCs w:val="19"/>
          <w:b w:val="1"/>
          <w:bCs w:val="1"/>
          <w:color w:val="auto"/>
        </w:rPr>
        <w:t>Rules</w:t>
      </w:r>
      <w:r>
        <w:rPr>
          <w:rFonts w:ascii="Arial" w:cs="Arial" w:eastAsia="Arial" w:hAnsi="Arial"/>
          <w:sz w:val="19"/>
          <w:szCs w:val="19"/>
          <w:color w:val="auto"/>
        </w:rPr>
        <w:t>”).</w:t>
      </w:r>
    </w:p>
    <w:p>
      <w:pPr>
        <w:spacing w:after="0" w:line="168" w:lineRule="exact"/>
        <w:rPr>
          <w:sz w:val="20"/>
          <w:szCs w:val="20"/>
          <w:color w:val="auto"/>
        </w:rPr>
      </w:pPr>
    </w:p>
    <w:p>
      <w:pPr>
        <w:jc w:val="both"/>
        <w:ind w:left="680" w:right="980" w:hanging="682"/>
        <w:spacing w:after="0" w:line="248" w:lineRule="auto"/>
        <w:tabs>
          <w:tab w:leader="none" w:pos="66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9"/>
          <w:szCs w:val="19"/>
          <w:color w:val="auto"/>
        </w:rPr>
        <w:t>On 4 July 2024, a demerger pursuant to section 110 of the UK Insolvency Act 1986 was effected, pursuant to which substantially all the assets and liabilities of Rezolve Limited were transferred to the Company in exchange for the issue of shares of the same classes in the capital of the Company for distribution amongst the shareholders of Rezolve Limited in proportion to their holdings of shares of each class in Rezolve Limited (the "</w:t>
      </w:r>
      <w:r>
        <w:rPr>
          <w:rFonts w:ascii="Arial" w:cs="Arial" w:eastAsia="Arial" w:hAnsi="Arial"/>
          <w:sz w:val="19"/>
          <w:szCs w:val="19"/>
          <w:b w:val="1"/>
          <w:bCs w:val="1"/>
          <w:color w:val="auto"/>
        </w:rPr>
        <w:t>Demerger</w:t>
      </w:r>
      <w:r>
        <w:rPr>
          <w:rFonts w:ascii="Arial" w:cs="Arial" w:eastAsia="Arial" w:hAnsi="Arial"/>
          <w:sz w:val="19"/>
          <w:szCs w:val="19"/>
          <w:color w:val="auto"/>
        </w:rPr>
        <w:t>").</w:t>
      </w:r>
    </w:p>
    <w:p>
      <w:pPr>
        <w:spacing w:after="0" w:line="167" w:lineRule="exact"/>
        <w:rPr>
          <w:sz w:val="20"/>
          <w:szCs w:val="20"/>
          <w:color w:val="auto"/>
        </w:rPr>
      </w:pPr>
    </w:p>
    <w:p>
      <w:pPr>
        <w:jc w:val="both"/>
        <w:ind w:left="680" w:right="980" w:hanging="682"/>
        <w:spacing w:after="0" w:line="246" w:lineRule="auto"/>
        <w:tabs>
          <w:tab w:leader="none" w:pos="660" w:val="left"/>
        </w:tabs>
        <w:rPr>
          <w:sz w:val="20"/>
          <w:szCs w:val="20"/>
          <w:color w:val="auto"/>
        </w:rPr>
      </w:pPr>
      <w:r>
        <w:rPr>
          <w:rFonts w:ascii="Arial" w:cs="Arial" w:eastAsia="Arial" w:hAnsi="Arial"/>
          <w:sz w:val="19"/>
          <w:szCs w:val="19"/>
          <w:color w:val="auto"/>
        </w:rPr>
        <w:t>1.3</w:t>
      </w:r>
      <w:r>
        <w:rPr>
          <w:sz w:val="20"/>
          <w:szCs w:val="20"/>
          <w:color w:val="auto"/>
        </w:rPr>
        <w:tab/>
      </w:r>
      <w:r>
        <w:rPr>
          <w:rFonts w:ascii="Arial" w:cs="Arial" w:eastAsia="Arial" w:hAnsi="Arial"/>
          <w:sz w:val="19"/>
          <w:szCs w:val="19"/>
          <w:color w:val="auto"/>
        </w:rPr>
        <w:t>The Company has filed the Registration Statement for the purposes of registering with the Commission under the Securities Act the potential issue, offer and sale or resale from time to time of up to 20,000,000 fully paid ordinary shares of £0.0001 each in the capital of the Company (the “</w:t>
      </w:r>
      <w:r>
        <w:rPr>
          <w:rFonts w:ascii="Arial" w:cs="Arial" w:eastAsia="Arial" w:hAnsi="Arial"/>
          <w:sz w:val="19"/>
          <w:szCs w:val="19"/>
          <w:b w:val="1"/>
          <w:bCs w:val="1"/>
          <w:color w:val="auto"/>
        </w:rPr>
        <w:t>Relevant Shares</w:t>
      </w:r>
      <w:r>
        <w:rPr>
          <w:rFonts w:ascii="Arial" w:cs="Arial" w:eastAsia="Arial" w:hAnsi="Arial"/>
          <w:sz w:val="19"/>
          <w:szCs w:val="19"/>
          <w:color w:val="auto"/>
        </w:rPr>
        <w:t>”) pursuant to the terms of two securities purchase agreements dated 24 July 2025, one between the Company and Citadel CEMF Investments Ltd. and the other between the Company and Alyeska Master Fund, LP (the "</w:t>
      </w:r>
      <w:r>
        <w:rPr>
          <w:rFonts w:ascii="Arial" w:cs="Arial" w:eastAsia="Arial" w:hAnsi="Arial"/>
          <w:sz w:val="19"/>
          <w:szCs w:val="19"/>
          <w:b w:val="1"/>
          <w:bCs w:val="1"/>
          <w:color w:val="auto"/>
        </w:rPr>
        <w:t>Securities Purchase</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Agreements</w:t>
      </w:r>
      <w:r>
        <w:rPr>
          <w:rFonts w:ascii="Arial" w:cs="Arial" w:eastAsia="Arial" w:hAnsi="Arial"/>
          <w:sz w:val="19"/>
          <w:szCs w:val="19"/>
          <w:color w:val="auto"/>
        </w:rPr>
        <w:t>").</w:t>
      </w:r>
    </w:p>
    <w:p>
      <w:pPr>
        <w:spacing w:after="0" w:line="384" w:lineRule="exact"/>
        <w:rPr>
          <w:sz w:val="20"/>
          <w:szCs w:val="20"/>
          <w:color w:val="auto"/>
        </w:rPr>
      </w:pPr>
    </w:p>
    <w:p>
      <w:pPr>
        <w:ind w:left="760" w:hanging="757"/>
        <w:spacing w:after="0"/>
        <w:tabs>
          <w:tab w:leader="none" w:pos="760" w:val="left"/>
        </w:tabs>
        <w:numPr>
          <w:ilvl w:val="0"/>
          <w:numId w:val="138"/>
        </w:numPr>
        <w:rPr>
          <w:rFonts w:ascii="Arial" w:cs="Arial" w:eastAsia="Arial" w:hAnsi="Arial"/>
          <w:sz w:val="19"/>
          <w:szCs w:val="19"/>
          <w:b w:val="1"/>
          <w:bCs w:val="1"/>
          <w:color w:val="auto"/>
        </w:rPr>
      </w:pPr>
      <w:r>
        <w:rPr>
          <w:rFonts w:ascii="Arial" w:cs="Arial" w:eastAsia="Arial" w:hAnsi="Arial"/>
          <w:sz w:val="19"/>
          <w:szCs w:val="19"/>
          <w:b w:val="1"/>
          <w:bCs w:val="1"/>
          <w:color w:val="auto"/>
        </w:rPr>
        <w:t>Purpose</w:t>
      </w:r>
    </w:p>
    <w:p>
      <w:pPr>
        <w:spacing w:after="0" w:line="214" w:lineRule="exact"/>
        <w:rPr>
          <w:sz w:val="20"/>
          <w:szCs w:val="20"/>
          <w:color w:val="auto"/>
        </w:rPr>
      </w:pPr>
    </w:p>
    <w:p>
      <w:pPr>
        <w:jc w:val="both"/>
        <w:ind w:left="680" w:right="980" w:hanging="681"/>
        <w:spacing w:after="0" w:line="254" w:lineRule="auto"/>
        <w:tabs>
          <w:tab w:leader="none" w:pos="66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9"/>
          <w:szCs w:val="19"/>
          <w:color w:val="auto"/>
        </w:rPr>
        <w:t>This opinion letter is being furnished in connection with the Registration Statement on Form F-1 to be filed with the Commission on the date hereof under the Securities Act and the Rules. We have taken instruction in this regard solely from the Company.</w:t>
      </w:r>
    </w:p>
    <w:p>
      <w:pPr>
        <w:spacing w:after="0" w:line="170" w:lineRule="exact"/>
        <w:rPr>
          <w:sz w:val="20"/>
          <w:szCs w:val="20"/>
          <w:color w:val="auto"/>
        </w:rPr>
      </w:pPr>
    </w:p>
    <w:p>
      <w:pPr>
        <w:ind w:left="680" w:right="1020" w:hanging="680"/>
        <w:spacing w:after="0" w:line="270" w:lineRule="auto"/>
        <w:tabs>
          <w:tab w:leader="none" w:pos="66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9"/>
          <w:szCs w:val="19"/>
          <w:color w:val="auto"/>
        </w:rPr>
        <w:t>The provision of this letter is not to be taken as implying that we owe any duty of care to anyone, including the Company, in relation to the content or the commercial and financial implications of the Registration Statement.</w:t>
      </w:r>
    </w:p>
    <w:p>
      <w:pPr>
        <w:spacing w:after="0" w:line="156"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8"/>
          <w:szCs w:val="18"/>
          <w:color w:val="auto"/>
        </w:rPr>
        <w:t>Nothing stated in this letter shall create the relationship of solicitor and client between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217170</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1440" w:right="339" w:bottom="1440" w:gutter="0" w:footer="0" w:header="0"/>
        </w:sectPr>
      </w:pPr>
    </w:p>
    <w:bookmarkStart w:id="183" w:name="page184"/>
    <w:bookmarkEnd w:id="183"/>
    <w:p>
      <w:pPr>
        <w:spacing w:after="0" w:line="200" w:lineRule="exact"/>
        <w:rPr>
          <w:sz w:val="20"/>
          <w:szCs w:val="20"/>
          <w:color w:val="auto"/>
        </w:rPr>
      </w:pPr>
    </w:p>
    <w:p>
      <w:pPr>
        <w:spacing w:after="0" w:line="377" w:lineRule="exact"/>
        <w:rPr>
          <w:sz w:val="20"/>
          <w:szCs w:val="20"/>
          <w:color w:val="auto"/>
        </w:rPr>
      </w:pPr>
    </w:p>
    <w:p>
      <w:pPr>
        <w:ind w:left="680"/>
        <w:spacing w:after="0"/>
        <w:rPr>
          <w:sz w:val="20"/>
          <w:szCs w:val="20"/>
          <w:color w:val="auto"/>
        </w:rPr>
      </w:pPr>
      <w:r>
        <w:rPr>
          <w:rFonts w:ascii="Arial" w:cs="Arial" w:eastAsia="Arial" w:hAnsi="Arial"/>
          <w:sz w:val="19"/>
          <w:szCs w:val="19"/>
          <w:color w:val="auto"/>
        </w:rPr>
        <w:t>and anyone other than the Company.</w:t>
      </w:r>
    </w:p>
    <w:p>
      <w:pPr>
        <w:spacing w:after="0" w:line="214"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8"/>
          <w:szCs w:val="18"/>
          <w:color w:val="auto"/>
        </w:rPr>
        <w:t>For the purposes of issuing this opinion, we have received a draft copy of the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217170</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99"/>
          </w:cols>
          <w:pgMar w:left="460" w:top="1440" w:right="1440" w:bottom="1440" w:gutter="0" w:footer="0" w:header="0"/>
        </w:sectPr>
      </w:pPr>
    </w:p>
    <w:bookmarkStart w:id="184" w:name="page185"/>
    <w:bookmarkEnd w:id="184"/>
    <w:p>
      <w:pPr>
        <w:ind w:left="760"/>
        <w:spacing w:after="0"/>
        <w:rPr>
          <w:sz w:val="20"/>
          <w:szCs w:val="20"/>
          <w:color w:val="auto"/>
        </w:rPr>
      </w:pPr>
      <w:r>
        <w:rPr>
          <w:rFonts w:ascii="Arial" w:cs="Arial" w:eastAsia="Arial" w:hAnsi="Arial"/>
          <w:sz w:val="19"/>
          <w:szCs w:val="19"/>
          <w:color w:val="auto"/>
        </w:rPr>
        <w:t>Statement and examined the following documents:</w:t>
      </w:r>
    </w:p>
    <w:p>
      <w:pPr>
        <w:spacing w:after="0" w:line="214" w:lineRule="exact"/>
        <w:rPr>
          <w:sz w:val="20"/>
          <w:szCs w:val="20"/>
          <w:color w:val="auto"/>
        </w:rPr>
      </w:pPr>
    </w:p>
    <w:p>
      <w:pPr>
        <w:ind w:left="1500" w:hanging="748"/>
        <w:spacing w:after="0"/>
        <w:tabs>
          <w:tab w:leader="none" w:pos="150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a copy of the Securities Purchase Agreements;</w:t>
      </w:r>
    </w:p>
    <w:p>
      <w:pPr>
        <w:spacing w:after="0" w:line="213" w:lineRule="exact"/>
        <w:rPr>
          <w:rFonts w:ascii="Arial" w:cs="Arial" w:eastAsia="Arial" w:hAnsi="Arial"/>
          <w:sz w:val="19"/>
          <w:szCs w:val="19"/>
          <w:color w:val="auto"/>
        </w:rPr>
      </w:pPr>
    </w:p>
    <w:p>
      <w:pPr>
        <w:jc w:val="both"/>
        <w:ind w:left="1420" w:right="20" w:hanging="668"/>
        <w:spacing w:after="0" w:line="259" w:lineRule="auto"/>
        <w:tabs>
          <w:tab w:leader="none" w:pos="142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the articles of association of the Company that were adopted and effective from the date of the re-registration of the Company from a private limited company to a public limited company on 28 March 2025 (the "</w:t>
      </w:r>
      <w:r>
        <w:rPr>
          <w:rFonts w:ascii="Arial" w:cs="Arial" w:eastAsia="Arial" w:hAnsi="Arial"/>
          <w:sz w:val="19"/>
          <w:szCs w:val="19"/>
          <w:b w:val="1"/>
          <w:bCs w:val="1"/>
          <w:color w:val="auto"/>
        </w:rPr>
        <w:t>Articles</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left="1420" w:right="20" w:hanging="668"/>
        <w:spacing w:after="0" w:line="245" w:lineRule="auto"/>
        <w:tabs>
          <w:tab w:leader="none" w:pos="142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a copy of the minutes of the meeting of the board of directors of the Company ("</w:t>
      </w:r>
      <w:r>
        <w:rPr>
          <w:rFonts w:ascii="Arial" w:cs="Arial" w:eastAsia="Arial" w:hAnsi="Arial"/>
          <w:sz w:val="19"/>
          <w:szCs w:val="19"/>
          <w:b w:val="1"/>
          <w:bCs w:val="1"/>
          <w:color w:val="auto"/>
        </w:rPr>
        <w:t>Board</w:t>
      </w:r>
      <w:r>
        <w:rPr>
          <w:rFonts w:ascii="Arial" w:cs="Arial" w:eastAsia="Arial" w:hAnsi="Arial"/>
          <w:sz w:val="19"/>
          <w:szCs w:val="19"/>
          <w:color w:val="auto"/>
        </w:rPr>
        <w:t xml:space="preserve">") passed on 24 July 2025 approving the entering into, </w:t>
      </w:r>
      <w:r>
        <w:rPr>
          <w:rFonts w:ascii="Arial" w:cs="Arial" w:eastAsia="Arial" w:hAnsi="Arial"/>
          <w:sz w:val="19"/>
          <w:szCs w:val="19"/>
          <w:i w:val="1"/>
          <w:iCs w:val="1"/>
          <w:color w:val="auto"/>
        </w:rPr>
        <w:t>inter alia</w:t>
      </w:r>
      <w:r>
        <w:rPr>
          <w:rFonts w:ascii="Arial" w:cs="Arial" w:eastAsia="Arial" w:hAnsi="Arial"/>
          <w:sz w:val="19"/>
          <w:szCs w:val="19"/>
          <w:color w:val="auto"/>
        </w:rPr>
        <w:t>, of the Securities Purchase Agreements and the issue and allotment of the Relevant Shares in accordance with the terms of the Securities Purchase Agreements (the "</w:t>
      </w:r>
      <w:r>
        <w:rPr>
          <w:rFonts w:ascii="Arial" w:cs="Arial" w:eastAsia="Arial" w:hAnsi="Arial"/>
          <w:sz w:val="19"/>
          <w:szCs w:val="19"/>
          <w:b w:val="1"/>
          <w:bCs w:val="1"/>
          <w:color w:val="auto"/>
        </w:rPr>
        <w:t>Board Resolutions</w:t>
      </w:r>
      <w:r>
        <w:rPr>
          <w:rFonts w:ascii="Arial" w:cs="Arial" w:eastAsia="Arial" w:hAnsi="Arial"/>
          <w:sz w:val="19"/>
          <w:szCs w:val="19"/>
          <w:color w:val="auto"/>
        </w:rPr>
        <w:t>") and for the purpose of this opinion we assume that all the resolutions in the Board Resolutions have been duly and validly passed; and</w:t>
      </w:r>
    </w:p>
    <w:p>
      <w:pPr>
        <w:spacing w:after="0" w:line="180" w:lineRule="exact"/>
        <w:rPr>
          <w:rFonts w:ascii="Arial" w:cs="Arial" w:eastAsia="Arial" w:hAnsi="Arial"/>
          <w:sz w:val="19"/>
          <w:szCs w:val="19"/>
          <w:color w:val="auto"/>
        </w:rPr>
      </w:pPr>
    </w:p>
    <w:p>
      <w:pPr>
        <w:ind w:left="1420" w:right="220" w:hanging="668"/>
        <w:spacing w:after="0" w:line="246" w:lineRule="auto"/>
        <w:tabs>
          <w:tab w:leader="none" w:pos="142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a copy of the written resolutions of the Company dated 28 July 2024 approving, inter alia, the authorisation (the "</w:t>
      </w:r>
      <w:r>
        <w:rPr>
          <w:rFonts w:ascii="Arial" w:cs="Arial" w:eastAsia="Arial" w:hAnsi="Arial"/>
          <w:sz w:val="19"/>
          <w:szCs w:val="19"/>
          <w:b w:val="1"/>
          <w:bCs w:val="1"/>
          <w:color w:val="auto"/>
        </w:rPr>
        <w:t>Authorisation</w:t>
      </w:r>
      <w:r>
        <w:rPr>
          <w:rFonts w:ascii="Arial" w:cs="Arial" w:eastAsia="Arial" w:hAnsi="Arial"/>
          <w:sz w:val="19"/>
          <w:szCs w:val="19"/>
          <w:color w:val="auto"/>
        </w:rPr>
        <w:t>") for the directors of the Company to allot fully paid ordinary shares of £0.0001 each in the capital of the Company ("</w:t>
      </w:r>
      <w:r>
        <w:rPr>
          <w:rFonts w:ascii="Arial" w:cs="Arial" w:eastAsia="Arial" w:hAnsi="Arial"/>
          <w:sz w:val="19"/>
          <w:szCs w:val="19"/>
          <w:b w:val="1"/>
          <w:bCs w:val="1"/>
          <w:color w:val="auto"/>
        </w:rPr>
        <w:t>Ordinary Shares</w:t>
      </w:r>
      <w:r>
        <w:rPr>
          <w:rFonts w:ascii="Arial" w:cs="Arial" w:eastAsia="Arial" w:hAnsi="Arial"/>
          <w:sz w:val="19"/>
          <w:szCs w:val="19"/>
          <w:color w:val="auto"/>
        </w:rPr>
        <w:t>") (or to grant rights to subscribe for or to convert any security into Ordinary Shares), and the disapplication of pre-emptive rights for such allotment, in relation to additional shares having an aggregate nominal amount of up to £30,000 (the "</w:t>
      </w:r>
      <w:r>
        <w:rPr>
          <w:rFonts w:ascii="Arial" w:cs="Arial" w:eastAsia="Arial" w:hAnsi="Arial"/>
          <w:sz w:val="19"/>
          <w:szCs w:val="19"/>
          <w:b w:val="1"/>
          <w:bCs w:val="1"/>
          <w:color w:val="auto"/>
        </w:rPr>
        <w:t>Shareholder Resolutions</w:t>
      </w:r>
      <w:r>
        <w:rPr>
          <w:rFonts w:ascii="Arial" w:cs="Arial" w:eastAsia="Arial" w:hAnsi="Arial"/>
          <w:sz w:val="19"/>
          <w:szCs w:val="19"/>
          <w:color w:val="auto"/>
        </w:rPr>
        <w:t>"),</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Shareholder Resolutions, together with the Board Resolutions, being the "</w:t>
      </w:r>
      <w:r>
        <w:rPr>
          <w:rFonts w:ascii="Arial" w:cs="Arial" w:eastAsia="Arial" w:hAnsi="Arial"/>
          <w:sz w:val="19"/>
          <w:szCs w:val="19"/>
          <w:b w:val="1"/>
          <w:bCs w:val="1"/>
          <w:color w:val="auto"/>
        </w:rPr>
        <w:t>Corporate Approvals</w:t>
      </w:r>
      <w:r>
        <w:rPr>
          <w:rFonts w:ascii="Arial" w:cs="Arial" w:eastAsia="Arial" w:hAnsi="Arial"/>
          <w:sz w:val="19"/>
          <w:szCs w:val="19"/>
          <w:color w:val="auto"/>
        </w:rPr>
        <w:t>").</w:t>
      </w:r>
    </w:p>
    <w:p>
      <w:pPr>
        <w:spacing w:after="0" w:line="349"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2.5</w:t>
      </w:r>
      <w:r>
        <w:rPr>
          <w:sz w:val="20"/>
          <w:szCs w:val="20"/>
          <w:color w:val="auto"/>
        </w:rPr>
        <w:tab/>
      </w:r>
      <w:r>
        <w:rPr>
          <w:rFonts w:ascii="Arial" w:cs="Arial" w:eastAsia="Arial" w:hAnsi="Arial"/>
          <w:sz w:val="18"/>
          <w:szCs w:val="18"/>
          <w:color w:val="auto"/>
        </w:rPr>
        <w:t>We have also made:</w:t>
      </w:r>
    </w:p>
    <w:p>
      <w:pPr>
        <w:spacing w:after="0" w:line="214" w:lineRule="exact"/>
        <w:rPr>
          <w:sz w:val="20"/>
          <w:szCs w:val="20"/>
          <w:color w:val="auto"/>
        </w:rPr>
      </w:pPr>
    </w:p>
    <w:p>
      <w:pPr>
        <w:ind w:left="1440" w:hanging="688"/>
        <w:spacing w:after="0" w:line="270" w:lineRule="auto"/>
        <w:tabs>
          <w:tab w:leader="none" w:pos="144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an online search of the information available on file at Companies House in respect of the Company conducted on 24 July 2025 at 10:03 a.m. (London time); and</w:t>
      </w:r>
    </w:p>
    <w:p>
      <w:pPr>
        <w:spacing w:after="0" w:line="156" w:lineRule="exact"/>
        <w:rPr>
          <w:rFonts w:ascii="Arial" w:cs="Arial" w:eastAsia="Arial" w:hAnsi="Arial"/>
          <w:sz w:val="19"/>
          <w:szCs w:val="19"/>
          <w:color w:val="auto"/>
        </w:rPr>
      </w:pPr>
    </w:p>
    <w:p>
      <w:pPr>
        <w:jc w:val="both"/>
        <w:ind w:left="1420" w:hanging="668"/>
        <w:spacing w:after="0" w:line="254" w:lineRule="auto"/>
        <w:tabs>
          <w:tab w:leader="none" w:pos="142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a telephone enquiry of the Central Registry of Winding Up and Administration Petitions on 24 July 2025 at 10:05 a.m. (London time) which revealed that as at that date no petition has been lodged for the winding-up of the Company.</w:t>
      </w:r>
    </w:p>
    <w:p>
      <w:pPr>
        <w:spacing w:after="0" w:line="170" w:lineRule="exact"/>
        <w:rPr>
          <w:sz w:val="20"/>
          <w:szCs w:val="20"/>
          <w:color w:val="auto"/>
        </w:rPr>
      </w:pPr>
    </w:p>
    <w:p>
      <w:pPr>
        <w:jc w:val="both"/>
        <w:ind w:left="760" w:right="20"/>
        <w:spacing w:after="0" w:line="254" w:lineRule="auto"/>
        <w:rPr>
          <w:sz w:val="20"/>
          <w:szCs w:val="20"/>
          <w:color w:val="auto"/>
        </w:rPr>
      </w:pPr>
      <w:r>
        <w:rPr>
          <w:rFonts w:ascii="Arial" w:cs="Arial" w:eastAsia="Arial" w:hAnsi="Arial"/>
          <w:sz w:val="19"/>
          <w:szCs w:val="19"/>
          <w:color w:val="auto"/>
        </w:rPr>
        <w:t>We assume that the information obtained in that search and enquiry was accurate, did not fail to disclose any relevant matter and that a further search or enquiry would not reveal any change or new matter which would affect this opinion.</w:t>
      </w:r>
    </w:p>
    <w:p>
      <w:pPr>
        <w:spacing w:after="0" w:line="170"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2.6</w:t>
      </w:r>
      <w:r>
        <w:rPr>
          <w:sz w:val="20"/>
          <w:szCs w:val="20"/>
          <w:color w:val="auto"/>
        </w:rPr>
        <w:tab/>
      </w:r>
      <w:r>
        <w:rPr>
          <w:rFonts w:ascii="Arial" w:cs="Arial" w:eastAsia="Arial" w:hAnsi="Arial"/>
          <w:sz w:val="18"/>
          <w:szCs w:val="18"/>
          <w:color w:val="auto"/>
        </w:rPr>
        <w:t>In relation to insolvency proceedings, the search and enquiry referred to in paragraph</w:t>
      </w:r>
    </w:p>
    <w:p>
      <w:pPr>
        <w:spacing w:after="0" w:line="16" w:lineRule="exact"/>
        <w:rPr>
          <w:sz w:val="20"/>
          <w:szCs w:val="20"/>
          <w:color w:val="auto"/>
        </w:rPr>
      </w:pPr>
    </w:p>
    <w:p>
      <w:pPr>
        <w:jc w:val="both"/>
        <w:ind w:left="760" w:right="20"/>
        <w:spacing w:after="0"/>
        <w:rPr>
          <w:sz w:val="20"/>
          <w:szCs w:val="20"/>
          <w:color w:val="auto"/>
        </w:rPr>
      </w:pPr>
      <w:r>
        <w:rPr>
          <w:rFonts w:ascii="Arial" w:cs="Arial" w:eastAsia="Arial" w:hAnsi="Arial"/>
          <w:sz w:val="19"/>
          <w:szCs w:val="19"/>
          <w:color w:val="auto"/>
        </w:rPr>
        <w:t>2.5 relate only to insolvency proceedings begun in England and are not conclusively capable of disclosing whether an interim or final administration order or winding up order has been made or resolution passed for the winding up of a company, whether a moratorium is in force for the company or whether a receiver, administrative receiver, administrator or liquidator has been appointed (or petition made for the winding up) of a company.</w:t>
      </w:r>
    </w:p>
    <w:p>
      <w:pPr>
        <w:spacing w:after="0" w:line="186" w:lineRule="exact"/>
        <w:rPr>
          <w:sz w:val="20"/>
          <w:szCs w:val="20"/>
          <w:color w:val="auto"/>
        </w:rPr>
      </w:pPr>
    </w:p>
    <w:p>
      <w:pPr>
        <w:jc w:val="both"/>
        <w:ind w:left="680" w:hanging="681"/>
        <w:spacing w:after="0" w:line="243" w:lineRule="auto"/>
        <w:tabs>
          <w:tab w:leader="none" w:pos="660" w:val="left"/>
        </w:tabs>
        <w:rPr>
          <w:sz w:val="20"/>
          <w:szCs w:val="20"/>
          <w:color w:val="auto"/>
        </w:rPr>
      </w:pPr>
      <w:r>
        <w:rPr>
          <w:rFonts w:ascii="Arial" w:cs="Arial" w:eastAsia="Arial" w:hAnsi="Arial"/>
          <w:sz w:val="19"/>
          <w:szCs w:val="19"/>
          <w:color w:val="auto"/>
        </w:rPr>
        <w:t>2.7</w:t>
      </w:r>
      <w:r>
        <w:rPr>
          <w:sz w:val="20"/>
          <w:szCs w:val="20"/>
          <w:color w:val="auto"/>
        </w:rPr>
        <w:tab/>
      </w:r>
      <w:r>
        <w:rPr>
          <w:rFonts w:ascii="Arial" w:cs="Arial" w:eastAsia="Arial" w:hAnsi="Arial"/>
          <w:sz w:val="19"/>
          <w:szCs w:val="19"/>
          <w:color w:val="auto"/>
        </w:rPr>
        <w:t>In particular, notice of these matters may not yet have been filed with the Registrar of Companies (or if filed, may not yet be publicly available) and notice of a petition for winding up is not required to be filed with the Registrar. In addition, details of a petition for winding up may not be entered on the Central Registry of Winding Up and Administration Petitions immediately (or in the case of a petition presented to a County Court, may not have been notified for entry on the Central Registry at all) and any response to an enquiry would only relate to the last six months before the enquiry.</w:t>
      </w:r>
    </w:p>
    <w:p>
      <w:pPr>
        <w:spacing w:after="0" w:line="200" w:lineRule="exact"/>
        <w:rPr>
          <w:sz w:val="20"/>
          <w:szCs w:val="20"/>
          <w:color w:val="auto"/>
        </w:rPr>
      </w:pPr>
    </w:p>
    <w:p>
      <w:pPr>
        <w:spacing w:after="0" w:line="201" w:lineRule="exact"/>
        <w:rPr>
          <w:sz w:val="20"/>
          <w:szCs w:val="20"/>
          <w:color w:val="auto"/>
        </w:rPr>
      </w:pPr>
    </w:p>
    <w:p>
      <w:pPr>
        <w:ind w:left="760" w:hanging="757"/>
        <w:spacing w:after="0"/>
        <w:tabs>
          <w:tab w:leader="none" w:pos="760" w:val="left"/>
        </w:tabs>
        <w:numPr>
          <w:ilvl w:val="0"/>
          <w:numId w:val="141"/>
        </w:numPr>
        <w:rPr>
          <w:rFonts w:ascii="Arial" w:cs="Arial" w:eastAsia="Arial" w:hAnsi="Arial"/>
          <w:sz w:val="19"/>
          <w:szCs w:val="19"/>
          <w:b w:val="1"/>
          <w:bCs w:val="1"/>
          <w:color w:val="auto"/>
        </w:rPr>
      </w:pPr>
      <w:r>
        <w:rPr>
          <w:rFonts w:ascii="Arial" w:cs="Arial" w:eastAsia="Arial" w:hAnsi="Arial"/>
          <w:sz w:val="19"/>
          <w:szCs w:val="19"/>
          <w:b w:val="1"/>
          <w:bCs w:val="1"/>
          <w:color w:val="auto"/>
        </w:rPr>
        <w:t>Basis of opinion, assumptions and qualifications</w:t>
      </w:r>
    </w:p>
    <w:p>
      <w:pPr>
        <w:spacing w:after="0" w:line="52"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8"/>
          <w:szCs w:val="18"/>
          <w:color w:val="auto"/>
        </w:rPr>
        <w:t>The opinion set out in paragraph 4 relates solely to English law at the date of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611505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460" w:top="1355" w:right="131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color w:val="auto"/>
        </w:rPr>
        <w:t>as it appears from published legislation and fully reported cases before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619125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19"/>
          </w:cols>
          <w:pgMar w:left="1140" w:top="1355" w:right="1440" w:bottom="1440" w:gutter="0" w:footer="0" w:header="0"/>
        </w:sectPr>
      </w:pPr>
    </w:p>
    <w:bookmarkStart w:id="186" w:name="page187"/>
    <w:bookmarkEnd w:id="186"/>
    <w:p>
      <w:pPr>
        <w:spacing w:after="0" w:line="64" w:lineRule="exact"/>
        <w:rPr>
          <w:sz w:val="20"/>
          <w:szCs w:val="20"/>
          <w:color w:val="auto"/>
        </w:rPr>
      </w:pPr>
    </w:p>
    <w:p>
      <w:pPr>
        <w:jc w:val="both"/>
        <w:ind w:left="680" w:right="20" w:hanging="680"/>
        <w:spacing w:after="0" w:line="270" w:lineRule="auto"/>
        <w:tabs>
          <w:tab w:leader="none" w:pos="66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9"/>
          <w:szCs w:val="19"/>
          <w:color w:val="auto"/>
        </w:rPr>
        <w:t>We have not investigated the laws of any country other than England and we assume that no foreign law affects any of the opinions stated in this letter.</w:t>
      </w:r>
    </w:p>
    <w:p>
      <w:pPr>
        <w:spacing w:after="0" w:line="156"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8"/>
          <w:szCs w:val="18"/>
          <w:color w:val="auto"/>
        </w:rPr>
        <w:t>This letter does not relate to English conflict of laws rules.</w:t>
      </w:r>
    </w:p>
    <w:p>
      <w:pPr>
        <w:spacing w:after="0" w:line="214" w:lineRule="exact"/>
        <w:rPr>
          <w:sz w:val="20"/>
          <w:szCs w:val="20"/>
          <w:color w:val="auto"/>
        </w:rPr>
      </w:pPr>
    </w:p>
    <w:p>
      <w:pPr>
        <w:jc w:val="both"/>
        <w:ind w:left="680" w:right="40" w:hanging="680"/>
        <w:spacing w:after="0" w:line="270" w:lineRule="auto"/>
        <w:tabs>
          <w:tab w:leader="none" w:pos="660" w:val="left"/>
        </w:tabs>
        <w:rPr>
          <w:sz w:val="20"/>
          <w:szCs w:val="20"/>
          <w:color w:val="auto"/>
        </w:rPr>
      </w:pPr>
      <w:r>
        <w:rPr>
          <w:rFonts w:ascii="Arial" w:cs="Arial" w:eastAsia="Arial" w:hAnsi="Arial"/>
          <w:sz w:val="19"/>
          <w:szCs w:val="19"/>
          <w:color w:val="auto"/>
        </w:rPr>
        <w:t>3.4</w:t>
      </w:r>
      <w:r>
        <w:rPr>
          <w:sz w:val="20"/>
          <w:szCs w:val="20"/>
          <w:color w:val="auto"/>
        </w:rPr>
        <w:tab/>
      </w:r>
      <w:r>
        <w:rPr>
          <w:rFonts w:ascii="Arial" w:cs="Arial" w:eastAsia="Arial" w:hAnsi="Arial"/>
          <w:sz w:val="19"/>
          <w:szCs w:val="19"/>
          <w:color w:val="auto"/>
        </w:rPr>
        <w:t>We do not undertake or accept any obligation to update this letter and/or the opinions given in it to reflect subsequent changes in English law or factual matters.</w:t>
      </w:r>
    </w:p>
    <w:p>
      <w:pPr>
        <w:spacing w:after="0" w:line="156" w:lineRule="exact"/>
        <w:rPr>
          <w:sz w:val="20"/>
          <w:szCs w:val="20"/>
          <w:color w:val="auto"/>
        </w:rPr>
      </w:pPr>
    </w:p>
    <w:p>
      <w:pPr>
        <w:jc w:val="both"/>
        <w:ind w:left="680" w:right="40" w:hanging="680"/>
        <w:spacing w:after="0" w:line="270" w:lineRule="auto"/>
        <w:tabs>
          <w:tab w:leader="none" w:pos="660" w:val="left"/>
        </w:tabs>
        <w:rPr>
          <w:sz w:val="20"/>
          <w:szCs w:val="20"/>
          <w:color w:val="auto"/>
        </w:rPr>
      </w:pPr>
      <w:r>
        <w:rPr>
          <w:rFonts w:ascii="Arial" w:cs="Arial" w:eastAsia="Arial" w:hAnsi="Arial"/>
          <w:sz w:val="19"/>
          <w:szCs w:val="19"/>
          <w:color w:val="auto"/>
        </w:rPr>
        <w:t>3.5</w:t>
      </w:r>
      <w:r>
        <w:rPr>
          <w:sz w:val="20"/>
          <w:szCs w:val="20"/>
          <w:color w:val="auto"/>
        </w:rPr>
        <w:tab/>
      </w:r>
      <w:r>
        <w:rPr>
          <w:rFonts w:ascii="Arial" w:cs="Arial" w:eastAsia="Arial" w:hAnsi="Arial"/>
          <w:sz w:val="19"/>
          <w:szCs w:val="19"/>
          <w:color w:val="auto"/>
        </w:rPr>
        <w:t>We express no opinion on the impact of any rules, regulations or requirements of the NASDAQ Stock Market LLC or the rules and regulations adopted by the SEC.</w:t>
      </w:r>
    </w:p>
    <w:p>
      <w:pPr>
        <w:spacing w:after="0" w:line="156" w:lineRule="exact"/>
        <w:rPr>
          <w:sz w:val="20"/>
          <w:szCs w:val="20"/>
          <w:color w:val="auto"/>
        </w:rPr>
      </w:pPr>
    </w:p>
    <w:p>
      <w:pPr>
        <w:jc w:val="both"/>
        <w:ind w:left="680" w:right="20" w:hanging="680"/>
        <w:spacing w:after="0" w:line="248" w:lineRule="auto"/>
        <w:tabs>
          <w:tab w:leader="none" w:pos="660" w:val="left"/>
        </w:tabs>
        <w:rPr>
          <w:sz w:val="20"/>
          <w:szCs w:val="20"/>
          <w:color w:val="auto"/>
        </w:rPr>
      </w:pPr>
      <w:r>
        <w:rPr>
          <w:rFonts w:ascii="Arial" w:cs="Arial" w:eastAsia="Arial" w:hAnsi="Arial"/>
          <w:sz w:val="19"/>
          <w:szCs w:val="19"/>
          <w:color w:val="auto"/>
        </w:rPr>
        <w:t>3.6</w:t>
      </w:r>
      <w:r>
        <w:rPr>
          <w:sz w:val="20"/>
          <w:szCs w:val="20"/>
          <w:color w:val="auto"/>
        </w:rPr>
        <w:tab/>
      </w:r>
      <w:r>
        <w:rPr>
          <w:rFonts w:ascii="Arial" w:cs="Arial" w:eastAsia="Arial" w:hAnsi="Arial"/>
          <w:sz w:val="19"/>
          <w:szCs w:val="19"/>
          <w:color w:val="auto"/>
        </w:rPr>
        <w:t>We express no opinion in this letter on the laws of any jurisdiction other than England. It is assumed that no foreign law which may apply to the matters contemplated by the Registration Statement, the Company, any document or any other matter contemplated by any document would or might affect this letter and/or the opinions given in it.</w:t>
      </w:r>
    </w:p>
    <w:p>
      <w:pPr>
        <w:spacing w:after="0" w:line="177"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3.7</w:t>
      </w:r>
      <w:r>
        <w:rPr>
          <w:sz w:val="20"/>
          <w:szCs w:val="20"/>
          <w:color w:val="auto"/>
        </w:rPr>
        <w:tab/>
      </w:r>
      <w:r>
        <w:rPr>
          <w:rFonts w:ascii="Arial" w:cs="Arial" w:eastAsia="Arial" w:hAnsi="Arial"/>
          <w:sz w:val="18"/>
          <w:szCs w:val="18"/>
          <w:color w:val="auto"/>
        </w:rPr>
        <w:t>For the purposes of this opinion, we have not examined:</w:t>
      </w:r>
    </w:p>
    <w:p>
      <w:pPr>
        <w:spacing w:after="0" w:line="214" w:lineRule="exact"/>
        <w:rPr>
          <w:sz w:val="20"/>
          <w:szCs w:val="20"/>
          <w:color w:val="auto"/>
        </w:rPr>
      </w:pPr>
    </w:p>
    <w:p>
      <w:pPr>
        <w:ind w:left="1420" w:right="20" w:hanging="668"/>
        <w:spacing w:after="0" w:line="270" w:lineRule="auto"/>
        <w:tabs>
          <w:tab w:leader="none" w:pos="142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any contract, other than those set out in paragraph 2.4 which may affect the validity or enforceability of the contracts set out in paragraph 2.4; or</w:t>
      </w:r>
    </w:p>
    <w:p>
      <w:pPr>
        <w:spacing w:after="0" w:line="7" w:lineRule="exact"/>
        <w:rPr>
          <w:rFonts w:ascii="Arial" w:cs="Arial" w:eastAsia="Arial" w:hAnsi="Arial"/>
          <w:sz w:val="19"/>
          <w:szCs w:val="19"/>
          <w:color w:val="auto"/>
        </w:rPr>
      </w:pPr>
    </w:p>
    <w:p>
      <w:pPr>
        <w:ind w:left="1440" w:hanging="688"/>
        <w:spacing w:after="0" w:line="270" w:lineRule="auto"/>
        <w:tabs>
          <w:tab w:leader="none" w:pos="144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any of the corporate or other records of the Company (apart from those set out in paragraph 2.4 or revealed by the searches mentioned in paragraph 2.5),</w:t>
      </w:r>
    </w:p>
    <w:p>
      <w:pPr>
        <w:spacing w:after="0" w:line="156" w:lineRule="exact"/>
        <w:rPr>
          <w:sz w:val="20"/>
          <w:szCs w:val="20"/>
          <w:color w:val="auto"/>
        </w:rPr>
      </w:pPr>
    </w:p>
    <w:p>
      <w:pPr>
        <w:ind w:left="760" w:right="240"/>
        <w:spacing w:after="0" w:line="270" w:lineRule="auto"/>
        <w:rPr>
          <w:sz w:val="20"/>
          <w:szCs w:val="20"/>
          <w:color w:val="auto"/>
        </w:rPr>
      </w:pPr>
      <w:r>
        <w:rPr>
          <w:rFonts w:ascii="Arial" w:cs="Arial" w:eastAsia="Arial" w:hAnsi="Arial"/>
          <w:sz w:val="19"/>
          <w:szCs w:val="19"/>
          <w:color w:val="auto"/>
        </w:rPr>
        <w:t>nor (apart from those mentioned in paragraph 2.5) have we made any other search or enquiry concerning the Company.</w:t>
      </w:r>
    </w:p>
    <w:p>
      <w:pPr>
        <w:spacing w:after="0" w:line="156"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3.8</w:t>
      </w:r>
      <w:r>
        <w:rPr>
          <w:sz w:val="20"/>
          <w:szCs w:val="20"/>
          <w:color w:val="auto"/>
        </w:rPr>
        <w:tab/>
      </w:r>
      <w:r>
        <w:rPr>
          <w:rFonts w:ascii="Arial" w:cs="Arial" w:eastAsia="Arial" w:hAnsi="Arial"/>
          <w:sz w:val="18"/>
          <w:szCs w:val="18"/>
          <w:color w:val="auto"/>
        </w:rPr>
        <w:t>For the purposes of our opinion we have also assumed:</w:t>
      </w:r>
    </w:p>
    <w:p>
      <w:pPr>
        <w:spacing w:after="0" w:line="214" w:lineRule="exact"/>
        <w:rPr>
          <w:sz w:val="20"/>
          <w:szCs w:val="20"/>
          <w:color w:val="auto"/>
        </w:rPr>
      </w:pPr>
    </w:p>
    <w:p>
      <w:pPr>
        <w:ind w:left="1420" w:right="40" w:hanging="668"/>
        <w:spacing w:after="0" w:line="270" w:lineRule="auto"/>
        <w:tabs>
          <w:tab w:leader="none" w:pos="142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Registration Statement, as amended and supplemented, becoming effective under the Securities Act and continuing to be effective;</w:t>
      </w:r>
    </w:p>
    <w:p>
      <w:pPr>
        <w:spacing w:after="0" w:line="156" w:lineRule="exact"/>
        <w:rPr>
          <w:rFonts w:ascii="Arial" w:cs="Arial" w:eastAsia="Arial" w:hAnsi="Arial"/>
          <w:sz w:val="19"/>
          <w:szCs w:val="19"/>
          <w:color w:val="auto"/>
        </w:rPr>
      </w:pPr>
    </w:p>
    <w:p>
      <w:pPr>
        <w:jc w:val="both"/>
        <w:ind w:left="1420" w:hanging="668"/>
        <w:spacing w:after="0" w:line="243" w:lineRule="auto"/>
        <w:tabs>
          <w:tab w:leader="none" w:pos="142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number of Ordinary Shares allotted and issued or agreed to be allotted and issued under the Authorisation granted pursuant to the Shareholder Resolutions together with those to be allotted and issued as contemplated by the Securities Purchase Agreement and as referred to in the Registration Statement and those shares already allotted or agreed to be allotted pursuant to the Corporate Approvals not being greater than the aggregate nominal value of £30,000 specified in the Authorisation in the Shareholder Resolutions;</w:t>
      </w:r>
    </w:p>
    <w:p>
      <w:pPr>
        <w:spacing w:after="0" w:line="184" w:lineRule="exact"/>
        <w:rPr>
          <w:rFonts w:ascii="Arial" w:cs="Arial" w:eastAsia="Arial" w:hAnsi="Arial"/>
          <w:sz w:val="19"/>
          <w:szCs w:val="19"/>
          <w:color w:val="auto"/>
        </w:rPr>
      </w:pPr>
    </w:p>
    <w:p>
      <w:pPr>
        <w:jc w:val="both"/>
        <w:ind w:left="1420" w:right="20" w:hanging="668"/>
        <w:spacing w:after="0" w:line="245" w:lineRule="auto"/>
        <w:tabs>
          <w:tab w:leader="none" w:pos="142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allotment and issue of Relevant Shares to either GTU Ops Inc (or another depositary nominee of Computershare Trust Company. N.A.) or Cede &amp; Co. (or another nominee of The Depositary Trust Company) for the ultimate benefit of a party shall constitute due satisfaction of the Company's obligations to issue and allot Ordinary Shares to such party under the applicable documents set out in paragraph 2.4;</w:t>
      </w:r>
    </w:p>
    <w:p>
      <w:pPr>
        <w:spacing w:after="0" w:line="180" w:lineRule="exact"/>
        <w:rPr>
          <w:rFonts w:ascii="Arial" w:cs="Arial" w:eastAsia="Arial" w:hAnsi="Arial"/>
          <w:sz w:val="19"/>
          <w:szCs w:val="19"/>
          <w:color w:val="auto"/>
        </w:rPr>
      </w:pPr>
    </w:p>
    <w:p>
      <w:pPr>
        <w:jc w:val="both"/>
        <w:ind w:left="1440" w:hanging="688"/>
        <w:spacing w:after="0" w:line="254" w:lineRule="auto"/>
        <w:tabs>
          <w:tab w:leader="none" w:pos="144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receipt in full of payment for the Relevant Shares of not less than the aggregate nominal value plus the applicable premium for such Relevant Shares and the agreement by the allottees to become members of the Company;</w:t>
      </w:r>
    </w:p>
    <w:p>
      <w:pPr>
        <w:spacing w:after="0" w:line="170" w:lineRule="exact"/>
        <w:rPr>
          <w:rFonts w:ascii="Arial" w:cs="Arial" w:eastAsia="Arial" w:hAnsi="Arial"/>
          <w:sz w:val="19"/>
          <w:szCs w:val="19"/>
          <w:color w:val="auto"/>
        </w:rPr>
      </w:pPr>
    </w:p>
    <w:p>
      <w:pPr>
        <w:jc w:val="both"/>
        <w:ind w:left="1440" w:hanging="688"/>
        <w:spacing w:after="0" w:line="245" w:lineRule="auto"/>
        <w:tabs>
          <w:tab w:leader="none" w:pos="144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that the Corporate Approvals and any additional board and shareholder resolutions required pursuant to the terms of the Companies Act 2006 (the “</w:t>
      </w:r>
      <w:r>
        <w:rPr>
          <w:rFonts w:ascii="Arial" w:cs="Arial" w:eastAsia="Arial" w:hAnsi="Arial"/>
          <w:sz w:val="19"/>
          <w:szCs w:val="19"/>
          <w:b w:val="1"/>
          <w:bCs w:val="1"/>
          <w:color w:val="auto"/>
        </w:rPr>
        <w:t>Companies Act</w:t>
      </w:r>
      <w:r>
        <w:rPr>
          <w:rFonts w:ascii="Arial" w:cs="Arial" w:eastAsia="Arial" w:hAnsi="Arial"/>
          <w:sz w:val="19"/>
          <w:szCs w:val="19"/>
          <w:color w:val="auto"/>
        </w:rPr>
        <w:t>”) or any other applicable law and/or the articles of the Company (as in force from time to time) were or will be (as appropriate) each duly passed by written resolution or at a meeting which was or will be duly convened and held in accordance with all applicable laws and regulations; that in particular, 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590550</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460" w:top="1440" w:right="1319" w:bottom="1440" w:gutter="0" w:footer="0" w:header="0"/>
        </w:sectPr>
      </w:pPr>
    </w:p>
    <w:bookmarkStart w:id="187" w:name="page188"/>
    <w:bookmarkEnd w:id="187"/>
    <w:p>
      <w:pPr>
        <w:jc w:val="both"/>
        <w:ind w:left="748"/>
        <w:spacing w:after="0" w:line="243" w:lineRule="auto"/>
        <w:rPr>
          <w:sz w:val="20"/>
          <w:szCs w:val="20"/>
          <w:color w:val="auto"/>
        </w:rPr>
      </w:pPr>
      <w:r>
        <w:rPr>
          <w:rFonts w:ascii="Arial" w:cs="Arial" w:eastAsia="Arial" w:hAnsi="Arial"/>
          <w:sz w:val="19"/>
          <w:szCs w:val="19"/>
          <w:color w:val="auto"/>
        </w:rPr>
        <w:t>without limitation, a duly qualified quorum of directors or, as the case may be, shareholders was or will be present in each case throughout any such meeting and voted or vote in favour of the resolutions; and that in relation to each meeting of the Board, each provision contained in the Companies Act or the articles of the Company (as in force from time to time) relating to the declaration of the directors’ interests or the power of the interested directors to vote and to count in the quorum was or will be duly observed;</w:t>
      </w:r>
    </w:p>
    <w:p>
      <w:pPr>
        <w:spacing w:after="0" w:line="185" w:lineRule="exact"/>
        <w:rPr>
          <w:sz w:val="20"/>
          <w:szCs w:val="20"/>
          <w:color w:val="auto"/>
        </w:rPr>
      </w:pPr>
    </w:p>
    <w:p>
      <w:pPr>
        <w:ind w:left="668" w:right="40" w:hanging="668"/>
        <w:spacing w:after="0" w:line="270" w:lineRule="auto"/>
        <w:tabs>
          <w:tab w:leader="none" w:pos="668" w:val="left"/>
        </w:tabs>
        <w:numPr>
          <w:ilvl w:val="0"/>
          <w:numId w:val="144"/>
        </w:numPr>
        <w:rPr>
          <w:rFonts w:ascii="Arial" w:cs="Arial" w:eastAsia="Arial" w:hAnsi="Arial"/>
          <w:sz w:val="19"/>
          <w:szCs w:val="19"/>
          <w:color w:val="auto"/>
        </w:rPr>
      </w:pPr>
      <w:r>
        <w:rPr>
          <w:rFonts w:ascii="Arial" w:cs="Arial" w:eastAsia="Arial" w:hAnsi="Arial"/>
          <w:sz w:val="19"/>
          <w:szCs w:val="19"/>
          <w:color w:val="auto"/>
        </w:rPr>
        <w:t>valid entries having been made in relation to the allotment and issue of the Relevant Shares in the books and registers of the Company;</w:t>
      </w:r>
    </w:p>
    <w:p>
      <w:pPr>
        <w:spacing w:after="0" w:line="156" w:lineRule="exact"/>
        <w:rPr>
          <w:rFonts w:ascii="Arial" w:cs="Arial" w:eastAsia="Arial" w:hAnsi="Arial"/>
          <w:sz w:val="19"/>
          <w:szCs w:val="19"/>
          <w:color w:val="auto"/>
        </w:rPr>
      </w:pPr>
    </w:p>
    <w:p>
      <w:pPr>
        <w:jc w:val="both"/>
        <w:ind w:left="688" w:hanging="688"/>
        <w:spacing w:after="0" w:line="254" w:lineRule="auto"/>
        <w:tabs>
          <w:tab w:leader="none" w:pos="688" w:val="left"/>
        </w:tabs>
        <w:numPr>
          <w:ilvl w:val="0"/>
          <w:numId w:val="144"/>
        </w:numPr>
        <w:rPr>
          <w:rFonts w:ascii="Arial" w:cs="Arial" w:eastAsia="Arial" w:hAnsi="Arial"/>
          <w:sz w:val="19"/>
          <w:szCs w:val="19"/>
          <w:color w:val="auto"/>
        </w:rPr>
      </w:pPr>
      <w:r>
        <w:rPr>
          <w:rFonts w:ascii="Arial" w:cs="Arial" w:eastAsia="Arial" w:hAnsi="Arial"/>
          <w:sz w:val="19"/>
          <w:szCs w:val="19"/>
          <w:color w:val="auto"/>
        </w:rPr>
        <w:t>where a document submitted to us is not fully executed or dated, we have assumed that the Company holds a fully executed and dated version of the document (or alternatively the Company holds all counterpart execution versions of the document);</w:t>
      </w:r>
    </w:p>
    <w:p>
      <w:pPr>
        <w:spacing w:after="0" w:line="21" w:lineRule="exact"/>
        <w:rPr>
          <w:rFonts w:ascii="Arial" w:cs="Arial" w:eastAsia="Arial" w:hAnsi="Arial"/>
          <w:sz w:val="19"/>
          <w:szCs w:val="19"/>
          <w:color w:val="auto"/>
        </w:rPr>
      </w:pPr>
    </w:p>
    <w:p>
      <w:pPr>
        <w:ind w:left="668" w:right="20" w:hanging="668"/>
        <w:spacing w:after="0" w:line="270" w:lineRule="auto"/>
        <w:tabs>
          <w:tab w:leader="none" w:pos="668"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the genuineness of all signatures on, and the authenticity and completeness of, all documents submitted to us;</w:t>
      </w:r>
    </w:p>
    <w:p>
      <w:pPr>
        <w:spacing w:after="0" w:line="156" w:lineRule="exact"/>
        <w:rPr>
          <w:rFonts w:ascii="Arial" w:cs="Arial" w:eastAsia="Arial" w:hAnsi="Arial"/>
          <w:sz w:val="19"/>
          <w:szCs w:val="19"/>
          <w:color w:val="auto"/>
        </w:rPr>
      </w:pPr>
    </w:p>
    <w:p>
      <w:pPr>
        <w:jc w:val="both"/>
        <w:ind w:left="668" w:right="20" w:hanging="668"/>
        <w:spacing w:after="0" w:line="248" w:lineRule="auto"/>
        <w:tabs>
          <w:tab w:leader="none" w:pos="668"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that for all documents submitted to us, to the extent only Rezolve Limited is a party (and not also the Company), that the obligations of the Company under such document have been validly novated from Rezolve Limited to the Company at time of the Demerger or otherwise prior to the issue and allotment of any Ordinary Shares pursuant to such document;</w:t>
      </w:r>
    </w:p>
    <w:p>
      <w:pPr>
        <w:spacing w:after="0" w:line="176" w:lineRule="exact"/>
        <w:rPr>
          <w:rFonts w:ascii="Arial" w:cs="Arial" w:eastAsia="Arial" w:hAnsi="Arial"/>
          <w:sz w:val="19"/>
          <w:szCs w:val="19"/>
          <w:color w:val="auto"/>
        </w:rPr>
      </w:pPr>
    </w:p>
    <w:p>
      <w:pPr>
        <w:jc w:val="both"/>
        <w:ind w:left="668" w:right="20" w:hanging="668"/>
        <w:spacing w:after="0" w:line="259" w:lineRule="auto"/>
        <w:tabs>
          <w:tab w:leader="none" w:pos="668"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the Articles remain in full force and effect, and no alteration has been made or will be made to such articles of association prior to the date of allotment and issue of the Relevant Shares (the “</w:t>
      </w:r>
      <w:r>
        <w:rPr>
          <w:rFonts w:ascii="Arial" w:cs="Arial" w:eastAsia="Arial" w:hAnsi="Arial"/>
          <w:sz w:val="19"/>
          <w:szCs w:val="19"/>
          <w:b w:val="1"/>
          <w:bCs w:val="1"/>
          <w:color w:val="auto"/>
        </w:rPr>
        <w:t>Allotment</w:t>
      </w:r>
      <w:r>
        <w:rPr>
          <w:rFonts w:ascii="Arial" w:cs="Arial" w:eastAsia="Arial" w:hAnsi="Arial"/>
          <w:sz w:val="19"/>
          <w:szCs w:val="19"/>
          <w:color w:val="auto"/>
        </w:rPr>
        <w:t xml:space="preserve"> </w:t>
      </w:r>
      <w:r>
        <w:rPr>
          <w:rFonts w:ascii="Arial" w:cs="Arial" w:eastAsia="Arial" w:hAnsi="Arial"/>
          <w:sz w:val="19"/>
          <w:szCs w:val="19"/>
          <w:b w:val="1"/>
          <w:bCs w:val="1"/>
          <w:color w:val="auto"/>
        </w:rPr>
        <w:t>Date</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left="668" w:hanging="668"/>
        <w:spacing w:after="0" w:line="248" w:lineRule="auto"/>
        <w:tabs>
          <w:tab w:leader="none" w:pos="668" w:val="left"/>
        </w:tabs>
        <w:numPr>
          <w:ilvl w:val="0"/>
          <w:numId w:val="144"/>
        </w:numPr>
        <w:rPr>
          <w:rFonts w:ascii="Arial" w:cs="Arial" w:eastAsia="Arial" w:hAnsi="Arial"/>
          <w:sz w:val="19"/>
          <w:szCs w:val="19"/>
          <w:color w:val="auto"/>
        </w:rPr>
      </w:pPr>
      <w:r>
        <w:rPr>
          <w:rFonts w:ascii="Arial" w:cs="Arial" w:eastAsia="Arial" w:hAnsi="Arial"/>
          <w:sz w:val="19"/>
          <w:szCs w:val="19"/>
          <w:color w:val="auto"/>
        </w:rPr>
        <w:t>on the Allotment Date, the Company will comply or has complied with all applicable laws as to any offering of and as to the allotment and issue of the Relevant Shares and the Company has received (or for Ordinary Shares to be issued will receive) such amounts as are necessary to fully pay the nominal value of the Relevant Shares and any applicable share premium;</w:t>
      </w:r>
    </w:p>
    <w:p>
      <w:pPr>
        <w:spacing w:after="0" w:line="176" w:lineRule="exact"/>
        <w:rPr>
          <w:rFonts w:ascii="Arial" w:cs="Arial" w:eastAsia="Arial" w:hAnsi="Arial"/>
          <w:sz w:val="19"/>
          <w:szCs w:val="19"/>
          <w:color w:val="auto"/>
        </w:rPr>
      </w:pPr>
    </w:p>
    <w:p>
      <w:pPr>
        <w:jc w:val="both"/>
        <w:ind w:left="668" w:right="20" w:hanging="668"/>
        <w:spacing w:after="0" w:line="245" w:lineRule="auto"/>
        <w:tabs>
          <w:tab w:leader="none" w:pos="668"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the Board Resolutions provided to us in connection with the giving of the opinions in this letter reflect a true record of the proceedings described in them in duly convened, constituted and quorate meetings in which all constitutional, statutory and other formalities were or will be duly observed, and the resolutions set out in the minutes were or will be validly passed and have not been and will not be revoked or varied and remain in full force and effect and will remain so as at the Allotment Date;</w:t>
      </w:r>
    </w:p>
    <w:p>
      <w:pPr>
        <w:spacing w:after="0" w:line="180" w:lineRule="exact"/>
        <w:rPr>
          <w:rFonts w:ascii="Arial" w:cs="Arial" w:eastAsia="Arial" w:hAnsi="Arial"/>
          <w:sz w:val="19"/>
          <w:szCs w:val="19"/>
          <w:color w:val="auto"/>
        </w:rPr>
      </w:pPr>
    </w:p>
    <w:p>
      <w:pPr>
        <w:jc w:val="both"/>
        <w:ind w:left="688" w:hanging="688"/>
        <w:spacing w:after="0" w:line="243" w:lineRule="auto"/>
        <w:tabs>
          <w:tab w:leader="none" w:pos="688" w:val="left"/>
        </w:tabs>
        <w:numPr>
          <w:ilvl w:val="0"/>
          <w:numId w:val="144"/>
        </w:numPr>
        <w:rPr>
          <w:rFonts w:ascii="Arial" w:cs="Arial" w:eastAsia="Arial" w:hAnsi="Arial"/>
          <w:sz w:val="19"/>
          <w:szCs w:val="19"/>
          <w:color w:val="auto"/>
        </w:rPr>
      </w:pPr>
      <w:r>
        <w:rPr>
          <w:rFonts w:ascii="Arial" w:cs="Arial" w:eastAsia="Arial" w:hAnsi="Arial"/>
          <w:sz w:val="19"/>
          <w:szCs w:val="19"/>
          <w:color w:val="auto"/>
        </w:rPr>
        <w:t>in respect of the Board Resolutions (i) in passing such resolution the directors of the Company were or will be acting in good faith, (ii) the transactions and other matters referred to in the Board Resolutions were or are to be entered into and effected by the Company for the purpose of carrying on its business,</w:t>
      </w:r>
    </w:p>
    <w:p>
      <w:pPr>
        <w:spacing w:after="0" w:line="2" w:lineRule="exact"/>
        <w:rPr>
          <w:rFonts w:ascii="Arial" w:cs="Arial" w:eastAsia="Arial" w:hAnsi="Arial"/>
          <w:sz w:val="19"/>
          <w:szCs w:val="19"/>
          <w:color w:val="auto"/>
        </w:rPr>
      </w:pPr>
    </w:p>
    <w:p>
      <w:pPr>
        <w:jc w:val="both"/>
        <w:ind w:left="688" w:hanging="10"/>
        <w:spacing w:after="0"/>
        <w:tabs>
          <w:tab w:leader="none" w:pos="1018" w:val="left"/>
        </w:tabs>
        <w:numPr>
          <w:ilvl w:val="1"/>
          <w:numId w:val="144"/>
        </w:numPr>
        <w:rPr>
          <w:rFonts w:ascii="Arial" w:cs="Arial" w:eastAsia="Arial" w:hAnsi="Arial"/>
          <w:sz w:val="19"/>
          <w:szCs w:val="19"/>
          <w:color w:val="auto"/>
        </w:rPr>
      </w:pPr>
      <w:r>
        <w:rPr>
          <w:rFonts w:ascii="Arial" w:cs="Arial" w:eastAsia="Arial" w:hAnsi="Arial"/>
          <w:sz w:val="19"/>
          <w:szCs w:val="19"/>
          <w:color w:val="auto"/>
        </w:rPr>
        <w:t>at the time such transactions or matters were or (as the case may be) are to be entered into or effected the Board had or (as the case may be) will have reasonable grounds for believing that the transactions or matters would or (as the case may be) will promote the success of the Company for the benefit of its members as a whole, and (iv) the Board exercised or exercises their powers in connection with the transactions or matters in accordance with all applicable laws;</w:t>
      </w:r>
    </w:p>
    <w:p>
      <w:pPr>
        <w:spacing w:after="0" w:line="185" w:lineRule="exact"/>
        <w:rPr>
          <w:rFonts w:ascii="Arial" w:cs="Arial" w:eastAsia="Arial" w:hAnsi="Arial"/>
          <w:sz w:val="19"/>
          <w:szCs w:val="19"/>
          <w:color w:val="auto"/>
        </w:rPr>
      </w:pPr>
    </w:p>
    <w:p>
      <w:pPr>
        <w:jc w:val="both"/>
        <w:ind w:left="668" w:right="20" w:hanging="668"/>
        <w:spacing w:after="0" w:line="248" w:lineRule="auto"/>
        <w:tabs>
          <w:tab w:leader="none" w:pos="668"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the resolutions set out in the Corporate Approvals and/or such other board or shareholder resolutions that are otherwise obtained and/or required by the Company at a later date to, inter alia, validly authorise the issuance of all Relevant Shares were or will be validly passed and have not been and will not be revoked or varied and remain in full force and effect and will remain so as at the Allotment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588010</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68"/>
          </w:cols>
          <w:pgMar w:left="1212" w:top="1355" w:right="1319" w:bottom="1440" w:gutter="0" w:footer="0" w:header="0"/>
        </w:sectPr>
      </w:pPr>
    </w:p>
    <w:bookmarkStart w:id="188" w:name="page189"/>
    <w:bookmarkEnd w:id="188"/>
    <w:p>
      <w:pPr>
        <w:jc w:val="both"/>
        <w:ind w:left="688" w:hanging="688"/>
        <w:spacing w:after="0" w:line="241" w:lineRule="auto"/>
        <w:tabs>
          <w:tab w:leader="none" w:pos="688" w:val="left"/>
        </w:tabs>
        <w:numPr>
          <w:ilvl w:val="0"/>
          <w:numId w:val="145"/>
        </w:numPr>
        <w:rPr>
          <w:rFonts w:ascii="Arial" w:cs="Arial" w:eastAsia="Arial" w:hAnsi="Arial"/>
          <w:sz w:val="19"/>
          <w:szCs w:val="19"/>
          <w:color w:val="auto"/>
        </w:rPr>
      </w:pPr>
      <w:r>
        <w:rPr>
          <w:rFonts w:ascii="Arial" w:cs="Arial" w:eastAsia="Arial" w:hAnsi="Arial"/>
          <w:sz w:val="19"/>
          <w:szCs w:val="19"/>
          <w:color w:val="auto"/>
        </w:rPr>
        <w:t>as at the Allotment Date, the directors of the Company had or shall have sufficient powers conferred on them to allot the Relevant Shares and to grant rights to subscribe for Relevant Shares (as applicable) under section 551 (Power of directors to allot shares etc: authorisation by company) of the Companies Act and under section 570 (Disapplication of pre-emption rights: directors acting under general authorisation) of the Companies Act as if section 561 of the Companies Act did not apply to such allotment or grant and the Company has not issued (or purported to issue) and shall not issue (or purport to issue) Relevant Shares and has not granted (or purported to grant) and shall not grant rights (or purport to grant rights) in excess of such powers or in breach of any other limitation on their powers to issue shares or grant rights;</w:t>
      </w:r>
    </w:p>
    <w:p>
      <w:pPr>
        <w:spacing w:after="0" w:line="185" w:lineRule="exact"/>
        <w:rPr>
          <w:rFonts w:ascii="Arial" w:cs="Arial" w:eastAsia="Arial" w:hAnsi="Arial"/>
          <w:sz w:val="19"/>
          <w:szCs w:val="19"/>
          <w:color w:val="auto"/>
        </w:rPr>
      </w:pPr>
    </w:p>
    <w:p>
      <w:pPr>
        <w:jc w:val="both"/>
        <w:ind w:left="668" w:right="20" w:hanging="668"/>
        <w:spacing w:after="0" w:line="243" w:lineRule="auto"/>
        <w:tabs>
          <w:tab w:leader="none" w:pos="668" w:val="left"/>
        </w:tabs>
        <w:numPr>
          <w:ilvl w:val="0"/>
          <w:numId w:val="145"/>
        </w:numPr>
        <w:rPr>
          <w:rFonts w:ascii="Arial" w:cs="Arial" w:eastAsia="Arial" w:hAnsi="Arial"/>
          <w:sz w:val="19"/>
          <w:szCs w:val="19"/>
          <w:color w:val="auto"/>
        </w:rPr>
      </w:pPr>
      <w:r>
        <w:rPr>
          <w:rFonts w:ascii="Arial" w:cs="Arial" w:eastAsia="Arial" w:hAnsi="Arial"/>
          <w:sz w:val="19"/>
          <w:szCs w:val="19"/>
          <w:color w:val="auto"/>
        </w:rPr>
        <w:t>in relation to the allotment and issue of the Relevant Shares, the directors of the Company have acted and will act in the manner required by section 172 of the Companies Act (Duty to promote the success of the Company), and there has not been and will not be any bad faith, breach of trust, fraud, coercion, duress or undue influence on the part of any of the directors of the Company and such directors exercised their powers in accordance with all other statutory duties under the Companies Act and English common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593090</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68"/>
          </w:cols>
          <w:pgMar w:left="1212" w:top="1355" w:right="1319" w:bottom="1440" w:gutter="0" w:footer="0" w:header="0"/>
        </w:sectPr>
      </w:pPr>
    </w:p>
    <w:bookmarkStart w:id="189" w:name="page190"/>
    <w:bookmarkEnd w:id="189"/>
    <w:p>
      <w:pPr>
        <w:spacing w:after="0" w:line="64" w:lineRule="exact"/>
        <w:rPr>
          <w:sz w:val="20"/>
          <w:szCs w:val="20"/>
          <w:color w:val="auto"/>
        </w:rPr>
      </w:pPr>
    </w:p>
    <w:p>
      <w:pPr>
        <w:jc w:val="both"/>
        <w:ind w:left="688" w:hanging="688"/>
        <w:spacing w:after="0" w:line="254" w:lineRule="auto"/>
        <w:tabs>
          <w:tab w:leader="none" w:pos="688" w:val="left"/>
        </w:tabs>
        <w:numPr>
          <w:ilvl w:val="0"/>
          <w:numId w:val="146"/>
        </w:numPr>
        <w:rPr>
          <w:rFonts w:ascii="Arial" w:cs="Arial" w:eastAsia="Arial" w:hAnsi="Arial"/>
          <w:sz w:val="19"/>
          <w:szCs w:val="19"/>
          <w:color w:val="auto"/>
        </w:rPr>
      </w:pPr>
      <w:r>
        <w:rPr>
          <w:rFonts w:ascii="Arial" w:cs="Arial" w:eastAsia="Arial" w:hAnsi="Arial"/>
          <w:sz w:val="19"/>
          <w:szCs w:val="19"/>
          <w:color w:val="auto"/>
        </w:rPr>
        <w:t>as at the Allotment Date, any authority granted pursuant to the articles (in force from time to time) or the Shareholder Resolutions or otherwise by the Company’s shareholders remained or will remain unutilised to the extent necessary to permit the allotment and issue of the Relevant Shares;</w:t>
      </w:r>
    </w:p>
    <w:p>
      <w:pPr>
        <w:spacing w:after="0" w:line="170" w:lineRule="exact"/>
        <w:rPr>
          <w:rFonts w:ascii="Arial" w:cs="Arial" w:eastAsia="Arial" w:hAnsi="Arial"/>
          <w:sz w:val="19"/>
          <w:szCs w:val="19"/>
          <w:color w:val="auto"/>
        </w:rPr>
      </w:pPr>
    </w:p>
    <w:p>
      <w:pPr>
        <w:jc w:val="both"/>
        <w:ind w:left="668" w:right="40" w:hanging="668"/>
        <w:spacing w:after="0" w:line="254" w:lineRule="auto"/>
        <w:tabs>
          <w:tab w:leader="none" w:pos="668" w:val="left"/>
        </w:tabs>
        <w:numPr>
          <w:ilvl w:val="0"/>
          <w:numId w:val="146"/>
        </w:numPr>
        <w:rPr>
          <w:rFonts w:ascii="Arial" w:cs="Arial" w:eastAsia="Arial" w:hAnsi="Arial"/>
          <w:sz w:val="19"/>
          <w:szCs w:val="19"/>
          <w:color w:val="auto"/>
        </w:rPr>
      </w:pPr>
      <w:r>
        <w:rPr>
          <w:rFonts w:ascii="Arial" w:cs="Arial" w:eastAsia="Arial" w:hAnsi="Arial"/>
          <w:sz w:val="19"/>
          <w:szCs w:val="19"/>
          <w:color w:val="auto"/>
        </w:rPr>
        <w:t>each of the signed documents examined by us has been duly executed and, where applicable, delivered on behalf of the Company and each natural person executing such documents has sufficient legal capacity to enter into such documents and perform the transactions contemplated herein;</w:t>
      </w:r>
    </w:p>
    <w:p>
      <w:pPr>
        <w:spacing w:after="0" w:line="170" w:lineRule="exact"/>
        <w:rPr>
          <w:rFonts w:ascii="Arial" w:cs="Arial" w:eastAsia="Arial" w:hAnsi="Arial"/>
          <w:sz w:val="19"/>
          <w:szCs w:val="19"/>
          <w:color w:val="auto"/>
        </w:rPr>
      </w:pPr>
    </w:p>
    <w:p>
      <w:pPr>
        <w:jc w:val="both"/>
        <w:ind w:left="668" w:right="20" w:hanging="668"/>
        <w:spacing w:after="0" w:line="299" w:lineRule="auto"/>
        <w:tabs>
          <w:tab w:leader="none" w:pos="66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that any person who signed a document (which we have reviewed for the purposes of the opinion given in this letter) as a witness was physically present at the time when the signatory signed such document;</w:t>
      </w:r>
    </w:p>
    <w:p>
      <w:pPr>
        <w:spacing w:after="0" w:line="132" w:lineRule="exact"/>
        <w:rPr>
          <w:rFonts w:ascii="Arial" w:cs="Arial" w:eastAsia="Arial" w:hAnsi="Arial"/>
          <w:sz w:val="18"/>
          <w:szCs w:val="18"/>
          <w:color w:val="auto"/>
        </w:rPr>
      </w:pPr>
    </w:p>
    <w:p>
      <w:pPr>
        <w:ind w:left="668" w:right="20" w:hanging="668"/>
        <w:spacing w:after="0" w:line="270" w:lineRule="auto"/>
        <w:tabs>
          <w:tab w:leader="none" w:pos="668"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the conformity to originals of all documents submitted to us as copies of originals and the authenticity of the originals;</w:t>
      </w:r>
    </w:p>
    <w:p>
      <w:pPr>
        <w:spacing w:after="0" w:line="156" w:lineRule="exact"/>
        <w:rPr>
          <w:rFonts w:ascii="Arial" w:cs="Arial" w:eastAsia="Arial" w:hAnsi="Arial"/>
          <w:sz w:val="19"/>
          <w:szCs w:val="19"/>
          <w:color w:val="auto"/>
        </w:rPr>
      </w:pPr>
    </w:p>
    <w:p>
      <w:pPr>
        <w:ind w:left="668" w:hanging="668"/>
        <w:spacing w:after="0"/>
        <w:tabs>
          <w:tab w:leader="none" w:pos="668"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that the documents and records referred to in paragraphs 2.4 and 2.5 are accurate and complete;</w:t>
      </w:r>
    </w:p>
    <w:p>
      <w:pPr>
        <w:spacing w:after="0" w:line="213" w:lineRule="exact"/>
        <w:rPr>
          <w:rFonts w:ascii="Arial" w:cs="Arial" w:eastAsia="Arial" w:hAnsi="Arial"/>
          <w:sz w:val="19"/>
          <w:szCs w:val="19"/>
          <w:color w:val="auto"/>
        </w:rPr>
      </w:pPr>
    </w:p>
    <w:p>
      <w:pPr>
        <w:ind w:left="668" w:right="20" w:hanging="668"/>
        <w:spacing w:after="0" w:line="270" w:lineRule="auto"/>
        <w:tabs>
          <w:tab w:leader="none" w:pos="668"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that except as disclosed in the documents referred to in paragraph 2.4, and the search and enquiry referred to in paragraph 2.5:</w:t>
      </w:r>
    </w:p>
    <w:p>
      <w:pPr>
        <w:spacing w:after="0" w:line="156" w:lineRule="exact"/>
        <w:rPr>
          <w:rFonts w:ascii="Arial" w:cs="Arial" w:eastAsia="Arial" w:hAnsi="Arial"/>
          <w:sz w:val="19"/>
          <w:szCs w:val="19"/>
          <w:color w:val="auto"/>
        </w:rPr>
      </w:pPr>
    </w:p>
    <w:p>
      <w:pPr>
        <w:jc w:val="both"/>
        <w:ind w:left="1408" w:right="20" w:hanging="839"/>
        <w:spacing w:after="0" w:line="254" w:lineRule="auto"/>
        <w:tabs>
          <w:tab w:leader="none" w:pos="1408" w:val="left"/>
        </w:tabs>
        <w:numPr>
          <w:ilvl w:val="2"/>
          <w:numId w:val="146"/>
        </w:numPr>
        <w:rPr>
          <w:rFonts w:ascii="Arial" w:cs="Arial" w:eastAsia="Arial" w:hAnsi="Arial"/>
          <w:sz w:val="19"/>
          <w:szCs w:val="19"/>
          <w:color w:val="auto"/>
        </w:rPr>
      </w:pPr>
      <w:r>
        <w:rPr>
          <w:rFonts w:ascii="Arial" w:cs="Arial" w:eastAsia="Arial" w:hAnsi="Arial"/>
          <w:sz w:val="19"/>
          <w:szCs w:val="19"/>
          <w:color w:val="auto"/>
        </w:rPr>
        <w:t>no arrangement or composition with or for the benefit of the creditors of the Company (including a voluntary arrangement as defined in the Insolvency Act 1986) has been entered into or proposed;</w:t>
      </w:r>
    </w:p>
    <w:p>
      <w:pPr>
        <w:spacing w:after="0" w:line="170" w:lineRule="exact"/>
        <w:rPr>
          <w:rFonts w:ascii="Arial" w:cs="Arial" w:eastAsia="Arial" w:hAnsi="Arial"/>
          <w:sz w:val="19"/>
          <w:szCs w:val="19"/>
          <w:color w:val="auto"/>
        </w:rPr>
      </w:pPr>
    </w:p>
    <w:p>
      <w:pPr>
        <w:ind w:left="1408" w:hanging="884"/>
        <w:spacing w:after="0" w:line="270" w:lineRule="auto"/>
        <w:tabs>
          <w:tab w:leader="none" w:pos="1408" w:val="left"/>
        </w:tabs>
        <w:numPr>
          <w:ilvl w:val="2"/>
          <w:numId w:val="146"/>
        </w:numPr>
        <w:rPr>
          <w:rFonts w:ascii="Arial" w:cs="Arial" w:eastAsia="Arial" w:hAnsi="Arial"/>
          <w:sz w:val="19"/>
          <w:szCs w:val="19"/>
          <w:color w:val="auto"/>
        </w:rPr>
      </w:pPr>
      <w:r>
        <w:rPr>
          <w:rFonts w:ascii="Arial" w:cs="Arial" w:eastAsia="Arial" w:hAnsi="Arial"/>
          <w:sz w:val="19"/>
          <w:szCs w:val="19"/>
          <w:color w:val="auto"/>
        </w:rPr>
        <w:t>no moratorium has come into force in respect of the Company under Part A1 of the Insolvency Act 1986;</w:t>
      </w:r>
    </w:p>
    <w:p>
      <w:pPr>
        <w:spacing w:after="0" w:line="156" w:lineRule="exact"/>
        <w:rPr>
          <w:rFonts w:ascii="Arial" w:cs="Arial" w:eastAsia="Arial" w:hAnsi="Arial"/>
          <w:sz w:val="19"/>
          <w:szCs w:val="19"/>
          <w:color w:val="auto"/>
        </w:rPr>
      </w:pPr>
    </w:p>
    <w:p>
      <w:pPr>
        <w:jc w:val="both"/>
        <w:ind w:left="1408" w:hanging="944"/>
        <w:spacing w:after="0" w:line="254" w:lineRule="auto"/>
        <w:tabs>
          <w:tab w:leader="none" w:pos="1408" w:val="left"/>
        </w:tabs>
        <w:numPr>
          <w:ilvl w:val="1"/>
          <w:numId w:val="146"/>
        </w:numPr>
        <w:rPr>
          <w:rFonts w:ascii="Arial" w:cs="Arial" w:eastAsia="Arial" w:hAnsi="Arial"/>
          <w:sz w:val="19"/>
          <w:szCs w:val="19"/>
          <w:color w:val="auto"/>
        </w:rPr>
      </w:pPr>
      <w:r>
        <w:rPr>
          <w:rFonts w:ascii="Arial" w:cs="Arial" w:eastAsia="Arial" w:hAnsi="Arial"/>
          <w:sz w:val="19"/>
          <w:szCs w:val="19"/>
          <w:color w:val="auto"/>
        </w:rPr>
        <w:t>no receiver or administrative receiver has taken possession of or being appointed over nor has any mortgagee, chargee or other encumbrancer taken possession of the whole or any material part of the assets of the Company;</w:t>
      </w:r>
    </w:p>
    <w:p>
      <w:pPr>
        <w:spacing w:after="0" w:line="170" w:lineRule="exact"/>
        <w:rPr>
          <w:rFonts w:ascii="Arial" w:cs="Arial" w:eastAsia="Arial" w:hAnsi="Arial"/>
          <w:sz w:val="19"/>
          <w:szCs w:val="19"/>
          <w:color w:val="auto"/>
        </w:rPr>
      </w:pPr>
    </w:p>
    <w:p>
      <w:pPr>
        <w:jc w:val="both"/>
        <w:ind w:left="1408" w:hanging="944"/>
        <w:spacing w:after="0" w:line="248" w:lineRule="auto"/>
        <w:tabs>
          <w:tab w:leader="none" w:pos="1408" w:val="left"/>
        </w:tabs>
        <w:numPr>
          <w:ilvl w:val="1"/>
          <w:numId w:val="146"/>
        </w:numPr>
        <w:rPr>
          <w:rFonts w:ascii="Arial" w:cs="Arial" w:eastAsia="Arial" w:hAnsi="Arial"/>
          <w:sz w:val="19"/>
          <w:szCs w:val="19"/>
          <w:color w:val="auto"/>
        </w:rPr>
      </w:pPr>
      <w:r>
        <w:rPr>
          <w:rFonts w:ascii="Arial" w:cs="Arial" w:eastAsia="Arial" w:hAnsi="Arial"/>
          <w:sz w:val="19"/>
          <w:szCs w:val="19"/>
          <w:color w:val="auto"/>
        </w:rPr>
        <w:t>neither the Company nor its directors nor the holder of a qualifying floating charge (as defined in Schedule B1 to the Insolvency Act 1986) has given notice of his, her, their or its intention to appoint an administrator in accordance with paragraphs 18 or 26 of Schedule B1 to the Insolvency Act 1986;</w:t>
      </w:r>
    </w:p>
    <w:p>
      <w:pPr>
        <w:spacing w:after="0" w:line="28" w:lineRule="exact"/>
        <w:rPr>
          <w:rFonts w:ascii="Arial" w:cs="Arial" w:eastAsia="Arial" w:hAnsi="Arial"/>
          <w:sz w:val="19"/>
          <w:szCs w:val="19"/>
          <w:color w:val="auto"/>
        </w:rPr>
      </w:pPr>
    </w:p>
    <w:p>
      <w:pPr>
        <w:jc w:val="both"/>
        <w:ind w:left="1408" w:right="20" w:hanging="900"/>
        <w:spacing w:after="0" w:line="254" w:lineRule="auto"/>
        <w:tabs>
          <w:tab w:leader="none" w:pos="1408" w:val="left"/>
        </w:tabs>
        <w:numPr>
          <w:ilvl w:val="2"/>
          <w:numId w:val="147"/>
        </w:numPr>
        <w:rPr>
          <w:rFonts w:ascii="Arial" w:cs="Arial" w:eastAsia="Arial" w:hAnsi="Arial"/>
          <w:sz w:val="19"/>
          <w:szCs w:val="19"/>
          <w:color w:val="auto"/>
        </w:rPr>
      </w:pPr>
      <w:r>
        <w:rPr>
          <w:rFonts w:ascii="Arial" w:cs="Arial" w:eastAsia="Arial" w:hAnsi="Arial"/>
          <w:sz w:val="19"/>
          <w:szCs w:val="19"/>
          <w:color w:val="auto"/>
        </w:rPr>
        <w:t>neither the Company nor its directors nor any of their creditors nor the holder of a qualifying floating charge (as defined in Schedule B1 to the Insolvency Act 1986) has made an application to the court for the appointment of an administrator of the Company;</w:t>
      </w:r>
    </w:p>
    <w:p>
      <w:pPr>
        <w:spacing w:after="0" w:line="170" w:lineRule="exact"/>
        <w:rPr>
          <w:sz w:val="20"/>
          <w:szCs w:val="20"/>
          <w:color w:val="auto"/>
        </w:rPr>
      </w:pPr>
    </w:p>
    <w:p>
      <w:pPr>
        <w:ind w:left="1408" w:right="20" w:hanging="944"/>
        <w:spacing w:after="0" w:line="270" w:lineRule="auto"/>
        <w:tabs>
          <w:tab w:leader="none" w:pos="1408" w:val="left"/>
        </w:tabs>
        <w:numPr>
          <w:ilvl w:val="0"/>
          <w:numId w:val="148"/>
        </w:numPr>
        <w:rPr>
          <w:rFonts w:ascii="Arial" w:cs="Arial" w:eastAsia="Arial" w:hAnsi="Arial"/>
          <w:sz w:val="19"/>
          <w:szCs w:val="19"/>
          <w:color w:val="auto"/>
        </w:rPr>
      </w:pPr>
      <w:r>
        <w:rPr>
          <w:rFonts w:ascii="Arial" w:cs="Arial" w:eastAsia="Arial" w:hAnsi="Arial"/>
          <w:sz w:val="19"/>
          <w:szCs w:val="19"/>
          <w:color w:val="auto"/>
        </w:rPr>
        <w:t>no administrator has been appointed of the Company under paragraphs 14 or 22 of Schedule B1 to the Insolvency Act 1986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575310</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68"/>
          </w:cols>
          <w:pgMar w:left="1212" w:top="1440" w:right="1319" w:bottom="1440" w:gutter="0" w:footer="0" w:header="0"/>
        </w:sectPr>
      </w:pPr>
    </w:p>
    <w:bookmarkStart w:id="190" w:name="page191"/>
    <w:bookmarkEnd w:id="190"/>
    <w:p>
      <w:pPr>
        <w:spacing w:after="0" w:line="77" w:lineRule="exact"/>
        <w:rPr>
          <w:sz w:val="20"/>
          <w:szCs w:val="20"/>
          <w:color w:val="auto"/>
        </w:rPr>
      </w:pPr>
    </w:p>
    <w:p>
      <w:pPr>
        <w:ind w:left="1408" w:hanging="1005"/>
        <w:spacing w:after="0" w:line="270" w:lineRule="auto"/>
        <w:tabs>
          <w:tab w:leader="none" w:pos="1408" w:val="left"/>
        </w:tabs>
        <w:numPr>
          <w:ilvl w:val="2"/>
          <w:numId w:val="149"/>
        </w:numPr>
        <w:rPr>
          <w:rFonts w:ascii="Arial" w:cs="Arial" w:eastAsia="Arial" w:hAnsi="Arial"/>
          <w:sz w:val="19"/>
          <w:szCs w:val="19"/>
          <w:color w:val="auto"/>
        </w:rPr>
      </w:pPr>
      <w:r>
        <w:rPr>
          <w:rFonts w:ascii="Arial" w:cs="Arial" w:eastAsia="Arial" w:hAnsi="Arial"/>
          <w:sz w:val="19"/>
          <w:szCs w:val="19"/>
          <w:color w:val="auto"/>
        </w:rPr>
        <w:t>no petition has been presented nor a resolution been passed nor has an order been made for the administration or the winding-up, bankruptcy or dissolution of the Company;</w:t>
      </w:r>
    </w:p>
    <w:p>
      <w:pPr>
        <w:spacing w:after="0" w:line="7" w:lineRule="exact"/>
        <w:rPr>
          <w:rFonts w:ascii="Arial" w:cs="Arial" w:eastAsia="Arial" w:hAnsi="Arial"/>
          <w:sz w:val="19"/>
          <w:szCs w:val="19"/>
          <w:color w:val="auto"/>
        </w:rPr>
      </w:pPr>
    </w:p>
    <w:p>
      <w:pPr>
        <w:jc w:val="both"/>
        <w:ind w:left="668" w:hanging="668"/>
        <w:spacing w:after="0" w:line="241" w:lineRule="auto"/>
        <w:tabs>
          <w:tab w:leader="none" w:pos="668" w:val="left"/>
        </w:tabs>
        <w:numPr>
          <w:ilvl w:val="1"/>
          <w:numId w:val="150"/>
        </w:numPr>
        <w:rPr>
          <w:rFonts w:ascii="Arial" w:cs="Arial" w:eastAsia="Arial" w:hAnsi="Arial"/>
          <w:sz w:val="19"/>
          <w:szCs w:val="19"/>
          <w:color w:val="auto"/>
        </w:rPr>
      </w:pPr>
      <w:r>
        <w:rPr>
          <w:rFonts w:ascii="Arial" w:cs="Arial" w:eastAsia="Arial" w:hAnsi="Arial"/>
          <w:sz w:val="19"/>
          <w:szCs w:val="19"/>
          <w:color w:val="auto"/>
        </w:rPr>
        <w:t>as at the Allotment Date, the Company has not taken nor will take any corporate or other action nor have any steps been taken or legal proceedings been started nor steps be taken or legal proceedings started against the Company for the liquidation, winding up, dissolution, reorganisation or bankruptcy of, or for the appointment of a liquidator, receiver, trustee, administrator, administrative receiver or similar officer of, the Company or all or any of its assets (or any analogous proceedings in any jurisdiction) and the Company was not or is not unable to pay its debts as they fall due within the meaning of section 123 of the Insolvency Act 1986, and was not and will not become unable to pay its debts within the meaning of that section as a result of any of the transactions contemplated herein, was not and is not insolvent and has not been and will not be dissolved or declared bankrupt;</w:t>
      </w:r>
    </w:p>
    <w:p>
      <w:pPr>
        <w:spacing w:after="0" w:line="185" w:lineRule="exact"/>
        <w:rPr>
          <w:rFonts w:ascii="Arial" w:cs="Arial" w:eastAsia="Arial" w:hAnsi="Arial"/>
          <w:sz w:val="19"/>
          <w:szCs w:val="19"/>
          <w:color w:val="auto"/>
        </w:rPr>
      </w:pPr>
    </w:p>
    <w:p>
      <w:pPr>
        <w:jc w:val="both"/>
        <w:ind w:left="688" w:hanging="688"/>
        <w:spacing w:after="0" w:line="242" w:lineRule="auto"/>
        <w:tabs>
          <w:tab w:leader="none" w:pos="688" w:val="left"/>
        </w:tabs>
        <w:numPr>
          <w:ilvl w:val="1"/>
          <w:numId w:val="150"/>
        </w:numPr>
        <w:rPr>
          <w:rFonts w:ascii="Arial" w:cs="Arial" w:eastAsia="Arial" w:hAnsi="Arial"/>
          <w:sz w:val="19"/>
          <w:szCs w:val="19"/>
          <w:color w:val="auto"/>
        </w:rPr>
      </w:pPr>
      <w:r>
        <w:rPr>
          <w:rFonts w:ascii="Arial" w:cs="Arial" w:eastAsia="Arial" w:hAnsi="Arial"/>
          <w:sz w:val="19"/>
          <w:szCs w:val="19"/>
          <w:color w:val="auto"/>
        </w:rPr>
        <w:t>all facts which are stated in any official public record, including the search and enquiry referred to in paragraph 2.5, or other document or information supplied by a public official are correct; in particular that all documents, forms and notices which should have been delivered to the Registrar of Companies in respect of the Company have been so delivered, that information revealed by the search and enquiry referred to in paragraph 2.5 was complete and accurate in all respects and has not, since the time of the search and enquiry, been altered and that the results of the search and enquiry will remain complete and accurate as at the Allotment Date;</w:t>
      </w:r>
    </w:p>
    <w:p>
      <w:pPr>
        <w:spacing w:after="0" w:line="185" w:lineRule="exact"/>
        <w:rPr>
          <w:rFonts w:ascii="Arial" w:cs="Arial" w:eastAsia="Arial" w:hAnsi="Arial"/>
          <w:sz w:val="19"/>
          <w:szCs w:val="19"/>
          <w:color w:val="auto"/>
        </w:rPr>
      </w:pPr>
    </w:p>
    <w:p>
      <w:pPr>
        <w:jc w:val="both"/>
        <w:ind w:left="688" w:hanging="688"/>
        <w:spacing w:after="0" w:line="242" w:lineRule="auto"/>
        <w:tabs>
          <w:tab w:leader="none" w:pos="688" w:val="left"/>
        </w:tabs>
        <w:numPr>
          <w:ilvl w:val="1"/>
          <w:numId w:val="150"/>
        </w:numPr>
        <w:rPr>
          <w:rFonts w:ascii="Arial" w:cs="Arial" w:eastAsia="Arial" w:hAnsi="Arial"/>
          <w:sz w:val="19"/>
          <w:szCs w:val="19"/>
          <w:color w:val="auto"/>
        </w:rPr>
      </w:pPr>
      <w:r>
        <w:rPr>
          <w:rFonts w:ascii="Arial" w:cs="Arial" w:eastAsia="Arial" w:hAnsi="Arial"/>
          <w:sz w:val="19"/>
          <w:szCs w:val="19"/>
          <w:color w:val="auto"/>
        </w:rPr>
        <w:t>that each of the Securities Purchase Agreements and the transactions to be effected pursuant to them (and any other documents related thereto) constitute legal, valid, binding and enforceable obligations of each of the parties thereto under all applicable laws and that there are no provisions of the laws of any jurisdiction outside England which would be contravened by the execution or delivery of the documents in paragraph 2.4 and that insofar as any obligation under any such documents falls to be performed or any action falls to be taken in any jurisdiction outside England, the performance of that obligation or taking of that action will not be unlawful by virtue of the laws of that jurisdiction;</w:t>
      </w:r>
    </w:p>
    <w:p>
      <w:pPr>
        <w:spacing w:after="0" w:line="185" w:lineRule="exact"/>
        <w:rPr>
          <w:rFonts w:ascii="Arial" w:cs="Arial" w:eastAsia="Arial" w:hAnsi="Arial"/>
          <w:sz w:val="19"/>
          <w:szCs w:val="19"/>
          <w:color w:val="auto"/>
        </w:rPr>
      </w:pPr>
    </w:p>
    <w:p>
      <w:pPr>
        <w:ind w:left="748" w:right="20" w:hanging="739"/>
        <w:spacing w:after="0" w:line="254" w:lineRule="auto"/>
        <w:tabs>
          <w:tab w:leader="none" w:pos="508" w:val="left"/>
        </w:tabs>
        <w:numPr>
          <w:ilvl w:val="1"/>
          <w:numId w:val="151"/>
        </w:numPr>
        <w:rPr>
          <w:rFonts w:ascii="Arial" w:cs="Arial" w:eastAsia="Arial" w:hAnsi="Arial"/>
          <w:sz w:val="19"/>
          <w:szCs w:val="19"/>
          <w:color w:val="auto"/>
        </w:rPr>
      </w:pPr>
      <w:r>
        <w:rPr>
          <w:rFonts w:ascii="Arial" w:cs="Arial" w:eastAsia="Arial" w:hAnsi="Arial"/>
          <w:sz w:val="19"/>
          <w:szCs w:val="19"/>
          <w:color w:val="auto"/>
        </w:rPr>
        <w:t>that no event analogous to any of the events mentioned in paragraph 3.8(v) or any other insolvency procedure has occurred in respect of the Company in a country other than England and that no steps have been taken to subject either of them to such a procedure;</w:t>
      </w:r>
    </w:p>
    <w:p>
      <w:pPr>
        <w:spacing w:after="0" w:line="170" w:lineRule="exact"/>
        <w:rPr>
          <w:rFonts w:ascii="Arial" w:cs="Arial" w:eastAsia="Arial" w:hAnsi="Arial"/>
          <w:sz w:val="19"/>
          <w:szCs w:val="19"/>
          <w:color w:val="auto"/>
        </w:rPr>
      </w:pPr>
    </w:p>
    <w:p>
      <w:pPr>
        <w:ind w:left="748" w:right="20" w:hanging="740"/>
        <w:spacing w:after="0" w:line="245" w:lineRule="auto"/>
        <w:tabs>
          <w:tab w:leader="none" w:pos="445" w:val="left"/>
        </w:tabs>
        <w:numPr>
          <w:ilvl w:val="1"/>
          <w:numId w:val="151"/>
        </w:numPr>
        <w:rPr>
          <w:rFonts w:ascii="Arial" w:cs="Arial" w:eastAsia="Arial" w:hAnsi="Arial"/>
          <w:sz w:val="19"/>
          <w:szCs w:val="19"/>
          <w:color w:val="auto"/>
        </w:rPr>
      </w:pPr>
      <w:r>
        <w:rPr>
          <w:rFonts w:ascii="Arial" w:cs="Arial" w:eastAsia="Arial" w:hAnsi="Arial"/>
          <w:sz w:val="19"/>
          <w:szCs w:val="19"/>
          <w:color w:val="auto"/>
        </w:rPr>
        <w:t>that there are no provisions of the laws of any jurisdiction outside England which would be contravened by the execution or delivery of the documents in paragraph 2.4 and that insofar as any obligation under such documents falls to be performed or any action falls to be taken in any jurisdiction outside England, the performance of that obligation or taking of that action will not be unlawful by virtue of the laws of that jurisdiction;</w:t>
      </w:r>
    </w:p>
    <w:p>
      <w:pPr>
        <w:spacing w:after="0" w:line="180" w:lineRule="exact"/>
        <w:rPr>
          <w:rFonts w:ascii="Arial" w:cs="Arial" w:eastAsia="Arial" w:hAnsi="Arial"/>
          <w:sz w:val="19"/>
          <w:szCs w:val="19"/>
          <w:color w:val="auto"/>
        </w:rPr>
      </w:pPr>
    </w:p>
    <w:p>
      <w:pPr>
        <w:ind w:left="748" w:right="20" w:hanging="740"/>
        <w:spacing w:after="0" w:line="254" w:lineRule="auto"/>
        <w:tabs>
          <w:tab w:leader="none" w:pos="384" w:val="left"/>
        </w:tabs>
        <w:numPr>
          <w:ilvl w:val="1"/>
          <w:numId w:val="151"/>
        </w:numPr>
        <w:rPr>
          <w:rFonts w:ascii="Arial" w:cs="Arial" w:eastAsia="Arial" w:hAnsi="Arial"/>
          <w:sz w:val="19"/>
          <w:szCs w:val="19"/>
          <w:color w:val="auto"/>
        </w:rPr>
      </w:pPr>
      <w:r>
        <w:rPr>
          <w:rFonts w:ascii="Arial" w:cs="Arial" w:eastAsia="Arial" w:hAnsi="Arial"/>
          <w:sz w:val="19"/>
          <w:szCs w:val="19"/>
          <w:color w:val="auto"/>
        </w:rPr>
        <w:t>to extent that the entry into of a document in paragraph 2.4 by the Company constitutes or constituted a regulated activity for the purposes of the Financial Services and Markets Act 2000 the Company are, was at the relevant time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584200</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68"/>
          </w:cols>
          <w:pgMar w:left="1212" w:top="1440" w:right="1319" w:bottom="1440" w:gutter="0" w:footer="0" w:header="0"/>
        </w:sectPr>
      </w:pPr>
    </w:p>
    <w:bookmarkStart w:id="191" w:name="page192"/>
    <w:bookmarkEnd w:id="191"/>
    <w:p>
      <w:pPr>
        <w:ind w:left="1497"/>
        <w:spacing w:after="0" w:line="270" w:lineRule="auto"/>
        <w:rPr>
          <w:sz w:val="20"/>
          <w:szCs w:val="20"/>
          <w:color w:val="auto"/>
        </w:rPr>
      </w:pPr>
      <w:r>
        <w:rPr>
          <w:rFonts w:ascii="Arial" w:cs="Arial" w:eastAsia="Arial" w:hAnsi="Arial"/>
          <w:sz w:val="19"/>
          <w:szCs w:val="19"/>
          <w:color w:val="auto"/>
        </w:rPr>
        <w:t>will be at all relevant times in compliance with all applicable requirements of that Act and any regulations or rules made under that Act;</w:t>
      </w:r>
    </w:p>
    <w:p>
      <w:pPr>
        <w:spacing w:after="0" w:line="156" w:lineRule="exact"/>
        <w:rPr>
          <w:sz w:val="20"/>
          <w:szCs w:val="20"/>
          <w:color w:val="auto"/>
        </w:rPr>
      </w:pPr>
    </w:p>
    <w:p>
      <w:pPr>
        <w:ind w:left="1497" w:right="100" w:hanging="739"/>
        <w:spacing w:after="0" w:line="270" w:lineRule="auto"/>
        <w:tabs>
          <w:tab w:leader="none" w:pos="1269" w:val="left"/>
        </w:tabs>
        <w:numPr>
          <w:ilvl w:val="0"/>
          <w:numId w:val="152"/>
        </w:numPr>
        <w:rPr>
          <w:rFonts w:ascii="Arial" w:cs="Arial" w:eastAsia="Arial" w:hAnsi="Arial"/>
          <w:sz w:val="19"/>
          <w:szCs w:val="19"/>
          <w:color w:val="auto"/>
        </w:rPr>
      </w:pPr>
      <w:r>
        <w:rPr>
          <w:rFonts w:ascii="Arial" w:cs="Arial" w:eastAsia="Arial" w:hAnsi="Arial"/>
          <w:sz w:val="19"/>
          <w:szCs w:val="19"/>
          <w:color w:val="auto"/>
        </w:rPr>
        <w:t>that there are or were no written or oral representations made in connection with the documents in paragraph 2.4 which have not been disclosed to us;</w:t>
      </w:r>
    </w:p>
    <w:p>
      <w:pPr>
        <w:spacing w:after="0" w:line="156" w:lineRule="exact"/>
        <w:rPr>
          <w:rFonts w:ascii="Arial" w:cs="Arial" w:eastAsia="Arial" w:hAnsi="Arial"/>
          <w:sz w:val="19"/>
          <w:szCs w:val="19"/>
          <w:color w:val="auto"/>
        </w:rPr>
      </w:pPr>
    </w:p>
    <w:p>
      <w:pPr>
        <w:ind w:left="1497" w:right="120" w:hanging="739"/>
        <w:spacing w:after="0" w:line="270" w:lineRule="auto"/>
        <w:tabs>
          <w:tab w:leader="none" w:pos="1216" w:val="left"/>
        </w:tabs>
        <w:numPr>
          <w:ilvl w:val="0"/>
          <w:numId w:val="152"/>
        </w:numPr>
        <w:rPr>
          <w:rFonts w:ascii="Arial" w:cs="Arial" w:eastAsia="Arial" w:hAnsi="Arial"/>
          <w:sz w:val="19"/>
          <w:szCs w:val="19"/>
          <w:color w:val="auto"/>
        </w:rPr>
      </w:pPr>
      <w:r>
        <w:rPr>
          <w:rFonts w:ascii="Arial" w:cs="Arial" w:eastAsia="Arial" w:hAnsi="Arial"/>
          <w:sz w:val="19"/>
          <w:szCs w:val="19"/>
          <w:color w:val="auto"/>
        </w:rPr>
        <w:t>that there are or were no written or oral agreements modifying the terms of the documents in paragraph 2.4 which have not been disclosed to us;</w:t>
      </w:r>
    </w:p>
    <w:p>
      <w:pPr>
        <w:spacing w:after="0" w:line="156" w:lineRule="exact"/>
        <w:rPr>
          <w:rFonts w:ascii="Arial" w:cs="Arial" w:eastAsia="Arial" w:hAnsi="Arial"/>
          <w:sz w:val="19"/>
          <w:szCs w:val="19"/>
          <w:color w:val="auto"/>
        </w:rPr>
      </w:pPr>
    </w:p>
    <w:p>
      <w:pPr>
        <w:ind w:left="1497" w:right="120" w:hanging="739"/>
        <w:spacing w:after="0" w:line="270" w:lineRule="auto"/>
        <w:tabs>
          <w:tab w:leader="none" w:pos="1168" w:val="left"/>
        </w:tabs>
        <w:numPr>
          <w:ilvl w:val="0"/>
          <w:numId w:val="152"/>
        </w:numPr>
        <w:rPr>
          <w:rFonts w:ascii="Arial" w:cs="Arial" w:eastAsia="Arial" w:hAnsi="Arial"/>
          <w:sz w:val="19"/>
          <w:szCs w:val="19"/>
          <w:color w:val="auto"/>
        </w:rPr>
      </w:pPr>
      <w:r>
        <w:rPr>
          <w:rFonts w:ascii="Arial" w:cs="Arial" w:eastAsia="Arial" w:hAnsi="Arial"/>
          <w:sz w:val="19"/>
          <w:szCs w:val="19"/>
          <w:color w:val="auto"/>
        </w:rPr>
        <w:t>that there is no other information known to the Company or its employees, agents or sub-contractors and not disclosed to us which would affect the opinions expressed below; and</w:t>
      </w:r>
    </w:p>
    <w:p>
      <w:pPr>
        <w:spacing w:after="0" w:line="156" w:lineRule="exact"/>
        <w:rPr>
          <w:rFonts w:ascii="Arial" w:cs="Arial" w:eastAsia="Arial" w:hAnsi="Arial"/>
          <w:sz w:val="19"/>
          <w:szCs w:val="19"/>
          <w:color w:val="auto"/>
        </w:rPr>
      </w:pPr>
    </w:p>
    <w:p>
      <w:pPr>
        <w:ind w:left="1497" w:right="120" w:hanging="739"/>
        <w:spacing w:after="0" w:line="270" w:lineRule="auto"/>
        <w:tabs>
          <w:tab w:leader="none" w:pos="1206" w:val="left"/>
        </w:tabs>
        <w:numPr>
          <w:ilvl w:val="0"/>
          <w:numId w:val="152"/>
        </w:numPr>
        <w:rPr>
          <w:rFonts w:ascii="Arial" w:cs="Arial" w:eastAsia="Arial" w:hAnsi="Arial"/>
          <w:sz w:val="19"/>
          <w:szCs w:val="19"/>
          <w:color w:val="auto"/>
        </w:rPr>
      </w:pPr>
      <w:r>
        <w:rPr>
          <w:rFonts w:ascii="Arial" w:cs="Arial" w:eastAsia="Arial" w:hAnsi="Arial"/>
          <w:sz w:val="19"/>
          <w:szCs w:val="19"/>
          <w:color w:val="auto"/>
        </w:rPr>
        <w:t>that there has been no change in the facts and matters disclosed in the search and enquiry referred to in paragraph 2.5 since we made them.</w:t>
      </w:r>
    </w:p>
    <w:p>
      <w:pPr>
        <w:spacing w:after="0" w:line="372" w:lineRule="exact"/>
        <w:rPr>
          <w:sz w:val="20"/>
          <w:szCs w:val="20"/>
          <w:color w:val="auto"/>
        </w:rPr>
      </w:pPr>
    </w:p>
    <w:p>
      <w:pPr>
        <w:ind w:left="757" w:hanging="757"/>
        <w:spacing w:after="0"/>
        <w:tabs>
          <w:tab w:leader="none" w:pos="757" w:val="left"/>
        </w:tabs>
        <w:numPr>
          <w:ilvl w:val="0"/>
          <w:numId w:val="153"/>
        </w:numPr>
        <w:rPr>
          <w:rFonts w:ascii="Arial" w:cs="Arial" w:eastAsia="Arial" w:hAnsi="Arial"/>
          <w:sz w:val="19"/>
          <w:szCs w:val="19"/>
          <w:b w:val="1"/>
          <w:bCs w:val="1"/>
          <w:color w:val="auto"/>
        </w:rPr>
      </w:pPr>
      <w:r>
        <w:rPr>
          <w:rFonts w:ascii="Arial" w:cs="Arial" w:eastAsia="Arial" w:hAnsi="Arial"/>
          <w:sz w:val="19"/>
          <w:szCs w:val="19"/>
          <w:b w:val="1"/>
          <w:bCs w:val="1"/>
          <w:color w:val="auto"/>
        </w:rPr>
        <w:t>Opinion</w:t>
      </w:r>
    </w:p>
    <w:p>
      <w:pPr>
        <w:spacing w:after="0" w:line="200" w:lineRule="exact"/>
        <w:rPr>
          <w:sz w:val="20"/>
          <w:szCs w:val="20"/>
          <w:color w:val="auto"/>
        </w:rPr>
      </w:pPr>
    </w:p>
    <w:p>
      <w:pPr>
        <w:jc w:val="both"/>
        <w:ind w:left="677" w:right="120" w:hanging="681"/>
        <w:spacing w:after="0" w:line="254" w:lineRule="auto"/>
        <w:tabs>
          <w:tab w:leader="none" w:pos="656"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9"/>
          <w:szCs w:val="19"/>
          <w:color w:val="auto"/>
        </w:rPr>
        <w:t>On the basis of the above assumptions (and subject to the reservations and qualifications set out herein and to any matters not disclosed to us) we are of the opinion that as at today’s date, the Relevant Shares have been duly and validly authorized and issued, fully paid or credited as fully paid.</w:t>
      </w:r>
    </w:p>
    <w:p>
      <w:pPr>
        <w:spacing w:after="0" w:line="184" w:lineRule="exact"/>
        <w:rPr>
          <w:sz w:val="20"/>
          <w:szCs w:val="20"/>
          <w:color w:val="auto"/>
        </w:rPr>
      </w:pPr>
    </w:p>
    <w:p>
      <w:pPr>
        <w:ind w:left="757" w:hanging="757"/>
        <w:spacing w:after="0"/>
        <w:tabs>
          <w:tab w:leader="none" w:pos="757" w:val="left"/>
        </w:tabs>
        <w:numPr>
          <w:ilvl w:val="0"/>
          <w:numId w:val="154"/>
        </w:numPr>
        <w:rPr>
          <w:rFonts w:ascii="Arial" w:cs="Arial" w:eastAsia="Arial" w:hAnsi="Arial"/>
          <w:sz w:val="19"/>
          <w:szCs w:val="19"/>
          <w:b w:val="1"/>
          <w:bCs w:val="1"/>
          <w:color w:val="auto"/>
        </w:rPr>
      </w:pPr>
      <w:r>
        <w:rPr>
          <w:rFonts w:ascii="Arial" w:cs="Arial" w:eastAsia="Arial" w:hAnsi="Arial"/>
          <w:sz w:val="19"/>
          <w:szCs w:val="19"/>
          <w:b w:val="1"/>
          <w:bCs w:val="1"/>
          <w:color w:val="auto"/>
        </w:rPr>
        <w:t>Extent of opinion</w:t>
      </w:r>
    </w:p>
    <w:p>
      <w:pPr>
        <w:spacing w:after="0" w:line="214" w:lineRule="exact"/>
        <w:rPr>
          <w:sz w:val="20"/>
          <w:szCs w:val="20"/>
          <w:color w:val="auto"/>
        </w:rPr>
      </w:pPr>
    </w:p>
    <w:p>
      <w:pPr>
        <w:jc w:val="both"/>
        <w:ind w:left="677" w:right="100" w:hanging="682"/>
        <w:spacing w:after="0" w:line="254" w:lineRule="auto"/>
        <w:tabs>
          <w:tab w:leader="none" w:pos="656" w:val="left"/>
        </w:tabs>
        <w:rPr>
          <w:sz w:val="20"/>
          <w:szCs w:val="20"/>
          <w:color w:val="auto"/>
        </w:rPr>
      </w:pPr>
      <w:r>
        <w:rPr>
          <w:rFonts w:ascii="Arial" w:cs="Arial" w:eastAsia="Arial" w:hAnsi="Arial"/>
          <w:sz w:val="19"/>
          <w:szCs w:val="19"/>
          <w:color w:val="auto"/>
        </w:rPr>
        <w:t>5.1</w:t>
      </w:r>
      <w:r>
        <w:rPr>
          <w:sz w:val="20"/>
          <w:szCs w:val="20"/>
          <w:color w:val="auto"/>
        </w:rPr>
        <w:tab/>
      </w:r>
      <w:r>
        <w:rPr>
          <w:rFonts w:ascii="Arial" w:cs="Arial" w:eastAsia="Arial" w:hAnsi="Arial"/>
          <w:sz w:val="19"/>
          <w:szCs w:val="19"/>
          <w:color w:val="auto"/>
        </w:rPr>
        <w:t>We express no opinion as to any agreement, instrument or other document other than as specified in this letter or as to any liability to tax or duty which may arise or be suffered as a result of or in connection with the transactions contemplated by the Registration Statement.</w:t>
      </w:r>
    </w:p>
    <w:p>
      <w:pPr>
        <w:spacing w:after="0" w:line="170" w:lineRule="exact"/>
        <w:rPr>
          <w:sz w:val="20"/>
          <w:szCs w:val="20"/>
          <w:color w:val="auto"/>
        </w:rPr>
      </w:pPr>
    </w:p>
    <w:p>
      <w:pPr>
        <w:jc w:val="both"/>
        <w:ind w:left="677" w:right="100" w:hanging="682"/>
        <w:spacing w:after="0" w:line="243" w:lineRule="auto"/>
        <w:tabs>
          <w:tab w:leader="none" w:pos="656"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9"/>
          <w:szCs w:val="19"/>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 Our liability under this opinion is limited to $25m. This opinion and any non-contractual obligations arising out of or in relation to this opinion are governed by English law.</w:t>
      </w:r>
    </w:p>
    <w:p>
      <w:pPr>
        <w:spacing w:after="0" w:line="200" w:lineRule="exact"/>
        <w:rPr>
          <w:sz w:val="20"/>
          <w:szCs w:val="20"/>
          <w:color w:val="auto"/>
        </w:rPr>
      </w:pPr>
    </w:p>
    <w:p>
      <w:pPr>
        <w:spacing w:after="0" w:line="201" w:lineRule="exact"/>
        <w:rPr>
          <w:sz w:val="20"/>
          <w:szCs w:val="20"/>
          <w:color w:val="auto"/>
        </w:rPr>
      </w:pPr>
    </w:p>
    <w:p>
      <w:pPr>
        <w:ind w:left="757" w:hanging="757"/>
        <w:spacing w:after="0"/>
        <w:tabs>
          <w:tab w:leader="none" w:pos="757" w:val="left"/>
        </w:tabs>
        <w:numPr>
          <w:ilvl w:val="0"/>
          <w:numId w:val="155"/>
        </w:numPr>
        <w:rPr>
          <w:rFonts w:ascii="Arial" w:cs="Arial" w:eastAsia="Arial" w:hAnsi="Arial"/>
          <w:sz w:val="19"/>
          <w:szCs w:val="19"/>
          <w:b w:val="1"/>
          <w:bCs w:val="1"/>
          <w:color w:val="auto"/>
        </w:rPr>
      </w:pPr>
      <w:r>
        <w:rPr>
          <w:rFonts w:ascii="Arial" w:cs="Arial" w:eastAsia="Arial" w:hAnsi="Arial"/>
          <w:sz w:val="19"/>
          <w:szCs w:val="19"/>
          <w:b w:val="1"/>
          <w:bCs w:val="1"/>
          <w:color w:val="auto"/>
        </w:rPr>
        <w:t>Disclosure and reliance</w:t>
      </w:r>
    </w:p>
    <w:p>
      <w:pPr>
        <w:spacing w:after="0" w:line="200" w:lineRule="exact"/>
        <w:rPr>
          <w:sz w:val="20"/>
          <w:szCs w:val="20"/>
          <w:color w:val="auto"/>
        </w:rPr>
      </w:pPr>
    </w:p>
    <w:p>
      <w:pPr>
        <w:jc w:val="both"/>
        <w:ind w:left="677" w:right="100" w:hanging="682"/>
        <w:spacing w:after="0" w:line="245" w:lineRule="auto"/>
        <w:tabs>
          <w:tab w:leader="none" w:pos="656" w:val="left"/>
        </w:tabs>
        <w:rPr>
          <w:sz w:val="20"/>
          <w:szCs w:val="20"/>
          <w:color w:val="auto"/>
        </w:rPr>
      </w:pPr>
      <w:r>
        <w:rPr>
          <w:rFonts w:ascii="Arial" w:cs="Arial" w:eastAsia="Arial" w:hAnsi="Arial"/>
          <w:sz w:val="19"/>
          <w:szCs w:val="19"/>
          <w:color w:val="auto"/>
        </w:rPr>
        <w:t>6.1</w:t>
      </w:r>
      <w:r>
        <w:rPr>
          <w:sz w:val="20"/>
          <w:szCs w:val="20"/>
          <w:color w:val="auto"/>
        </w:rPr>
        <w:tab/>
      </w:r>
      <w:r>
        <w:rPr>
          <w:rFonts w:ascii="Arial" w:cs="Arial" w:eastAsia="Arial" w:hAnsi="Arial"/>
          <w:sz w:val="19"/>
          <w:szCs w:val="19"/>
          <w:color w:val="auto"/>
        </w:rPr>
        <w:t>This letter is rendered to you for your benefit in connection with the Registration Statement. We consent to the filing of this letter as an exhibit to the Registration Statement. We further consent to the incorporation by reference of this letter and consent into any registration statement filed under the Securities Act with respect to the Relevant Shares. In giving such consent, we do not thereby admit that we are in the category of persons whose consent is required under the Securities Act or the rules and regulations thereunder.</w:t>
      </w:r>
    </w:p>
    <w:p>
      <w:pPr>
        <w:spacing w:after="0" w:line="181" w:lineRule="exact"/>
        <w:rPr>
          <w:sz w:val="20"/>
          <w:szCs w:val="20"/>
          <w:color w:val="auto"/>
        </w:rPr>
      </w:pPr>
    </w:p>
    <w:p>
      <w:pPr>
        <w:ind w:left="677" w:right="140" w:hanging="680"/>
        <w:spacing w:after="0" w:line="270" w:lineRule="auto"/>
        <w:tabs>
          <w:tab w:leader="none" w:pos="656" w:val="left"/>
        </w:tabs>
        <w:rPr>
          <w:sz w:val="20"/>
          <w:szCs w:val="20"/>
          <w:color w:val="auto"/>
        </w:rPr>
      </w:pPr>
      <w:r>
        <w:rPr>
          <w:rFonts w:ascii="Arial" w:cs="Arial" w:eastAsia="Arial" w:hAnsi="Arial"/>
          <w:sz w:val="19"/>
          <w:szCs w:val="19"/>
          <w:color w:val="auto"/>
        </w:rPr>
        <w:t>6.2</w:t>
      </w:r>
      <w:r>
        <w:rPr>
          <w:sz w:val="20"/>
          <w:szCs w:val="20"/>
          <w:color w:val="auto"/>
        </w:rPr>
        <w:tab/>
      </w:r>
      <w:r>
        <w:rPr>
          <w:rFonts w:ascii="Arial" w:cs="Arial" w:eastAsia="Arial" w:hAnsi="Arial"/>
          <w:sz w:val="19"/>
          <w:szCs w:val="19"/>
          <w:color w:val="auto"/>
        </w:rPr>
        <w:t>Other than for the purpose set out in the prior paragraph, this letter may not be relied upon, or assigned, for any purpose, without our prior written consent, which may be granted or withheld in our discretion.</w:t>
      </w:r>
    </w:p>
    <w:p>
      <w:pPr>
        <w:spacing w:after="0" w:line="170" w:lineRule="exact"/>
        <w:rPr>
          <w:sz w:val="20"/>
          <w:szCs w:val="20"/>
          <w:color w:val="auto"/>
        </w:rPr>
      </w:pPr>
    </w:p>
    <w:p>
      <w:pPr>
        <w:ind w:left="17"/>
        <w:spacing w:after="0"/>
        <w:rPr>
          <w:sz w:val="20"/>
          <w:szCs w:val="20"/>
          <w:color w:val="auto"/>
        </w:rPr>
      </w:pPr>
      <w:r>
        <w:rPr>
          <w:rFonts w:ascii="Arial" w:cs="Arial" w:eastAsia="Arial" w:hAnsi="Arial"/>
          <w:sz w:val="19"/>
          <w:szCs w:val="19"/>
          <w:color w:val="auto"/>
        </w:rPr>
        <w:t>Yours faithfully</w:t>
      </w:r>
    </w:p>
    <w:p>
      <w:pPr>
        <w:spacing w:after="0" w:line="214" w:lineRule="exact"/>
        <w:rPr>
          <w:sz w:val="20"/>
          <w:szCs w:val="20"/>
          <w:color w:val="auto"/>
        </w:rPr>
      </w:pPr>
    </w:p>
    <w:p>
      <w:pPr>
        <w:ind w:left="17"/>
        <w:spacing w:after="0"/>
        <w:rPr>
          <w:sz w:val="20"/>
          <w:szCs w:val="20"/>
          <w:color w:val="auto"/>
        </w:rPr>
      </w:pPr>
      <w:r>
        <w:rPr>
          <w:rFonts w:ascii="Arial" w:cs="Arial" w:eastAsia="Arial" w:hAnsi="Arial"/>
          <w:sz w:val="19"/>
          <w:szCs w:val="19"/>
          <w:color w:val="auto"/>
        </w:rPr>
        <w:t>/s/ Taylor Wessing LLP</w:t>
      </w:r>
    </w:p>
    <w:p>
      <w:pPr>
        <w:spacing w:after="0" w:line="214" w:lineRule="exact"/>
        <w:rPr>
          <w:sz w:val="20"/>
          <w:szCs w:val="20"/>
          <w:color w:val="auto"/>
        </w:rPr>
      </w:pPr>
    </w:p>
    <w:p>
      <w:pPr>
        <w:ind w:left="17"/>
        <w:spacing w:after="0"/>
        <w:rPr>
          <w:sz w:val="20"/>
          <w:szCs w:val="20"/>
          <w:color w:val="auto"/>
        </w:rPr>
      </w:pPr>
      <w:r>
        <w:rPr>
          <w:rFonts w:ascii="Arial" w:cs="Arial" w:eastAsia="Arial" w:hAnsi="Arial"/>
          <w:sz w:val="19"/>
          <w:szCs w:val="19"/>
          <w:b w:val="1"/>
          <w:bCs w:val="1"/>
          <w:color w:val="auto"/>
        </w:rPr>
        <w:t>Taylor Wessing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611505</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17"/>
          </w:cols>
          <w:pgMar w:left="463" w:top="1355" w:right="1219" w:bottom="1440" w:gutter="0" w:footer="0" w:header="0"/>
        </w:sectPr>
      </w:pPr>
    </w:p>
    <w:bookmarkStart w:id="192" w:name="page193"/>
    <w:bookmarkEnd w:id="192"/>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INDEPENDENT REGISTERED PUBLIC ACCOUNTING FIRM’S CONSENT</w:t>
      </w:r>
    </w:p>
    <w:p>
      <w:pPr>
        <w:spacing w:after="0" w:line="200" w:lineRule="exact"/>
        <w:rPr>
          <w:sz w:val="20"/>
          <w:szCs w:val="20"/>
          <w:color w:val="auto"/>
        </w:rPr>
      </w:pPr>
    </w:p>
    <w:p>
      <w:pPr>
        <w:spacing w:after="0" w:line="28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hereby consent to the inclusion in this Registration Statement on Form F-1 of our report dated April 23, 2025, relating to the consolidated financial statements of Rezolve AI plc and Subsidiaries as of and for the years ended December 31, 2024 and 2023. We also consent to the reference to our firm under the heading “Experts” appearing therein.</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color w:val="auto"/>
        </w:rPr>
        <w:t>/s/ Grassi &amp; Co., CPAs, P.C.</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Grassi &amp; Co., CPAs, P.C.</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Jericho, New York</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July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23.2</w:t>
      </w:r>
    </w:p>
    <w:p>
      <w:pPr>
        <w:spacing w:after="0" w:line="383" w:lineRule="exact"/>
        <w:rPr>
          <w:sz w:val="20"/>
          <w:szCs w:val="20"/>
          <w:color w:val="auto"/>
        </w:rPr>
      </w:pPr>
    </w:p>
    <w:p>
      <w:pPr>
        <w:ind w:left="1040"/>
        <w:spacing w:after="0"/>
        <w:rPr>
          <w:sz w:val="20"/>
          <w:szCs w:val="20"/>
          <w:color w:val="auto"/>
        </w:rPr>
      </w:pPr>
      <w:r>
        <w:rPr>
          <w:rFonts w:ascii="Arial" w:cs="Arial" w:eastAsia="Arial" w:hAnsi="Arial"/>
          <w:sz w:val="20"/>
          <w:szCs w:val="20"/>
          <w:u w:val="single" w:color="auto"/>
          <w:color w:val="auto"/>
        </w:rPr>
        <w:t>INDEPENDENT REGISTERED PUBLIC ACCOUNTING FIRM’S CONSENT</w:t>
      </w:r>
    </w:p>
    <w:p>
      <w:pPr>
        <w:spacing w:after="0" w:line="200" w:lineRule="exact"/>
        <w:rPr>
          <w:sz w:val="20"/>
          <w:szCs w:val="20"/>
          <w:color w:val="auto"/>
        </w:rPr>
      </w:pPr>
    </w:p>
    <w:p>
      <w:pPr>
        <w:spacing w:after="0" w:line="329" w:lineRule="exact"/>
        <w:rPr>
          <w:sz w:val="20"/>
          <w:szCs w:val="20"/>
          <w:color w:val="auto"/>
        </w:rPr>
      </w:pPr>
    </w:p>
    <w:p>
      <w:pPr>
        <w:jc w:val="both"/>
        <w:ind w:left="20" w:right="100"/>
        <w:spacing w:after="0" w:line="247" w:lineRule="auto"/>
        <w:rPr>
          <w:sz w:val="20"/>
          <w:szCs w:val="20"/>
          <w:color w:val="auto"/>
        </w:rPr>
      </w:pPr>
      <w:r>
        <w:rPr>
          <w:rFonts w:ascii="Arial" w:cs="Arial" w:eastAsia="Arial" w:hAnsi="Arial"/>
          <w:sz w:val="18"/>
          <w:szCs w:val="18"/>
          <w:color w:val="auto"/>
        </w:rPr>
        <w:t>We consent to the inclusion Registration Statement on form F-1 of our auditor’s report dated April 14, 2025, with respect to the combined consolidated financial statements of GroupBy Group of Companies as at December 31, 2024 and 2023 and for each of the years then ended, as filed with the United States Securities and Exchange Commission. We also consent to the reference to our firm under the heading “Experts” in such registration statement.</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MNP LLP</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Chartered Professional Accountants Licensed Public</w:t>
      </w:r>
    </w:p>
    <w:p>
      <w:pPr>
        <w:ind w:left="20"/>
        <w:spacing w:after="0" w:line="229" w:lineRule="auto"/>
        <w:rPr>
          <w:sz w:val="20"/>
          <w:szCs w:val="20"/>
          <w:color w:val="auto"/>
        </w:rPr>
      </w:pPr>
      <w:r>
        <w:rPr>
          <w:rFonts w:ascii="Arial" w:cs="Arial" w:eastAsia="Arial" w:hAnsi="Arial"/>
          <w:sz w:val="20"/>
          <w:szCs w:val="20"/>
          <w:color w:val="auto"/>
        </w:rPr>
        <w:t>Accountants Toronto, Canada</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0"/>
          <w:szCs w:val="20"/>
          <w:color w:val="auto"/>
        </w:rPr>
        <w:t>July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212090</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40" w:right="339" w:bottom="1440" w:gutter="0" w:footer="0" w:header="0"/>
        </w:sectPr>
      </w:pPr>
    </w:p>
    <w:bookmarkStart w:id="194" w:name="page195"/>
    <w:bookmarkEnd w:id="194"/>
    <w:p>
      <w:pPr>
        <w:spacing w:after="0" w:line="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color w:val="auto"/>
        </w:rPr>
        <w:t>CALCULATION OF REGISTRATION FEE</w:t>
      </w:r>
    </w:p>
    <w:p>
      <w:pPr>
        <w:spacing w:after="0" w:line="4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Form F-1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Type)</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REZOLVE AI PLC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CALCULATION OF REGISTRATION FEE</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460" w:type="dxa"/>
            <w:vAlign w:val="bottom"/>
            <w:tcBorders>
              <w:top w:val="single" w:sz="8" w:color="auto"/>
              <w:right w:val="single" w:sz="8" w:color="auto"/>
            </w:tcBorders>
          </w:tcPr>
          <w:p>
            <w:pPr>
              <w:spacing w:after="0"/>
              <w:rPr>
                <w:sz w:val="12"/>
                <w:szCs w:val="12"/>
                <w:color w:val="auto"/>
              </w:rPr>
            </w:pPr>
          </w:p>
        </w:tc>
        <w:tc>
          <w:tcPr>
            <w:tcW w:w="1680" w:type="dxa"/>
            <w:vAlign w:val="bottom"/>
            <w:tcBorders>
              <w:top w:val="single" w:sz="8" w:color="auto"/>
              <w:right w:val="single" w:sz="8" w:color="auto"/>
            </w:tcBorders>
          </w:tcPr>
          <w:p>
            <w:pPr>
              <w:spacing w:after="0"/>
              <w:rPr>
                <w:sz w:val="12"/>
                <w:szCs w:val="12"/>
                <w:color w:val="auto"/>
              </w:rPr>
            </w:pPr>
          </w:p>
        </w:tc>
        <w:tc>
          <w:tcPr>
            <w:tcW w:w="250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7"/>
              </w:rPr>
              <w:t>Proposed Maximum Offering Price per</w:t>
            </w:r>
          </w:p>
        </w:tc>
        <w:tc>
          <w:tcPr>
            <w:tcW w:w="240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6"/>
              </w:rPr>
              <w:t>Proposed Maximum Aggregate Offering</w:t>
            </w:r>
          </w:p>
        </w:tc>
        <w:tc>
          <w:tcPr>
            <w:tcW w:w="1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460" w:type="dxa"/>
            <w:vAlign w:val="bottom"/>
            <w:tcBorders>
              <w:right w:val="single" w:sz="8" w:color="auto"/>
            </w:tcBorders>
            <w:vMerge w:val="restart"/>
          </w:tcPr>
          <w:p>
            <w:pPr>
              <w:ind w:left="1020"/>
              <w:spacing w:after="0"/>
              <w:rPr>
                <w:sz w:val="20"/>
                <w:szCs w:val="20"/>
                <w:color w:val="auto"/>
              </w:rPr>
            </w:pPr>
            <w:r>
              <w:rPr>
                <w:rFonts w:ascii="Times New Roman" w:cs="Times New Roman" w:eastAsia="Times New Roman" w:hAnsi="Times New Roman"/>
                <w:sz w:val="13"/>
                <w:szCs w:val="13"/>
                <w:color w:val="auto"/>
              </w:rPr>
              <w:t>Title of Each Class of</w:t>
            </w:r>
          </w:p>
        </w:tc>
        <w:tc>
          <w:tcPr>
            <w:tcW w:w="16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 xml:space="preserve">Amount to be registered </w:t>
            </w:r>
            <w:r>
              <w:rPr>
                <w:rFonts w:ascii="Times New Roman" w:cs="Times New Roman" w:eastAsia="Times New Roman" w:hAnsi="Times New Roman"/>
                <w:sz w:val="8"/>
                <w:szCs w:val="8"/>
                <w:color w:val="auto"/>
              </w:rPr>
              <w:t>(1)</w:t>
            </w: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Security</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460" w:type="dxa"/>
            <w:vAlign w:val="bottom"/>
            <w:tcBorders>
              <w:right w:val="single" w:sz="8" w:color="auto"/>
            </w:tcBorders>
            <w:vMerge w:val="continue"/>
          </w:tcPr>
          <w:p>
            <w:pPr>
              <w:spacing w:after="0"/>
              <w:rPr>
                <w:sz w:val="14"/>
                <w:szCs w:val="14"/>
                <w:color w:val="auto"/>
              </w:rPr>
            </w:pPr>
          </w:p>
        </w:tc>
        <w:tc>
          <w:tcPr>
            <w:tcW w:w="1680" w:type="dxa"/>
            <w:vAlign w:val="bottom"/>
            <w:tcBorders>
              <w:right w:val="single" w:sz="8" w:color="auto"/>
            </w:tcBorders>
          </w:tcPr>
          <w:p>
            <w:pPr>
              <w:spacing w:after="0"/>
              <w:rPr>
                <w:sz w:val="14"/>
                <w:szCs w:val="14"/>
                <w:color w:val="auto"/>
              </w:rPr>
            </w:pPr>
          </w:p>
        </w:tc>
        <w:tc>
          <w:tcPr>
            <w:tcW w:w="2500" w:type="dxa"/>
            <w:vAlign w:val="bottom"/>
            <w:tcBorders>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Amount of</w:t>
            </w:r>
          </w:p>
        </w:tc>
        <w:tc>
          <w:tcPr>
            <w:tcW w:w="0" w:type="dxa"/>
            <w:vAlign w:val="bottom"/>
          </w:tcPr>
          <w:p>
            <w:pPr>
              <w:spacing w:after="0"/>
              <w:rPr>
                <w:sz w:val="1"/>
                <w:szCs w:val="1"/>
                <w:color w:val="auto"/>
              </w:rPr>
            </w:pPr>
          </w:p>
        </w:tc>
      </w:tr>
      <w:tr>
        <w:trPr>
          <w:trHeight w:val="173"/>
        </w:trPr>
        <w:tc>
          <w:tcPr>
            <w:tcW w:w="346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3"/>
                <w:szCs w:val="13"/>
                <w:color w:val="auto"/>
              </w:rPr>
              <w:t>Securities to be Registered</w:t>
            </w:r>
          </w:p>
        </w:tc>
        <w:tc>
          <w:tcPr>
            <w:tcW w:w="1680" w:type="dxa"/>
            <w:vAlign w:val="bottom"/>
            <w:tcBorders>
              <w:right w:val="single" w:sz="8" w:color="auto"/>
            </w:tcBorders>
          </w:tcPr>
          <w:p>
            <w:pPr>
              <w:spacing w:after="0"/>
              <w:rPr>
                <w:sz w:val="15"/>
                <w:szCs w:val="15"/>
                <w:color w:val="auto"/>
              </w:rPr>
            </w:pPr>
          </w:p>
        </w:tc>
        <w:tc>
          <w:tcPr>
            <w:tcW w:w="2500" w:type="dxa"/>
            <w:vAlign w:val="bottom"/>
            <w:tcBorders>
              <w:right w:val="single" w:sz="8" w:color="auto"/>
            </w:tcBorders>
          </w:tcPr>
          <w:p>
            <w:pPr>
              <w:spacing w:after="0"/>
              <w:rPr>
                <w:sz w:val="15"/>
                <w:szCs w:val="15"/>
                <w:color w:val="auto"/>
              </w:rPr>
            </w:pPr>
          </w:p>
        </w:tc>
        <w:tc>
          <w:tcPr>
            <w:tcW w:w="2400" w:type="dxa"/>
            <w:vAlign w:val="bottom"/>
            <w:tcBorders>
              <w:right w:val="single" w:sz="8" w:color="auto"/>
            </w:tcBorders>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Registration Fee</w:t>
            </w:r>
          </w:p>
        </w:tc>
        <w:tc>
          <w:tcPr>
            <w:tcW w:w="0" w:type="dxa"/>
            <w:vAlign w:val="bottom"/>
          </w:tcPr>
          <w:p>
            <w:pPr>
              <w:spacing w:after="0"/>
              <w:rPr>
                <w:sz w:val="1"/>
                <w:szCs w:val="1"/>
                <w:color w:val="auto"/>
              </w:rPr>
            </w:pPr>
          </w:p>
        </w:tc>
      </w:tr>
      <w:tr>
        <w:trPr>
          <w:trHeight w:val="57"/>
        </w:trPr>
        <w:tc>
          <w:tcPr>
            <w:tcW w:w="346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Ordinary Shares</w:t>
            </w:r>
          </w:p>
        </w:tc>
        <w:tc>
          <w:tcPr>
            <w:tcW w:w="1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20,000,000</w:t>
            </w:r>
          </w:p>
        </w:tc>
        <w:tc>
          <w:tcPr>
            <w:tcW w:w="2500" w:type="dxa"/>
            <w:vAlign w:val="bottom"/>
            <w:tcBorders>
              <w:bottom w:val="single" w:sz="8" w:color="auto"/>
              <w:right w:val="single" w:sz="8" w:color="auto"/>
            </w:tcBorders>
          </w:tcPr>
          <w:p>
            <w:pPr>
              <w:jc w:val="right"/>
              <w:ind w:right="866"/>
              <w:spacing w:after="0"/>
              <w:rPr>
                <w:sz w:val="20"/>
                <w:szCs w:val="20"/>
                <w:color w:val="auto"/>
              </w:rPr>
            </w:pPr>
            <w:r>
              <w:rPr>
                <w:rFonts w:ascii="Times New Roman" w:cs="Times New Roman" w:eastAsia="Times New Roman" w:hAnsi="Times New Roman"/>
                <w:sz w:val="16"/>
                <w:szCs w:val="16"/>
                <w:color w:val="auto"/>
              </w:rPr>
              <w:t xml:space="preserve">$2.82 </w:t>
            </w:r>
            <w:r>
              <w:rPr>
                <w:rFonts w:ascii="Times New Roman" w:cs="Times New Roman" w:eastAsia="Times New Roman" w:hAnsi="Times New Roman"/>
                <w:sz w:val="10"/>
                <w:szCs w:val="10"/>
                <w:color w:val="auto"/>
              </w:rPr>
              <w:t>(2)</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$56,400,000.00</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$8,634.84</w:t>
            </w: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207"/>
        </w:trPr>
        <w:tc>
          <w:tcPr>
            <w:tcW w:w="3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$56,400,000.00</w:t>
            </w:r>
          </w:p>
        </w:tc>
        <w:tc>
          <w:tcPr>
            <w:tcW w:w="12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color w:val="auto"/>
              </w:rPr>
              <w:t>$8,634.84</w:t>
            </w:r>
          </w:p>
        </w:tc>
        <w:tc>
          <w:tcPr>
            <w:tcW w:w="0" w:type="dxa"/>
            <w:vAlign w:val="bottom"/>
          </w:tcPr>
          <w:p>
            <w:pPr>
              <w:spacing w:after="0"/>
              <w:rPr>
                <w:sz w:val="1"/>
                <w:szCs w:val="1"/>
                <w:color w:val="auto"/>
              </w:rPr>
            </w:pPr>
          </w:p>
        </w:tc>
      </w:tr>
      <w:tr>
        <w:trPr>
          <w:trHeight w:val="210"/>
        </w:trPr>
        <w:tc>
          <w:tcPr>
            <w:tcW w:w="3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Fees Previously Paid</w:t>
            </w:r>
          </w:p>
        </w:tc>
        <w:tc>
          <w:tcPr>
            <w:tcW w:w="1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ind w:right="1025"/>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Registration Fee Due</w:t>
            </w:r>
          </w:p>
        </w:tc>
        <w:tc>
          <w:tcPr>
            <w:tcW w:w="1680" w:type="dxa"/>
            <w:vAlign w:val="bottom"/>
            <w:tcBorders>
              <w:right w:val="single" w:sz="8" w:color="auto"/>
            </w:tcBorders>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1200" w:type="dxa"/>
            <w:vAlign w:val="bottom"/>
          </w:tcPr>
          <w:p>
            <w:pPr>
              <w:jc w:val="right"/>
              <w:ind w:right="385"/>
              <w:spacing w:after="0"/>
              <w:rPr>
                <w:sz w:val="20"/>
                <w:szCs w:val="20"/>
                <w:color w:val="auto"/>
              </w:rPr>
            </w:pPr>
            <w:r>
              <w:rPr>
                <w:rFonts w:ascii="Times New Roman" w:cs="Times New Roman" w:eastAsia="Times New Roman" w:hAnsi="Times New Roman"/>
                <w:sz w:val="16"/>
                <w:szCs w:val="16"/>
                <w:color w:val="auto"/>
              </w:rPr>
              <w:t>$8,634.84</w:t>
            </w:r>
          </w:p>
        </w:tc>
        <w:tc>
          <w:tcPr>
            <w:tcW w:w="0" w:type="dxa"/>
            <w:vAlign w:val="bottom"/>
          </w:tcPr>
          <w:p>
            <w:pPr>
              <w:spacing w:after="0"/>
              <w:rPr>
                <w:sz w:val="1"/>
                <w:szCs w:val="1"/>
                <w:color w:val="auto"/>
              </w:rPr>
            </w:pPr>
          </w:p>
        </w:tc>
      </w:tr>
      <w:tr>
        <w:trPr>
          <w:trHeight w:val="559"/>
        </w:trPr>
        <w:tc>
          <w:tcPr>
            <w:tcW w:w="34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400" w:firstLine="8"/>
        <w:spacing w:after="0" w:line="269" w:lineRule="auto"/>
        <w:tabs>
          <w:tab w:leader="none" w:pos="229"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416(a) under the Securities Act of 1933, as amended (the “Securities Act”), there are also being registered an indeterminable number of additional securities as may be issued as a result of stock splits, stock dividends or similar transactions.</w:t>
      </w:r>
    </w:p>
    <w:p>
      <w:pPr>
        <w:ind w:right="160" w:firstLine="8"/>
        <w:spacing w:after="0" w:line="264" w:lineRule="auto"/>
        <w:tabs>
          <w:tab w:leader="none" w:pos="229"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the purpose of the calculation of the registration fee pursuant to Rule 457(c) under the Securities Act, based on the average of the high and the low prices as reported on the Nasdaq Stock Market LLC on July 29, 2025.</w:t>
      </w:r>
    </w:p>
    <w:p>
      <w:pPr>
        <w:ind w:left="240" w:hanging="232"/>
        <w:spacing w:after="0"/>
        <w:tabs>
          <w:tab w:leader="none" w:pos="24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multiplying the proposed maximum aggregate offering price by 0.00015310.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1031875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5" w:name="page196"/>
    <w:bookmarkEnd w:id="19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abstractNum>
  <w:abstractNum w:abstractNumId="1">
    <w:nsid w:val="1A32234B"/>
    <w:multiLevelType w:val="hybridMultilevel"/>
    <w:lvl w:ilvl="0">
      <w:lvlJc w:val="left"/>
      <w:lvlText w:val="•"/>
      <w:numFmt w:val="bullet"/>
      <w:start w:val="1"/>
    </w:lvl>
  </w:abstractNum>
  <w:abstractNum w:abstractNumId="2">
    <w:nsid w:val="3B0FD379"/>
    <w:multiLevelType w:val="hybridMultilevel"/>
    <w:lvl w:ilvl="0">
      <w:lvlJc w:val="left"/>
      <w:lvlText w:val="1"/>
      <w:numFmt w:val="bullet"/>
      <w:start w:val="1"/>
    </w:lvl>
  </w:abstractNum>
  <w:abstractNum w:abstractNumId="3">
    <w:nsid w:val="68EB2F63"/>
    <w:multiLevelType w:val="hybridMultilevel"/>
    <w:lvl w:ilvl="0">
      <w:lvlJc w:val="left"/>
      <w:lvlText w:val="•"/>
      <w:numFmt w:val="bullet"/>
      <w:start w:val="1"/>
    </w:lvl>
  </w:abstractNum>
  <w:abstractNum w:abstractNumId="4">
    <w:nsid w:val="4962813B"/>
    <w:multiLevelType w:val="hybridMultilevel"/>
    <w:lvl w:ilvl="0">
      <w:lvlJc w:val="left"/>
      <w:lvlText w:val="•"/>
      <w:numFmt w:val="bullet"/>
      <w:start w:val="1"/>
    </w:lvl>
  </w:abstractNum>
  <w:abstractNum w:abstractNumId="5">
    <w:nsid w:val="60B6DF70"/>
    <w:multiLevelType w:val="hybridMultilevel"/>
    <w:lvl w:ilvl="0">
      <w:lvlJc w:val="left"/>
      <w:lvlText w:val="•"/>
      <w:numFmt w:val="bullet"/>
      <w:start w:val="1"/>
    </w:lvl>
  </w:abstractNum>
  <w:abstractNum w:abstractNumId="6">
    <w:nsid w:val="6A5EE64"/>
    <w:multiLevelType w:val="hybridMultilevel"/>
    <w:lvl w:ilvl="0">
      <w:lvlJc w:val="left"/>
      <w:lvlText w:val="%1."/>
      <w:numFmt w:val="upperLetter"/>
      <w:start w:val="1"/>
    </w:lvl>
  </w:abstractNum>
  <w:abstractNum w:abstractNumId="7">
    <w:nsid w:val="14330624"/>
    <w:multiLevelType w:val="hybridMultilevel"/>
    <w:lvl w:ilvl="0">
      <w:lvlJc w:val="left"/>
      <w:lvlText w:val="%1."/>
      <w:numFmt w:val="upperLetter"/>
      <w:start w:val="1"/>
    </w:lvl>
  </w:abstractNum>
  <w:abstractNum w:abstractNumId="8">
    <w:nsid w:val="7FFFCA11"/>
    <w:multiLevelType w:val="hybridMultilevel"/>
    <w:lvl w:ilvl="0">
      <w:lvlJc w:val="left"/>
      <w:lvlText w:val="%1."/>
      <w:numFmt w:val="upperLetter"/>
      <w:start w:val="7"/>
    </w:lvl>
  </w:abstractNum>
  <w:abstractNum w:abstractNumId="9">
    <w:nsid w:val="1A27709E"/>
    <w:multiLevelType w:val="hybridMultilevel"/>
    <w:lvl w:ilvl="0">
      <w:lvlJc w:val="left"/>
      <w:lvlText w:val="%1."/>
      <w:numFmt w:val="decimal"/>
      <w:start w:val="1"/>
    </w:lvl>
  </w:abstractNum>
  <w:abstractNum w:abstractNumId="10">
    <w:nsid w:val="71EA1109"/>
    <w:multiLevelType w:val="hybridMultilevel"/>
    <w:lvl w:ilvl="0">
      <w:lvlJc w:val="left"/>
      <w:lvlText w:val="%1."/>
      <w:numFmt w:val="decimal"/>
      <w:start w:val="1"/>
    </w:lvl>
  </w:abstractNum>
  <w:abstractNum w:abstractNumId="11">
    <w:nsid w:val="100F59DC"/>
    <w:multiLevelType w:val="hybridMultilevel"/>
    <w:lvl w:ilvl="0">
      <w:lvlJc w:val="left"/>
      <w:lvlText w:val="(%1)"/>
      <w:numFmt w:val="lowerLetter"/>
      <w:start w:val="1"/>
    </w:lvl>
  </w:abstractNum>
  <w:abstractNum w:abstractNumId="12">
    <w:nsid w:val="7FB7E0AA"/>
    <w:multiLevelType w:val="hybridMultilevel"/>
    <w:lvl w:ilvl="0">
      <w:lvlJc w:val="left"/>
      <w:lvlText w:val="(%1)"/>
      <w:numFmt w:val="lowerLetter"/>
      <w:start w:val="5"/>
    </w:lvl>
  </w:abstractNum>
  <w:abstractNum w:abstractNumId="13">
    <w:nsid w:val="6EB5BD4"/>
    <w:multiLevelType w:val="hybridMultilevel"/>
    <w:lvl w:ilvl="0">
      <w:lvlJc w:val="left"/>
      <w:lvlText w:val="%1."/>
      <w:numFmt w:val="decimal"/>
      <w:start w:val="1"/>
    </w:lvl>
  </w:abstractNum>
  <w:abstractNum w:abstractNumId="14">
    <w:nsid w:val="6F6DD9AC"/>
    <w:multiLevelType w:val="hybridMultilevel"/>
    <w:lvl w:ilvl="0">
      <w:lvlJc w:val="left"/>
      <w:lvlText w:val="%1."/>
      <w:numFmt w:val="decimal"/>
      <w:start w:val="1"/>
    </w:lvl>
  </w:abstractNum>
  <w:abstractNum w:abstractNumId="15">
    <w:nsid w:val="94211F2"/>
    <w:multiLevelType w:val="hybridMultilevel"/>
    <w:lvl w:ilvl="0">
      <w:lvlJc w:val="left"/>
      <w:lvlText w:val="●"/>
      <w:numFmt w:val="bullet"/>
      <w:start w:val="1"/>
    </w:lvl>
  </w:abstractNum>
  <w:abstractNum w:abstractNumId="16">
    <w:nsid w:val="885E1B"/>
    <w:multiLevelType w:val="hybridMultilevel"/>
    <w:lvl w:ilvl="0">
      <w:lvlJc w:val="left"/>
      <w:lvlText w:val="•"/>
      <w:numFmt w:val="bullet"/>
      <w:start w:val="1"/>
    </w:lvl>
  </w:abstractNum>
  <w:abstractNum w:abstractNumId="17">
    <w:nsid w:val="76272110"/>
    <w:multiLevelType w:val="hybridMultilevel"/>
    <w:lvl w:ilvl="0">
      <w:lvlJc w:val="left"/>
      <w:lvlText w:val="(%1)"/>
      <w:numFmt w:val="lowerLetter"/>
      <w:start w:val="1"/>
    </w:lvl>
  </w:abstractNum>
  <w:abstractNum w:abstractNumId="18">
    <w:nsid w:val="4C04A8AF"/>
    <w:multiLevelType w:val="hybridMultilevel"/>
    <w:lvl w:ilvl="0">
      <w:lvlJc w:val="left"/>
      <w:lvlText w:val="(%1)"/>
      <w:numFmt w:val="lowerLetter"/>
      <w:start w:val="5"/>
    </w:lvl>
  </w:abstractNum>
  <w:abstractNum w:abstractNumId="19">
    <w:nsid w:val="1716703B"/>
    <w:multiLevelType w:val="hybridMultilevel"/>
    <w:lvl w:ilvl="0">
      <w:lvlJc w:val="left"/>
      <w:lvlText w:val="(%1)"/>
      <w:numFmt w:val="lowerLetter"/>
      <w:start w:val="18"/>
    </w:lvl>
  </w:abstractNum>
  <w:abstractNum w:abstractNumId="20">
    <w:nsid w:val="14E17E33"/>
    <w:multiLevelType w:val="hybridMultilevel"/>
    <w:lvl w:ilvl="0">
      <w:lvlJc w:val="left"/>
      <w:lvlText w:val="(%1)"/>
      <w:numFmt w:val="lowerLetter"/>
      <w:start w:val="23"/>
    </w:lvl>
  </w:abstractNum>
  <w:abstractNum w:abstractNumId="21">
    <w:nsid w:val="3222E7CD"/>
    <w:multiLevelType w:val="hybridMultilevel"/>
    <w:lvl w:ilvl="0">
      <w:lvlJc w:val="left"/>
      <w:lvlText w:val="(%1)"/>
      <w:numFmt w:val="lowerLetter"/>
      <w:start w:val="27"/>
    </w:lvl>
  </w:abstractNum>
  <w:abstractNum w:abstractNumId="22">
    <w:nsid w:val="74DE0EE3"/>
    <w:multiLevelType w:val="hybridMultilevel"/>
    <w:lvl w:ilvl="0">
      <w:lvlJc w:val="left"/>
      <w:lvlText w:val="2"/>
      <w:numFmt w:val="bullet"/>
      <w:start w:val="1"/>
    </w:lvl>
  </w:abstractNum>
  <w:abstractNum w:abstractNumId="23">
    <w:nsid w:val="68EBC550"/>
    <w:multiLevelType w:val="hybridMultilevel"/>
    <w:lvl w:ilvl="0">
      <w:lvlJc w:val="left"/>
      <w:lvlText w:val="•"/>
      <w:numFmt w:val="bullet"/>
      <w:start w:val="1"/>
    </w:lvl>
  </w:abstractNum>
  <w:abstractNum w:abstractNumId="24">
    <w:nsid w:val="2DF6D648"/>
    <w:multiLevelType w:val="hybridMultilevel"/>
    <w:lvl w:ilvl="0">
      <w:lvlJc w:val="left"/>
      <w:lvlText w:val="•"/>
      <w:numFmt w:val="bullet"/>
      <w:start w:val="1"/>
    </w:lvl>
  </w:abstractNum>
  <w:abstractNum w:abstractNumId="25">
    <w:nsid w:val="46B7D447"/>
    <w:multiLevelType w:val="hybridMultilevel"/>
    <w:lvl w:ilvl="0">
      <w:lvlJc w:val="left"/>
      <w:lvlText w:val="•"/>
      <w:numFmt w:val="bullet"/>
      <w:start w:val="1"/>
    </w:lvl>
  </w:abstractNum>
  <w:abstractNum w:abstractNumId="26">
    <w:nsid w:val="4A2AC315"/>
    <w:multiLevelType w:val="hybridMultilevel"/>
    <w:lvl w:ilvl="0">
      <w:lvlJc w:val="left"/>
      <w:lvlText w:val="•"/>
      <w:numFmt w:val="bullet"/>
      <w:start w:val="1"/>
    </w:lvl>
  </w:abstractNum>
  <w:abstractNum w:abstractNumId="27">
    <w:nsid w:val="39EE015C"/>
    <w:multiLevelType w:val="hybridMultilevel"/>
    <w:lvl w:ilvl="0">
      <w:lvlJc w:val="left"/>
      <w:lvlText w:val="•"/>
      <w:numFmt w:val="bullet"/>
      <w:start w:val="1"/>
    </w:lvl>
  </w:abstractNum>
  <w:abstractNum w:abstractNumId="28">
    <w:nsid w:val="57FC4FBB"/>
    <w:multiLevelType w:val="hybridMultilevel"/>
    <w:lvl w:ilvl="0">
      <w:lvlJc w:val="left"/>
      <w:lvlText w:val="•"/>
      <w:numFmt w:val="bullet"/>
      <w:start w:val="1"/>
    </w:lvl>
  </w:abstractNum>
  <w:abstractNum w:abstractNumId="29">
    <w:nsid w:val="CC1016F"/>
    <w:multiLevelType w:val="hybridMultilevel"/>
    <w:lvl w:ilvl="0">
      <w:lvlJc w:val="left"/>
      <w:lvlText w:val="•"/>
      <w:numFmt w:val="bullet"/>
      <w:start w:val="1"/>
    </w:lvl>
  </w:abstractNum>
  <w:abstractNum w:abstractNumId="30">
    <w:nsid w:val="43F18422"/>
    <w:multiLevelType w:val="hybridMultilevel"/>
    <w:lvl w:ilvl="0">
      <w:lvlJc w:val="left"/>
      <w:lvlText w:val="1"/>
      <w:numFmt w:val="bullet"/>
      <w:start w:val="1"/>
    </w:lvl>
  </w:abstractNum>
  <w:abstractNum w:abstractNumId="31">
    <w:nsid w:val="60EF0119"/>
    <w:multiLevelType w:val="hybridMultilevel"/>
    <w:lvl w:ilvl="0">
      <w:lvlJc w:val="left"/>
      <w:lvlText w:val="2"/>
      <w:numFmt w:val="bullet"/>
      <w:start w:val="1"/>
    </w:lvl>
  </w:abstractNum>
  <w:abstractNum w:abstractNumId="32">
    <w:nsid w:val="26F324BA"/>
    <w:multiLevelType w:val="hybridMultilevel"/>
    <w:lvl w:ilvl="0">
      <w:lvlJc w:val="left"/>
      <w:lvlText w:val="3"/>
      <w:numFmt w:val="bullet"/>
      <w:start w:val="1"/>
    </w:lvl>
  </w:abstractNum>
  <w:abstractNum w:abstractNumId="33">
    <w:nsid w:val="7F01579B"/>
    <w:multiLevelType w:val="hybridMultilevel"/>
    <w:lvl w:ilvl="0">
      <w:lvlJc w:val="left"/>
      <w:lvlText w:val="7"/>
      <w:numFmt w:val="bullet"/>
      <w:start w:val="1"/>
    </w:lvl>
  </w:abstractNum>
  <w:abstractNum w:abstractNumId="34">
    <w:nsid w:val="49DA307D"/>
    <w:multiLevelType w:val="hybridMultilevel"/>
    <w:lvl w:ilvl="0">
      <w:lvlJc w:val="left"/>
      <w:lvlText w:val="%1."/>
      <w:numFmt w:val="upperLetter"/>
      <w:start w:val="1"/>
    </w:lvl>
  </w:abstractNum>
  <w:abstractNum w:abstractNumId="35">
    <w:nsid w:val="7055A5F5"/>
    <w:multiLevelType w:val="hybridMultilevel"/>
    <w:lvl w:ilvl="0">
      <w:lvlJc w:val="left"/>
      <w:lvlText w:val="1"/>
      <w:numFmt w:val="bullet"/>
      <w:start w:val="1"/>
    </w:lvl>
  </w:abstractNum>
  <w:abstractNum w:abstractNumId="36">
    <w:nsid w:val="5FB8370B"/>
    <w:multiLevelType w:val="hybridMultilevel"/>
    <w:lvl w:ilvl="0">
      <w:lvlJc w:val="left"/>
      <w:lvlText w:val="1"/>
      <w:numFmt w:val="bullet"/>
      <w:start w:val="1"/>
    </w:lvl>
  </w:abstractNum>
  <w:abstractNum w:abstractNumId="37">
    <w:nsid w:val="50801EE1"/>
    <w:multiLevelType w:val="hybridMultilevel"/>
    <w:lvl w:ilvl="0">
      <w:lvlJc w:val="left"/>
      <w:lvlText w:val="2"/>
      <w:numFmt w:val="bullet"/>
      <w:start w:val="1"/>
    </w:lvl>
  </w:abstractNum>
  <w:abstractNum w:abstractNumId="38">
    <w:nsid w:val="488AC1A"/>
    <w:multiLevelType w:val="hybridMultilevel"/>
    <w:lvl w:ilvl="0">
      <w:lvlJc w:val="left"/>
      <w:lvlText w:val="•"/>
      <w:numFmt w:val="bullet"/>
      <w:start w:val="1"/>
    </w:lvl>
  </w:abstractNum>
  <w:abstractNum w:abstractNumId="39">
    <w:nsid w:val="5FB8011C"/>
    <w:multiLevelType w:val="hybridMultilevel"/>
    <w:lvl w:ilvl="0">
      <w:lvlJc w:val="left"/>
      <w:lvlText w:val="(%1)"/>
      <w:numFmt w:val="decimal"/>
      <w:start w:val="1"/>
    </w:lvl>
  </w:abstractNum>
  <w:abstractNum w:abstractNumId="40">
    <w:nsid w:val="6AA78F7F"/>
    <w:multiLevelType w:val="hybridMultilevel"/>
    <w:lvl w:ilvl="0">
      <w:lvlJc w:val="left"/>
      <w:lvlText w:val="%1."/>
      <w:numFmt w:val="decimal"/>
      <w:start w:val="1"/>
    </w:lvl>
  </w:abstractNum>
  <w:abstractNum w:abstractNumId="41">
    <w:nsid w:val="7672BD23"/>
    <w:multiLevelType w:val="hybridMultilevel"/>
    <w:lvl w:ilvl="0">
      <w:lvlJc w:val="left"/>
      <w:lvlText w:val="(%1)"/>
      <w:numFmt w:val="lowerLetter"/>
      <w:start w:val="1"/>
    </w:lvl>
  </w:abstractNum>
  <w:abstractNum w:abstractNumId="42">
    <w:nsid w:val="6FC75AF8"/>
    <w:multiLevelType w:val="hybridMultilevel"/>
    <w:lvl w:ilvl="0">
      <w:lvlJc w:val="left"/>
      <w:lvlText w:val="%1."/>
      <w:numFmt w:val="decimal"/>
      <w:start w:val="1"/>
    </w:lvl>
  </w:abstractNum>
  <w:abstractNum w:abstractNumId="43">
    <w:nsid w:val="6A5F7029"/>
    <w:multiLevelType w:val="hybridMultilevel"/>
    <w:lvl w:ilvl="0">
      <w:lvlJc w:val="left"/>
      <w:lvlText w:val="%1."/>
      <w:numFmt w:val="decimal"/>
      <w:start w:val="1"/>
    </w:lvl>
  </w:abstractNum>
  <w:abstractNum w:abstractNumId="44">
    <w:nsid w:val="7D5E18F8"/>
    <w:multiLevelType w:val="hybridMultilevel"/>
    <w:lvl w:ilvl="0">
      <w:lvlJc w:val="left"/>
      <w:lvlText w:val="%1."/>
      <w:numFmt w:val="decimal"/>
      <w:start w:val="6"/>
    </w:lvl>
  </w:abstractNum>
  <w:abstractNum w:abstractNumId="45">
    <w:nsid w:val="5F3534A4"/>
    <w:multiLevelType w:val="hybridMultilevel"/>
    <w:lvl w:ilvl="0">
      <w:lvlJc w:val="left"/>
      <w:lvlText w:val="%1."/>
      <w:numFmt w:val="decimal"/>
      <w:start w:val="1"/>
    </w:lvl>
  </w:abstractNum>
  <w:abstractNum w:abstractNumId="46">
    <w:nsid w:val="73A1821B"/>
    <w:multiLevelType w:val="hybridMultilevel"/>
    <w:lvl w:ilvl="0">
      <w:lvlJc w:val="left"/>
      <w:lvlText w:val="%1."/>
      <w:numFmt w:val="upperLetter"/>
      <w:start w:val="1"/>
    </w:lvl>
  </w:abstractNum>
  <w:abstractNum w:abstractNumId="47">
    <w:nsid w:val="7DE67713"/>
    <w:multiLevelType w:val="hybridMultilevel"/>
    <w:lvl w:ilvl="0">
      <w:lvlJc w:val="left"/>
      <w:lvlText w:val="%1."/>
      <w:numFmt w:val="upperLetter"/>
      <w:start w:val="5"/>
    </w:lvl>
  </w:abstractNum>
  <w:abstractNum w:abstractNumId="48">
    <w:nsid w:val="555C55B5"/>
    <w:multiLevelType w:val="hybridMultilevel"/>
    <w:lvl w:ilvl="0">
      <w:lvlJc w:val="left"/>
      <w:lvlText w:val="%1."/>
      <w:numFmt w:val="decimal"/>
      <w:start w:val="1"/>
    </w:lvl>
  </w:abstractNum>
  <w:abstractNum w:abstractNumId="49">
    <w:nsid w:val="3FA62ACA"/>
    <w:multiLevelType w:val="hybridMultilevel"/>
    <w:lvl w:ilvl="0">
      <w:lvlJc w:val="left"/>
      <w:lvlText w:val="%1."/>
      <w:numFmt w:val="decimal"/>
      <w:start w:val="1"/>
    </w:lvl>
  </w:abstractNum>
  <w:abstractNum w:abstractNumId="50">
    <w:nsid w:val="14FCE74E"/>
    <w:multiLevelType w:val="hybridMultilevel"/>
    <w:lvl w:ilvl="0">
      <w:lvlJc w:val="left"/>
      <w:lvlText w:val="%1."/>
      <w:numFmt w:val="decimal"/>
      <w:start w:val="1"/>
    </w:lvl>
  </w:abstractNum>
  <w:abstractNum w:abstractNumId="51">
    <w:nsid w:val="6A3DD3E8"/>
    <w:multiLevelType w:val="hybridMultilevel"/>
    <w:lvl w:ilvl="0">
      <w:lvlJc w:val="left"/>
      <w:lvlText w:val="%1."/>
      <w:numFmt w:val="decimal"/>
      <w:start w:val="6"/>
    </w:lvl>
  </w:abstractNum>
  <w:abstractNum w:abstractNumId="52">
    <w:nsid w:val="71C91298"/>
    <w:multiLevelType w:val="hybridMultilevel"/>
    <w:lvl w:ilvl="0">
      <w:lvlJc w:val="left"/>
      <w:lvlText w:val="%1."/>
      <w:numFmt w:val="decimal"/>
      <w:start w:val="1"/>
    </w:lvl>
  </w:abstractNum>
  <w:abstractNum w:abstractNumId="53">
    <w:nsid w:val="9DAF632"/>
    <w:multiLevelType w:val="hybridMultilevel"/>
    <w:lvl w:ilvl="0">
      <w:lvlJc w:val="left"/>
      <w:lvlText w:val="(%1)"/>
      <w:numFmt w:val="decimal"/>
      <w:start w:val="1"/>
    </w:lvl>
  </w:abstractNum>
  <w:abstractNum w:abstractNumId="54">
    <w:nsid w:val="53299938"/>
    <w:multiLevelType w:val="hybridMultilevel"/>
    <w:lvl w:ilvl="0">
      <w:lvlJc w:val="left"/>
      <w:lvlText w:val="(%1)"/>
      <w:numFmt w:val="decimal"/>
      <w:start w:val="4"/>
    </w:lvl>
  </w:abstractNum>
  <w:abstractNum w:abstractNumId="55">
    <w:nsid w:val="1FBFE8E0"/>
    <w:multiLevelType w:val="hybridMultilevel"/>
    <w:lvl w:ilvl="0">
      <w:lvlJc w:val="left"/>
      <w:lvlText w:val="(%1)"/>
      <w:numFmt w:val="lowerRoman"/>
      <w:start w:val="1"/>
    </w:lvl>
  </w:abstractNum>
  <w:abstractNum w:abstractNumId="56">
    <w:nsid w:val="5092CA79"/>
    <w:multiLevelType w:val="hybridMultilevel"/>
    <w:lvl w:ilvl="0">
      <w:lvlJc w:val="left"/>
      <w:lvlText w:val="(%1)"/>
      <w:numFmt w:val="lowerRoman"/>
      <w:start w:val="6"/>
    </w:lvl>
  </w:abstractNum>
  <w:abstractNum w:abstractNumId="57">
    <w:nsid w:val="1D545C4D"/>
    <w:multiLevelType w:val="hybridMultilevel"/>
    <w:lvl w:ilvl="0">
      <w:lvlJc w:val="left"/>
      <w:lvlText w:val="(%1)"/>
      <w:numFmt w:val="decimal"/>
      <w:start w:val="2"/>
    </w:lvl>
  </w:abstractNum>
  <w:abstractNum w:abstractNumId="58">
    <w:nsid w:val="59ADEA3D"/>
    <w:multiLevelType w:val="hybridMultilevel"/>
    <w:lvl w:ilvl="0">
      <w:lvlJc w:val="left"/>
      <w:lvlText w:val="(%1)"/>
      <w:numFmt w:val="decimal"/>
      <w:start w:val="3"/>
    </w:lvl>
  </w:abstractNum>
  <w:abstractNum w:abstractNumId="59">
    <w:nsid w:val="288F1A34"/>
    <w:multiLevelType w:val="hybridMultilevel"/>
    <w:lvl w:ilvl="0">
      <w:lvlJc w:val="left"/>
      <w:lvlText w:val="(%1)"/>
      <w:numFmt w:val="upperLetter"/>
      <w:start w:val="1"/>
    </w:lvl>
  </w:abstractNum>
  <w:abstractNum w:abstractNumId="60">
    <w:nsid w:val="2A155DBC"/>
    <w:multiLevelType w:val="hybridMultilevel"/>
    <w:lvl w:ilvl="0">
      <w:lvlJc w:val="left"/>
      <w:lvlText w:val="•"/>
      <w:numFmt w:val="bullet"/>
      <w:start w:val="1"/>
    </w:lvl>
  </w:abstractNum>
  <w:abstractNum w:abstractNumId="61">
    <w:nsid w:val="1D9F6E5F"/>
    <w:multiLevelType w:val="hybridMultilevel"/>
    <w:lvl w:ilvl="0">
      <w:lvlJc w:val="left"/>
      <w:lvlText w:val="•"/>
      <w:numFmt w:val="bullet"/>
      <w:start w:val="1"/>
    </w:lvl>
  </w:abstractNum>
  <w:abstractNum w:abstractNumId="62">
    <w:nsid w:val="97E1B4E"/>
    <w:multiLevelType w:val="hybridMultilevel"/>
    <w:lvl w:ilvl="0">
      <w:lvlJc w:val="left"/>
      <w:lvlText w:val="•"/>
      <w:numFmt w:val="bullet"/>
      <w:start w:val="1"/>
    </w:lvl>
  </w:abstractNum>
  <w:abstractNum w:abstractNumId="63">
    <w:nsid w:val="51088277"/>
    <w:multiLevelType w:val="hybridMultilevel"/>
    <w:lvl w:ilvl="0">
      <w:lvlJc w:val="left"/>
      <w:lvlText w:val="•"/>
      <w:numFmt w:val="bullet"/>
      <w:start w:val="1"/>
    </w:lvl>
  </w:abstractNum>
  <w:abstractNum w:abstractNumId="64">
    <w:nsid w:val="1CA0C5FA"/>
    <w:multiLevelType w:val="hybridMultilevel"/>
    <w:lvl w:ilvl="0">
      <w:lvlJc w:val="left"/>
      <w:lvlText w:val="%1."/>
      <w:numFmt w:val="decimal"/>
      <w:start w:val="1"/>
    </w:lvl>
  </w:abstractNum>
  <w:abstractNum w:abstractNumId="65">
    <w:nsid w:val="53584BCB"/>
    <w:multiLevelType w:val="hybridMultilevel"/>
    <w:lvl w:ilvl="0">
      <w:lvlJc w:val="left"/>
      <w:lvlText w:val="%1."/>
      <w:numFmt w:val="decimal"/>
      <w:start w:val="3"/>
    </w:lvl>
  </w:abstractNum>
  <w:abstractNum w:abstractNumId="66">
    <w:nsid w:val="415E286C"/>
    <w:multiLevelType w:val="hybridMultilevel"/>
    <w:lvl w:ilvl="0">
      <w:lvlJc w:val="left"/>
      <w:lvlText w:val="*"/>
      <w:numFmt w:val="bullet"/>
      <w:start w:val="1"/>
    </w:lvl>
    <w:lvl w:ilvl="1">
      <w:lvlJc w:val="left"/>
      <w:lvlText w:val="(%2)"/>
      <w:numFmt w:val="decimal"/>
      <w:start w:val="1"/>
    </w:lvl>
  </w:abstractNum>
  <w:abstractNum w:abstractNumId="67">
    <w:nsid w:val="7C58FD05"/>
    <w:multiLevelType w:val="hybridMultilevel"/>
    <w:lvl w:ilvl="0">
      <w:lvlJc w:val="left"/>
      <w:lvlText w:val="•"/>
      <w:numFmt w:val="bullet"/>
      <w:start w:val="1"/>
    </w:lvl>
  </w:abstractNum>
  <w:abstractNum w:abstractNumId="68">
    <w:nsid w:val="23D86AAC"/>
    <w:multiLevelType w:val="hybridMultilevel"/>
    <w:lvl w:ilvl="0">
      <w:lvlJc w:val="left"/>
      <w:lvlText w:val="•"/>
      <w:numFmt w:val="bullet"/>
      <w:start w:val="1"/>
    </w:lvl>
  </w:abstractNum>
  <w:abstractNum w:abstractNumId="69">
    <w:nsid w:val="45E6D486"/>
    <w:multiLevelType w:val="hybridMultilevel"/>
    <w:lvl w:ilvl="0">
      <w:lvlJc w:val="left"/>
      <w:lvlText w:val="•"/>
      <w:numFmt w:val="bullet"/>
      <w:start w:val="1"/>
    </w:lvl>
  </w:abstractNum>
  <w:abstractNum w:abstractNumId="70">
    <w:nsid w:val="5C10FE21"/>
    <w:multiLevelType w:val="hybridMultilevel"/>
    <w:lvl w:ilvl="0">
      <w:lvlJc w:val="left"/>
      <w:lvlText w:val="(%1)"/>
      <w:numFmt w:val="lowerRoman"/>
      <w:start w:val="1"/>
    </w:lvl>
  </w:abstractNum>
  <w:abstractNum w:abstractNumId="71">
    <w:nsid w:val="E7FFA2B"/>
    <w:multiLevelType w:val="hybridMultilevel"/>
    <w:lvl w:ilvl="0">
      <w:lvlJc w:val="left"/>
      <w:lvlText w:val="•"/>
      <w:numFmt w:val="bullet"/>
      <w:start w:val="1"/>
    </w:lvl>
  </w:abstractNum>
  <w:abstractNum w:abstractNumId="72">
    <w:nsid w:val="3C5991AA"/>
    <w:multiLevelType w:val="hybridMultilevel"/>
    <w:lvl w:ilvl="0">
      <w:lvlJc w:val="left"/>
      <w:lvlText w:val="•"/>
      <w:numFmt w:val="bullet"/>
      <w:start w:val="1"/>
    </w:lvl>
  </w:abstractNum>
  <w:abstractNum w:abstractNumId="73">
    <w:nsid w:val="4BD8591A"/>
    <w:multiLevelType w:val="hybridMultilevel"/>
    <w:lvl w:ilvl="0">
      <w:lvlJc w:val="left"/>
      <w:lvlText w:val="•"/>
      <w:numFmt w:val="bullet"/>
      <w:start w:val="1"/>
    </w:lvl>
  </w:abstractNum>
  <w:abstractNum w:abstractNumId="74">
    <w:nsid w:val="78DF6A55"/>
    <w:multiLevelType w:val="hybridMultilevel"/>
    <w:lvl w:ilvl="0">
      <w:lvlJc w:val="left"/>
      <w:lvlText w:val="•"/>
      <w:numFmt w:val="bullet"/>
      <w:start w:val="1"/>
    </w:lvl>
  </w:abstractNum>
  <w:abstractNum w:abstractNumId="75">
    <w:nsid w:val="39B7AAA2"/>
    <w:multiLevelType w:val="hybridMultilevel"/>
    <w:lvl w:ilvl="0">
      <w:lvlJc w:val="left"/>
      <w:lvlText w:val="•"/>
      <w:numFmt w:val="bullet"/>
      <w:start w:val="1"/>
    </w:lvl>
  </w:abstractNum>
  <w:abstractNum w:abstractNumId="76">
    <w:nsid w:val="2B0D8DBE"/>
    <w:multiLevelType w:val="hybridMultilevel"/>
    <w:lvl w:ilvl="0">
      <w:lvlJc w:val="left"/>
      <w:lvlText w:val="•"/>
      <w:numFmt w:val="bullet"/>
      <w:start w:val="1"/>
    </w:lvl>
  </w:abstractNum>
  <w:abstractNum w:abstractNumId="77">
    <w:nsid w:val="6C80EC70"/>
    <w:multiLevelType w:val="hybridMultilevel"/>
    <w:lvl w:ilvl="0">
      <w:lvlJc w:val="left"/>
      <w:lvlText w:val="•"/>
      <w:numFmt w:val="bullet"/>
      <w:start w:val="1"/>
    </w:lvl>
  </w:abstractNum>
  <w:abstractNum w:abstractNumId="78">
    <w:nsid w:val="379E21B5"/>
    <w:multiLevelType w:val="hybridMultilevel"/>
    <w:lvl w:ilvl="0">
      <w:lvlJc w:val="left"/>
      <w:lvlText w:val="•"/>
      <w:numFmt w:val="bullet"/>
      <w:start w:val="1"/>
    </w:lvl>
  </w:abstractNum>
  <w:abstractNum w:abstractNumId="79">
    <w:nsid w:val="69E373"/>
    <w:multiLevelType w:val="hybridMultilevel"/>
    <w:lvl w:ilvl="0">
      <w:lvlJc w:val="left"/>
      <w:lvlText w:val="•"/>
      <w:numFmt w:val="bullet"/>
      <w:start w:val="1"/>
    </w:lvl>
  </w:abstractNum>
  <w:abstractNum w:abstractNumId="80">
    <w:nsid w:val="2C27173B"/>
    <w:multiLevelType w:val="hybridMultilevel"/>
    <w:lvl w:ilvl="0">
      <w:lvlJc w:val="left"/>
      <w:lvlText w:val="*"/>
      <w:numFmt w:val="bullet"/>
      <w:start w:val="1"/>
    </w:lvl>
  </w:abstractNum>
  <w:abstractNum w:abstractNumId="81">
    <w:nsid w:val="4C9B0904"/>
    <w:multiLevelType w:val="hybridMultilevel"/>
    <w:lvl w:ilvl="0">
      <w:lvlJc w:val="left"/>
      <w:lvlText w:val="%1."/>
      <w:numFmt w:val="decimal"/>
      <w:start w:val="1"/>
    </w:lvl>
  </w:abstractNum>
  <w:abstractNum w:abstractNumId="82">
    <w:nsid w:val="6AA7B75C"/>
    <w:multiLevelType w:val="hybridMultilevel"/>
    <w:lvl w:ilvl="0">
      <w:lvlJc w:val="left"/>
      <w:lvlText w:val="2"/>
      <w:numFmt w:val="bullet"/>
      <w:start w:val="1"/>
    </w:lvl>
  </w:abstractNum>
  <w:abstractNum w:abstractNumId="83">
    <w:nsid w:val="1DF029D3"/>
    <w:multiLevelType w:val="hybridMultilevel"/>
    <w:lvl w:ilvl="0">
      <w:lvlJc w:val="left"/>
      <w:lvlText w:val="•"/>
      <w:numFmt w:val="bullet"/>
      <w:start w:val="1"/>
    </w:lvl>
  </w:abstractNum>
  <w:abstractNum w:abstractNumId="84">
    <w:nsid w:val="5675FF36"/>
    <w:multiLevelType w:val="hybridMultilevel"/>
    <w:lvl w:ilvl="0">
      <w:lvlJc w:val="left"/>
      <w:lvlText w:val="•"/>
      <w:numFmt w:val="bullet"/>
      <w:start w:val="1"/>
    </w:lvl>
  </w:abstractNum>
  <w:abstractNum w:abstractNumId="85">
    <w:nsid w:val="3DD15094"/>
    <w:multiLevelType w:val="hybridMultilevel"/>
    <w:lvl w:ilvl="0">
      <w:lvlJc w:val="left"/>
      <w:lvlText w:val="•"/>
      <w:numFmt w:val="bullet"/>
      <w:start w:val="1"/>
    </w:lvl>
  </w:abstractNum>
  <w:abstractNum w:abstractNumId="86">
    <w:nsid w:val="3DB012B3"/>
    <w:multiLevelType w:val="hybridMultilevel"/>
    <w:lvl w:ilvl="0">
      <w:lvlJc w:val="left"/>
      <w:lvlText w:val="•"/>
      <w:numFmt w:val="bullet"/>
      <w:start w:val="1"/>
    </w:lvl>
  </w:abstractNum>
  <w:abstractNum w:abstractNumId="87">
    <w:nsid w:val="2708C9AF"/>
    <w:multiLevelType w:val="hybridMultilevel"/>
    <w:lvl w:ilvl="0">
      <w:lvlJc w:val="left"/>
      <w:lvlText w:val="•"/>
      <w:numFmt w:val="bullet"/>
      <w:start w:val="1"/>
    </w:lvl>
  </w:abstractNum>
  <w:abstractNum w:abstractNumId="88">
    <w:nsid w:val="5B25ACE2"/>
    <w:multiLevelType w:val="hybridMultilevel"/>
    <w:lvl w:ilvl="0">
      <w:lvlJc w:val="left"/>
      <w:lvlText w:val="•"/>
      <w:numFmt w:val="bullet"/>
      <w:start w:val="1"/>
    </w:lvl>
  </w:abstractNum>
  <w:abstractNum w:abstractNumId="89">
    <w:nsid w:val="175DFCF0"/>
    <w:multiLevelType w:val="hybridMultilevel"/>
    <w:lvl w:ilvl="0">
      <w:lvlJc w:val="left"/>
      <w:lvlText w:val="(%1)"/>
      <w:numFmt w:val="decimal"/>
      <w:start w:val="1"/>
    </w:lvl>
  </w:abstractNum>
  <w:abstractNum w:abstractNumId="90">
    <w:nsid w:val="4F97E3E4"/>
    <w:multiLevelType w:val="hybridMultilevel"/>
    <w:lvl w:ilvl="0">
      <w:lvlJc w:val="left"/>
      <w:lvlText w:val="•"/>
      <w:numFmt w:val="bullet"/>
      <w:start w:val="1"/>
    </w:lvl>
  </w:abstractNum>
  <w:abstractNum w:abstractNumId="91">
    <w:nsid w:val="53B0A9E"/>
    <w:multiLevelType w:val="hybridMultilevel"/>
    <w:lvl w:ilvl="0">
      <w:lvlJc w:val="left"/>
      <w:lvlText w:val="%1."/>
      <w:numFmt w:val="decimal"/>
      <w:start w:val="3"/>
    </w:lvl>
  </w:abstractNum>
  <w:abstractNum w:abstractNumId="92">
    <w:nsid w:val="34FD6B4F"/>
    <w:multiLevelType w:val="hybridMultilevel"/>
    <w:lvl w:ilvl="0">
      <w:lvlJc w:val="left"/>
      <w:lvlText w:val="•"/>
      <w:numFmt w:val="bullet"/>
      <w:start w:val="1"/>
    </w:lvl>
  </w:abstractNum>
  <w:abstractNum w:abstractNumId="93">
    <w:nsid w:val="5915FF32"/>
    <w:multiLevelType w:val="hybridMultilevel"/>
    <w:lvl w:ilvl="0">
      <w:lvlJc w:val="left"/>
      <w:lvlText w:val="•"/>
      <w:numFmt w:val="bullet"/>
      <w:start w:val="1"/>
    </w:lvl>
  </w:abstractNum>
  <w:abstractNum w:abstractNumId="94">
    <w:nsid w:val="56438D15"/>
    <w:multiLevelType w:val="hybridMultilevel"/>
    <w:lvl w:ilvl="0">
      <w:lvlJc w:val="left"/>
      <w:lvlText w:val="•"/>
      <w:numFmt w:val="bullet"/>
      <w:start w:val="1"/>
    </w:lvl>
  </w:abstractNum>
  <w:abstractNum w:abstractNumId="95">
    <w:nsid w:val="519E3149"/>
    <w:multiLevelType w:val="hybridMultilevel"/>
    <w:lvl w:ilvl="0">
      <w:lvlJc w:val="left"/>
      <w:lvlText w:val="•"/>
      <w:numFmt w:val="bullet"/>
      <w:start w:val="1"/>
    </w:lvl>
  </w:abstractNum>
  <w:abstractNum w:abstractNumId="96">
    <w:nsid w:val="2C6E4AFD"/>
    <w:multiLevelType w:val="hybridMultilevel"/>
    <w:lvl w:ilvl="0">
      <w:lvlJc w:val="left"/>
      <w:lvlText w:val="•"/>
      <w:numFmt w:val="bullet"/>
      <w:start w:val="1"/>
    </w:lvl>
  </w:abstractNum>
  <w:abstractNum w:abstractNumId="97">
    <w:nsid w:val="17A1B582"/>
    <w:multiLevelType w:val="hybridMultilevel"/>
    <w:lvl w:ilvl="0">
      <w:lvlJc w:val="left"/>
      <w:lvlText w:val="(%1)"/>
      <w:numFmt w:val="lowerRoman"/>
      <w:start w:val="2"/>
    </w:lvl>
  </w:abstractNum>
  <w:abstractNum w:abstractNumId="98">
    <w:nsid w:val="4DF72E4E"/>
    <w:multiLevelType w:val="hybridMultilevel"/>
    <w:lvl w:ilvl="0">
      <w:lvlJc w:val="left"/>
      <w:lvlText w:val="%1."/>
      <w:numFmt w:val="decimal"/>
      <w:start w:val="8"/>
    </w:lvl>
  </w:abstractNum>
  <w:abstractNum w:abstractNumId="99">
    <w:nsid w:val="5046B5A9"/>
    <w:multiLevelType w:val="hybridMultilevel"/>
    <w:lvl w:ilvl="0">
      <w:lvlJc w:val="left"/>
      <w:lvlText w:val="%1."/>
      <w:numFmt w:val="decimal"/>
      <w:start w:val="9"/>
    </w:lvl>
  </w:abstractNum>
  <w:abstractNum w:abstractNumId="100">
    <w:nsid w:val="5D888A08"/>
    <w:multiLevelType w:val="hybridMultilevel"/>
    <w:lvl w:ilvl="0">
      <w:lvlJc w:val="left"/>
      <w:lvlText w:val="%1."/>
      <w:numFmt w:val="decimal"/>
      <w:start w:val="10"/>
    </w:lvl>
  </w:abstractNum>
  <w:abstractNum w:abstractNumId="101">
    <w:nsid w:val="2A082C70"/>
    <w:multiLevelType w:val="hybridMultilevel"/>
    <w:lvl w:ilvl="0">
      <w:lvlJc w:val="left"/>
      <w:lvlText w:val="%1."/>
      <w:numFmt w:val="decimal"/>
      <w:start w:val="1"/>
    </w:lvl>
  </w:abstractNum>
  <w:abstractNum w:abstractNumId="102">
    <w:nsid w:val="5EC6AFD4"/>
    <w:multiLevelType w:val="hybridMultilevel"/>
    <w:lvl w:ilvl="0">
      <w:lvlJc w:val="left"/>
      <w:lvlText w:val="%1."/>
      <w:numFmt w:val="decimal"/>
      <w:start w:val="1"/>
    </w:lvl>
  </w:abstractNum>
  <w:abstractNum w:abstractNumId="103">
    <w:nsid w:val="19E21BB2"/>
    <w:multiLevelType w:val="hybridMultilevel"/>
    <w:lvl w:ilvl="0">
      <w:lvlJc w:val="left"/>
      <w:lvlText w:val="(%1)"/>
      <w:numFmt w:val="decimal"/>
      <w:start w:val="1"/>
    </w:lvl>
  </w:abstractNum>
  <w:abstractNum w:abstractNumId="104">
    <w:nsid w:val="75E0858A"/>
    <w:multiLevelType w:val="hybridMultilevel"/>
    <w:lvl w:ilvl="0">
      <w:lvlJc w:val="left"/>
      <w:lvlText w:val="%1."/>
      <w:numFmt w:val="decimal"/>
      <w:start w:val="11"/>
    </w:lvl>
  </w:abstractNum>
  <w:abstractNum w:abstractNumId="105">
    <w:nsid w:val="57A61A29"/>
    <w:multiLevelType w:val="hybridMultilevel"/>
    <w:lvl w:ilvl="0">
      <w:lvlJc w:val="left"/>
      <w:lvlText w:val="%1."/>
      <w:numFmt w:val="decimal"/>
      <w:start w:val="12"/>
    </w:lvl>
  </w:abstractNum>
  <w:abstractNum w:abstractNumId="106">
    <w:nsid w:val="5399C654"/>
    <w:multiLevelType w:val="hybridMultilevel"/>
    <w:lvl w:ilvl="0">
      <w:lvlJc w:val="left"/>
      <w:lvlText w:val="%1."/>
      <w:numFmt w:val="decimal"/>
      <w:start w:val="1"/>
    </w:lvl>
  </w:abstractNum>
  <w:abstractNum w:abstractNumId="107">
    <w:nsid w:val="20EE1348"/>
    <w:multiLevelType w:val="hybridMultilevel"/>
    <w:lvl w:ilvl="0">
      <w:lvlJc w:val="left"/>
      <w:lvlText w:val="%1"/>
      <w:numFmt w:val="decimal"/>
      <w:start w:val="1"/>
    </w:lvl>
    <w:lvl w:ilvl="1">
      <w:lvlJc w:val="left"/>
      <w:lvlText w:val="%2."/>
      <w:numFmt w:val="decimal"/>
      <w:start w:val="2"/>
    </w:lvl>
  </w:abstractNum>
  <w:abstractNum w:abstractNumId="108">
    <w:nsid w:val="4427069A"/>
    <w:multiLevelType w:val="hybridMultilevel"/>
    <w:lvl w:ilvl="0">
      <w:lvlJc w:val="left"/>
      <w:lvlText w:val="%1."/>
      <w:numFmt w:val="decimal"/>
      <w:start w:val="14"/>
    </w:lvl>
    <w:lvl w:ilvl="1">
      <w:lvlJc w:val="left"/>
      <w:lvlText w:val="%2"/>
      <w:numFmt w:val="decimal"/>
      <w:start w:val="1"/>
    </w:lvl>
  </w:abstractNum>
  <w:abstractNum w:abstractNumId="109">
    <w:nsid w:val="B37E80A"/>
    <w:multiLevelType w:val="hybridMultilevel"/>
    <w:lvl w:ilvl="0">
      <w:lvlJc w:val="left"/>
      <w:lvlText w:val="%1."/>
      <w:numFmt w:val="decimal"/>
      <w:start w:val="15"/>
    </w:lvl>
  </w:abstractNum>
  <w:abstractNum w:abstractNumId="110">
    <w:nsid w:val="2157F6BC"/>
    <w:multiLevelType w:val="hybridMultilevel"/>
    <w:lvl w:ilvl="0">
      <w:lvlJc w:val="left"/>
      <w:lvlText w:val="%1."/>
      <w:numFmt w:val="lowerLetter"/>
      <w:start w:val="1"/>
    </w:lvl>
  </w:abstractNum>
  <w:abstractNum w:abstractNumId="111">
    <w:nsid w:val="704E1DD5"/>
    <w:multiLevelType w:val="hybridMultilevel"/>
    <w:lvl w:ilvl="0">
      <w:lvlJc w:val="left"/>
      <w:lvlText w:val="%1."/>
      <w:numFmt w:val="decimal"/>
      <w:start w:val="1"/>
    </w:lvl>
  </w:abstractNum>
  <w:abstractNum w:abstractNumId="112">
    <w:nsid w:val="57D2F10E"/>
    <w:multiLevelType w:val="hybridMultilevel"/>
    <w:lvl w:ilvl="0">
      <w:lvlJc w:val="left"/>
      <w:lvlText w:val="%1"/>
      <w:numFmt w:val="decimal"/>
      <w:start w:val="1"/>
    </w:lvl>
    <w:lvl w:ilvl="1">
      <w:lvlJc w:val="left"/>
      <w:lvlText w:val="(%2)"/>
      <w:numFmt w:val="lowerLetter"/>
      <w:start w:val="1"/>
    </w:lvl>
  </w:abstractNum>
  <w:abstractNum w:abstractNumId="113">
    <w:nsid w:val="BFFAE18"/>
    <w:multiLevelType w:val="hybridMultilevel"/>
    <w:lvl w:ilvl="0">
      <w:lvlJc w:val="left"/>
      <w:lvlText w:val="%1."/>
      <w:numFmt w:val="decimal"/>
      <w:start w:val="17"/>
    </w:lvl>
    <w:lvl w:ilvl="1">
      <w:lvlJc w:val="left"/>
      <w:lvlText w:val="%2"/>
      <w:numFmt w:val="lowerLetter"/>
      <w:start w:val="1"/>
    </w:lvl>
  </w:abstractNum>
  <w:abstractNum w:abstractNumId="114">
    <w:nsid w:val="E3E47A8"/>
    <w:multiLevelType w:val="hybridMultilevel"/>
    <w:lvl w:ilvl="0">
      <w:lvlJc w:val="left"/>
      <w:lvlText w:val="▪"/>
      <w:numFmt w:val="bullet"/>
      <w:start w:val="1"/>
    </w:lvl>
  </w:abstractNum>
  <w:abstractNum w:abstractNumId="115">
    <w:nsid w:val="2E48F044"/>
    <w:multiLevelType w:val="hybridMultilevel"/>
    <w:lvl w:ilvl="0">
      <w:lvlJc w:val="left"/>
      <w:lvlText w:val="▪"/>
      <w:numFmt w:val="bullet"/>
      <w:start w:val="1"/>
    </w:lvl>
  </w:abstractNum>
  <w:abstractNum w:abstractNumId="116">
    <w:nsid w:val="49D0FEAC"/>
    <w:multiLevelType w:val="hybridMultilevel"/>
    <w:lvl w:ilvl="0">
      <w:lvlJc w:val="left"/>
      <w:lvlText w:val="%1."/>
      <w:numFmt w:val="decimal"/>
      <w:start w:val="1"/>
    </w:lvl>
  </w:abstractNum>
  <w:abstractNum w:abstractNumId="117">
    <w:nsid w:val="4BEE5A5B"/>
    <w:multiLevelType w:val="hybridMultilevel"/>
    <w:lvl w:ilvl="0">
      <w:lvlJc w:val="left"/>
      <w:lvlText w:val="%1."/>
      <w:numFmt w:val="decimal"/>
      <w:start w:val="2"/>
    </w:lvl>
  </w:abstractNum>
  <w:abstractNum w:abstractNumId="118">
    <w:nsid w:val="5551B9F3"/>
    <w:multiLevelType w:val="hybridMultilevel"/>
    <w:lvl w:ilvl="0">
      <w:lvlJc w:val="left"/>
      <w:lvlText w:val="%1."/>
      <w:numFmt w:val="decimal"/>
      <w:start w:val="3"/>
    </w:lvl>
  </w:abstractNum>
  <w:abstractNum w:abstractNumId="119">
    <w:nsid w:val="24F6AB8E"/>
    <w:multiLevelType w:val="hybridMultilevel"/>
    <w:lvl w:ilvl="0">
      <w:lvlJc w:val="left"/>
      <w:lvlText w:val=")"/>
      <w:numFmt w:val="bullet"/>
      <w:start w:val="1"/>
    </w:lvl>
  </w:abstractNum>
  <w:abstractNum w:abstractNumId="120">
    <w:nsid w:val="634C574C"/>
    <w:multiLevelType w:val="hybridMultilevel"/>
    <w:lvl w:ilvl="0">
      <w:lvlJc w:val="left"/>
      <w:lvlText w:val="%1."/>
      <w:numFmt w:val="decimal"/>
      <w:start w:val="1"/>
    </w:lvl>
  </w:abstractNum>
  <w:abstractNum w:abstractNumId="121">
    <w:nsid w:val="24E99DD7"/>
    <w:multiLevelType w:val="hybridMultilevel"/>
    <w:lvl w:ilvl="0">
      <w:lvlJc w:val="left"/>
      <w:lvlText w:val="%1."/>
      <w:numFmt w:val="decimal"/>
      <w:start w:val="5"/>
    </w:lvl>
  </w:abstractNum>
  <w:abstractNum w:abstractNumId="122">
    <w:nsid w:val="2A31B62D"/>
    <w:multiLevelType w:val="hybridMultilevel"/>
    <w:lvl w:ilvl="0">
      <w:lvlJc w:val="left"/>
      <w:lvlText w:val="%1."/>
      <w:numFmt w:val="decimal"/>
      <w:start w:val="6"/>
    </w:lvl>
  </w:abstractNum>
  <w:abstractNum w:abstractNumId="123">
    <w:nsid w:val="1849C29B"/>
    <w:multiLevelType w:val="hybridMultilevel"/>
    <w:lvl w:ilvl="0">
      <w:lvlJc w:val="left"/>
      <w:lvlText w:val="%1."/>
      <w:numFmt w:val="decimal"/>
      <w:start w:val="7"/>
    </w:lvl>
  </w:abstractNum>
  <w:abstractNum w:abstractNumId="124">
    <w:nsid w:val="7DFF9D09"/>
    <w:multiLevelType w:val="hybridMultilevel"/>
    <w:lvl w:ilvl="0">
      <w:lvlJc w:val="left"/>
      <w:lvlText w:val="%1."/>
      <w:numFmt w:val="decimal"/>
      <w:start w:val="8"/>
    </w:lvl>
  </w:abstractNum>
  <w:abstractNum w:abstractNumId="125">
    <w:nsid w:val="754342"/>
    <w:multiLevelType w:val="hybridMultilevel"/>
    <w:lvl w:ilvl="0">
      <w:lvlJc w:val="left"/>
      <w:lvlText w:val="%1."/>
      <w:numFmt w:val="decimal"/>
      <w:start w:val="9"/>
    </w:lvl>
  </w:abstractNum>
  <w:abstractNum w:abstractNumId="126">
    <w:nsid w:val="69E7F3E5"/>
    <w:multiLevelType w:val="hybridMultilevel"/>
    <w:lvl w:ilvl="0">
      <w:lvlJc w:val="left"/>
      <w:lvlText w:val="%1."/>
      <w:numFmt w:val="decimal"/>
      <w:start w:val="10"/>
    </w:lvl>
  </w:abstractNum>
  <w:abstractNum w:abstractNumId="127">
    <w:nsid w:val="2A6DE806"/>
    <w:multiLevelType w:val="hybridMultilevel"/>
    <w:lvl w:ilvl="0">
      <w:lvlJc w:val="left"/>
      <w:lvlText w:val="%1."/>
      <w:numFmt w:val="decimal"/>
      <w:start w:val="11"/>
    </w:lvl>
  </w:abstractNum>
  <w:abstractNum w:abstractNumId="128">
    <w:nsid w:val="1816F8C4"/>
    <w:multiLevelType w:val="hybridMultilevel"/>
    <w:lvl w:ilvl="0">
      <w:lvlJc w:val="left"/>
      <w:lvlText w:val="%1."/>
      <w:numFmt w:val="decimal"/>
      <w:start w:val="13"/>
    </w:lvl>
  </w:abstractNum>
  <w:abstractNum w:abstractNumId="129">
    <w:nsid w:val="37DF2233"/>
    <w:multiLevelType w:val="hybridMultilevel"/>
    <w:lvl w:ilvl="0">
      <w:lvlJc w:val="left"/>
      <w:lvlText w:val="-"/>
      <w:numFmt w:val="bullet"/>
      <w:start w:val="1"/>
    </w:lvl>
  </w:abstractNum>
  <w:abstractNum w:abstractNumId="130">
    <w:nsid w:val="7AB49DAF"/>
    <w:multiLevelType w:val="hybridMultilevel"/>
    <w:lvl w:ilvl="0">
      <w:lvlJc w:val="left"/>
      <w:lvlText w:val="-"/>
      <w:numFmt w:val="bullet"/>
      <w:start w:val="1"/>
    </w:lvl>
  </w:abstractNum>
  <w:abstractNum w:abstractNumId="131">
    <w:nsid w:val="759F82CD"/>
    <w:multiLevelType w:val="hybridMultilevel"/>
    <w:lvl w:ilvl="0">
      <w:lvlJc w:val="left"/>
      <w:lvlText w:val="%1."/>
      <w:numFmt w:val="decimal"/>
      <w:start w:val="15"/>
    </w:lvl>
  </w:abstractNum>
  <w:abstractNum w:abstractNumId="132">
    <w:nsid w:val="61E74EA3"/>
    <w:multiLevelType w:val="hybridMultilevel"/>
    <w:lvl w:ilvl="0">
      <w:lvlJc w:val="left"/>
      <w:lvlText w:val="%1."/>
      <w:numFmt w:val="decimal"/>
      <w:start w:val="16"/>
    </w:lvl>
  </w:abstractNum>
  <w:abstractNum w:abstractNumId="133">
    <w:nsid w:val="597B4D84"/>
    <w:multiLevelType w:val="hybridMultilevel"/>
    <w:lvl w:ilvl="0">
      <w:lvlJc w:val="left"/>
      <w:lvlText w:val="%1."/>
      <w:numFmt w:val="decimal"/>
      <w:start w:val="17"/>
    </w:lvl>
  </w:abstractNum>
  <w:abstractNum w:abstractNumId="134">
    <w:nsid w:val="F819E7F"/>
    <w:multiLevelType w:val="hybridMultilevel"/>
    <w:lvl w:ilvl="0">
      <w:lvlJc w:val="left"/>
      <w:lvlText w:val="%1."/>
      <w:numFmt w:val="decimal"/>
      <w:start w:val="18"/>
    </w:lvl>
  </w:abstractNum>
  <w:abstractNum w:abstractNumId="135">
    <w:nsid w:val="57C7D42D"/>
    <w:multiLevelType w:val="hybridMultilevel"/>
    <w:lvl w:ilvl="0">
      <w:lvlJc w:val="left"/>
      <w:lvlText w:val="%1."/>
      <w:numFmt w:val="decimal"/>
      <w:start w:val="19"/>
    </w:lvl>
  </w:abstractNum>
  <w:abstractNum w:abstractNumId="136">
    <w:nsid w:val="312167AD"/>
    <w:multiLevelType w:val="hybridMultilevel"/>
    <w:lvl w:ilvl="0">
      <w:lvlJc w:val="left"/>
      <w:lvlText w:val="%1."/>
      <w:numFmt w:val="decimal"/>
      <w:start w:val="1"/>
    </w:lvl>
  </w:abstractNum>
  <w:abstractNum w:abstractNumId="137">
    <w:nsid w:val="631B64D4"/>
    <w:multiLevelType w:val="hybridMultilevel"/>
    <w:lvl w:ilvl="0">
      <w:lvlJc w:val="left"/>
      <w:lvlText w:val="%1."/>
      <w:numFmt w:val="decimal"/>
      <w:start w:val="2"/>
    </w:lvl>
  </w:abstractNum>
  <w:abstractNum w:abstractNumId="138">
    <w:nsid w:val="78B5E776"/>
    <w:multiLevelType w:val="hybridMultilevel"/>
    <w:lvl w:ilvl="0">
      <w:lvlJc w:val="left"/>
      <w:lvlText w:val="(%1)"/>
      <w:numFmt w:val="lowerLetter"/>
      <w:start w:val="1"/>
    </w:lvl>
  </w:abstractNum>
  <w:abstractNum w:abstractNumId="139">
    <w:nsid w:val="75486E47"/>
    <w:multiLevelType w:val="hybridMultilevel"/>
    <w:lvl w:ilvl="0">
      <w:lvlJc w:val="left"/>
      <w:lvlText w:val="(%1)"/>
      <w:numFmt w:val="lowerLetter"/>
      <w:start w:val="1"/>
    </w:lvl>
  </w:abstractNum>
  <w:abstractNum w:abstractNumId="140">
    <w:nsid w:val="6E534CDE"/>
    <w:multiLevelType w:val="hybridMultilevel"/>
    <w:lvl w:ilvl="0">
      <w:lvlJc w:val="left"/>
      <w:lvlText w:val="%1."/>
      <w:numFmt w:val="decimal"/>
      <w:start w:val="3"/>
    </w:lvl>
  </w:abstractNum>
  <w:abstractNum w:abstractNumId="141">
    <w:nsid w:val="1A0DDE32"/>
    <w:multiLevelType w:val="hybridMultilevel"/>
    <w:lvl w:ilvl="0">
      <w:lvlJc w:val="left"/>
      <w:lvlText w:val="(%1)"/>
      <w:numFmt w:val="lowerLetter"/>
      <w:start w:val="1"/>
    </w:lvl>
  </w:abstractNum>
  <w:abstractNum w:abstractNumId="142">
    <w:nsid w:val="65968C1C"/>
    <w:multiLevelType w:val="hybridMultilevel"/>
    <w:lvl w:ilvl="0">
      <w:lvlJc w:val="left"/>
      <w:lvlText w:val="(%1)"/>
      <w:numFmt w:val="lowerLetter"/>
      <w:start w:val="1"/>
    </w:lvl>
  </w:abstractNum>
  <w:abstractNum w:abstractNumId="143">
    <w:nsid w:val="46263DEC"/>
    <w:multiLevelType w:val="hybridMultilevel"/>
    <w:lvl w:ilvl="0">
      <w:lvlJc w:val="left"/>
      <w:lvlText w:val="(%1)"/>
      <w:numFmt w:val="lowerLetter"/>
      <w:start w:val="6"/>
    </w:lvl>
    <w:lvl w:ilvl="1">
      <w:lvlJc w:val="left"/>
      <w:lvlText w:val="(%2)"/>
      <w:numFmt w:val="lowerLetter"/>
      <w:start w:val="61"/>
    </w:lvl>
  </w:abstractNum>
  <w:abstractNum w:abstractNumId="144">
    <w:nsid w:val="260D8C4A"/>
    <w:multiLevelType w:val="hybridMultilevel"/>
    <w:lvl w:ilvl="0">
      <w:lvlJc w:val="left"/>
      <w:lvlText w:val="(%1)"/>
      <w:numFmt w:val="lowerLetter"/>
      <w:start w:val="15"/>
    </w:lvl>
  </w:abstractNum>
  <w:abstractNum w:abstractNumId="145">
    <w:nsid w:val="73D4D3C4"/>
    <w:multiLevelType w:val="hybridMultilevel"/>
    <w:lvl w:ilvl="0">
      <w:lvlJc w:val="left"/>
      <w:lvlText w:val="(%1)"/>
      <w:numFmt w:val="lowerLetter"/>
      <w:start w:val="17"/>
    </w:lvl>
    <w:lvl w:ilvl="1">
      <w:lvlJc w:val="left"/>
      <w:lvlText w:val="(%2)"/>
      <w:numFmt w:val="lowerRoman"/>
      <w:start w:val="2"/>
    </w:lvl>
    <w:lvl w:ilvl="2">
      <w:lvlJc w:val="left"/>
      <w:lvlText w:val="(%3)"/>
      <w:numFmt w:val="lowerRoman"/>
      <w:start w:val="1"/>
    </w:lvl>
  </w:abstractNum>
  <w:abstractNum w:abstractNumId="146">
    <w:nsid w:val="746F2E3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5"/>
    </w:lvl>
  </w:abstractNum>
  <w:abstractNum w:abstractNumId="147">
    <w:nsid w:val="6FDE8AF6"/>
    <w:multiLevelType w:val="hybridMultilevel"/>
    <w:lvl w:ilvl="0">
      <w:lvlJc w:val="left"/>
      <w:lvlText w:val="(%1)"/>
      <w:numFmt w:val="lowerRoman"/>
      <w:start w:val="6"/>
    </w:lvl>
  </w:abstractNum>
  <w:abstractNum w:abstractNumId="148">
    <w:nsid w:val="3FC32E2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7"/>
    </w:lvl>
  </w:abstractNum>
  <w:abstractNum w:abstractNumId="149">
    <w:nsid w:val="49C0E823"/>
    <w:multiLevelType w:val="hybridMultilevel"/>
    <w:lvl w:ilvl="0">
      <w:lvlJc w:val="left"/>
      <w:lvlText w:val="%1"/>
      <w:numFmt w:val="lowerLetter"/>
      <w:start w:val="1"/>
    </w:lvl>
    <w:lvl w:ilvl="1">
      <w:lvlJc w:val="left"/>
      <w:lvlText w:val="(%2)"/>
      <w:numFmt w:val="lowerLetter"/>
      <w:start w:val="23"/>
    </w:lvl>
    <w:lvl w:ilvl="2">
      <w:lvlJc w:val="left"/>
      <w:lvlText w:val="%3"/>
      <w:numFmt w:val="lowerRoman"/>
      <w:start w:val="1"/>
    </w:lvl>
  </w:abstractNum>
  <w:abstractNum w:abstractNumId="150">
    <w:nsid w:val="14D53685"/>
    <w:multiLevelType w:val="hybridMultilevel"/>
    <w:lvl w:ilvl="0">
      <w:lvlJc w:val="left"/>
      <w:lvlText w:val="%1"/>
      <w:numFmt w:val="lowerLetter"/>
      <w:start w:val="1"/>
    </w:lvl>
    <w:lvl w:ilvl="1">
      <w:lvlJc w:val="left"/>
      <w:lvlText w:val="(%2)"/>
      <w:numFmt w:val="lowerLetter"/>
      <w:start w:val="27"/>
    </w:lvl>
    <w:lvl w:ilvl="2">
      <w:lvlJc w:val="left"/>
      <w:lvlText w:val="%3"/>
      <w:numFmt w:val="lowerRoman"/>
      <w:start w:val="1"/>
    </w:lvl>
  </w:abstractNum>
  <w:abstractNum w:abstractNumId="151">
    <w:nsid w:val="230F856C"/>
    <w:multiLevelType w:val="hybridMultilevel"/>
    <w:lvl w:ilvl="0">
      <w:lvlJc w:val="left"/>
      <w:lvlText w:val="(%1)"/>
      <w:numFmt w:val="lowerLetter"/>
      <w:start w:val="30"/>
    </w:lvl>
  </w:abstractNum>
  <w:abstractNum w:abstractNumId="152">
    <w:nsid w:val="6EAA85FB"/>
    <w:multiLevelType w:val="hybridMultilevel"/>
    <w:lvl w:ilvl="0">
      <w:lvlJc w:val="left"/>
      <w:lvlText w:val="%1."/>
      <w:numFmt w:val="decimal"/>
      <w:start w:val="4"/>
    </w:lvl>
  </w:abstractNum>
  <w:abstractNum w:abstractNumId="153">
    <w:nsid w:val="3F06ECB2"/>
    <w:multiLevelType w:val="hybridMultilevel"/>
    <w:lvl w:ilvl="0">
      <w:lvlJc w:val="left"/>
      <w:lvlText w:val="%1."/>
      <w:numFmt w:val="decimal"/>
      <w:start w:val="5"/>
    </w:lvl>
  </w:abstractNum>
  <w:abstractNum w:abstractNumId="154">
    <w:nsid w:val="3B594807"/>
    <w:multiLevelType w:val="hybridMultilevel"/>
    <w:lvl w:ilvl="0">
      <w:lvlJc w:val="left"/>
      <w:lvlText w:val="%1."/>
      <w:numFmt w:val="decimal"/>
      <w:start w:val="6"/>
    </w:lvl>
  </w:abstractNum>
  <w:abstractNum w:abstractNumId="155">
    <w:nsid w:val="6CAA23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605" Type="http://schemas.openxmlformats.org/officeDocument/2006/relationships/image" Target="media/image590.png"/><Relationship Id="rId606" Type="http://schemas.openxmlformats.org/officeDocument/2006/relationships/image" Target="media/image591.png"/><Relationship Id="rId625" Type="http://schemas.openxmlformats.org/officeDocument/2006/relationships/image" Target="media/image592.png"/><Relationship Id="rId626" Type="http://schemas.openxmlformats.org/officeDocument/2006/relationships/image" Target="media/image593.png"/><Relationship Id="rId634" Type="http://schemas.openxmlformats.org/officeDocument/2006/relationships/image" Target="media/image594.png"/><Relationship Id="rId635" Type="http://schemas.openxmlformats.org/officeDocument/2006/relationships/image" Target="media/image595.png"/><Relationship Id="rId636" Type="http://schemas.openxmlformats.org/officeDocument/2006/relationships/image" Target="media/image596.png"/><Relationship Id="rId637" Type="http://schemas.openxmlformats.org/officeDocument/2006/relationships/image" Target="media/image597.png"/><Relationship Id="rId638" Type="http://schemas.openxmlformats.org/officeDocument/2006/relationships/image" Target="media/image598.png"/><Relationship Id="rId639" Type="http://schemas.openxmlformats.org/officeDocument/2006/relationships/image" Target="media/image599.png"/><Relationship Id="rId640" Type="http://schemas.openxmlformats.org/officeDocument/2006/relationships/image" Target="media/image600.jpeg"/><Relationship Id="rId641" Type="http://schemas.openxmlformats.org/officeDocument/2006/relationships/image" Target="media/image601.png"/><Relationship Id="rId642" Type="http://schemas.openxmlformats.org/officeDocument/2006/relationships/image" Target="media/image602.png"/><Relationship Id="rId643" Type="http://schemas.openxmlformats.org/officeDocument/2006/relationships/image" Target="media/image603.png"/><Relationship Id="rId644" Type="http://schemas.openxmlformats.org/officeDocument/2006/relationships/image" Target="media/image604.png"/><Relationship Id="rId645" Type="http://schemas.openxmlformats.org/officeDocument/2006/relationships/image" Target="media/image605.png"/><Relationship Id="rId646" Type="http://schemas.openxmlformats.org/officeDocument/2006/relationships/image" Target="media/image606.png"/><Relationship Id="rId647" Type="http://schemas.openxmlformats.org/officeDocument/2006/relationships/image" Target="media/image607.png"/><Relationship Id="rId648" Type="http://schemas.openxmlformats.org/officeDocument/2006/relationships/image" Target="media/image608.png"/><Relationship Id="rId649" Type="http://schemas.openxmlformats.org/officeDocument/2006/relationships/image" Target="media/image609.png"/><Relationship Id="rId650" Type="http://schemas.openxmlformats.org/officeDocument/2006/relationships/image" Target="media/image610.png"/><Relationship Id="rId651" Type="http://schemas.openxmlformats.org/officeDocument/2006/relationships/image" Target="media/image611.png"/><Relationship Id="rId652" Type="http://schemas.openxmlformats.org/officeDocument/2006/relationships/image" Target="media/image612.png"/><Relationship Id="rId653" Type="http://schemas.openxmlformats.org/officeDocument/2006/relationships/image" Target="media/image613.png"/><Relationship Id="rId597" Type="http://schemas.openxmlformats.org/officeDocument/2006/relationships/hyperlink" Target="https://www.sec.gov/Archives/edgar/data/1920294/000119312523240685/d309194df4a.htm#anxacov" TargetMode="External"/><Relationship Id="rId598" Type="http://schemas.openxmlformats.org/officeDocument/2006/relationships/hyperlink" Target="https://www.sec.gov/Archives/edgar/data/1920294/000119312523240685/d309194df4a.htm#anxaa" TargetMode="External"/><Relationship Id="rId599" Type="http://schemas.openxmlformats.org/officeDocument/2006/relationships/hyperlink" Target="https://www.sec.gov/Archives/edgar/data/1920294/000095017025047916/rzlv-ex3_1.htm" TargetMode="External"/><Relationship Id="rId600" Type="http://schemas.openxmlformats.org/officeDocument/2006/relationships/hyperlink" Target="https://www.sec.gov/Archives/edgar/data/1920294/000119312524204510/d885107dex21.htm" TargetMode="External"/><Relationship Id="rId601" Type="http://schemas.openxmlformats.org/officeDocument/2006/relationships/hyperlink" Target="https://www.sec.gov/Archives/edgar/data/1920294/000119312524204510/d885107dex22.htm" TargetMode="External"/><Relationship Id="rId602" Type="http://schemas.openxmlformats.org/officeDocument/2006/relationships/hyperlink" Target="https://www.sec.gov/Archives/edgar/data/1920294/000119312524204510/d885107dex43.htm" TargetMode="External"/><Relationship Id="rId603" Type="http://schemas.openxmlformats.org/officeDocument/2006/relationships/hyperlink" Target="https://www.sec.gov/Archives/edgar/data/1920294/000119312524204510/d885107dex44.htm" TargetMode="External"/><Relationship Id="rId604" Type="http://schemas.openxmlformats.org/officeDocument/2006/relationships/hyperlink" Target="https://www.sec.gov/Archives/edgar/data/1920294/000119312524204510/d885107dex46.htm" TargetMode="External"/><Relationship Id="rId607" Type="http://schemas.openxmlformats.org/officeDocument/2006/relationships/hyperlink" Target="https://www.sec.gov/Archives/edgar/data/1920294/000119312524204510/d885107dex47.htm" TargetMode="External"/><Relationship Id="rId608" Type="http://schemas.openxmlformats.org/officeDocument/2006/relationships/hyperlink" Target="https://www.sec.gov/Archives/edgar/data/1920294/000119312524159410/d309194dex1017.htm" TargetMode="External"/><Relationship Id="rId609" Type="http://schemas.openxmlformats.org/officeDocument/2006/relationships/hyperlink" Target="https://www.sec.gov/Archives/edgar/data/1920294/000119312524143103/d309194dex1018.htm" TargetMode="External"/><Relationship Id="rId610" Type="http://schemas.openxmlformats.org/officeDocument/2006/relationships/hyperlink" Target="https://www.sec.gov/Archives/edgar/data/1920294/000119312524143103/d309194dex1019.htm" TargetMode="External"/><Relationship Id="rId611" Type="http://schemas.openxmlformats.org/officeDocument/2006/relationships/hyperlink" Target="https://www.sec.gov/Archives/edgar/data/1920294/000119312524143103/d309194dex1020.htm" TargetMode="External"/><Relationship Id="rId612" Type="http://schemas.openxmlformats.org/officeDocument/2006/relationships/hyperlink" Target="https://www.sec.gov/Archives/edgar/data/1920294/000119312524143103/d309194dex1021.htm" TargetMode="External"/><Relationship Id="rId613" Type="http://schemas.openxmlformats.org/officeDocument/2006/relationships/hyperlink" Target="https://www.sec.gov/Archives/edgar/data/1920294/000119312524143103/d309194dex1022.htm" TargetMode="External"/><Relationship Id="rId614" Type="http://schemas.openxmlformats.org/officeDocument/2006/relationships/hyperlink" Target="https://www.sec.gov/Archives/edgar/data/1920294/000119312524143103/d309194dex1023.htm" TargetMode="External"/><Relationship Id="rId615" Type="http://schemas.openxmlformats.org/officeDocument/2006/relationships/hyperlink" Target="https://www.sec.gov/Archives/edgar/data/1920294/000119312524143103/d309194dex1024.htm" TargetMode="External"/><Relationship Id="rId616" Type="http://schemas.openxmlformats.org/officeDocument/2006/relationships/hyperlink" Target="https://www.sec.gov/Archives/edgar/data/1844817/000119312524028592/d701134dex21.htm" TargetMode="External"/><Relationship Id="rId617" Type="http://schemas.openxmlformats.org/officeDocument/2006/relationships/hyperlink" Target="https://www.sec.gov/Archives/edgar/data/1920294/000095017024104513/rzlv-ex10_13.htm" TargetMode="External"/><Relationship Id="rId618" Type="http://schemas.openxmlformats.org/officeDocument/2006/relationships/hyperlink" Target="https://www.sec.gov/Archives/edgar/data/1920294/000095017024106474/rzlv-ex99_2.htm" TargetMode="External"/><Relationship Id="rId619" Type="http://schemas.openxmlformats.org/officeDocument/2006/relationships/hyperlink" Target="https://www.sec.gov/Archives/edgar/data/1920294/000095017024133740/rzlv-ex99_1.htm" TargetMode="External"/><Relationship Id="rId620" Type="http://schemas.openxmlformats.org/officeDocument/2006/relationships/hyperlink" Target="https://www.sec.gov/Archives/edgar/data/1920294/000095017024137626/rzlv-ex10_2.htm" TargetMode="External"/><Relationship Id="rId621" Type="http://schemas.openxmlformats.org/officeDocument/2006/relationships/hyperlink" Target="https://www.sec.gov/Archives/edgar/data/1920294/000095017024137626/rzlv-ex10_3.htm" TargetMode="External"/><Relationship Id="rId622" Type="http://schemas.openxmlformats.org/officeDocument/2006/relationships/hyperlink" Target="https://www.sec.gov/Archives/edgar/data/1920294/000095017024139714/rzlv-ex10_1.htm" TargetMode="External"/><Relationship Id="rId623" Type="http://schemas.openxmlformats.org/officeDocument/2006/relationships/hyperlink" Target="https://www.sec.gov/Archives/edgar/data/1920294/000095017025010226/rzlv-ex10_1.htm" TargetMode="External"/><Relationship Id="rId624" Type="http://schemas.openxmlformats.org/officeDocument/2006/relationships/hyperlink" Target="https://www.sec.gov/Archives/edgar/data/1920294/000095017025016341/rzlv-ex10_1.htm" TargetMode="External"/><Relationship Id="rId627" Type="http://schemas.openxmlformats.org/officeDocument/2006/relationships/hyperlink" Target="https://www.sec.gov/Archives/edgar/data/1920294/000095017025024898/rzlv-ex10_1.htm" TargetMode="External"/><Relationship Id="rId628" Type="http://schemas.openxmlformats.org/officeDocument/2006/relationships/hyperlink" Target="https://www.sec.gov/Archives/edgar/data/1920294/000095017025026125/rzlv-ex10_1.htm" TargetMode="External"/><Relationship Id="rId629" Type="http://schemas.openxmlformats.org/officeDocument/2006/relationships/hyperlink" Target="https://www.sec.gov/Archives/edgar/data/1920294/000095017025026125/rzlv-ex10_2.htm" TargetMode="External"/><Relationship Id="rId630" Type="http://schemas.openxmlformats.org/officeDocument/2006/relationships/hyperlink" Target="https://www.sec.gov/Archives/edgar/data/1920294/000095017025034867/rzlv-ex10_1.htm" TargetMode="External"/><Relationship Id="rId631" Type="http://schemas.openxmlformats.org/officeDocument/2006/relationships/hyperlink" Target="https://www.sec.gov/Archives/edgar/data/1920294/000095017025098790/rzlv-ex10_1.htm" TargetMode="External"/><Relationship Id="rId632" Type="http://schemas.openxmlformats.org/officeDocument/2006/relationships/hyperlink" Target="https://www.sec.gov/Archives/edgar/data/1920294/000095017025098790/rzlv-ex10_2.htm" TargetMode="External"/><Relationship Id="rId633" Type="http://schemas.openxmlformats.org/officeDocument/2006/relationships/hyperlink" Target="https://www.sec.gov/Archives/edgar/data/1920294/000095017025098790/rzlv-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2025-07-30T16:37:17Z</dcterms:created>
  <dcterms:modified xsi:type="dcterms:W3CDTF">2025-07-30T16:37:17Z</dcterms:modified>
</cp:coreProperties>
</file>