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6,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333-284240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5080" w:type="dxa"/>
            <w:vAlign w:val="bottom"/>
            <w:gridSpan w:val="3"/>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9"/>
              </w:rPr>
              <w:t>POST-EFFECTIVE AMENDMENT NO. 1</w:t>
            </w: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61"/>
        </w:trPr>
        <w:tc>
          <w:tcPr>
            <w:tcW w:w="3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16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TO</w:t>
            </w:r>
          </w:p>
        </w:tc>
        <w:tc>
          <w:tcPr>
            <w:tcW w:w="12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FORM F-1</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80" w:type="dxa"/>
            <w:vAlign w:val="bottom"/>
            <w:gridSpan w:val="2"/>
          </w:tcPr>
          <w:p>
            <w:pPr>
              <w:jc w:val="center"/>
              <w:ind w:right="1490"/>
              <w:spacing w:after="0"/>
              <w:rPr>
                <w:sz w:val="20"/>
                <w:szCs w:val="20"/>
                <w:color w:val="auto"/>
              </w:rPr>
            </w:pPr>
            <w:r>
              <w:rPr>
                <w:rFonts w:ascii="Times New Roman" w:cs="Times New Roman" w:eastAsia="Times New Roman" w:hAnsi="Times New Roman"/>
                <w:sz w:val="18"/>
                <w:szCs w:val="18"/>
                <w:b w:val="1"/>
                <w:bCs w:val="1"/>
                <w:color w:val="auto"/>
              </w:rPr>
              <w:t>REGISTRATION STATEMENT</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3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8"/>
        </w:trPr>
        <w:tc>
          <w:tcPr>
            <w:tcW w:w="3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i w:val="1"/>
                <w:iCs w:val="1"/>
                <w:color w:val="auto"/>
                <w:w w:val="99"/>
              </w:rPr>
              <w:t>THE SECURITIES ACT OF 1933</w:t>
            </w: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84"/>
        </w:trPr>
        <w:tc>
          <w:tcPr>
            <w:tcW w:w="3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9"/>
              </w:rPr>
              <w:t>Rezolve AI plc</w:t>
            </w: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75"/>
        </w:trPr>
        <w:tc>
          <w:tcPr>
            <w:tcW w:w="3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(formerly Rezolve AI Limited)</w:t>
            </w:r>
          </w:p>
        </w:tc>
        <w:tc>
          <w:tcPr>
            <w:tcW w:w="120" w:type="dxa"/>
            <w:vAlign w:val="bottom"/>
          </w:tcPr>
          <w:p>
            <w:pPr>
              <w:spacing w:after="0"/>
              <w:rPr>
                <w:sz w:val="23"/>
                <w:szCs w:val="23"/>
                <w:color w:val="auto"/>
              </w:rPr>
            </w:pPr>
          </w:p>
        </w:tc>
        <w:tc>
          <w:tcPr>
            <w:tcW w:w="2560" w:type="dxa"/>
            <w:vAlign w:val="bottom"/>
          </w:tcPr>
          <w:p>
            <w:pPr>
              <w:spacing w:after="0"/>
              <w:rPr>
                <w:sz w:val="23"/>
                <w:szCs w:val="23"/>
                <w:color w:val="auto"/>
              </w:rPr>
            </w:pPr>
          </w:p>
        </w:tc>
      </w:tr>
      <w:tr>
        <w:trPr>
          <w:trHeight w:val="238"/>
        </w:trPr>
        <w:tc>
          <w:tcPr>
            <w:tcW w:w="3480" w:type="dxa"/>
            <w:vAlign w:val="bottom"/>
          </w:tcPr>
          <w:p>
            <w:pPr>
              <w:spacing w:after="0"/>
              <w:rPr>
                <w:sz w:val="20"/>
                <w:szCs w:val="20"/>
                <w:color w:val="auto"/>
              </w:rPr>
            </w:pPr>
          </w:p>
        </w:tc>
        <w:tc>
          <w:tcPr>
            <w:tcW w:w="5080" w:type="dxa"/>
            <w:vAlign w:val="bottom"/>
            <w:gridSpan w:val="3"/>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97"/>
        </w:trPr>
        <w:tc>
          <w:tcPr>
            <w:tcW w:w="34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508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7370</w:t>
            </w:r>
          </w:p>
        </w:tc>
        <w:tc>
          <w:tcPr>
            <w:tcW w:w="12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7"/>
        </w:trPr>
        <w:tc>
          <w:tcPr>
            <w:tcW w:w="3480" w:type="dxa"/>
            <w:vAlign w:val="bottom"/>
            <w:tcBorders>
              <w:top w:val="single" w:sz="8" w:color="auto"/>
            </w:tcBorders>
          </w:tcPr>
          <w:p>
            <w:pPr>
              <w:jc w:val="center"/>
              <w:ind w:left="7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1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120" w:type="dxa"/>
            <w:vAlign w:val="bottom"/>
          </w:tcPr>
          <w:p>
            <w:pPr>
              <w:spacing w:after="0"/>
              <w:rPr>
                <w:sz w:val="16"/>
                <w:szCs w:val="16"/>
                <w:color w:val="auto"/>
              </w:rPr>
            </w:pPr>
          </w:p>
        </w:tc>
        <w:tc>
          <w:tcPr>
            <w:tcW w:w="25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4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1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(+44 204 625 9700)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+1 (212) 947-7200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Gerry Williams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Penny Minna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DLA Piper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1201 W Peachtree St NE #2800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GA 30309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(404) 736-7800</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becomes effective.</w:t>
      </w:r>
    </w:p>
    <w:p>
      <w:pPr>
        <w:spacing w:after="0" w:line="81"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35"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35" w:lineRule="exact"/>
        <w:rPr>
          <w:sz w:val="24"/>
          <w:szCs w:val="24"/>
          <w:color w:val="auto"/>
        </w:rPr>
      </w:pPr>
    </w:p>
    <w:p>
      <w:pPr>
        <w:ind w:right="5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Emerging growth company</w:t>
      </w:r>
      <w:r>
        <w:rPr>
          <w:rFonts w:ascii="MS PGothic" w:cs="MS PGothic" w:eastAsia="MS PGothic" w:hAnsi="MS PGothic"/>
          <w:sz w:val="18"/>
          <w:szCs w:val="18"/>
          <w:color w:val="auto"/>
        </w:rPr>
        <w:t>☒</w:t>
      </w:r>
    </w:p>
    <w:p>
      <w:pPr>
        <w:spacing w:after="0" w:line="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 w:name="page2"/>
    <w:bookmarkEnd w:id="1"/>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January 10, 2025, the registrant filed a Registration Statement on Form F-1 (Registration No. 333-284240), which was amended on January 28, 2025, and declared effective by the United States Securities and Exchange Commission on January 31, 2025 (as amended and supplemented, the “Registration Statement”).</w:t>
      </w:r>
    </w:p>
    <w:p>
      <w:pPr>
        <w:spacing w:after="0" w:line="176" w:lineRule="exact"/>
        <w:rPr>
          <w:sz w:val="20"/>
          <w:szCs w:val="20"/>
          <w:color w:val="auto"/>
        </w:rPr>
      </w:pPr>
    </w:p>
    <w:p>
      <w:pPr>
        <w:jc w:val="center"/>
        <w:ind w:right="40"/>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to Form F-1 (the “Post-Effective Amendment”) is being filed to update the Registration Statement to include information contained in the registrant’s Annual Report on Form 20-F for the year ended December 31, 2024 and certain other information in the Registration Statement.</w:t>
      </w:r>
    </w:p>
    <w:p>
      <w:pPr>
        <w:spacing w:after="0" w:line="176" w:lineRule="exact"/>
        <w:rPr>
          <w:sz w:val="20"/>
          <w:szCs w:val="20"/>
          <w:color w:val="auto"/>
        </w:rPr>
      </w:pPr>
    </w:p>
    <w:p>
      <w:pPr>
        <w:jc w:val="center"/>
        <w:ind w:right="20"/>
        <w:spacing w:after="0" w:line="282" w:lineRule="auto"/>
        <w:rPr>
          <w:sz w:val="20"/>
          <w:szCs w:val="20"/>
          <w:color w:val="auto"/>
        </w:rPr>
      </w:pPr>
      <w:r>
        <w:rPr>
          <w:rFonts w:ascii="Times New Roman" w:cs="Times New Roman" w:eastAsia="Times New Roman" w:hAnsi="Times New Roman"/>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FC0000"/>
        </w:rPr>
        <w:t>The information in this prospectus is not complete and may be changed. No securities may be sold pursuant to this prospectus until the registration statement filed with the Securities and Exchange Commission is effective. This prospectus is not an offer to sell and is not soliciting an offer to buy the securities in any jurisdiction where the offer or sale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00"/>
        </w:rPr>
        <w:t>SUBJECT TO COMPLETION, DATED May 6,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C0000"/>
        </w:rPr>
        <w:t>PRELIMINARY PROSPECTUS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Up to 58,393,288 Ordinary Shares </w:t>
      </w:r>
      <w:r>
        <w:rPr>
          <w:rFonts w:ascii="Times New Roman" w:cs="Times New Roman" w:eastAsia="Times New Roman" w:hAnsi="Times New Roman"/>
          <w:sz w:val="18"/>
          <w:szCs w:val="18"/>
          <w:b w:val="1"/>
          <w:bCs w:val="1"/>
          <w:i w:val="1"/>
          <w:iCs w:val="1"/>
          <w:color w:val="auto"/>
        </w:rPr>
        <w:t>(for resale)</w:t>
      </w:r>
    </w:p>
    <w:p>
      <w:pPr>
        <w:spacing w:after="0" w:line="225"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8"/>
          <w:szCs w:val="18"/>
          <w:color w:val="auto"/>
        </w:rPr>
        <w:t>This prospectus relates to the resale by certain selling security holders named herein (the “</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of an aggregate of up to 58,393,288 Ordinary Shares, consisting of (i) up to 8,070,845 Ordinary Shares issued upon exercise of certain Convertible Notes (as defined herein) by certain Selling Holders;</w:t>
      </w:r>
    </w:p>
    <w:p>
      <w:pPr>
        <w:spacing w:after="0" w:line="1" w:lineRule="exact"/>
        <w:rPr>
          <w:sz w:val="20"/>
          <w:szCs w:val="20"/>
          <w:color w:val="auto"/>
        </w:rPr>
      </w:pPr>
    </w:p>
    <w:p>
      <w:pPr>
        <w:ind w:right="120" w:firstLine="8"/>
        <w:spacing w:after="0" w:line="255"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373,637 Ordinary Shares issuable upon conversion of certain Promissory Notes (as defined herein); (iii) up to 1,413,946 Ordinary Shares issued upon conversion of the YA Notes (as defined herein); and (iv) up to 48,534,860 Ordinary Shares issuable pursuant to the Second A&amp;R YA Agreement (as defined herein).</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of the Selling Holders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Holders may experience lower rates of return (if any) than the Selling Holders,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 of 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Holders represent approximately 23.96% of the outstanding Ordinary Shares as of the date of this prospectus. Given the substantial number of Ordinary Shares being registered for potential resale by Selling Holders pursuant to this prospectus, the sale of shares by the Selling Holders, or the perception in the market that the Selling Securityholders of a large number of shares intend to sell shares, could increase the volatility of the market price of the Ordinary Shares or result in a significant decline in the public trading price of the Ordinary Shares.</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Holders may offer or sell the securities. More specific terms of any securities that the Selling 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Holders pursuant to this prospectus. We will pay the expenses, other than underwriting discounts and commissions, associated with the sale of securities pursuant to this prospectus. Our registration of the securities covered by this prospectus does not mean that either the Selling Holders will issue, offer or sell, as applicable, any of the securities. The Selling Holders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The Ordinary Shares and the Public Warrants are traded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On May 5, 2025, the closing price of the Ordinary Shares was $2.11 per share.</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Given the substantial amount of redemptions in connection with the Business Combination, and the relative lack of liquidity in our stock, sales of the Ordinary Shares under the registration statement of which this prospectus is a part could result in a significant decline in the market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10 and in any applicable prospectus supplement.</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4010"/>
              <w:spacing w:after="0"/>
              <w:rPr>
                <w:sz w:val="20"/>
                <w:szCs w:val="20"/>
                <w:color w:val="auto"/>
              </w:rPr>
            </w:pPr>
            <w:r>
              <w:rPr>
                <w:rFonts w:ascii="Times New Roman" w:cs="Times New Roman" w:eastAsia="Times New Roman" w:hAnsi="Times New Roman"/>
                <w:sz w:val="18"/>
                <w:szCs w:val="18"/>
                <w:b w:val="1"/>
                <w:bCs w:val="1"/>
                <w:color w:val="auto"/>
              </w:rPr>
              <w:t>, 2025.</w:t>
            </w:r>
          </w:p>
        </w:tc>
      </w:tr>
      <w:tr>
        <w:trPr>
          <w:trHeight w:val="5326"/>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2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40" w:type="dxa"/>
            <w:vAlign w:val="bottom"/>
          </w:tcPr>
          <w:p>
            <w:pPr>
              <w:spacing w:after="0"/>
              <w:rPr>
                <w:sz w:val="20"/>
                <w:szCs w:val="20"/>
                <w:color w:val="auto"/>
              </w:rPr>
            </w:pPr>
          </w:p>
        </w:tc>
      </w:tr>
      <w:tr>
        <w:trPr>
          <w:trHeight w:val="391"/>
        </w:trPr>
        <w:tc>
          <w:tcPr>
            <w:tcW w:w="99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THE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PRO FORMA CONDENSED COMBINED FINANCIAL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 AND COMPENSATION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40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MATERIAL INCOME TAX CONSIDERATIONS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6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EXPENSES RELATED TO THIS OFFERING</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2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8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ENFORCEABILITY OF CIVIL LIABILITY</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3300" w:type="dxa"/>
            <w:vAlign w:val="bottom"/>
            <w:tcBorders>
              <w:left w:val="single" w:sz="8" w:color="0000EE"/>
              <w:right w:val="single" w:sz="8" w:color="0000EE"/>
            </w:tcBorders>
            <w:gridSpan w:val="9"/>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996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r>
      <w:tr>
        <w:trPr>
          <w:trHeight w:val="20"/>
        </w:trPr>
        <w:tc>
          <w:tcPr>
            <w:tcW w:w="80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120" w:firstLine="576"/>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F-l that we filed with the SEC using a “shelf’ registration process. Under this shelf registration process, we and the Selling Holders may, from time to time, issue, offer and sell, as applicable, any combination of the securities described in this prospectus in one or more offerings. The Selling Holders may use the shelf registration statement to sell up to an aggregate of 58,393,288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Holders offer and sell may be provided in a prospectus supplement that describes, among other things, the specific amounts and prices of the Ordinary Shares being offered and the terms of the offering the Selling Holders may, from time to time, issue, offer and sell, as applicable, any combination of the securities described in this prospectus in one or more offerings.</w:t>
      </w:r>
    </w:p>
    <w:p>
      <w:pPr>
        <w:spacing w:after="0" w:line="189" w:lineRule="exact"/>
        <w:rPr>
          <w:sz w:val="20"/>
          <w:szCs w:val="20"/>
          <w:color w:val="auto"/>
        </w:rPr>
      </w:pPr>
    </w:p>
    <w:p>
      <w:pPr>
        <w:ind w:right="60" w:firstLine="576"/>
        <w:spacing w:after="0" w:line="258" w:lineRule="auto"/>
        <w:rPr>
          <w:sz w:val="20"/>
          <w:szCs w:val="20"/>
          <w:color w:val="auto"/>
        </w:rPr>
      </w:pPr>
      <w:r>
        <w:rPr>
          <w:rFonts w:ascii="Times New Roman" w:cs="Times New Roman" w:eastAsia="Times New Roman" w:hAnsi="Times New Roman"/>
          <w:sz w:val="18"/>
          <w:szCs w:val="18"/>
          <w:color w:val="auto"/>
        </w:rPr>
        <w:t xml:space="preserve">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3"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Holders have authorized anyone to provide any information or to make any representations other than those contained in this prospectus, any accompanying prospectus supplement or any free writing prospectus we have prepared. We and the Selling 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76" w:lineRule="exact"/>
        <w:rPr>
          <w:sz w:val="20"/>
          <w:szCs w:val="20"/>
          <w:color w:val="auto"/>
        </w:rPr>
      </w:pPr>
    </w:p>
    <w:p>
      <w:pPr>
        <w:ind w:right="40" w:firstLine="576"/>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7"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w:t>
      </w:r>
    </w:p>
    <w:p>
      <w:pPr>
        <w:spacing w:after="0" w:line="207" w:lineRule="exact"/>
        <w:rPr>
          <w:sz w:val="20"/>
          <w:szCs w:val="20"/>
          <w:color w:val="auto"/>
        </w:rPr>
      </w:pPr>
    </w:p>
    <w:p>
      <w:pPr>
        <w:ind w:right="80" w:firstLine="576"/>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plc (formerly Rezolve AI Limited), including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2" w:lineRule="exact"/>
        <w:rPr>
          <w:sz w:val="20"/>
          <w:szCs w:val="20"/>
          <w:color w:val="auto"/>
        </w:rPr>
      </w:pPr>
    </w:p>
    <w:p>
      <w:pPr>
        <w:ind w:right="340" w:firstLine="576"/>
        <w:spacing w:after="0" w:line="258"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76"/>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260" w:firstLine="576"/>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w:t>
      </w:r>
      <w:r>
        <w:rPr>
          <w:rFonts w:ascii="Times New Roman" w:cs="Times New Roman" w:eastAsia="Times New Roman" w:hAnsi="Times New Roman"/>
          <w:sz w:val="18"/>
          <w:szCs w:val="18"/>
          <w:color w:val="auto"/>
        </w:rPr>
        <w:t>t” means, prior to the Business Combination, an issued and outstanding warrant of Armada;</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225" w:lineRule="exact"/>
        <w:rPr>
          <w:sz w:val="20"/>
          <w:szCs w:val="20"/>
          <w:color w:val="auto"/>
        </w:rPr>
      </w:pPr>
    </w:p>
    <w:p>
      <w:pPr>
        <w:ind w:right="220" w:firstLine="5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 w:name="page7"/>
    <w:bookmarkEnd w:id="6"/>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225" w:lineRule="exact"/>
        <w:rPr>
          <w:sz w:val="20"/>
          <w:szCs w:val="20"/>
          <w:color w:val="auto"/>
        </w:rPr>
      </w:pPr>
    </w:p>
    <w:p>
      <w:pPr>
        <w:ind w:right="3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225" w:lineRule="exact"/>
        <w:rPr>
          <w:sz w:val="20"/>
          <w:szCs w:val="20"/>
          <w:color w:val="auto"/>
        </w:rPr>
      </w:pPr>
    </w:p>
    <w:p>
      <w:pPr>
        <w:ind w:right="14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right="22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155" w:lineRule="exact"/>
        <w:rPr>
          <w:sz w:val="20"/>
          <w:szCs w:val="20"/>
          <w:color w:val="auto"/>
        </w:rPr>
      </w:pPr>
    </w:p>
    <w:p>
      <w:pPr>
        <w:ind w:firstLine="57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2" w:lineRule="exact"/>
        <w:rPr>
          <w:sz w:val="20"/>
          <w:szCs w:val="20"/>
          <w:color w:val="auto"/>
        </w:rPr>
      </w:pPr>
    </w:p>
    <w:p>
      <w:pPr>
        <w:ind w:right="36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Form F-1</w:t>
      </w:r>
      <w:r>
        <w:rPr>
          <w:rFonts w:ascii="Times New Roman" w:cs="Times New Roman" w:eastAsia="Times New Roman" w:hAnsi="Times New Roman"/>
          <w:sz w:val="18"/>
          <w:szCs w:val="18"/>
          <w:color w:val="auto"/>
        </w:rPr>
        <w:t>” means the registration statement on Form F-1 (File No. 333-282004), originally filed on September 9, 2024, and declared effective on November 27, 2024, as amended by that certain post-effective amendment to Form F-1, filed on May 2, 2025.</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225" w:lineRule="exact"/>
        <w:rPr>
          <w:sz w:val="20"/>
          <w:szCs w:val="20"/>
          <w:color w:val="auto"/>
        </w:rPr>
      </w:pPr>
    </w:p>
    <w:p>
      <w:pPr>
        <w:ind w:right="200" w:firstLine="5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4" w:right="459"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60" w:firstLine="576"/>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ind w:right="40" w:firstLine="576"/>
        <w:spacing w:after="0" w:line="261"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207" w:lineRule="exact"/>
        <w:rPr>
          <w:sz w:val="20"/>
          <w:szCs w:val="20"/>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207" w:lineRule="exact"/>
        <w:rPr>
          <w:sz w:val="20"/>
          <w:szCs w:val="20"/>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252" w:lineRule="exact"/>
        <w:rPr>
          <w:rFonts w:ascii="Times New Roman" w:cs="Times New Roman" w:eastAsia="Times New Roman" w:hAnsi="Times New Roman"/>
          <w:sz w:val="18"/>
          <w:szCs w:val="18"/>
          <w:color w:val="auto"/>
        </w:rPr>
      </w:pPr>
    </w:p>
    <w:p>
      <w:pPr>
        <w:ind w:left="960" w:right="360" w:hanging="367"/>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188"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252"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8" w:name="page9"/>
    <w:bookmarkEnd w:id="8"/>
    <w:p>
      <w:pPr>
        <w:ind w:left="960" w:hanging="367"/>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250" w:lineRule="exact"/>
        <w:rPr>
          <w:rFonts w:ascii="Times New Roman" w:cs="Times New Roman" w:eastAsia="Times New Roman" w:hAnsi="Times New Roman"/>
          <w:sz w:val="18"/>
          <w:szCs w:val="18"/>
          <w:color w:val="auto"/>
        </w:rPr>
      </w:pPr>
    </w:p>
    <w:p>
      <w:pPr>
        <w:ind w:left="960" w:hanging="367"/>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40" w:firstLine="576"/>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firstLine="576"/>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jc w:val="both"/>
        <w:ind w:right="60" w:firstLine="576"/>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5"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 or Warrants.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29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mailing address of Rezolve AI plc’s registered office is 21 Sackville Street, London, W1S 3DN, United Kingdom, +44 204 625 9700 and its principal executive office is 21 Sackville Street, London, W1S 3DN, United Kingdom.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333"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4" w:lineRule="exact"/>
        <w:rPr>
          <w:sz w:val="20"/>
          <w:szCs w:val="20"/>
          <w:color w:val="auto"/>
        </w:rPr>
      </w:pPr>
    </w:p>
    <w:p>
      <w:pPr>
        <w:ind w:right="420" w:firstLine="8"/>
        <w:spacing w:after="0" w:line="223" w:lineRule="auto"/>
        <w:tabs>
          <w:tab w:leader="none" w:pos="105"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0" w:name="page11"/>
    <w:bookmarkEnd w:id="10"/>
    <w:p>
      <w:pPr>
        <w:ind w:right="200"/>
        <w:spacing w:after="0" w:line="266" w:lineRule="auto"/>
        <w:rPr>
          <w:sz w:val="20"/>
          <w:szCs w:val="20"/>
          <w:color w:val="auto"/>
        </w:rPr>
      </w:pPr>
      <w:r>
        <w:rPr>
          <w:rFonts w:ascii="Times New Roman" w:cs="Times New Roman" w:eastAsia="Times New Roman" w:hAnsi="Times New Roman"/>
          <w:sz w:val="18"/>
          <w:szCs w:val="18"/>
          <w:color w:val="auto"/>
        </w:rPr>
        <w:t>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2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9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$14.8 million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240" w:firstLine="576"/>
        <w:spacing w:after="0" w:line="266"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w:t>
      </w:r>
      <w:r>
        <w:rPr>
          <w:rFonts w:ascii="Times New Roman" w:cs="Times New Roman" w:eastAsia="Times New Roman" w:hAnsi="Times New Roman"/>
          <w:sz w:val="18"/>
          <w:szCs w:val="18"/>
          <w:b w:val="1"/>
          <w:bCs w:val="1"/>
          <w:i w:val="1"/>
          <w:iCs w:val="1"/>
          <w:color w:val="auto"/>
        </w:rPr>
        <w:t>Holders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Pursuant to the terms of the Investor Rights Agreement, the Holders are entitled to certain piggyback registration rights and customary registration rights.</w:t>
      </w:r>
    </w:p>
    <w:p>
      <w:pPr>
        <w:spacing w:after="0" w:line="176" w:lineRule="exact"/>
        <w:rPr>
          <w:sz w:val="20"/>
          <w:szCs w:val="20"/>
          <w:color w:val="auto"/>
        </w:rPr>
      </w:pPr>
    </w:p>
    <w:p>
      <w:pPr>
        <w:ind w:right="80" w:firstLine="576"/>
        <w:spacing w:after="0" w:line="261" w:lineRule="auto"/>
        <w:rPr>
          <w:sz w:val="20"/>
          <w:szCs w:val="20"/>
          <w:color w:val="auto"/>
        </w:rPr>
      </w:pPr>
      <w:r>
        <w:rPr>
          <w:rFonts w:ascii="Times New Roman" w:cs="Times New Roman" w:eastAsia="Times New Roman" w:hAnsi="Times New Roman"/>
          <w:sz w:val="18"/>
          <w:szCs w:val="18"/>
          <w:color w:val="auto"/>
        </w:rPr>
        <w:t>Pursuant to terms of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such as a member of a person’s immediate family or to a trust, the beneficiary of which is a member of a person’s immediate family or an affiliate of such person.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21"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75" w:lineRule="exact"/>
        <w:rPr>
          <w:sz w:val="20"/>
          <w:szCs w:val="20"/>
          <w:color w:val="auto"/>
        </w:rPr>
      </w:pPr>
    </w:p>
    <w:p>
      <w:pPr>
        <w:ind w:right="740" w:firstLine="576"/>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54"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72" w:lineRule="exact"/>
        <w:rPr>
          <w:sz w:val="20"/>
          <w:szCs w:val="20"/>
          <w:color w:val="auto"/>
        </w:rPr>
      </w:pPr>
    </w:p>
    <w:p>
      <w:pPr>
        <w:ind w:right="360" w:firstLine="576"/>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333"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1" w:name="page12"/>
    <w:bookmarkEnd w:id="11"/>
    <w:p>
      <w:pPr>
        <w:ind w:right="320" w:firstLine="749"/>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280" w:lineRule="exact"/>
        <w:rPr>
          <w:sz w:val="20"/>
          <w:szCs w:val="20"/>
          <w:color w:val="auto"/>
        </w:rPr>
      </w:pPr>
    </w:p>
    <w:p>
      <w:pPr>
        <w:ind w:right="340" w:firstLine="749"/>
        <w:spacing w:after="0" w:line="256" w:lineRule="auto"/>
        <w:rPr>
          <w:sz w:val="20"/>
          <w:szCs w:val="20"/>
          <w:color w:val="auto"/>
        </w:rPr>
      </w:pPr>
      <w:r>
        <w:rPr>
          <w:rFonts w:ascii="Times New Roman" w:cs="Times New Roman" w:eastAsia="Times New Roman" w:hAnsi="Times New Roman"/>
          <w:sz w:val="18"/>
          <w:szCs w:val="18"/>
          <w:color w:val="212529"/>
        </w:rPr>
        <w:t>On September 6, 2024, YA and Rezolve amended and restated the YA Agreement (the “</w:t>
      </w:r>
      <w:r>
        <w:rPr>
          <w:rFonts w:ascii="Times New Roman" w:cs="Times New Roman" w:eastAsia="Times New Roman" w:hAnsi="Times New Roman"/>
          <w:sz w:val="18"/>
          <w:szCs w:val="18"/>
          <w:b w:val="1"/>
          <w:bCs w:val="1"/>
          <w:i w:val="1"/>
          <w:iCs w:val="1"/>
          <w:color w:val="212529"/>
        </w:rPr>
        <w:t>Second A&amp;R YA Agreement</w:t>
      </w:r>
      <w:r>
        <w:rPr>
          <w:rFonts w:ascii="Times New Roman" w:cs="Times New Roman" w:eastAsia="Times New Roman" w:hAnsi="Times New Roman"/>
          <w:sz w:val="18"/>
          <w:szCs w:val="18"/>
          <w:color w:val="212529"/>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29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212529"/>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212529"/>
        </w:rPr>
        <w:t>YA Note Amendment</w:t>
      </w:r>
      <w:r>
        <w:rPr>
          <w:rFonts w:ascii="Times New Roman" w:cs="Times New Roman" w:eastAsia="Times New Roman" w:hAnsi="Times New Roman"/>
          <w:sz w:val="18"/>
          <w:szCs w:val="18"/>
          <w:color w:val="212529"/>
        </w:rPr>
        <w:t>” and the YA Note, as amended by the YA Note Amendment, the “</w:t>
      </w:r>
      <w:r>
        <w:rPr>
          <w:rFonts w:ascii="Times New Roman" w:cs="Times New Roman" w:eastAsia="Times New Roman" w:hAnsi="Times New Roman"/>
          <w:sz w:val="18"/>
          <w:szCs w:val="18"/>
          <w:b w:val="1"/>
          <w:bCs w:val="1"/>
          <w:i w:val="1"/>
          <w:iCs w:val="1"/>
          <w:color w:val="212529"/>
        </w:rPr>
        <w:t>Amended YA Note</w:t>
      </w:r>
      <w:r>
        <w:rPr>
          <w:rFonts w:ascii="Times New Roman" w:cs="Times New Roman" w:eastAsia="Times New Roman" w:hAnsi="Times New Roman"/>
          <w:sz w:val="18"/>
          <w:szCs w:val="18"/>
          <w:color w:val="212529"/>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291"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212529"/>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212529"/>
        </w:rPr>
        <w:t>Second YA Note</w:t>
      </w:r>
      <w:r>
        <w:rPr>
          <w:rFonts w:ascii="Times New Roman" w:cs="Times New Roman" w:eastAsia="Times New Roman" w:hAnsi="Times New Roman"/>
          <w:sz w:val="18"/>
          <w:szCs w:val="18"/>
          <w:color w:val="212529"/>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212529"/>
        </w:rPr>
        <w:t>Third YA Note</w:t>
      </w:r>
      <w:r>
        <w:rPr>
          <w:rFonts w:ascii="Times New Roman" w:cs="Times New Roman" w:eastAsia="Times New Roman" w:hAnsi="Times New Roman"/>
          <w:sz w:val="18"/>
          <w:szCs w:val="18"/>
          <w:color w:val="212529"/>
        </w:rPr>
        <w:t>", and together with the Amended YA Note and Second YA Note, the "</w:t>
      </w:r>
      <w:r>
        <w:rPr>
          <w:rFonts w:ascii="Times New Roman" w:cs="Times New Roman" w:eastAsia="Times New Roman" w:hAnsi="Times New Roman"/>
          <w:sz w:val="18"/>
          <w:szCs w:val="18"/>
          <w:b w:val="1"/>
          <w:bCs w:val="1"/>
          <w:i w:val="1"/>
          <w:iCs w:val="1"/>
          <w:color w:val="212529"/>
        </w:rPr>
        <w:t>YA Notes</w:t>
      </w:r>
      <w:r>
        <w:rPr>
          <w:rFonts w:ascii="Times New Roman" w:cs="Times New Roman" w:eastAsia="Times New Roman" w:hAnsi="Times New Roman"/>
          <w:sz w:val="18"/>
          <w:szCs w:val="18"/>
          <w:color w:val="212529"/>
        </w:rPr>
        <w:t>").</w:t>
      </w:r>
    </w:p>
    <w:p>
      <w:pPr>
        <w:spacing w:after="0" w:line="29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212529"/>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28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212529"/>
        </w:rPr>
        <w:t>Pursuant to the Second A&amp;R YA Agreement, we have the right to sell to YA up to $250 million ordinary shares of Rezolve, subject to certain limitations and conditions set forth in the Second A&amp;R YA Agreement, from time to time during the term of the Second A&amp;R YA Agreement. Sales of ordinary shares YA under the Second A&amp;R YA Agreement, and the timing of any such sales, are at our option, and we are under no obligation to sell any securities to YA under the Second A&amp;R YA Agreement. In accordance with our obligations under the Second A&amp;R YA Agreement, we have filed the registration statement of which this prospectus forms a part with the Securities and Exchange Commission (the “SEC”) to register under the Securities Act the resale by YA of up to 48,534,860 ordinary shares that we may elect, in our sole discretion, to issue and sell to YA, from time to time under the Second A&amp;R YA Agreement. From time to time at our discretion until August 23, 2027, upon the satisfaction of the conditions to YA’s purchase obligation set forth in the Second A&amp;R YA Agreement, including that the registration statement of which this prospectus forms a part be declared effective by the SEC and the final form of this prospectus is filed with the SEC, we will have the right, but not the obligation to direct YA to purchase a specified number of ordinary shares (each such sale, an “Advance”) by delivering written notice to YA (each, an “Advance Notice”). While there is no mandatory minimum amount for any Advance, it may not to exceed the greater of (i) 2,000,000; or (ii) 100.0% of the average of the daily trading volume of the ordinary shares on the five consecutive trading days immediately preceding an Advance Notice. The per share purchase price for the ordinary shares, if any, that we elect to sell to YA in an Advance pursuant to the Second A&amp;R YA Agreement will be determined by reference to the volume weighted average price of our ordinary shares (the “VWAP”) and calculated in accordance with the Second A&amp;R YA Agreement; provided, however, that the Company may establish a minimum acceptable price in certain Advance Notices, as specified in the Second A&amp;R YA Agreement, below which it shall not be obligated to make any sales to YA. There is no upper limit on the price per share that YA could be obligated to pay for the ordinary shares we may elect to sell to it in any Advance. We will control the timing and amount of any sales of ordinary shares to YA. Actual sales of shares of our ordinary shares to YA under the Second A&amp;R YA Agreement will depend on a variety of factors to be determined by us from time to time, which may include, among other things, market conditions, the trading price of our ordinary shares, and determinations by us as to the appropriate sources of funding for our business and its operations.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2" w:name="page13"/>
    <w:bookmarkEnd w:id="12"/>
    <w:p>
      <w:pPr>
        <w:ind w:firstLine="749"/>
        <w:spacing w:after="0" w:line="254" w:lineRule="auto"/>
        <w:rPr>
          <w:sz w:val="20"/>
          <w:szCs w:val="20"/>
          <w:color w:val="auto"/>
        </w:rPr>
      </w:pPr>
      <w:r>
        <w:rPr>
          <w:rFonts w:ascii="Times New Roman" w:cs="Times New Roman" w:eastAsia="Times New Roman" w:hAnsi="Times New Roman"/>
          <w:sz w:val="18"/>
          <w:szCs w:val="18"/>
          <w:color w:val="212529"/>
        </w:rPr>
        <w:t>Under the applicable rules of The Nasdaq Stock Market LLC (“</w:t>
      </w:r>
      <w:r>
        <w:rPr>
          <w:rFonts w:ascii="Times New Roman" w:cs="Times New Roman" w:eastAsia="Times New Roman" w:hAnsi="Times New Roman"/>
          <w:sz w:val="18"/>
          <w:szCs w:val="18"/>
          <w:b w:val="1"/>
          <w:bCs w:val="1"/>
          <w:i w:val="1"/>
          <w:iCs w:val="1"/>
          <w:color w:val="212529"/>
        </w:rPr>
        <w:t>Nasdaq</w:t>
      </w:r>
      <w:r>
        <w:rPr>
          <w:rFonts w:ascii="Times New Roman" w:cs="Times New Roman" w:eastAsia="Times New Roman" w:hAnsi="Times New Roman"/>
          <w:sz w:val="18"/>
          <w:szCs w:val="18"/>
          <w:color w:val="212529"/>
        </w:rPr>
        <w:t>”), in no event may we issue to YA under the Second A&amp;R YA Agreement more than 34,419,336 ordinary shares, which number of shares is equal to 19.99% of the aggregate number of shares of ordinary shares issued and outstanding as of the “</w:t>
      </w:r>
      <w:r>
        <w:rPr>
          <w:rFonts w:ascii="Times New Roman" w:cs="Times New Roman" w:eastAsia="Times New Roman" w:hAnsi="Times New Roman"/>
          <w:sz w:val="18"/>
          <w:szCs w:val="18"/>
          <w:b w:val="1"/>
          <w:bCs w:val="1"/>
          <w:i w:val="1"/>
          <w:iCs w:val="1"/>
          <w:color w:val="212529"/>
        </w:rPr>
        <w:t>Effective Date</w:t>
      </w:r>
      <w:r>
        <w:rPr>
          <w:rFonts w:ascii="Times New Roman" w:cs="Times New Roman" w:eastAsia="Times New Roman" w:hAnsi="Times New Roman"/>
          <w:sz w:val="18"/>
          <w:szCs w:val="18"/>
          <w:color w:val="212529"/>
        </w:rPr>
        <w:t>”, as such term is defined in the Second A&amp;R YA Agreement (the “</w:t>
      </w:r>
      <w:r>
        <w:rPr>
          <w:rFonts w:ascii="Times New Roman" w:cs="Times New Roman" w:eastAsia="Times New Roman" w:hAnsi="Times New Roman"/>
          <w:sz w:val="18"/>
          <w:szCs w:val="18"/>
          <w:b w:val="1"/>
          <w:bCs w:val="1"/>
          <w:i w:val="1"/>
          <w:iCs w:val="1"/>
          <w:color w:val="212529"/>
        </w:rPr>
        <w:t>Exchange Cap</w:t>
      </w:r>
      <w:r>
        <w:rPr>
          <w:rFonts w:ascii="Times New Roman" w:cs="Times New Roman" w:eastAsia="Times New Roman" w:hAnsi="Times New Roman"/>
          <w:sz w:val="18"/>
          <w:szCs w:val="18"/>
          <w:color w:val="212529"/>
        </w:rPr>
        <w:t>”), unless (i) we obtain stockholder approval to issue ordinary shares in excess of the Exchange Cap in accordance with applicable Nasdaq rules, (ii) all applicable sales of ordinary shares under the Second A&amp;R YA Agreement equal or exceed the “Minimum Price” (as such term is defined in Nasdaq Rule 5635), or (iii) as to any Advance, the issuance of ordinary shares pursuant to an Advance Notice would be excluded from the Exchange Cap under Nasdaq rules (or interpretive guidance provided by Nasdaq with respect thereto). Moreover, we may not issue or sell any ordinary shares to YA under the Second A&amp;R YA Agreement which, when aggregated with all other ordinary shares then beneficially owned by YA and its affiliates (as calculated pursuant to Section 13(d) of the U.S. Securities Exchange Act of 1934, as amended (the “</w:t>
      </w:r>
      <w:r>
        <w:rPr>
          <w:rFonts w:ascii="Times New Roman" w:cs="Times New Roman" w:eastAsia="Times New Roman" w:hAnsi="Times New Roman"/>
          <w:sz w:val="18"/>
          <w:szCs w:val="18"/>
          <w:b w:val="1"/>
          <w:bCs w:val="1"/>
          <w:i w:val="1"/>
          <w:iCs w:val="1"/>
          <w:color w:val="212529"/>
        </w:rPr>
        <w:t>Exchange Act</w:t>
      </w:r>
      <w:r>
        <w:rPr>
          <w:rFonts w:ascii="Times New Roman" w:cs="Times New Roman" w:eastAsia="Times New Roman" w:hAnsi="Times New Roman"/>
          <w:sz w:val="18"/>
          <w:szCs w:val="18"/>
          <w:color w:val="212529"/>
        </w:rPr>
        <w:t>”), and Rule 13d-3 promulgated thereunder), would result in YA beneficially owning more than 4.99% of the then outstanding voting power or number of ordinary shares (the “</w:t>
      </w:r>
      <w:r>
        <w:rPr>
          <w:rFonts w:ascii="Times New Roman" w:cs="Times New Roman" w:eastAsia="Times New Roman" w:hAnsi="Times New Roman"/>
          <w:sz w:val="18"/>
          <w:szCs w:val="18"/>
          <w:b w:val="1"/>
          <w:bCs w:val="1"/>
          <w:i w:val="1"/>
          <w:iCs w:val="1"/>
          <w:color w:val="212529"/>
        </w:rPr>
        <w:t>Ownership Limitation</w:t>
      </w:r>
      <w:r>
        <w:rPr>
          <w:rFonts w:ascii="Times New Roman" w:cs="Times New Roman" w:eastAsia="Times New Roman" w:hAnsi="Times New Roman"/>
          <w:sz w:val="18"/>
          <w:szCs w:val="18"/>
          <w:color w:val="212529"/>
        </w:rPr>
        <w:t>”).</w:t>
      </w:r>
    </w:p>
    <w:p>
      <w:pPr>
        <w:spacing w:after="0" w:line="29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212529"/>
        </w:rPr>
        <w:t>Pursuant to the terms of the Second A&amp;R YA Agreement, the Exchange Cap will not apply if the Company is permitted to follow its home country practices instead of the stockholder approval requirements of Nasdaq Rule 5635, and has made such election to follow home country practice in accordance with the Nasdaq Rules.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29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212529"/>
        </w:rPr>
        <w:t>The net proceeds from sales, if any, under the Second A&amp;R YA Agreement to us will depend on the frequency and prices at which we sell shares to YA. We expect that any proceeds received by us from such sales to YA will be used for working capital and general corporate purposes, including the repayment of debt. YA has agreed that it and its affiliates will not engage in any short sales of the ordinary shares nor enter into any transaction that establishes a net short position in the ordinary shares during the term of the Second A&amp;R YA Agreement. The Second A&amp;R YA Agreement will automatically terminate on the earlier to occur of (i) August 23, 2027 and (ii) the date on which YA shall have purchased from us under the Second A&amp;R YA Agreement ordinary shares for an aggregate gross purchase price of $250 million. We have the right to terminate the Second A&amp;R YA Agreement at no cost or penalty upon five trading days’ prior written notice to YA; provided that there are no outstanding Advance Notices and all outstanding amounts the Company owes to YA pursuant to the Second A&amp;R YA Agreement are repaid. We and YA may also agree to terminate the Second A&amp;R YA Agreement by mutual written consent. Neither we nor YA may assign or transfer our respective rights and obligations under the Second A&amp;R YA Agreement, and no provision of the Second A&amp;R YA Agreement may be modified or waived by us or YA other than by an instrument in writing signed by both parties.</w:t>
      </w:r>
    </w:p>
    <w:p>
      <w:pPr>
        <w:spacing w:after="0" w:line="300"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212529"/>
        </w:rPr>
        <w:t>The Second A&amp;R YA Agreement contains customary representations, warranties, conditions, and indemnification obligations of the parties. The representations, warranties, and covenants contained in such agreements were made only for purposes of such agreements and as of specific dates, were solely for the benefit of the parties to such agreements, and may be subject to limitations agreed upon by the contracting parties.</w:t>
      </w:r>
    </w:p>
    <w:p>
      <w:pPr>
        <w:spacing w:after="0" w:line="284"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212529"/>
        </w:rPr>
        <w:t>We do not know what the purchase price for our ordinary shares will be and therefore cannot be certain as to the number of shares we might issue to YA under the Second A&amp;R YA Agreement. Although the Second A&amp;R YA Agreement provides that we may sell up to $250 million ordinary shares to YA, only 48,534,860 ordinary shares are being registered for resale by YA under the registration statement of which this prospectus forms a part, which may be issued to YA from time to time, if and when we elect to sell shares to YA under the Second A&amp;R YA Agreement. As of the date hereof, we have sold up to approximately $15.6 million of ordinary shares of the $250 million of ordinary shares issuable under the Second A&amp;R YA Agreement and up to approximately $234.4 of ordinary shares may still be sold to YA.</w:t>
      </w:r>
    </w:p>
    <w:p>
      <w:pPr>
        <w:spacing w:after="0" w:line="295"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212529"/>
        </w:rPr>
        <w:t>If and when we elect to issue and sell shares to YA under the Second A&amp;R YA Agreement, we may need to register for resale under the Securities Act additional ordinary shares in order to receive aggregate gross proceeds equal to the $250 million available to us under the Second A&amp;R YA Agreement, depending on market prices for our ordinary shares. If all of the 48,534,860 shares offered by YA for resale under the registration statement of which this prospectus forms a part were issued and outstanding as of the date hereof (without taking into account the 4.99% Ownership Limitation or the 19.99% Exchange Cap limitation), such shares would represent approximately 19.92% of the total number of ordinary shares outstanding as of May 6, 2025. If we elect to issue and sell more than the 48,534,860 shares offered under this prospectus to YA, which we have the right, but not the obligation, to do so, we must first register for resale under the Securities Act any such additional shares, which could cause substantial additional dilution to</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3" w:name="page14"/>
    <w:bookmarkEnd w:id="13"/>
    <w:p>
      <w:pPr>
        <w:ind w:right="180"/>
        <w:spacing w:after="0" w:line="282" w:lineRule="auto"/>
        <w:rPr>
          <w:sz w:val="20"/>
          <w:szCs w:val="20"/>
          <w:color w:val="auto"/>
        </w:rPr>
      </w:pPr>
      <w:r>
        <w:rPr>
          <w:rFonts w:ascii="Times New Roman" w:cs="Times New Roman" w:eastAsia="Times New Roman" w:hAnsi="Times New Roman"/>
          <w:sz w:val="18"/>
          <w:szCs w:val="18"/>
          <w:color w:val="212529"/>
        </w:rPr>
        <w:t>our stockholders. The number of shares ultimately offered for resale by YA is dependent upon the number of shares we may elect to sell to YA under the Second A&amp;R YA Agreement.</w:t>
      </w:r>
    </w:p>
    <w:p>
      <w:pPr>
        <w:spacing w:after="0" w:line="27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212529"/>
        </w:rPr>
        <w:t>There are substantial risks to our shareholders as a result of the sale and issuance of ordinary shares to YA under the Second A&amp;R YA Agreement. These risks include the potential for substantial dilution and significant declines in our stock price. See the section entitled “Risk Factors— Risks Related to this Offering.” Issuances of our ordinary shares in this offering will not affect the rights or privileges of our existing shareholders, except that the economic and voting interests of each of our existing shareholders will be diluted as a result of any such issuance. Although the number of ordinary shares that our existing shareholders own will not decrease as a result of sales, if any, under the Second A&amp;R YA Agreement to YA, the shares owned by our existing shareholders will represent a smaller percentage of our total outstanding shares after any such issuance to YA.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40" w:firstLine="57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3" w:lineRule="exact"/>
        <w:rPr>
          <w:sz w:val="20"/>
          <w:szCs w:val="20"/>
          <w:color w:val="auto"/>
        </w:rPr>
      </w:pPr>
    </w:p>
    <w:p>
      <w:pPr>
        <w:ind w:right="80" w:firstLine="576"/>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20" w:firstLine="576"/>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40" w:firstLine="576"/>
        <w:spacing w:after="0" w:line="266"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14" w:name="page15"/>
    <w:bookmarkEnd w:id="14"/>
    <w:p>
      <w:pPr>
        <w:ind w:right="660"/>
        <w:spacing w:after="0" w:line="282" w:lineRule="auto"/>
        <w:rPr>
          <w:sz w:val="20"/>
          <w:szCs w:val="20"/>
          <w:color w:val="auto"/>
        </w:rPr>
      </w:pPr>
      <w:r>
        <w:rPr>
          <w:rFonts w:ascii="Times New Roman" w:cs="Times New Roman" w:eastAsia="Times New Roman" w:hAnsi="Times New Roman"/>
          <w:sz w:val="18"/>
          <w:szCs w:val="18"/>
          <w:color w:val="auto"/>
        </w:rPr>
        <w:t>authorizations, those related to the public reporting of insider stock ownership and trading activities, and those requiring the filing with the SEC of quarterly reports on Form 10-Q or current reports on Form 8-K.</w:t>
      </w:r>
    </w:p>
    <w:p>
      <w:pPr>
        <w:spacing w:after="0" w:line="162" w:lineRule="exact"/>
        <w:rPr>
          <w:sz w:val="20"/>
          <w:szCs w:val="20"/>
          <w:color w:val="auto"/>
        </w:rPr>
      </w:pPr>
    </w:p>
    <w:p>
      <w:pPr>
        <w:ind w:right="80" w:firstLine="576"/>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60" w:firstLine="576"/>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right="200" w:firstLine="576"/>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small and medium-sized businesses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5" w:name="page16"/>
    <w:bookmarkEnd w:id="15"/>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8"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6" w:name="page17"/>
    <w:bookmarkEnd w:id="16"/>
    <w:p>
      <w:pPr>
        <w:ind w:left="503" w:right="4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Warrants will ever be in the money at the time they become exercisable or otherwise, and they may expire worthless.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7" w:name="page18"/>
    <w:bookmarkEnd w:id="17"/>
    <w:p>
      <w:pPr>
        <w:ind w:left="503" w:hanging="503"/>
        <w:spacing w:after="0"/>
        <w:tabs>
          <w:tab w:leader="none" w:pos="50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w:t>
      </w:r>
    </w:p>
    <w:p>
      <w:pPr>
        <w:sectPr>
          <w:pgSz w:w="11900" w:h="16838" w:orient="portrait"/>
          <w:cols w:equalWidth="0" w:num="1">
            <w:col w:w="10563"/>
          </w:cols>
          <w:pgMar w:left="837" w:top="1120" w:right="499" w:bottom="1440" w:gutter="0" w:footer="0" w:header="0"/>
        </w:sectPr>
      </w:pPr>
    </w:p>
    <w:p>
      <w:pPr>
        <w:spacing w:after="0" w:line="117" w:lineRule="exact"/>
        <w:rPr>
          <w:sz w:val="20"/>
          <w:szCs w:val="20"/>
          <w:color w:val="auto"/>
        </w:rPr>
      </w:pPr>
    </w:p>
    <w:p>
      <w:pPr>
        <w:jc w:val="center"/>
        <w:ind w:right="357"/>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499110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3"/>
          </w:cols>
          <w:pgMar w:left="837" w:top="1120" w:right="499" w:bottom="1440" w:gutter="0" w:footer="0" w:header="0"/>
          <w:type w:val="continuous"/>
        </w:sectPr>
      </w:pPr>
    </w:p>
    <w:bookmarkStart w:id="18" w:name="page19"/>
    <w:bookmarkEnd w:id="18"/>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0" w:lineRule="exact"/>
        <w:rPr>
          <w:sz w:val="20"/>
          <w:szCs w:val="20"/>
          <w:color w:val="auto"/>
        </w:rPr>
      </w:pPr>
    </w:p>
    <w:p>
      <w:pPr>
        <w:spacing w:after="0" w:line="245"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Holders or their permitted transferees of up to 58,393,288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12 of this prospectus.</w:t>
      </w:r>
    </w:p>
    <w:p>
      <w:pPr>
        <w:spacing w:after="0" w:line="176"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information is as of May 6, 2025 and does not give effect to issuances of Ordinary Shares or Warrants after such date, or the exercise of Warrants after such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p>
      <w:pPr>
        <w:spacing w:after="0" w:line="22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17"/>
          <w:szCs w:val="17"/>
          <w:color w:val="auto"/>
        </w:rPr>
        <w:t>58,393,288 Ordinary Shares, consisting of (i) up to 8,070,845 Ordinary Shares issued upon exercise of certain Convertible Notes 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offered by the Selling certain Selling Holders; (ii) up to 373,637 Ordinary Shares issuable upon conversion of certain Promissory Notes; (iii) up to</w:t>
      </w:r>
    </w:p>
    <w:p>
      <w:pPr>
        <w:spacing w:after="0" w:line="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Holders</w:t>
      </w:r>
      <w:r>
        <w:rPr>
          <w:sz w:val="20"/>
          <w:szCs w:val="20"/>
          <w:color w:val="auto"/>
        </w:rPr>
        <w:tab/>
      </w:r>
      <w:r>
        <w:rPr>
          <w:rFonts w:ascii="Times New Roman" w:cs="Times New Roman" w:eastAsia="Times New Roman" w:hAnsi="Times New Roman"/>
          <w:sz w:val="18"/>
          <w:szCs w:val="18"/>
          <w:color w:val="auto"/>
        </w:rPr>
        <w:t>1,413,946 Ordinary Shares issued upon conversion of the YA Notes; and (iv) up to 48,534,860 Ordinary Shares issuable pursuant to</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Second A&amp;R YA Agreement.</w:t>
      </w:r>
    </w:p>
    <w:p>
      <w:pPr>
        <w:spacing w:after="0" w:line="9" w:lineRule="exact"/>
        <w:rPr>
          <w:sz w:val="20"/>
          <w:szCs w:val="20"/>
          <w:color w:val="auto"/>
        </w:rPr>
      </w:pPr>
    </w:p>
    <w:p>
      <w:pPr>
        <w:ind w:left="20"/>
        <w:spacing w:after="0"/>
        <w:tabs>
          <w:tab w:leader="none" w:pos="164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will not receive any proceeds from the sale of the Ordinary Shares to be offered by the Selling Holders.</w:t>
      </w:r>
    </w:p>
    <w:p>
      <w:pPr>
        <w:sectPr>
          <w:pgSz w:w="11900" w:h="16838" w:orient="portrait"/>
          <w:cols w:equalWidth="0" w:num="1">
            <w:col w:w="11220"/>
          </w:cols>
          <w:pgMar w:left="320" w:top="1440" w:right="359" w:bottom="1440" w:gutter="0" w:footer="0" w:header="0"/>
        </w:sect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 factors</w:t>
      </w:r>
    </w:p>
    <w:p>
      <w:pPr>
        <w:spacing w:after="0" w:line="225"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Nasdaq symbol for Ordinary Shares</w:t>
      </w:r>
    </w:p>
    <w:p>
      <w:pPr>
        <w:spacing w:after="0" w:line="162"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Nasdaq symbol for our warrants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Certain securities that are owned by the Selling Holders are subject to the lock-up provisions pursuant to the Investor Rights Agreement, which provide for certain restrictions on transfer until the termination of applicable lock-up periods. See the Investor Rights Agreement, which is filed as an exhibit to the registration statement of which this prospectus forms a part.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and other information included in this prospectus for a discussion of factors that you should consider carefully before deciding to invest in Ordinary Shares and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“RZLVW.”</w:t>
      </w:r>
    </w:p>
    <w:p>
      <w:pPr>
        <w:spacing w:after="0" w:line="371" w:lineRule="exact"/>
        <w:rPr>
          <w:sz w:val="20"/>
          <w:szCs w:val="20"/>
          <w:color w:val="auto"/>
        </w:rPr>
      </w:pPr>
    </w:p>
    <w:p>
      <w:pPr>
        <w:sectPr>
          <w:pgSz w:w="11900" w:h="16838" w:orient="portrait"/>
          <w:cols w:equalWidth="0" w:num="2">
            <w:col w:w="1500" w:space="100"/>
            <w:col w:w="9620"/>
          </w:cols>
          <w:pgMar w:left="320" w:top="1440" w:right="359" w:bottom="1440" w:gutter="0" w:footer="0" w:header="0"/>
          <w:type w:val="continuous"/>
        </w:sectPr>
      </w:pP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9" w:name="page20"/>
    <w:bookmarkEnd w:id="19"/>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Ordinary Shares and Warrants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Ordinary Shares or Warrants. If any of the following risks actually occur, our business, financial condition and operating results could be materially and adversely affected. In that case, the market price of the Ordinary Shares and Warrants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140" w:right="600" w:hanging="519"/>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140" w:right="220" w:hanging="519"/>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jc w:val="both"/>
        <w:ind w:left="1140" w:right="340" w:hanging="519"/>
        <w:spacing w:after="0" w:line="26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ind w:right="140"/>
        <w:spacing w:after="0" w:line="256" w:lineRule="auto"/>
        <w:rPr>
          <w:sz w:val="20"/>
          <w:szCs w:val="20"/>
          <w:color w:val="auto"/>
        </w:rPr>
      </w:pPr>
      <w:r>
        <w:rPr>
          <w:rFonts w:ascii="Times New Roman" w:cs="Times New Roman" w:eastAsia="Times New Roman" w:hAnsi="Times New Roman"/>
          <w:sz w:val="18"/>
          <w:szCs w:val="18"/>
          <w:color w:val="auto"/>
        </w:rPr>
        <w:t>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1" w:name="page22"/>
    <w:bookmarkEnd w:id="21"/>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2" w:name="page23"/>
    <w:bookmarkEnd w:id="22"/>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26 employees at December 31, 2024.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220" w:hanging="503"/>
        <w:spacing w:after="0" w:line="282" w:lineRule="auto"/>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b w:val="1"/>
          <w:bCs w:val="1"/>
          <w:color w:val="auto"/>
        </w:rPr>
      </w:pPr>
    </w:p>
    <w:p>
      <w:pPr>
        <w:ind w:left="1020" w:right="560" w:hanging="503"/>
        <w:spacing w:after="0" w:line="282" w:lineRule="auto"/>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b w:val="1"/>
          <w:bCs w:val="1"/>
          <w:color w:val="auto"/>
        </w:rPr>
      </w:pPr>
    </w:p>
    <w:p>
      <w:pPr>
        <w:ind w:left="1020" w:right="260" w:hanging="503"/>
        <w:spacing w:after="0" w:line="282" w:lineRule="auto"/>
        <w:tabs>
          <w:tab w:leader="none" w:pos="10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23" w:name="page24"/>
    <w:bookmarkEnd w:id="23"/>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b w:val="1"/>
          <w:bCs w:val="1"/>
          <w:color w:val="auto"/>
        </w:rPr>
      </w:pPr>
    </w:p>
    <w:p>
      <w:pPr>
        <w:ind w:left="1020" w:right="120" w:hanging="503"/>
        <w:spacing w:after="0" w:line="266" w:lineRule="auto"/>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5" w:name="page26"/>
    <w:bookmarkEnd w:id="25"/>
    <w:p>
      <w:pPr>
        <w:spacing w:after="0" w:line="254" w:lineRule="auto"/>
        <w:rPr>
          <w:sz w:val="20"/>
          <w:szCs w:val="20"/>
          <w:color w:val="auto"/>
        </w:rPr>
      </w:pPr>
      <w:r>
        <w:rPr>
          <w:rFonts w:ascii="Times New Roman" w:cs="Times New Roman" w:eastAsia="Times New Roman" w:hAnsi="Times New Roman"/>
          <w:sz w:val="18"/>
          <w:szCs w:val="18"/>
          <w:color w:val="auto"/>
        </w:rPr>
        <w:t>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26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26" w:name="page27"/>
    <w:bookmarkEnd w:id="26"/>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9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7" w:name="page28"/>
    <w:bookmarkEnd w:id="27"/>
    <w:p>
      <w:pPr>
        <w:ind w:right="120"/>
        <w:spacing w:after="0" w:line="261" w:lineRule="auto"/>
        <w:rPr>
          <w:sz w:val="20"/>
          <w:szCs w:val="20"/>
          <w:color w:val="auto"/>
        </w:rPr>
      </w:pPr>
      <w:r>
        <w:rPr>
          <w:rFonts w:ascii="Times New Roman" w:cs="Times New Roman" w:eastAsia="Times New Roman" w:hAnsi="Times New Roman"/>
          <w:sz w:val="18"/>
          <w:szCs w:val="18"/>
          <w:color w:val="auto"/>
        </w:rPr>
        <w:t>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9" w:name="page30"/>
    <w:bookmarkEnd w:id="29"/>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9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0" w:name="page31"/>
    <w:bookmarkEnd w:id="30"/>
    <w:p>
      <w:pPr>
        <w:ind w:right="220"/>
        <w:spacing w:after="0" w:line="266" w:lineRule="auto"/>
        <w:rPr>
          <w:sz w:val="20"/>
          <w:szCs w:val="20"/>
          <w:color w:val="auto"/>
        </w:rPr>
      </w:pPr>
      <w:r>
        <w:rPr>
          <w:rFonts w:ascii="Times New Roman" w:cs="Times New Roman" w:eastAsia="Times New Roman" w:hAnsi="Times New Roman"/>
          <w:sz w:val="18"/>
          <w:szCs w:val="18"/>
          <w:color w:val="auto"/>
        </w:rPr>
        <w:t>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8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1" w:name="page32"/>
    <w:bookmarkEnd w:id="31"/>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2" w:name="page33"/>
    <w:bookmarkEnd w:id="32"/>
    <w:p>
      <w:pPr>
        <w:ind w:right="220"/>
        <w:spacing w:after="0" w:line="261" w:lineRule="auto"/>
        <w:rPr>
          <w:sz w:val="20"/>
          <w:szCs w:val="20"/>
          <w:color w:val="auto"/>
        </w:rPr>
      </w:pPr>
      <w:r>
        <w:rPr>
          <w:rFonts w:ascii="Times New Roman" w:cs="Times New Roman" w:eastAsia="Times New Roman" w:hAnsi="Times New Roman"/>
          <w:sz w:val="18"/>
          <w:szCs w:val="18"/>
          <w:color w:val="auto"/>
        </w:rPr>
        <w:t>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w:t>
      </w:r>
    </w:p>
    <w:p>
      <w:pPr>
        <w:spacing w:after="0" w:line="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to dedicate substantially greater resources to developing and protecting their technology or intellectual property rights than Rezolve does.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4" w:name="page35"/>
    <w:bookmarkEnd w:id="34"/>
    <w:p>
      <w:pPr>
        <w:ind w:right="360"/>
        <w:spacing w:after="0" w:line="282" w:lineRule="auto"/>
        <w:rPr>
          <w:sz w:val="20"/>
          <w:szCs w:val="20"/>
          <w:color w:val="auto"/>
        </w:rPr>
      </w:pPr>
      <w:r>
        <w:rPr>
          <w:rFonts w:ascii="Times New Roman" w:cs="Times New Roman" w:eastAsia="Times New Roman" w:hAnsi="Times New Roman"/>
          <w:sz w:val="18"/>
          <w:szCs w:val="18"/>
          <w:color w:val="auto"/>
        </w:rPr>
        <w:t>software, or remedies against the licensors. Many of the risks associated with usage of open source software cannot be eliminated and could adversely affect Rezolve’s business.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35" w:name="page36"/>
    <w:bookmarkEnd w:id="35"/>
    <w:p>
      <w:pPr>
        <w:ind w:right="160"/>
        <w:spacing w:after="0" w:line="282" w:lineRule="auto"/>
        <w:rPr>
          <w:sz w:val="20"/>
          <w:szCs w:val="20"/>
          <w:color w:val="auto"/>
        </w:rPr>
      </w:pPr>
      <w:r>
        <w:rPr>
          <w:rFonts w:ascii="Times New Roman" w:cs="Times New Roman" w:eastAsia="Times New Roman" w:hAnsi="Times New Roman"/>
          <w:sz w:val="18"/>
          <w:szCs w:val="18"/>
          <w:color w:val="auto"/>
        </w:rPr>
        <w:t>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6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s is likely to be volatile and could be subject to fluctuations in response to various factors, some of which are beyond our control. These fluctuations could cause you to lose all or part of your investment in Ordinary Shares as you might be unable to sell your shares at or above the price you paid. Factors that could cause fluctuations in the trading price of Ordinary Shares include the following:</w:t>
      </w:r>
    </w:p>
    <w:p>
      <w:pPr>
        <w:spacing w:after="0" w:line="72" w:lineRule="exact"/>
        <w:rPr>
          <w:sz w:val="20"/>
          <w:szCs w:val="20"/>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760" w:right="560" w:hanging="513"/>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6" w:name="page37"/>
    <w:bookmarkEnd w:id="36"/>
    <w:p>
      <w:pPr>
        <w:ind w:left="760" w:right="660" w:hanging="51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760" w:right="720" w:hanging="51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760" w:right="140" w:hanging="513"/>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760" w:hanging="513"/>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Ordinary Shares.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or Rezolve’s securities are not listed on the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Rezolve’s securities;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Ordinary Shares are a “penny stock” which will require brokers trading in our Ordinary Shares to adhere to more stringent rules, possibly resulting in a reduced level of trading activity in the secondary trading market for the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180" w:firstLine="554"/>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760" w:hanging="513"/>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760" w:right="300" w:hanging="513"/>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760" w:right="180" w:hanging="513"/>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760" w:right="480" w:hanging="513"/>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8" w:name="page39"/>
    <w:bookmarkEnd w:id="38"/>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34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9" w:name="page40"/>
    <w:bookmarkEnd w:id="39"/>
    <w:p>
      <w:pPr>
        <w:spacing w:after="0" w:line="252" w:lineRule="auto"/>
        <w:rPr>
          <w:sz w:val="20"/>
          <w:szCs w:val="20"/>
          <w:color w:val="auto"/>
        </w:rPr>
      </w:pPr>
      <w:r>
        <w:rPr>
          <w:rFonts w:ascii="Times New Roman" w:cs="Times New Roman" w:eastAsia="Times New Roman" w:hAnsi="Times New Roman"/>
          <w:sz w:val="18"/>
          <w:szCs w:val="18"/>
          <w:color w:val="auto"/>
        </w:rPr>
        <w:t>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2024.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0" w:name="page41"/>
    <w:bookmarkEnd w:id="40"/>
    <w:p>
      <w:pPr>
        <w:spacing w:after="0" w:line="282" w:lineRule="auto"/>
        <w:rPr>
          <w:sz w:val="20"/>
          <w:szCs w:val="20"/>
          <w:color w:val="auto"/>
        </w:rPr>
      </w:pPr>
      <w:r>
        <w:rPr>
          <w:rFonts w:ascii="Times New Roman" w:cs="Times New Roman" w:eastAsia="Times New Roman" w:hAnsi="Times New Roman"/>
          <w:sz w:val="18"/>
          <w:szCs w:val="18"/>
          <w:color w:val="auto"/>
        </w:rPr>
        <w:t>tax rate on Rezolve and future withholding taxes on certain Rezolve shareholders, depending on the application of any income tax treaty that might apply to reduce such withholding taxes.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1" w:name="page42"/>
    <w:bookmarkEnd w:id="41"/>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All of the securities offered by the Selling Holders pursuant to this prospectus will be sold by the Selling Holders for their respective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these sales.</w:t>
      </w:r>
    </w:p>
    <w:p>
      <w:pPr>
        <w:spacing w:after="0" w:line="20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Selling Holders will pay any underwriting commissions and discounts, and expenses incurred by the Selling Holders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202" w:lineRule="exact"/>
        <w:rPr>
          <w:sz w:val="20"/>
          <w:szCs w:val="20"/>
          <w:color w:val="auto"/>
        </w:rPr>
      </w:pPr>
    </w:p>
    <w:p>
      <w:pPr>
        <w:ind w:firstLine="576"/>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April 25, 2025, there were approximately 2 shareholders of record of Ordinary Shares and one shareholder of record of Warrants. Such numbers do not include beneficial owners holding our securities through nominee names. On May 5, 2025, the last reported closing sale prices of our Ordinary Shares and Public Warrants were $2.11 and $0.64, respectively.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9"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March 6, 2025, February 21, 2025 and February 7, 2025, Rezolve AI plc (“Rezolve” or “the Company”) completed two acquisitions after December 31, 2024 but before the consolidated financial statements of the Company as of and for the year ended December 31, 2024 were issued.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in a private placement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 and Bluedot Innovation Pty. Ltd, together “Bluedot”, is a developer of mobile location technology to enhance customer experiences.</w:t>
      </w:r>
    </w:p>
    <w:p>
      <w:pPr>
        <w:spacing w:after="0" w:line="5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acquisition of Bluedot and issued the above mentioned ordinary shares as consideration to DBLP and the Tanist Group,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 As such the adjustments reflected in the Unaudited Pro Forma Condensed Combined Balance Sheet will not necessarily reconcile with the adjustments in the Unaudited Pro Forma Condensed Combined Statements of Operations. Assumptions and estimates underlying the pro forma adjustments are described in the accompanying notes, which should be read in conjunction with the unaudited pro forma condensed combined financial statements.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consolidated results of operations of Rezolve would have been had the Bluedot acquisition and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266" w:lineRule="auto"/>
        <w:rPr>
          <w:sz w:val="20"/>
          <w:szCs w:val="20"/>
          <w:color w:val="auto"/>
        </w:rPr>
      </w:pPr>
      <w:r>
        <w:rPr>
          <w:rFonts w:ascii="Times New Roman" w:cs="Times New Roman" w:eastAsia="Times New Roman" w:hAnsi="Times New Roman"/>
          <w:sz w:val="18"/>
          <w:szCs w:val="18"/>
          <w:color w:val="auto"/>
        </w:rPr>
        <w:t>GroupBy acquisition occurred on the dates noted above, nor are they necessarily indicative of future consolidated results of operations. Future results may vary significantly from the results reflected because of various factors. In Rezolve’s opinion, all adjustments that are necessary to present fairly the unaudited pro forma condensed combined financial information have been made.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Bluedot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w:t>
      </w:r>
    </w:p>
    <w:p>
      <w:pPr>
        <w:spacing w:after="0" w:line="117" w:lineRule="exact"/>
        <w:rPr>
          <w:sz w:val="20"/>
          <w:szCs w:val="20"/>
          <w:color w:val="auto"/>
        </w:rPr>
      </w:pPr>
    </w:p>
    <w:p>
      <w:pPr>
        <w:ind w:left="1020" w:right="2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Rezolve as of, and for the years ended, December 31, 2024 and 2023, included elsewhere in this prospectus;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included elsewhere in this prospectus;</w:t>
      </w:r>
    </w:p>
    <w:p>
      <w:pPr>
        <w:spacing w:after="0" w:line="51" w:lineRule="exact"/>
        <w:rPr>
          <w:rFonts w:ascii="Times New Roman" w:cs="Times New Roman" w:eastAsia="Times New Roman" w:hAnsi="Times New Roman"/>
          <w:sz w:val="18"/>
          <w:szCs w:val="18"/>
          <w:color w:val="auto"/>
        </w:rPr>
      </w:pPr>
    </w:p>
    <w:p>
      <w:pPr>
        <w:ind w:left="1020" w:right="80" w:hanging="503"/>
        <w:spacing w:after="0" w:line="284"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included elsewhere in this prospectus.</w:t>
      </w:r>
    </w:p>
    <w:p>
      <w:pPr>
        <w:spacing w:after="0" w:line="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8" w:right="45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5"/>
          <w:szCs w:val="15"/>
          <w:b w:val="1"/>
          <w:bCs w:val="1"/>
          <w:color w:val="auto"/>
        </w:rPr>
        <w:t>REZOLVE AI plc AND SUBSIDIARIES</w:t>
      </w:r>
    </w:p>
    <w:p>
      <w:pPr>
        <w:jc w:val="center"/>
        <w:spacing w:after="0" w:line="234" w:lineRule="auto"/>
        <w:rPr>
          <w:sz w:val="20"/>
          <w:szCs w:val="20"/>
          <w:color w:val="auto"/>
        </w:rPr>
      </w:pPr>
      <w:r>
        <w:rPr>
          <w:rFonts w:ascii="Times New Roman" w:cs="Times New Roman" w:eastAsia="Times New Roman" w:hAnsi="Times New Roman"/>
          <w:sz w:val="15"/>
          <w:szCs w:val="15"/>
          <w:b w:val="1"/>
          <w:bCs w:val="1"/>
          <w:color w:val="auto"/>
        </w:rPr>
        <w:t>UNAUDITED PRO FORMA CONDENSED COMBINED BALANCE SHEET</w:t>
      </w:r>
    </w:p>
    <w:tbl>
      <w:tblPr>
        <w:tblLayout w:type="fixed"/>
        <w:tblInd w:w="0" w:type="dxa"/>
        <w:tblCellMar>
          <w:top w:w="0" w:type="dxa"/>
          <w:left w:w="0" w:type="dxa"/>
          <w:bottom w:w="0" w:type="dxa"/>
          <w:right w:w="0" w:type="dxa"/>
        </w:tblCellMar>
      </w:tblPr>
      <w:tr>
        <w:trPr>
          <w:trHeight w:val="160"/>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140"/>
              <w:spacing w:after="0" w:line="140" w:lineRule="exact"/>
              <w:rPr>
                <w:sz w:val="20"/>
                <w:szCs w:val="20"/>
                <w:color w:val="auto"/>
              </w:rPr>
            </w:pPr>
            <w:r>
              <w:rPr>
                <w:rFonts w:ascii="Times New Roman" w:cs="Times New Roman" w:eastAsia="Times New Roman" w:hAnsi="Times New Roman"/>
                <w:sz w:val="13"/>
                <w:szCs w:val="13"/>
                <w:b w:val="1"/>
                <w:bCs w:val="1"/>
                <w:color w:val="auto"/>
              </w:rPr>
              <w:t>Proforma Combined</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Rezolve AI plc</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3"/>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9"/>
              </w:rPr>
              <w:t>GroupBy</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and Subsidiaries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Industries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2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1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as of</w:t>
            </w: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w:t>
            </w:r>
          </w:p>
        </w:tc>
        <w:tc>
          <w:tcPr>
            <w:tcW w:w="120" w:type="dxa"/>
            <w:vAlign w:val="bottom"/>
          </w:tcPr>
          <w:p>
            <w:pPr>
              <w:spacing w:after="0"/>
              <w:rPr>
                <w:sz w:val="11"/>
                <w:szCs w:val="11"/>
                <w:color w:val="auto"/>
              </w:rPr>
            </w:pPr>
          </w:p>
        </w:tc>
        <w:tc>
          <w:tcPr>
            <w:tcW w:w="1040" w:type="dxa"/>
            <w:vAlign w:val="bottom"/>
            <w:gridSpan w:val="4"/>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(Historical as</w:t>
            </w:r>
          </w:p>
        </w:tc>
        <w:tc>
          <w:tcPr>
            <w:tcW w:w="12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Accounting</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12/31/2024)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of 12/31/2024)</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15"/>
        </w:trPr>
        <w:tc>
          <w:tcPr>
            <w:tcW w:w="26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84"/>
              </w:rPr>
              <w:t>D</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F</w:t>
            </w:r>
          </w:p>
        </w:tc>
        <w:tc>
          <w:tcPr>
            <w:tcW w:w="320" w:type="dxa"/>
            <w:vAlign w:val="bottom"/>
          </w:tcPr>
          <w:p>
            <w:pPr>
              <w:spacing w:after="0"/>
              <w:rPr>
                <w:sz w:val="11"/>
                <w:szCs w:val="11"/>
                <w:color w:val="auto"/>
              </w:rPr>
            </w:pPr>
          </w:p>
        </w:tc>
        <w:tc>
          <w:tcPr>
            <w:tcW w:w="1060" w:type="dxa"/>
            <w:vAlign w:val="bottom"/>
            <w:gridSpan w:val="4"/>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A+B+C+D+E+</w:t>
            </w:r>
          </w:p>
        </w:tc>
        <w:tc>
          <w:tcPr>
            <w:tcW w:w="0" w:type="dxa"/>
            <w:vAlign w:val="bottom"/>
          </w:tcPr>
          <w:p>
            <w:pPr>
              <w:spacing w:after="0"/>
              <w:rPr>
                <w:sz w:val="1"/>
                <w:szCs w:val="1"/>
                <w:color w:val="auto"/>
              </w:rPr>
            </w:pPr>
          </w:p>
        </w:tc>
      </w:tr>
      <w:tr>
        <w:trPr>
          <w:trHeight w:val="155"/>
        </w:trPr>
        <w:tc>
          <w:tcPr>
            <w:tcW w:w="2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w:t>
            </w: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9,450,944</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6,482,298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278,603</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16,211,876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21,274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1,148,861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682,432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1,852,567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960,848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1,146,327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a</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2,117,175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asset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2,587,581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taxes receivable</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222,222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13,020,647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8,999,708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961,035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10,000</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22,991,421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6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17,332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26,401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6,750,178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68,304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34,400,000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b</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6,276,731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c,d</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47,495,213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4,580,673</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1,093,939</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f</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5,674,612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Right-of-use asset</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174,568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9,771</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1"/>
              </w:rPr>
              <w:t>g</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184,339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384,408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41,269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6,767,510</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174,568</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430,664</w:t>
            </w: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72,386</w:t>
            </w:r>
          </w:p>
        </w:tc>
        <w:tc>
          <w:tcPr>
            <w:tcW w:w="120" w:type="dxa"/>
            <w:vAlign w:val="bottom"/>
            <w:tcBorders>
              <w:top w:val="single" w:sz="8" w:color="CFF0FC"/>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38,990,444</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53,806,242</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6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3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7,303,060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21,598,041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1,493,082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1,371,844</w:t>
            </w:r>
          </w:p>
        </w:tc>
        <w:tc>
          <w:tcPr>
            <w:tcW w:w="120" w:type="dxa"/>
            <w:vAlign w:val="bottom"/>
          </w:tcPr>
          <w:p>
            <w:pPr>
              <w:spacing w:after="0"/>
              <w:rPr>
                <w:sz w:val="11"/>
                <w:szCs w:val="11"/>
                <w:color w:val="auto"/>
              </w:rPr>
            </w:pP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a,i</w:t>
            </w: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295,846</w:t>
            </w:r>
          </w:p>
        </w:tc>
        <w:tc>
          <w:tcPr>
            <w:tcW w:w="100" w:type="dxa"/>
            <w:vAlign w:val="bottom"/>
          </w:tcPr>
          <w:p>
            <w:pPr>
              <w:spacing w:after="0"/>
              <w:rPr>
                <w:sz w:val="11"/>
                <w:szCs w:val="11"/>
                <w:color w:val="auto"/>
              </w:rPr>
            </w:pPr>
          </w:p>
        </w:tc>
        <w:tc>
          <w:tcPr>
            <w:tcW w:w="40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1"/>
              </w:rPr>
              <w:t>j</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32,065,839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Due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1,054,429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payables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9,513,932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1,089,012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10,602,944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5,102,211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589,940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5,692,151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10,288,123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 to related party</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95,309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Convertible promissory notes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6,428,825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Payable</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1,206,609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 liability</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Advisors loans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12,812,366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2,579,875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Bank indebtedness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(12,000,000)</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h</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8,584,886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1,161,723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9,746,609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(20,149)</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k</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portion of lease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43,069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42,246,145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(10,648,305)</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295,846</w:t>
            </w: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94,016,148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liability</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l</w:t>
            </w: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10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m</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11,563,051</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Debt</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108,238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6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148,945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6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148,945</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108,238</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10,335,000</w:t>
            </w:r>
          </w:p>
        </w:tc>
        <w:tc>
          <w:tcPr>
            <w:tcW w:w="1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1,228,051</w:t>
            </w:r>
          </w:p>
        </w:tc>
        <w:tc>
          <w:tcPr>
            <w:tcW w:w="10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11,820,234</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57,784,739</w:t>
            </w:r>
          </w:p>
        </w:tc>
        <w:tc>
          <w:tcPr>
            <w:tcW w:w="12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42,395,090</w:t>
            </w:r>
          </w:p>
        </w:tc>
        <w:tc>
          <w:tcPr>
            <w:tcW w:w="120" w:type="dxa"/>
            <w:vAlign w:val="bottom"/>
          </w:tcPr>
          <w:p>
            <w:pPr>
              <w:spacing w:after="0"/>
              <w:rPr>
                <w:sz w:val="11"/>
                <w:szCs w:val="11"/>
                <w:color w:val="auto"/>
              </w:rPr>
            </w:pP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4,333,757</w:t>
            </w:r>
          </w:p>
        </w:tc>
        <w:tc>
          <w:tcPr>
            <w:tcW w:w="120" w:type="dxa"/>
            <w:vAlign w:val="bottom"/>
          </w:tcPr>
          <w:p>
            <w:pPr>
              <w:spacing w:after="0"/>
              <w:rPr>
                <w:sz w:val="11"/>
                <w:szCs w:val="11"/>
                <w:color w:val="auto"/>
              </w:rPr>
            </w:pP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112,204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(313,305)</w:t>
            </w: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1,523,897</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105,836,382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66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w:t>
            </w: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208,260,754 shares issued and outstanding as of</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December 31, 2024; 152,262,295 shares issued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82"/>
              </w:rPr>
              <w:t>n</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gridSpan w:val="2"/>
            <w:vMerge w:val="restart"/>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o</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660" w:type="dxa"/>
            <w:vAlign w:val="bottom"/>
            <w:vMerge w:val="restart"/>
          </w:tcPr>
          <w:p>
            <w:pPr>
              <w:spacing w:after="0" w:line="135" w:lineRule="exact"/>
              <w:rPr>
                <w:sz w:val="20"/>
                <w:szCs w:val="20"/>
                <w:color w:val="auto"/>
              </w:rPr>
            </w:pPr>
            <w:r>
              <w:rPr>
                <w:rFonts w:ascii="Times New Roman" w:cs="Times New Roman" w:eastAsia="Times New Roman" w:hAnsi="Times New Roman"/>
                <w:sz w:val="13"/>
                <w:szCs w:val="13"/>
                <w:color w:val="auto"/>
              </w:rPr>
              <w:t>and outstanding as of December 31, 2023;</w:t>
            </w: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66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256,365,817 and 161,710,480 shares authorized</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2024 and 2023</w:t>
            </w:r>
          </w:p>
        </w:tc>
        <w:tc>
          <w:tcPr>
            <w:tcW w:w="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66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Series A shares, £0.0001 nominal value</w:t>
            </w:r>
          </w:p>
        </w:tc>
        <w:tc>
          <w:tcPr>
            <w:tcW w:w="6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4,575,983 shares issued, authorized and</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outstanding as of December 31, 2023</w:t>
            </w: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shares/Common Stock</w:t>
            </w:r>
          </w:p>
        </w:tc>
        <w:tc>
          <w:tcPr>
            <w:tcW w:w="6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(14,005,728)</w:t>
            </w:r>
          </w:p>
        </w:tc>
        <w:tc>
          <w:tcPr>
            <w:tcW w:w="4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(1,050)</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194,062,767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6,291,080</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21,626,882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3,324,360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11,767,156</w:t>
            </w:r>
          </w:p>
        </w:tc>
        <w:tc>
          <w:tcPr>
            <w:tcW w:w="120" w:type="dxa"/>
            <w:vAlign w:val="bottom"/>
            <w:shd w:val="clear" w:color="auto" w:fill="CFF0FC"/>
          </w:tcPr>
          <w:p>
            <w:pPr>
              <w:spacing w:after="0"/>
              <w:rPr>
                <w:sz w:val="11"/>
                <w:szCs w:val="11"/>
                <w:color w:val="auto"/>
              </w:rPr>
            </w:pP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n,p</w:t>
            </w:r>
          </w:p>
        </w:tc>
        <w:tc>
          <w:tcPr>
            <w:tcW w:w="9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(20,562,772)</w:t>
            </w:r>
          </w:p>
        </w:tc>
        <w:tc>
          <w:tcPr>
            <w:tcW w:w="400" w:type="dxa"/>
            <w:vAlign w:val="bottom"/>
            <w:gridSpan w:val="2"/>
            <w:shd w:val="clear" w:color="auto" w:fill="CFF0FC"/>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o,p</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216,509,473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subscription receivable</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79,003</w:t>
            </w:r>
          </w:p>
        </w:tc>
        <w:tc>
          <w:tcPr>
            <w:tcW w:w="100" w:type="dxa"/>
            <w:vAlign w:val="bottom"/>
          </w:tcPr>
          <w:p>
            <w:pPr>
              <w:spacing w:after="0"/>
              <w:rPr>
                <w:sz w:val="11"/>
                <w:szCs w:val="11"/>
                <w:color w:val="auto"/>
              </w:rPr>
            </w:pP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66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40" w:type="dxa"/>
            <w:vAlign w:val="bottom"/>
            <w:gridSpan w:val="2"/>
            <w:shd w:val="clear" w:color="auto" w:fill="CFF0FC"/>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2"/>
              </w:rPr>
              <w:t>g,h,i</w:t>
            </w:r>
          </w:p>
        </w:tc>
        <w:tc>
          <w:tcPr>
            <w:tcW w:w="8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gridSpan w:val="2"/>
            <w:vMerge w:val="restart"/>
            <w:shd w:val="clear" w:color="auto" w:fill="CFF0FC"/>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j,m,p</w:t>
            </w: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6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(232,075,815)</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(58,196,350)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(24,831,035)</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(3,285,194)</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46,229,426</w:t>
            </w:r>
          </w:p>
        </w:tc>
        <w:tc>
          <w:tcPr>
            <w:tcW w:w="1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k,l,p</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26,592,332</w:t>
            </w:r>
          </w:p>
        </w:tc>
        <w:tc>
          <w:tcPr>
            <w:tcW w:w="100" w:type="dxa"/>
            <w:vAlign w:val="bottom"/>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(245,566,636)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(261,095)</w:t>
            </w:r>
          </w:p>
        </w:tc>
        <w:tc>
          <w:tcPr>
            <w:tcW w:w="40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2"/>
              </w:rPr>
              <w:t>p</w:t>
            </w:r>
          </w:p>
        </w:tc>
        <w:tc>
          <w:tcPr>
            <w:tcW w:w="8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(10,270)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w:t>
            </w:r>
          </w:p>
        </w:tc>
        <w:tc>
          <w:tcPr>
            <w:tcW w:w="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(4,678,728)</w:t>
            </w:r>
          </w:p>
        </w:tc>
        <w:tc>
          <w:tcPr>
            <w:tcW w:w="440" w:type="dxa"/>
            <w:vAlign w:val="bottom"/>
            <w:gridSpan w:val="2"/>
            <w:shd w:val="clear" w:color="auto" w:fill="CFF0FC"/>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q</w:t>
            </w:r>
          </w:p>
        </w:tc>
        <w:tc>
          <w:tcPr>
            <w:tcW w:w="9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3"/>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(33,220,814)</w:t>
            </w:r>
          </w:p>
        </w:tc>
        <w:tc>
          <w:tcPr>
            <w:tcW w:w="22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(2,942,058)</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(39,787)</w:t>
            </w:r>
          </w:p>
        </w:tc>
        <w:tc>
          <w:tcPr>
            <w:tcW w:w="10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39,313,749</w:t>
            </w:r>
          </w:p>
        </w:tc>
        <w:tc>
          <w:tcPr>
            <w:tcW w:w="120" w:type="dxa"/>
            <w:vAlign w:val="bottom"/>
          </w:tcPr>
          <w:p>
            <w:pPr>
              <w:spacing w:after="0"/>
              <w:rPr>
                <w:sz w:val="11"/>
                <w:szCs w:val="11"/>
                <w:color w:val="auto"/>
              </w:rPr>
            </w:pPr>
          </w:p>
        </w:tc>
        <w:tc>
          <w:tcPr>
            <w:tcW w:w="44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5,846,773</w:t>
            </w:r>
          </w:p>
        </w:tc>
        <w:tc>
          <w:tcPr>
            <w:tcW w:w="10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(29,038,719)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6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19,788,157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9,174,276</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1,391,699</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72,417</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39,000,444</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7,370,670</w:t>
            </w:r>
          </w:p>
        </w:tc>
        <w:tc>
          <w:tcPr>
            <w:tcW w:w="100" w:type="dxa"/>
            <w:vAlign w:val="bottom"/>
            <w:shd w:val="clear" w:color="auto" w:fill="CFF0FC"/>
          </w:tcPr>
          <w:p>
            <w:pPr>
              <w:spacing w:after="0"/>
              <w:rPr>
                <w:sz w:val="12"/>
                <w:szCs w:val="12"/>
                <w:color w:val="auto"/>
              </w:rPr>
            </w:pPr>
          </w:p>
        </w:tc>
        <w:tc>
          <w:tcPr>
            <w:tcW w:w="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76,797,663</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-4791075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-4791075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-4791075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-4791075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-4791075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-4791075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-4791075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-4088130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-4088130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-4088130</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-4088130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-4088130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-4088130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-4088130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-3899535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-3882390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-3899535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-3882390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-3899535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-3882390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-3899535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-3882390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-3899535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-3882390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-3899535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-3882390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-3899535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-3882390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-2322195</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-2322195</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-2322195</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-2322195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-2322195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-2322195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-2322195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-1790700</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-1790700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-1790700</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-1790700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-1790700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-1790700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-213995</wp:posOffset>
            </wp:positionV>
            <wp:extent cx="77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-213995</wp:posOffset>
            </wp:positionV>
            <wp:extent cx="768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-213995</wp:posOffset>
            </wp:positionV>
            <wp:extent cx="768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-213995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-213995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-213995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-7620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See accompanying notes to the unaudited pro forma condensed combined financial information</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7"/>
              </w:rPr>
              <w:t>Proforma Combined</w:t>
            </w: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300"/>
              <w:spacing w:after="0" w:line="11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Bluedot Industries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Innovation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GroupBy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Bluedot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(Historical Year</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(Historical Year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Transaction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Transaction</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3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ended December 31,</w:t>
            </w:r>
          </w:p>
        </w:tc>
        <w:tc>
          <w:tcPr>
            <w:tcW w:w="120" w:type="dxa"/>
            <w:vAlign w:val="bottom"/>
          </w:tcPr>
          <w:p>
            <w:pPr>
              <w:spacing w:after="0"/>
              <w:rPr>
                <w:sz w:val="11"/>
                <w:szCs w:val="11"/>
                <w:color w:val="auto"/>
              </w:rPr>
            </w:pPr>
          </w:p>
        </w:tc>
        <w:tc>
          <w:tcPr>
            <w:tcW w:w="132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26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 31,</w:t>
            </w: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 December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Pro Forma</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84"/>
              </w:rPr>
              <w:t>C</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1"/>
              </w:rPr>
              <w:t>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jc w:val="center"/>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6"/>
              </w:rPr>
              <w:t>G =</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A+B+C+D+E+F</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187,788</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2,092,315</w:t>
            </w:r>
          </w:p>
        </w:tc>
        <w:tc>
          <w:tcPr>
            <w:tcW w:w="12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1"/>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485,860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82"/>
              </w:rPr>
              <w:t>R</w:t>
            </w: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21,656,897</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158,776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12,066,966</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6,285,446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402,441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11,594,711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w w:val="97"/>
              </w:rPr>
              <w:t>General and administrative expenses</w:t>
            </w:r>
          </w:p>
        </w:tc>
        <w:tc>
          <w:tcPr>
            <w:tcW w:w="8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131,430,412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2,789,811</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721,269</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23,979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74"/>
              </w:rPr>
              <w:t>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135,078,025</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84"/>
              </w:rPr>
              <w:t>s,z</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gridSpan w:val="2"/>
            <w:vMerge w:val="restart"/>
            <w:shd w:val="clear" w:color="auto" w:fill="CFF0FC"/>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4"/>
              </w:rPr>
              <w:t>t,u</w:t>
            </w: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80" w:type="dxa"/>
            <w:vAlign w:val="bottom"/>
            <w:tcBorders>
              <w:bottom w:val="single" w:sz="8" w:color="CFF0FC"/>
            </w:tcBorders>
            <w:shd w:val="clear" w:color="auto" w:fill="CFF0FC"/>
          </w:tcPr>
          <w:p>
            <w:pPr>
              <w:spacing w:after="0" w:line="133" w:lineRule="exact"/>
              <w:rPr>
                <w:sz w:val="20"/>
                <w:szCs w:val="20"/>
                <w:color w:val="auto"/>
              </w:rPr>
            </w:pPr>
            <w:r>
              <w:rPr>
                <w:rFonts w:ascii="Times New Roman" w:cs="Times New Roman" w:eastAsia="Times New Roman" w:hAnsi="Times New Roman"/>
                <w:sz w:val="13"/>
                <w:szCs w:val="13"/>
                <w:color w:val="auto"/>
              </w:rPr>
              <w:t>expenses</w:t>
            </w:r>
          </w:p>
        </w:tc>
        <w:tc>
          <w:tcPr>
            <w:tcW w:w="80" w:type="dxa"/>
            <w:vAlign w:val="bottom"/>
            <w:tcBorders>
              <w:bottom w:val="single" w:sz="8" w:color="CFF0FC"/>
            </w:tcBorders>
            <w:shd w:val="clear" w:color="auto" w:fill="CFF0FC"/>
          </w:tcPr>
          <w:p>
            <w:pPr>
              <w:spacing w:after="0"/>
              <w:rPr>
                <w:sz w:val="11"/>
                <w:szCs w:val="11"/>
                <w:color w:val="auto"/>
              </w:rPr>
            </w:pPr>
          </w:p>
        </w:tc>
        <w:tc>
          <w:tcPr>
            <w:tcW w:w="11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225,251</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10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200,370</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CFF0FC"/>
            </w:tcBorders>
            <w:shd w:val="clear" w:color="auto" w:fill="CFF0FC"/>
          </w:tcPr>
          <w:p>
            <w:pPr>
              <w:spacing w:after="0"/>
              <w:rPr>
                <w:sz w:val="11"/>
                <w:szCs w:val="11"/>
                <w:color w:val="auto"/>
              </w:rPr>
            </w:pPr>
          </w:p>
        </w:tc>
        <w:tc>
          <w:tcPr>
            <w:tcW w:w="1200" w:type="dxa"/>
            <w:vAlign w:val="bottom"/>
            <w:tcBorders>
              <w:bottom w:val="single" w:sz="8" w:color="CFF0FC"/>
            </w:tcBorders>
            <w:gridSpan w:val="2"/>
            <w:shd w:val="clear" w:color="auto" w:fill="CFF0FC"/>
          </w:tcPr>
          <w:p>
            <w:pPr>
              <w:jc w:val="right"/>
              <w:ind w:right="1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38,022</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5,652,966</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gridSpan w:val="2"/>
            <w:vMerge w:val="continue"/>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7,170,282</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1"/>
                <w:szCs w:val="11"/>
                <w:color w:val="auto"/>
              </w:rPr>
            </w:pPr>
          </w:p>
        </w:tc>
        <w:tc>
          <w:tcPr>
            <w:tcW w:w="12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6,835,367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1,152,807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7,988,174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1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138,230,574</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11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10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2,435,293</w:t>
            </w: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62,001</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5,765,520</w:t>
            </w:r>
          </w:p>
        </w:tc>
        <w:tc>
          <w:tcPr>
            <w:tcW w:w="12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8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1,053,673</w:t>
            </w:r>
          </w:p>
        </w:tc>
        <w:tc>
          <w:tcPr>
            <w:tcW w:w="10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top w:val="single" w:sz="8" w:color="auto"/>
              <w:bottom w:val="single" w:sz="8" w:color="auto"/>
            </w:tcBorders>
            <w:shd w:val="clear" w:color="auto" w:fill="CFF0FC"/>
          </w:tcPr>
          <w:p>
            <w:pPr>
              <w:spacing w:after="0"/>
              <w:rPr>
                <w:sz w:val="11"/>
                <w:szCs w:val="11"/>
                <w:color w:val="auto"/>
              </w:rPr>
            </w:pP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174,153,570</w:t>
            </w:r>
          </w:p>
        </w:tc>
        <w:tc>
          <w:tcPr>
            <w:tcW w:w="1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(138,042,786)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(342,978)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423,859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(5,765,520)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(1,053,673)</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(152,496,673)</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(10,557,714)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(203,053)</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v,z</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(10,741,557)</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8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20" w:type="dxa"/>
            <w:vAlign w:val="bottom"/>
            <w:shd w:val="clear" w:color="auto" w:fill="CFF0FC"/>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w,</w:t>
            </w: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(44,332,819)</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(279,851)</w:t>
            </w:r>
          </w:p>
        </w:tc>
        <w:tc>
          <w:tcPr>
            <w:tcW w:w="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aa</w:t>
            </w:r>
          </w:p>
        </w:tc>
        <w:tc>
          <w:tcPr>
            <w:tcW w:w="1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(44,612,670)</w:t>
            </w:r>
          </w:p>
        </w:tc>
        <w:tc>
          <w:tcPr>
            <w:tcW w:w="2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Other non-operating income</w:t>
            </w:r>
          </w:p>
        </w:tc>
        <w:tc>
          <w:tcPr>
            <w:tcW w:w="8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1,329,781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(31,362)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11,193</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(1,361,844)</w:t>
            </w:r>
          </w:p>
        </w:tc>
        <w:tc>
          <w:tcPr>
            <w:tcW w:w="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x</w:t>
            </w:r>
          </w:p>
        </w:tc>
        <w:tc>
          <w:tcPr>
            <w:tcW w:w="10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(295,847)</w:t>
            </w:r>
          </w:p>
        </w:tc>
        <w:tc>
          <w:tcPr>
            <w:tcW w:w="300" w:type="dxa"/>
            <w:vAlign w:val="bottom"/>
            <w:gridSpan w:val="2"/>
            <w:vMerge w:val="restart"/>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w w:val="91"/>
              </w:rPr>
              <w:t>y</w:t>
            </w:r>
          </w:p>
        </w:tc>
        <w:tc>
          <w:tcPr>
            <w:tcW w:w="10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(348,079)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8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(expense), net</w:t>
            </w: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8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other (expenses) / income,</w:t>
            </w:r>
          </w:p>
        </w:tc>
        <w:tc>
          <w:tcPr>
            <w:tcW w:w="80" w:type="dxa"/>
            <w:vAlign w:val="bottom"/>
            <w:shd w:val="clear" w:color="auto" w:fill="CFF0FC"/>
          </w:tcPr>
          <w:p>
            <w:pPr>
              <w:spacing w:after="0"/>
              <w:rPr>
                <w:sz w:val="9"/>
                <w:szCs w:val="9"/>
                <w:color w:val="auto"/>
              </w:rPr>
            </w:pPr>
          </w:p>
        </w:tc>
        <w:tc>
          <w:tcPr>
            <w:tcW w:w="12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(34,559,071)</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(1,183,758)</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(191,860)</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(1,990)</w:t>
            </w: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(468,099)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(295,847)</w:t>
            </w: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8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w:t>
            </w:r>
          </w:p>
        </w:tc>
        <w:tc>
          <w:tcPr>
            <w:tcW w:w="80" w:type="dxa"/>
            <w:vAlign w:val="bottom"/>
            <w:shd w:val="clear" w:color="auto" w:fill="CFF0FC"/>
          </w:tcPr>
          <w:p>
            <w:pPr>
              <w:spacing w:after="0"/>
              <w:rPr>
                <w:sz w:val="12"/>
                <w:szCs w:val="12"/>
                <w:color w:val="auto"/>
              </w:rPr>
            </w:pPr>
          </w:p>
        </w:tc>
        <w:tc>
          <w:tcPr>
            <w:tcW w:w="12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6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tcPr>
          <w:p>
            <w:pPr>
              <w:spacing w:after="0"/>
              <w:rPr>
                <w:sz w:val="11"/>
                <w:szCs w:val="11"/>
                <w:color w:val="auto"/>
              </w:rPr>
            </w:pPr>
          </w:p>
        </w:tc>
        <w:tc>
          <w:tcPr>
            <w:tcW w:w="12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(172,601,857)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(534,838)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421,869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(6,233,619)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(1,349,520)</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(189,197,298)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(44,933)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2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(20,486)</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(50,067)</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(10,335,000)</w:t>
            </w:r>
          </w:p>
        </w:tc>
        <w:tc>
          <w:tcPr>
            <w:tcW w:w="22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bb</w:t>
            </w:r>
          </w:p>
        </w:tc>
        <w:tc>
          <w:tcPr>
            <w:tcW w:w="10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(1,228,051)</w:t>
            </w:r>
          </w:p>
        </w:tc>
        <w:tc>
          <w:tcPr>
            <w:tcW w:w="300" w:type="dxa"/>
            <w:vAlign w:val="bottom"/>
            <w:gridSpan w:val="2"/>
            <w:shd w:val="clear" w:color="auto" w:fill="CFF0FC"/>
          </w:tcPr>
          <w:p>
            <w:pPr>
              <w:jc w:val="center"/>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cc</w:t>
            </w:r>
          </w:p>
        </w:tc>
        <w:tc>
          <w:tcPr>
            <w:tcW w:w="106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(11,712,061)</w:t>
            </w:r>
          </w:p>
        </w:tc>
        <w:tc>
          <w:tcPr>
            <w:tcW w:w="2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8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(172,646,790)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(555,324)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371,802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(16,568,619)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(2,577,571)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(200,909,358)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88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shd w:val="clear" w:color="auto" w:fill="CFF0FC"/>
          </w:tcPr>
          <w:p>
            <w:pPr>
              <w:spacing w:after="0"/>
              <w:rPr>
                <w:sz w:val="10"/>
                <w:szCs w:val="10"/>
                <w:color w:val="auto"/>
              </w:rPr>
            </w:pPr>
          </w:p>
        </w:tc>
        <w:tc>
          <w:tcPr>
            <w:tcW w:w="126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2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4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20" w:type="dxa"/>
            <w:vAlign w:val="bottom"/>
            <w:shd w:val="clear" w:color="auto" w:fill="CFF0FC"/>
          </w:tcPr>
          <w:p>
            <w:pPr>
              <w:ind w:left="40"/>
              <w:spacing w:after="0" w:line="115" w:lineRule="exact"/>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r>
        <w:trPr>
          <w:trHeight w:val="117"/>
        </w:trPr>
        <w:tc>
          <w:tcPr>
            <w:tcW w:w="18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shares outstanding</w:t>
            </w: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162,855,146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178,157,563</w:t>
            </w:r>
          </w:p>
        </w:tc>
        <w:tc>
          <w:tcPr>
            <w:tcW w:w="10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-1506220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-1506220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-1506220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-1506220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-1506220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-1506220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-1506220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-563880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-563880</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-563880</wp:posOffset>
            </wp:positionV>
            <wp:extent cx="774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-563880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-563880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-563880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-563880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6" w:name="page47"/>
    <w:bookmarkEnd w:id="46"/>
    <w:p>
      <w:pPr>
        <w:ind w:left="168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22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accounted for the GroupBy acquisition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 of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Industries, Inc. and Bluedot Industries Pty. Ltd using the acquisition method of accounting under ASC 805. The acquisition method of accounting requires that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 The Company's preliminary estimates of fair values of the net assets acquired are based on the information that was available at the date of the acquisition of Bluedot Industries, Inc. and Bluedot Industries Pty. Ltd,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accounted for the acquisition of Bluedot Innovation Pty. Ltd as an asset acquisition under ASC 805. 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is met, the transaction is accounted for as an asset acquisition. The Company used a cost accumulation model to determine the cost of the asset acquisition. The Ordinary Shares issued as consideration in this asset acquisition were measured based on the acquisition date fair value of the equity interests issued. Direct transaction costs were recognized as part of the cost of an asset acquisition. The cost of an asset acquisition, including transaction costs, were allocated to identifiable assets acquired and liabilities assumed based on a relative fair value basis. Goodwill is not recognized in an asset acquisition. If applicable, any difference between the cost of an asset acquisition and the fair value of the net assets acquired is allocated to the non-monetary identifiable assets based on their relative fair values. However, as of the date of acquisition, if certain assets are carried at fair value under other applicable GAAP the consideration is first allocated to those assets with the remainder allocated to the non-monetary identifiable assets based on relative fair value basis.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2024 gives effect to the Bluedot acquisition and the GroupBy acquisition as if both acquisitions had been completed on December 31, 2024. The Unaudited Pro Forma Condensed Combined Statement of Operations for the year ended December 31, 2024 gives effect to the Bluedot acquisition and the GroupBy acquisition as if both acquisitions had been completed on January 1, 2024.</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7" w:name="page48"/>
    <w:bookmarkEnd w:id="47"/>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utilized the services of an independent valuation consultant, along with estimates and assumptions determined by management, to estimate the fair value of the assets acquired and liabilities assumed. Given the timing of the Bluedot acquisition and the GroupBy acquisition, the assets acquired is still in process of being valued by an independent valuation consultant. The preliminary allocation of the purchase price was based on an evaluation of the appropriate fair values and represents management’s best estimate based on available data. The purchase price allocation of the assets acquired and liabilities assumed is preliminary until the contractual post-closing adjustments are finalized, the final independent valuation consultant report is issued, and the measurement period allowed for under ASC 805 has closed. The final determination of the fair value of assets acquired and liabilities assumed will be completed within the one-year measurement period as allowed by ASC 805. Changes during the measurement period could be material.</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Bluedot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Bluedot acquisition and the GroupBy acquisition was completed on the dates mentioned above. Therefore, the unaudited pro forma condensed combined financial information and related notes are presented for illustrative purposes only. If the Bluedot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Bluedot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 contemplation of the Bluedot acquisition and the GroupBy acquisition.</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Bluedot acquisition and the GroupBy acquisition.</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audited financial statements and notes thereto of each of GroupBy and Rezolve included elsewhere in this prospectus.</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historical audited combined consolidated financial statements for GroupBy as of, and for the years ended, December 31, 2024 and 2023 have been prepared in accordance with International Financial Reporting Standards (“IFRS”) and interpretations adopted by the International Accounting Standards Board (“IASB”). See note 2 and note 3 for more information on adjustments resulting from material differences between IFRS and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December 31, 2024 presented also include adjustments to conform Bluedot’s and GroupBy's historical presentation of certain line items to the presentation of those line items by Rezolve.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2024 are as follows:</w:t>
      </w:r>
    </w:p>
    <w:p>
      <w:pPr>
        <w:spacing w:after="0" w:line="117" w:lineRule="exact"/>
        <w:rPr>
          <w:sz w:val="20"/>
          <w:szCs w:val="20"/>
          <w:color w:val="auto"/>
        </w:rPr>
      </w:pPr>
    </w:p>
    <w:p>
      <w:pPr>
        <w:ind w:left="1020" w:right="6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reflect the purchase of a prepaid insurance tail policy by GroupBy (as required in the purchase agreement) for (i) directors’ and officers’ liability (including fiduciary and employment practices liability) insurance policy and (ii) cyber liability insurance policy, in each case providing coverage for a 6-year period commencing on the closing date of the GroupBy acquisition with respect to claims arising from acts, events or omissions that occurred at or prior to the closing of the GroupBy acquisition.</w:t>
      </w:r>
    </w:p>
    <w:p>
      <w:pPr>
        <w:spacing w:after="0" w:line="71"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GroupBy based on the fair values assigned in the preliminary purchase price allocation to: (1) Technology intellectual property and (2) Customer contract and related relationships.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acquisition of Bluedot Industries, Inc. and Bluedot Industries Pty. Ltd based on the fair values assigned in the preliminary purchase price allocation to: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8" w:name="page49"/>
    <w:bookmarkEnd w:id="48"/>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adjustments to intangible assets of Bluedot Innovation Pty. Ltd based on the preliminary allocation of costs for the asset acquisition.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GroupBy based on the preliminary purchase price allocation.</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recognition of goodwill for Bluedot Industries, Inc. and Bluedot Industries Pty. Ltd based on the preliminary purchase price allocation.</w:t>
      </w:r>
    </w:p>
    <w:p>
      <w:pPr>
        <w:spacing w:after="0" w:line="53"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the right-of use asset and lease liability resulting from (1) the application of the guidance in ASC 805-20-30-24 which requires Rezolve to measure the lease liability at the present value of the remaining lease payments, as if the acquired lease were a new lease of the acquirer at the acquisition date and (2) differences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w:t>
      </w:r>
    </w:p>
    <w:p>
      <w:pPr>
        <w:spacing w:after="0" w:line="8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assumes a price of $1.44 per share which is the closing price per share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acquisitions of Bluedot: the Company issued 819,737 ordinary shares of the Company to DBLP and 1,941,111 ordinary shares of the Company to the Tanist Group.</w:t>
      </w:r>
    </w:p>
    <w:p>
      <w:pPr>
        <w:spacing w:after="0" w:line="53"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ordinary shares as consideration for the acquisition of GroupBy: the Company issued 3,999,902 of its ordinary shares to the Sellers (as defined above). The pro forma adjustment assumes a price of $1.44 per share which is the closing price per share on March 25, 2025, the date on which the Company closed the GroupBy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accumulated deficit and other consolidation adjustments as a result of acquisition accounting.</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warrants recognized in equity to which GroupBy is a party as one of the conditions for the closing of the GroupBy acquisition.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conform Bluedot’s and GroupBy's historical presentation of certain line items to the presentation of those line items by Rezolve.</w:t>
      </w:r>
    </w:p>
    <w:p>
      <w:pPr>
        <w:spacing w:after="0" w:line="68"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for Bluedot Innovation Pty. Ltd for the year ended December 31, 2024 represents revenue from a government grant.</w:t>
      </w:r>
    </w:p>
    <w:p>
      <w:pPr>
        <w:spacing w:after="0" w:line="117" w:lineRule="exact"/>
        <w:rPr>
          <w:rFonts w:ascii="Times New Roman" w:cs="Times New Roman" w:eastAsia="Times New Roman" w:hAnsi="Times New Roman"/>
          <w:sz w:val="18"/>
          <w:szCs w:val="18"/>
          <w:color w:val="auto"/>
        </w:rPr>
      </w:pPr>
    </w:p>
    <w:p>
      <w:pPr>
        <w:ind w:left="1020" w:right="6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GroupBy based on the fair values assigned in the preliminary purchase price allocation to technology intellectual property and customer contract and related relationships.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9" w:name="page50"/>
    <w:bookmarkEnd w:id="49"/>
    <w:p>
      <w:pPr>
        <w:ind w:left="503" w:right="40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Industries, Inc. and Bluedot Industries Pty. Ltd based on the fair values assigned in the preliminary purchase price allocation to customer contract and related relationships.</w:t>
      </w:r>
    </w:p>
    <w:p>
      <w:pPr>
        <w:spacing w:after="0" w:line="53" w:lineRule="exact"/>
        <w:rPr>
          <w:rFonts w:ascii="Times New Roman" w:cs="Times New Roman" w:eastAsia="Times New Roman" w:hAnsi="Times New Roman"/>
          <w:sz w:val="18"/>
          <w:szCs w:val="18"/>
          <w:color w:val="auto"/>
        </w:rPr>
      </w:pPr>
    </w:p>
    <w:p>
      <w:pPr>
        <w:ind w:left="503" w:right="1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add incremental depreciation expense for Bluedot Innovation Pty. Ltd based on the values assigned to technology intellectual property based on the preliminary allocation of costs for the asset acquisition.</w:t>
      </w:r>
    </w:p>
    <w:p>
      <w:pPr>
        <w:spacing w:after="0" w:line="53" w:lineRule="exact"/>
        <w:rPr>
          <w:rFonts w:ascii="Times New Roman" w:cs="Times New Roman" w:eastAsia="Times New Roman" w:hAnsi="Times New Roman"/>
          <w:sz w:val="18"/>
          <w:szCs w:val="18"/>
          <w:color w:val="auto"/>
        </w:rPr>
      </w:pPr>
    </w:p>
    <w:p>
      <w:pPr>
        <w:ind w:left="503" w:right="120" w:hanging="503"/>
        <w:spacing w:after="0" w:line="266"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 Refer to the unaudited pro forma condensed combined balance sheet adjustments above for more information.</w:t>
      </w:r>
    </w:p>
    <w:p>
      <w:pPr>
        <w:spacing w:after="0" w:line="67" w:lineRule="exact"/>
        <w:rPr>
          <w:rFonts w:ascii="Times New Roman" w:cs="Times New Roman" w:eastAsia="Times New Roman" w:hAnsi="Times New Roman"/>
          <w:sz w:val="18"/>
          <w:szCs w:val="18"/>
          <w:color w:val="auto"/>
        </w:rPr>
      </w:pPr>
    </w:p>
    <w:p>
      <w:pPr>
        <w:ind w:left="503" w:hanging="503"/>
        <w:spacing w:after="0" w:line="258"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Ordinary Shares which is equal to $12,300,000. In consideration for the allotment of these Ordinary Shares, WAB will irrevocably and unconditionally release and discharge the Company from the obligations owed by the Company to WAB. The pro forma adjustment uses the share price of Rezolve Ordinary shares of $1.44 on March 25, 2025, the date on which Rezolve closed the GroupBy acquisition.</w:t>
      </w:r>
    </w:p>
    <w:p>
      <w:pPr>
        <w:spacing w:after="0" w:line="75"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220" w:hanging="503"/>
        <w:spacing w:after="0" w:line="282"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the transactions costs directly associated with the acquisition of Bluedot Industries, Inc. and Bluedot Industries Pty. Ltd including, but not limited to advisory fees and legal fees.</w:t>
      </w:r>
    </w:p>
    <w:p>
      <w:pPr>
        <w:spacing w:after="0" w:line="53" w:lineRule="exact"/>
        <w:rPr>
          <w:rFonts w:ascii="Times New Roman" w:cs="Times New Roman" w:eastAsia="Times New Roman" w:hAnsi="Times New Roman"/>
          <w:sz w:val="18"/>
          <w:szCs w:val="18"/>
          <w:color w:val="auto"/>
        </w:rPr>
      </w:pPr>
    </w:p>
    <w:p>
      <w:pPr>
        <w:ind w:left="503" w:right="40" w:hanging="503"/>
        <w:spacing w:after="0" w:line="258" w:lineRule="auto"/>
        <w:tabs>
          <w:tab w:leader="none" w:pos="5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sz w:val="20"/>
          <w:szCs w:val="20"/>
          <w:color w:val="auto"/>
        </w:rPr>
      </w:pPr>
    </w:p>
    <w:p>
      <w:pPr>
        <w:ind w:left="503" w:right="220" w:hanging="503"/>
        <w:spacing w:after="0" w:line="282"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jc w:val="both"/>
        <w:ind w:left="503" w:right="20" w:hanging="503"/>
        <w:spacing w:after="0" w:line="266"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to recognize deferred tax liabilities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color w:val="auto"/>
        </w:rPr>
      </w:pPr>
    </w:p>
    <w:p>
      <w:pPr>
        <w:ind w:left="503" w:right="80" w:hanging="503"/>
        <w:spacing w:after="0" w:line="258" w:lineRule="auto"/>
        <w:tabs>
          <w:tab w:leader="none" w:pos="5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the Bluedot and GroupBy acquisitions, assuming the shares were outstanding since January 1, 2024. As the Bluedot and GroupBy acquisitions are being reflected in the unaudited pro forma condensed combined statement of operations as if both acquisitions had occurred on January 1, 2024, the calculation of weighted average shares outstanding for basic and diluted net loss per share assumes that the shares issuable in connection with the Blue Dot and GroupBy acquisitions have been outstanding for the entire period presented.</w:t>
      </w:r>
    </w:p>
    <w:p>
      <w:pPr>
        <w:spacing w:after="0" w:line="7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50" w:name="page51"/>
    <w:bookmarkEnd w:id="50"/>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313"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In this section, the "Company", “we,” “us,” “our” and “Rezolve” refer to Rezolve Limited and its subsidiaries prior to the consummation of the Pre-Closing Demerger and to Rezolve AI PLC (formerly Rezolve AI Limited) and its subsidiaries following the consummation of the Pre-Closing Demerger.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 there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168846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0" w:lineRule="exact"/>
        <w:rPr>
          <w:sz w:val="20"/>
          <w:szCs w:val="20"/>
          <w:color w:val="auto"/>
        </w:rPr>
      </w:pPr>
    </w:p>
    <w:p>
      <w:pPr>
        <w:ind w:right="540" w:firstLine="8"/>
        <w:spacing w:after="0" w:line="223" w:lineRule="auto"/>
        <w:tabs>
          <w:tab w:leader="none" w:pos="105"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1020" w:right="340" w:hanging="503"/>
        <w:spacing w:after="0" w:line="28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customers.</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59"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b w:val="1"/>
          <w:bCs w:val="1"/>
          <w:color w:val="auto"/>
        </w:rPr>
      </w:pPr>
    </w:p>
    <w:p>
      <w:pPr>
        <w:ind w:left="1020" w:right="160" w:hanging="503"/>
        <w:spacing w:after="0" w:line="259"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b w:val="1"/>
          <w:bCs w:val="1"/>
          <w:color w:val="auto"/>
        </w:rPr>
      </w:pPr>
    </w:p>
    <w:p>
      <w:pPr>
        <w:ind w:left="1020" w:right="180" w:hanging="503"/>
        <w:spacing w:after="0" w:line="278" w:lineRule="auto"/>
        <w:tabs>
          <w:tab w:leader="none" w:pos="102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Merchant Retention and Expansion</w:t>
      </w:r>
      <w:r>
        <w:rPr>
          <w:rFonts w:ascii="Times New Roman" w:cs="Times New Roman" w:eastAsia="Times New Roman" w:hAnsi="Times New Roman"/>
          <w:sz w:val="17"/>
          <w:szCs w:val="17"/>
          <w:color w:val="auto"/>
        </w:rPr>
        <w:t>: We care deeply about merchants. Our commitment to their success, we believe, increases retention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55" w:lineRule="exact"/>
        <w:rPr>
          <w:rFonts w:ascii="Times New Roman" w:cs="Times New Roman" w:eastAsia="Times New Roman" w:hAnsi="Times New Roman"/>
          <w:sz w:val="17"/>
          <w:szCs w:val="17"/>
          <w:b w:val="1"/>
          <w:bCs w:val="1"/>
          <w:color w:val="auto"/>
        </w:rPr>
      </w:pPr>
    </w:p>
    <w:p>
      <w:pPr>
        <w:ind w:left="1020" w:right="140" w:hanging="503"/>
        <w:spacing w:after="0" w:line="28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b w:val="1"/>
          <w:bCs w:val="1"/>
          <w:color w:val="auto"/>
        </w:rPr>
      </w:pPr>
    </w:p>
    <w:p>
      <w:pPr>
        <w:ind w:left="1020" w:hanging="503"/>
        <w:spacing w:after="0" w:line="268"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5540" w:right="3580" w:hanging="5023"/>
        <w:spacing w:after="0" w:line="409" w:lineRule="auto"/>
        <w:tabs>
          <w:tab w:leader="none" w:pos="103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2" w:name="page53"/>
    <w:bookmarkEnd w:id="52"/>
    <w:p>
      <w:pPr>
        <w:ind w:left="1020" w:right="200" w:hanging="503"/>
        <w:spacing w:after="0" w:line="284"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b w:val="1"/>
          <w:bCs w:val="1"/>
          <w:color w:val="auto"/>
        </w:rPr>
      </w:pPr>
    </w:p>
    <w:p>
      <w:pPr>
        <w:ind w:left="1020" w:right="20" w:hanging="503"/>
        <w:spacing w:after="0" w:line="267"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and fees and share-based compensation for directors.</w:t>
      </w:r>
    </w:p>
    <w:p>
      <w:pPr>
        <w:spacing w:after="0" w:line="65" w:lineRule="exact"/>
        <w:rPr>
          <w:rFonts w:ascii="Times New Roman" w:cs="Times New Roman" w:eastAsia="Times New Roman" w:hAnsi="Times New Roman"/>
          <w:sz w:val="18"/>
          <w:szCs w:val="18"/>
          <w:b w:val="1"/>
          <w:bCs w:val="1"/>
          <w:color w:val="auto"/>
        </w:rPr>
      </w:pPr>
    </w:p>
    <w:p>
      <w:pPr>
        <w:ind w:left="1020" w:right="120" w:hanging="503"/>
        <w:spacing w:after="0" w:line="284"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software and acquired information technology intangible assets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depreciation of fixed tangible assets.</w:t>
      </w:r>
    </w:p>
    <w:p>
      <w:pPr>
        <w:spacing w:after="0" w:line="50"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charges on loan receivables.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primarily of costs associated with short term debt and convertible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years ended December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for the years ended December 31, 2024 and December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4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187,788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145,051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(138,042,786)</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(26,006,274)</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(172,601,857)</w:t>
            </w:r>
          </w:p>
        </w:tc>
        <w:tc>
          <w:tcPr>
            <w:tcW w:w="1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34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17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-2407920</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-2407920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-1285240</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-1285240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-993775</wp:posOffset>
            </wp:positionV>
            <wp:extent cx="514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total revenues from ticketing transactions for the year ended December 31, 2024, as compared to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jc w:val="right"/>
              <w:ind w:right="96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82"/>
              <w:spacing w:after="0"/>
              <w:rPr>
                <w:sz w:val="20"/>
                <w:szCs w:val="20"/>
                <w:color w:val="auto"/>
              </w:rPr>
            </w:pPr>
            <w:r>
              <w:rPr>
                <w:rFonts w:ascii="Times New Roman" w:cs="Times New Roman" w:eastAsia="Times New Roman" w:hAnsi="Times New Roman"/>
                <w:sz w:val="18"/>
                <w:szCs w:val="18"/>
                <w:color w:val="auto"/>
              </w:rPr>
              <w:t>42,737</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from $145,051 for the year ended December 31, 2023 as compared to $187,788 for the year ended December 31, 2024 is attributable to increased transaction revenues through the sale of ticketing of football events using our technology with La Liga in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2024, as compared to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4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(445,808)</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113,443,884</w:t>
            </w:r>
          </w:p>
        </w:tc>
        <w:tc>
          <w:tcPr>
            <w:tcW w:w="4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(900,904)</w:t>
            </w: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(17,185)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6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112,079,249</w:t>
            </w:r>
          </w:p>
        </w:tc>
        <w:tc>
          <w:tcPr>
            <w:tcW w:w="4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remained unchanged at $34,053, for the year ended December 31, 2024 compared to $34,791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$0.45 million, for the year ended December 31, 2024 compared to the year ended December 31, 2023. This was primarily due lower share-based payments expense related to a decrease in the number of stock options granted to employees within sales and marketing during the year ended December 31, 2024 as compared to the year ended December 31,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$113.44 million, for the year ended December 31, 2024 compared to the year ended December 31, 2023. This was primarily due to an increase in share-based payments expenses of $60.5 million from 2023 to 2024 related to stock options granted to DBLP Sea Cow Ltd during the year ended December 31, 2024. DBLP Sea Cow Ltd is wholly legally owned by Dan Wagner, Chief Executive Officer of Rezolve. An increase of $34.2 million in legal and professional fees incurred as a result of the Pre-Closing Demerger transaction and the Business Combination transaction with Armada Acquisition Corp. I. also contributed to the increase in general and administrative expenses during the year ended December 31, 2024 as compared to the year ended December 31, 2023.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Other operating expenses decreased by $0.90 million for the year ended December 31, 2024 compared to the year ended December 31, 2023 . The higher operating expenses during the year ended December 31, 2023 as compared to the year ended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4" w:name="page55"/>
    <w:bookmarkEnd w:id="54"/>
    <w:p>
      <w:pPr>
        <w:ind w:right="140"/>
        <w:spacing w:after="0" w:line="282" w:lineRule="auto"/>
        <w:rPr>
          <w:sz w:val="20"/>
          <w:szCs w:val="20"/>
          <w:color w:val="auto"/>
        </w:rPr>
      </w:pPr>
      <w:r>
        <w:rPr>
          <w:rFonts w:ascii="Times New Roman" w:cs="Times New Roman" w:eastAsia="Times New Roman" w:hAnsi="Times New Roman"/>
          <w:sz w:val="18"/>
          <w:szCs w:val="18"/>
          <w:color w:val="auto"/>
        </w:rPr>
        <w:t>December 31, 2024 was driven by higher impairment charges related to loan receivables from Swipeby and Moneymatic recognized in 2023 as compared to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materially unchanged at $225,251, for the year ended December 31, 2024 compared to $242,436 for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and Expenses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shows interest expense and other non-operating income and expenses for the year ended December 31, 2024, as compared to the year ended December 31, 2023:</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00" w:type="dxa"/>
            <w:vAlign w:val="bottom"/>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(10,557,714)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(5,765,932)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Gain/(loss) on derivatives</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2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(44,332,819)</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(44,332,819)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1,204,415</w:t>
            </w:r>
          </w:p>
        </w:tc>
        <w:tc>
          <w:tcPr>
            <w:tcW w:w="4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(4,666,416)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(29,892,655)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$5.77 million for the year ended December 31, 2024, as compared to the year ended December 31, 2023. This was primarily due to interest expense of $6.99 million on the senior secured convertible notes and unsecured convertible loans. Refer to the Liquidity and Resources section below for more information.</w:t>
      </w:r>
    </w:p>
    <w:p>
      <w:pPr>
        <w:spacing w:after="0" w:line="24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net gain on derivatives of $19.00 million is primarily due to the remeasurement of a derivative asset and derivative liabilities at fair value through profit and loss. The derivative asset pertains to an option held by the Company to convert a promissory note payable to Northland Securities. The Company had The outstanding derivative liabilities as at December 31, 2024 were triggered by conversion features embedded in promissory notes held by investors Cohen &amp; Company Financial Management LLC, J.V.B. Financial Group and Northlands Securities. The Company previously did not bifurcate the embedded conversion features as derivatives due to the lack of an underlying share price prior to the Company's acquisition of Armada and listing of its Ordinary Shares on the NASDAQ. Refer to the Liquidity and Resources section below for more information.</w:t>
      </w:r>
    </w:p>
    <w:p>
      <w:pPr>
        <w:spacing w:after="0" w:line="25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loss on extinguishment of $44.33 million is primarily due to an agreement entered into by the Company, Apeiron Investment Group Ltd. and Bradley Wickens, the beneficial holders of the majority of senior secured convertible notes to amend</w:t>
      </w:r>
    </w:p>
    <w:p>
      <w:pPr>
        <w:spacing w:after="0" w:line="253" w:lineRule="auto"/>
        <w:rPr>
          <w:sz w:val="20"/>
          <w:szCs w:val="20"/>
          <w:color w:val="auto"/>
        </w:rPr>
      </w:pPr>
      <w:r>
        <w:rPr>
          <w:rFonts w:ascii="Times New Roman" w:cs="Times New Roman" w:eastAsia="Times New Roman" w:hAnsi="Times New Roman"/>
          <w:sz w:val="18"/>
          <w:szCs w:val="18"/>
          <w:color w:val="auto"/>
        </w:rPr>
        <w:t>the conversion price of approximately $41,892,080 of their outstanding senior secured convertible notes to $2 per ordinary share. Apeiron Investment Group Ltd. and Bradley Wickens exercised their option to convert all their outstanding senior secured convertible notes which resulted in the recognition of a debt conversion expense of $39,658,290, equal to the fair value of the ordinary shares given up less the carrying value of the debt including accrued interest. Refer to the Liquidity and Resources section below for more information.</w:t>
      </w:r>
    </w:p>
    <w:p>
      <w:pPr>
        <w:spacing w:after="0" w:line="18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Other non-operating (income) expense increased to $1.33 million for the year ended December 31, 2024, as compared to $0.13 million year ended December 31, 2023. This was primarily due a foreign exchange gain of $1.33 million during year ended December 31, 2024 as compared to a foreign exchange loss of $0.38 million during the year ended December 31, 2023. The Company's exposure to currencies other than its functional currency of the US Dollar, changed during the year ended December 31, 2024 as compared to the year ended December 31, 2023 due to events such as the board of directors decision to abandon operations in China completely and the Business Combination transaction with Armada Acquisition Corp. I.</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Operating losses increased to $138.04 million for the year ended December 31, 2024, as compared to $26.01 million for the year ended December 31, 2023. This was primarily due to the increase in general and administrative expenses as detailed above.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metrics are used by management to monitor and analyze the operational performance of our business.</w:t>
      </w:r>
    </w:p>
    <w:p>
      <w:pPr>
        <w:spacing w:after="0" w:line="115" w:lineRule="exact"/>
        <w:rPr>
          <w:sz w:val="20"/>
          <w:szCs w:val="20"/>
          <w:color w:val="auto"/>
        </w:rPr>
      </w:pPr>
    </w:p>
    <w:p>
      <w:pPr>
        <w:ind w:left="1020" w:right="400" w:hanging="503"/>
        <w:spacing w:after="0" w:line="284"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640" w:hanging="503"/>
        <w:spacing w:after="0" w:line="282"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 (non GAAP):</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(172,646,790)</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(161,818,892)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514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-153670</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1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2024 and 2023. PCAOB audit and U.S. legal counsel costs for the periods under review have been accrued as incurred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Adjusted EBITDA is a non-GAAP financial measure. 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56" w:name="page57"/>
    <w:bookmarkEnd w:id="56"/>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b w:val="1"/>
          <w:bCs w:val="1"/>
          <w:color w:val="auto"/>
        </w:rPr>
      </w:pPr>
    </w:p>
    <w:p>
      <w:pPr>
        <w:ind w:left="1020" w:right="860" w:hanging="503"/>
        <w:spacing w:after="0" w:line="282" w:lineRule="auto"/>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b w:val="1"/>
          <w:bCs w:val="1"/>
          <w:color w:val="auto"/>
        </w:rPr>
      </w:pPr>
    </w:p>
    <w:p>
      <w:pPr>
        <w:ind w:left="1020" w:right="420" w:hanging="503"/>
        <w:spacing w:after="0" w:line="282" w:lineRule="auto"/>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b w:val="1"/>
          <w:bCs w:val="1"/>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Adjusted EBITDA is used by management to understand and track underlying earnings performance by excluding one-time and non-recurring costs.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 costs from Adjusted EBITDA as they relate to:</w:t>
      </w:r>
    </w:p>
    <w:p>
      <w:pPr>
        <w:spacing w:after="0" w:line="99"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sz w:val="20"/>
          <w:szCs w:val="20"/>
          <w:color w:val="auto"/>
        </w:rPr>
      </w:pPr>
    </w:p>
    <w:p>
      <w:pPr>
        <w:ind w:left="520" w:hanging="512"/>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Unrealized foreign exchange (gain)/loss are one-time costs.</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Loss/(gain) resulting from the remeasurement of derivative assets and derivative liabilities at fair value at the end of each reporting period.</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Loss/(gain) resulting from extinguishment of debt obligations.</w:t>
      </w:r>
    </w:p>
    <w:p>
      <w:pPr>
        <w:spacing w:after="0" w:line="117" w:lineRule="exact"/>
        <w:rPr>
          <w:sz w:val="20"/>
          <w:szCs w:val="20"/>
          <w:color w:val="auto"/>
        </w:rPr>
      </w:pPr>
    </w:p>
    <w:p>
      <w:pPr>
        <w:ind w:left="520" w:right="100" w:hanging="512"/>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payment expense of $18,836,099 related to restricted employee shares. The articles of incorporation of the Company were amended to remove these restrictions prior to the completion of the Pre-Closing Demerger transaction.</w:t>
      </w:r>
    </w:p>
    <w:p>
      <w:pPr>
        <w:spacing w:after="0" w:line="16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2024, prior to the Pre-Closing Demerger, and 2023 and are recorded within General and Administrative expenses.</w:t>
      </w:r>
    </w:p>
    <w:p>
      <w:pPr>
        <w:spacing w:after="0" w:line="16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provides a reconciliation of our net income (loss) to Adjusted EBITDA (non-GAAP):</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57" w:name="page58"/>
    <w:bookmarkEnd w:id="57"/>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(172,646,790)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10,557,714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(non-GAAP)</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(161,818,892) $</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(25,638,472)</w:t>
            </w: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loan and accounts receivable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63,001,392</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3,270,040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for employees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4,314,649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(19,001,681)</w:t>
            </w:r>
          </w:p>
        </w:tc>
        <w:tc>
          <w:tcPr>
            <w:tcW w:w="1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44,332,819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 employees shares restrictions lifted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18,836,099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(43,782,632)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(15,087,056)</w:t>
            </w: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-1679575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-1679575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280"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5540" w:right="4140" w:hanging="4380"/>
        <w:spacing w:after="0" w:line="407" w:lineRule="auto"/>
        <w:tabs>
          <w:tab w:leader="none" w:pos="167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58" w:name="page59"/>
    <w:bookmarkEnd w:id="58"/>
    <w:p>
      <w:pPr>
        <w:ind w:left="1660" w:hanging="500"/>
        <w:spacing w:after="0"/>
        <w:tabs>
          <w:tab w:leader="none" w:pos="1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3The ability to generate revenue from our technology.</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1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debt, short term-debt and a rights issue.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40" w:type="dxa"/>
            <w:vAlign w:val="bottom"/>
          </w:tcPr>
          <w:p>
            <w:pPr>
              <w:spacing w:after="0"/>
              <w:rPr>
                <w:sz w:val="15"/>
                <w:szCs w:val="15"/>
                <w:color w:val="auto"/>
              </w:rPr>
            </w:pPr>
          </w:p>
        </w:tc>
        <w:tc>
          <w:tcPr>
            <w:tcW w:w="1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09"/>
        </w:trPr>
        <w:tc>
          <w:tcPr>
            <w:tcW w:w="71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5,102,211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10,288,123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w:t>
            </w: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12,812,366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 to related parties</w:t>
      </w:r>
    </w:p>
    <w:p>
      <w:pPr>
        <w:spacing w:after="0" w:line="229"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1" w:lineRule="auto"/>
        <w:tabs>
          <w:tab w:leader="none" w:pos="10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 As a result of the loan amendment and addition to the Company’s senior secured convertible notes, the default was remediated.</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9" w:name="page60"/>
    <w:bookmarkEnd w:id="59"/>
    <w:p>
      <w:pPr>
        <w:ind w:right="700"/>
        <w:spacing w:after="0" w:line="282" w:lineRule="auto"/>
        <w:rPr>
          <w:sz w:val="20"/>
          <w:szCs w:val="20"/>
          <w:color w:val="auto"/>
        </w:rPr>
      </w:pPr>
      <w:r>
        <w:rPr>
          <w:rFonts w:ascii="Times New Roman" w:cs="Times New Roman" w:eastAsia="Times New Roman" w:hAnsi="Times New Roman"/>
          <w:sz w:val="18"/>
          <w:szCs w:val="18"/>
          <w:color w:val="auto"/>
        </w:rPr>
        <w:t>On December 5, 2024, all $8,000,000 of the senior secured convertible notes in favor of Igor Lychagov were converted into ordinary shares of the Company at a conversion price of $7 per ordinary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payable</w:t>
      </w:r>
    </w:p>
    <w:p>
      <w:pPr>
        <w:spacing w:after="0" w:line="22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debt</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a secured convertible loan note instrument, as amended and restated on November 21, 2022 and May 23, 2023 and as further amended on December 18, 2023, December 29, 2023 and January 26, 2024 (the “</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Upon the closing of the Pre-Closing Demerger, the Loan Note Instrument was novated to Rezolve and was secured by a debenture over the assets of Rezolve. As of December 5, 2024, there was outstanding an aggregate amount of approximately $49 million of convertible notes (the "Convertible Notes") outstanding under the Loan Note Instrument.</w:t>
      </w:r>
    </w:p>
    <w:p>
      <w:pPr>
        <w:spacing w:after="0" w:line="183"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was revised to equal $2 per ordinary share.</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December 2024, all of the remaining Convertible Note holders elected to convert. As of December 31, 2024, $0.4 million of the Convertible Notes remained outstanding under the Loan Note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term convertible debt to a related party</w:t>
      </w:r>
    </w:p>
    <w:p>
      <w:pPr>
        <w:spacing w:after="0" w:line="22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 convertible debt and $7,269 of interest.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liability</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 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3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5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20"/>
        </w:trPr>
        <w:tc>
          <w:tcPr>
            <w:tcW w:w="390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71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top w:val="single" w:sz="8" w:color="CFF0FC"/>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-864870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-847725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60" w:name="page61"/>
    <w:bookmarkEnd w:id="60"/>
    <w:p>
      <w:pPr>
        <w:ind w:left="880"/>
        <w:spacing w:after="0"/>
        <w:rPr>
          <w:sz w:val="20"/>
          <w:szCs w:val="20"/>
          <w:color w:val="auto"/>
        </w:rPr>
      </w:pPr>
      <w:r>
        <w:rPr>
          <w:rFonts w:ascii="Times New Roman" w:cs="Times New Roman" w:eastAsia="Times New Roman" w:hAnsi="Times New Roman"/>
          <w:sz w:val="18"/>
          <w:szCs w:val="18"/>
          <w:u w:val="single" w:color="auto"/>
          <w:color w:val="auto"/>
        </w:rPr>
        <w:t>Yorkville Standby Equity Purchase Agreement</w:t>
      </w:r>
    </w:p>
    <w:p>
      <w:pPr>
        <w:spacing w:after="0" w:line="113"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color w:val="212529"/>
        </w:rPr>
        <w:t>On February 23, 2023, Rezolve Limited entered into a $250 million standby equity purchase agreement with YA II PN, LTD (“</w:t>
      </w:r>
      <w:r>
        <w:rPr>
          <w:rFonts w:ascii="Times New Roman" w:cs="Times New Roman" w:eastAsia="Times New Roman" w:hAnsi="Times New Roman"/>
          <w:sz w:val="18"/>
          <w:szCs w:val="18"/>
          <w:b w:val="1"/>
          <w:bCs w:val="1"/>
          <w:i w:val="1"/>
          <w:iCs w:val="1"/>
          <w:color w:val="212529"/>
        </w:rPr>
        <w:t>YA</w:t>
      </w:r>
      <w:r>
        <w:rPr>
          <w:rFonts w:ascii="Times New Roman" w:cs="Times New Roman" w:eastAsia="Times New Roman" w:hAnsi="Times New Roman"/>
          <w:sz w:val="18"/>
          <w:szCs w:val="18"/>
          <w:color w:val="212529"/>
        </w:rPr>
        <w:t>”), a Cayman Islands exempt limited company, which was amended and restated on February 2, 2024 to provide for, inter alia, Rezolve AI Limited joining as a party to the agreement (“</w:t>
      </w:r>
      <w:r>
        <w:rPr>
          <w:rFonts w:ascii="Times New Roman" w:cs="Times New Roman" w:eastAsia="Times New Roman" w:hAnsi="Times New Roman"/>
          <w:sz w:val="18"/>
          <w:szCs w:val="18"/>
          <w:b w:val="1"/>
          <w:bCs w:val="1"/>
          <w:i w:val="1"/>
          <w:iCs w:val="1"/>
          <w:color w:val="212529"/>
        </w:rPr>
        <w:t>YA Agreement</w:t>
      </w:r>
      <w:r>
        <w:rPr>
          <w:rFonts w:ascii="Times New Roman" w:cs="Times New Roman" w:eastAsia="Times New Roman" w:hAnsi="Times New Roman"/>
          <w:sz w:val="18"/>
          <w:szCs w:val="18"/>
          <w:color w:val="212529"/>
        </w:rPr>
        <w:t>”). Pursuant to the YA Agreement, Rezolve has the right to sell to YA up to $250,000,000 Ordinary Shares, subject to certain limitations and conditions set forth in the YA Agreement, from time to time during the term of the YA Agreement.</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212529"/>
        </w:rPr>
        <w:t>In connection with the amendment and restatement of the YA Agreement, on February 2, 2024, Rezolve Limited and Rezolve issued a convertible note with a total principal amount of $2.5 million (the “</w:t>
      </w:r>
      <w:r>
        <w:rPr>
          <w:rFonts w:ascii="Times New Roman" w:cs="Times New Roman" w:eastAsia="Times New Roman" w:hAnsi="Times New Roman"/>
          <w:sz w:val="18"/>
          <w:szCs w:val="18"/>
          <w:b w:val="1"/>
          <w:bCs w:val="1"/>
          <w:i w:val="1"/>
          <w:iCs w:val="1"/>
          <w:color w:val="212529"/>
        </w:rPr>
        <w:t>YA Note</w:t>
      </w:r>
      <w:r>
        <w:rPr>
          <w:rFonts w:ascii="Times New Roman" w:cs="Times New Roman" w:eastAsia="Times New Roman" w:hAnsi="Times New Roman"/>
          <w:sz w:val="18"/>
          <w:szCs w:val="18"/>
          <w:color w:val="212529"/>
        </w:rPr>
        <w:t>”) to YA, pursuant to the terms of a convertible promissory note instrument entered into by Rezolve Limited and Rezolve (“</w:t>
      </w:r>
      <w:r>
        <w:rPr>
          <w:rFonts w:ascii="Times New Roman" w:cs="Times New Roman" w:eastAsia="Times New Roman" w:hAnsi="Times New Roman"/>
          <w:sz w:val="18"/>
          <w:szCs w:val="18"/>
          <w:b w:val="1"/>
          <w:bCs w:val="1"/>
          <w:i w:val="1"/>
          <w:iCs w:val="1"/>
          <w:color w:val="212529"/>
        </w:rPr>
        <w:t>YA Note Instrument</w:t>
      </w:r>
      <w:r>
        <w:rPr>
          <w:rFonts w:ascii="Times New Roman" w:cs="Times New Roman" w:eastAsia="Times New Roman" w:hAnsi="Times New Roman"/>
          <w:sz w:val="18"/>
          <w:szCs w:val="18"/>
          <w:color w:val="212529"/>
        </w:rPr>
        <w:t>”).</w:t>
      </w:r>
    </w:p>
    <w:p>
      <w:pPr>
        <w:spacing w:after="0" w:line="64"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Second YA Note and the third tranche in an original principal amount of Two Million Five Hundred Thousand Dollars ($2,500,000) that was funded as part of the Third YA Note (as defined below). The Second A&amp;R YA Agreement superseded the original agreement.</w:t>
      </w:r>
    </w:p>
    <w:p>
      <w:pPr>
        <w:spacing w:after="0" w:line="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Amended YA Note and Second YA Note,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 loss on extinguishment of $4,175,791 was recognized. As of December 31, 2024, $2,705,929 in principal and interest was outstanding, which was subsequently settled in 1,413,946 Ordinary Shares on February 5, 2025, and no further amounts remain outstanding.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Promissory notes</w:t>
      </w:r>
    </w:p>
    <w:p>
      <w:pPr>
        <w:spacing w:after="0" w:line="117"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61" w:name="page62"/>
    <w:bookmarkEnd w:id="61"/>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 Trigger, the date Rezolve AI plc has obtained stockholder approval to increase the number of ordinary shares under the Exchange Cap (or if the Exchange Cap no longer applies), unless a subsequent Promissory Note Trigger Event occurs.</w:t>
      </w:r>
    </w:p>
    <w:p>
      <w:pPr>
        <w:spacing w:after="0" w:line="85"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Cohen &amp; Company Financial Management LLC</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Advisors loans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which were contingently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2" w:name="page63"/>
    <w:bookmarkEnd w:id="62"/>
    <w:p>
      <w:pPr>
        <w:ind w:right="120"/>
        <w:spacing w:after="0" w:line="254" w:lineRule="auto"/>
        <w:rPr>
          <w:sz w:val="20"/>
          <w:szCs w:val="20"/>
          <w:color w:val="auto"/>
        </w:rPr>
      </w:pPr>
      <w:r>
        <w:rPr>
          <w:rFonts w:ascii="Times New Roman" w:cs="Times New Roman" w:eastAsia="Times New Roman" w:hAnsi="Times New Roman"/>
          <w:sz w:val="18"/>
          <w:szCs w:val="18"/>
          <w:color w:val="auto"/>
        </w:rPr>
        <w:t>$20,000,000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AI plc. On February 26, 2025, the Company issued 778,165 ordinary shares to settle $2,000,000 of principle outstanding to the JVB promissory note.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and concentration of credit risk</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hanging="512"/>
        <w:spacing w:after="0"/>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w:t>
      </w:r>
    </w:p>
    <w:p>
      <w:pPr>
        <w:spacing w:after="0" w:line="27" w:lineRule="exact"/>
        <w:rPr>
          <w:rFonts w:ascii="Times New Roman" w:cs="Times New Roman" w:eastAsia="Times New Roman" w:hAnsi="Times New Roman"/>
          <w:sz w:val="18"/>
          <w:szCs w:val="18"/>
          <w:color w:val="auto"/>
        </w:rPr>
      </w:pPr>
    </w:p>
    <w:p>
      <w:pPr>
        <w:ind w:left="520" w:right="60" w:hanging="512"/>
        <w:spacing w:after="0" w:line="253"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J.V.B. Financial Group and Northlands.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is ordinary shares on the NASDAQ. The Company no longer recognizes a derivative liability associated with the following debt liabilities due to the investors having exercised their conversion features by December 31, 2024:</w:t>
      </w:r>
    </w:p>
    <w:p>
      <w:pPr>
        <w:spacing w:after="0" w:line="79"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2024 and December 31, 2023:</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shd w:val="clear" w:color="auto" w:fill="CFF0FC"/>
          </w:tcPr>
          <w:p>
            <w:pPr>
              <w:spacing w:after="0"/>
              <w:rPr>
                <w:sz w:val="18"/>
                <w:szCs w:val="18"/>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9,450,944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20"/>
                <w:szCs w:val="20"/>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4" w:name="page65"/>
    <w:bookmarkEnd w:id="64"/>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(21,642,715)</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(13,001,875)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(3,528,626)</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(1,781,524)</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34,585,896</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9,440,503</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(28,939)</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-7620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$21.6 million for the year ended December 31, 2024, which resulted primarily from a net loss of $172.6 million from operating activities, adjusted for non-cash items such as share-based compensation expenses, advisor loans, interest expense, net gains on derivatives and net losses on extinguishments of debt.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$3.5 million for the year ended December 31, 2024, which resulted primarily from costs incurred to continue the development of our Rezolve platform and related technology.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$34.6 million for the year ended December 31, 2024 was primarily due to proceeds from convertible promissory notes, proceeds from the issuance ordinary shares and proceeds from short-term debt from related parties partially offset by repayments of debt obligations to related parties and repayments of promissory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7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10"/>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we did not have any significant off-balance sheet arrangements, as defined in Item 303(a)(4)(ii) of Regulation S-K.</w:t>
      </w:r>
    </w:p>
    <w:p>
      <w:pPr>
        <w:spacing w:after="0" w:line="329"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Research and development, patents and licenses, etc</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right="260" w:firstLine="749"/>
        <w:spacing w:after="0" w:line="284" w:lineRule="auto"/>
        <w:rPr>
          <w:sz w:val="20"/>
          <w:szCs w:val="20"/>
          <w:color w:val="auto"/>
        </w:rPr>
      </w:pPr>
      <w:r>
        <w:rPr>
          <w:rFonts w:ascii="Times New Roman" w:cs="Times New Roman" w:eastAsia="Times New Roman" w:hAnsi="Times New Roman"/>
          <w:sz w:val="18"/>
          <w:szCs w:val="18"/>
          <w:color w:val="auto"/>
        </w:rPr>
        <w:t>Please refer to “</w:t>
      </w:r>
      <w:r>
        <w:rPr>
          <w:rFonts w:ascii="Times New Roman" w:cs="Times New Roman" w:eastAsia="Times New Roman" w:hAnsi="Times New Roman"/>
          <w:sz w:val="18"/>
          <w:szCs w:val="18"/>
          <w:i w:val="1"/>
          <w:iCs w:val="1"/>
          <w:color w:val="auto"/>
        </w:rPr>
        <w:t>Item 4. Information on the Company-B. Business Overview</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4. Information on the Company-B. Business Overview-Intellectual Property</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65" w:name="page66"/>
    <w:bookmarkEnd w:id="65"/>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Trend information</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“Item 4.B—Business Overview—Industry Overview and Trends.”</w:t>
      </w:r>
    </w:p>
    <w:p>
      <w:pPr>
        <w:spacing w:after="0" w:line="33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The Rezolve AI plc and Subsidiaries Consolidated Financial Statements are prepared in conformity with U.S. generally accepted accounting principles. In preparing the Rezolve AI plc and Subsidiaries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w:t>
      </w:r>
    </w:p>
    <w:p>
      <w:pPr>
        <w:spacing w:after="0" w:line="60" w:lineRule="exact"/>
        <w:rPr>
          <w:sz w:val="20"/>
          <w:szCs w:val="20"/>
          <w:color w:val="auto"/>
        </w:rPr>
      </w:pPr>
    </w:p>
    <w:p>
      <w:pPr>
        <w:jc w:val="both"/>
        <w:ind w:right="200" w:firstLine="509"/>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w:t>
      </w:r>
    </w:p>
    <w:p>
      <w:pPr>
        <w:spacing w:after="0" w:line="72" w:lineRule="exact"/>
        <w:rPr>
          <w:sz w:val="20"/>
          <w:szCs w:val="20"/>
          <w:color w:val="auto"/>
        </w:rPr>
      </w:pPr>
    </w:p>
    <w:p>
      <w:pPr>
        <w:jc w:val="both"/>
        <w:ind w:right="18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“Basis of presentation and summary of significant accounting policies” in the notes to the Rezolve AI plc and Subsidiaries Consolidated Financial Statements included elsewhere in this prospectus.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Valuation of assets and liabilities</w:t>
      </w:r>
    </w:p>
    <w:p>
      <w:pPr>
        <w:spacing w:after="0" w:line="11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 significant judgment and assumptions such as estimation of 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spacing w:after="0" w:line="7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Deferred income taxes and related valuation allowances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spacing w:after="0" w:line="5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Capitalized software</w:t>
      </w:r>
    </w:p>
    <w:p>
      <w:pPr>
        <w:spacing w:after="0" w:line="119" w:lineRule="exact"/>
        <w:rPr>
          <w:sz w:val="20"/>
          <w:szCs w:val="20"/>
          <w:color w:val="auto"/>
        </w:rPr>
      </w:pPr>
    </w:p>
    <w:p>
      <w:pPr>
        <w:ind w:right="380" w:firstLine="509"/>
        <w:spacing w:after="0" w:line="258" w:lineRule="auto"/>
        <w:rPr>
          <w:sz w:val="20"/>
          <w:szCs w:val="20"/>
          <w:color w:val="auto"/>
        </w:rPr>
      </w:pPr>
      <w:r>
        <w:rPr>
          <w:rFonts w:ascii="Times New Roman" w:cs="Times New Roman" w:eastAsia="Times New Roman" w:hAnsi="Times New Roman"/>
          <w:sz w:val="18"/>
          <w:szCs w:val="18"/>
          <w:color w:val="auto"/>
        </w:rPr>
        <w:t>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AI plc and Subsidiaries Consolidated Financial Statements included elsewhere in this 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no interest rate risk. Our short-term debt from related parties consist of an unsecured, interest free loan and a unsecured convertible loan with a fixed interest rate. The convertible debt and the convertible promissory notes have fixed interest rates and the accrued interest converts into ordinary shares upon maturity. The short term convertible debt to a related party accrues interest at a fixed rate which converts into ordinary shares upon maturity. Interest accrues at a fixed rate on the advisor loans and is payable in cash according to the terms of the loans.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120" w:firstLine="576"/>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plc (formerly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Rezolve Ai: Redefining Conversational Commerce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leading the Conversational Commerce revolution, delivering tailored Generative AI solutions for the retail and eCommerce sectors.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drive sales, enhance customer satisfaction, and build loyalty through cutting-edge AI technologies.</w:t>
      </w:r>
    </w:p>
    <w:p>
      <w:pPr>
        <w:spacing w:after="0" w:line="20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Our flagship product, Brain Commerce, powered by our proprietary Large Language Model (LLM) brainpowa, transforms the online shopping experience. By surpassing traditional site search and product discovery tools, Brain Commerce improves conversion rates, increases average order value (AOV), and reduces cart abandonment. Its Conversational Commerce capabilities support both speech and text inputs, with instant translation across 96 languages, making it a truly global solution.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AI Solutions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AI’s suite of solutions includes: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67" w:name="page68"/>
    <w:bookmarkEnd w:id="67"/>
    <w:p>
      <w:pPr>
        <w:jc w:val="both"/>
        <w:ind w:left="1020" w:right="120" w:hanging="503"/>
        <w:spacing w:after="0" w:line="266"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Site Search &amp; Discovery: Revolutionizing product discovery with advanced AI algorithms trained on vast datasets. Leveraging Google Vertex AI Search for Commerce, we deliver personalized, high-quality search experiences at scale, using shopping history and data insights to boost conversions while reducing IT costs.</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line="266" w:lineRule="auto"/>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Geolocation Campaign Activation: Engaging customers in real-time based on their location. From alerting consumers to nearby opportunities to enabling seamless order-ahead and collection interactions, our geolocation tools enhance mobile engagement across retail, QSR, grocery, travel, and hospitality.</w:t>
      </w:r>
    </w:p>
    <w:p>
      <w:pPr>
        <w:spacing w:after="0" w:line="6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AI-Powered Customer Support: Delivering intelligent, responsive, and personalized support to improve customer satisfaction and loyalty.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Frictionless Checkout Solutions: Simplifying the checkout process to reduce friction and enhance the overall shopping experience.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Bridging the Gap Between Physical and Online Retail</w:t>
      </w:r>
    </w:p>
    <w:p>
      <w:pPr>
        <w:spacing w:after="0" w:line="22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Conversational Commerce bridges the experiential and performance gap between high-end physical retail and its online counterpart. Traditional eCommerce relies on outdated methods like keyword searches and impersonal recommendations, resulting in a clunky experience. Rezolve Ai’s Brain Commerce is the only market-ready solution that delivers a superior, personal shopper experience for online customers, redefining how people shop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Partnerships and Global Reach</w:t>
      </w:r>
    </w:p>
    <w:p>
      <w:pPr>
        <w:spacing w:after="0" w:line="22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Rezolve Ai has forged strategic partnerships with industry leaders like Microsoft and Google, enabling global scalability and reach. By leveraging Google’s expertise in personalized content delivery (e.g., Google Search, Google Shopping, and YouTube), we provide retailers with unparalleled AI-driven solutions. Additionally, Rezolve Ai is collaborating with Tether, the leading stablecoin platform, to bring cryptocurrency into mainstream commerce.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Future of AI-First Commerce</w:t>
      </w:r>
    </w:p>
    <w:p>
      <w:pPr>
        <w:spacing w:after="0" w:line="227" w:lineRule="exact"/>
        <w:rPr>
          <w:sz w:val="20"/>
          <w:szCs w:val="20"/>
          <w:color w:val="auto"/>
        </w:rPr>
      </w:pPr>
    </w:p>
    <w:p>
      <w:pPr>
        <w:ind w:right="720" w:firstLine="509"/>
        <w:spacing w:after="0" w:line="312" w:lineRule="auto"/>
        <w:rPr>
          <w:sz w:val="20"/>
          <w:szCs w:val="20"/>
          <w:color w:val="auto"/>
        </w:rPr>
      </w:pPr>
      <w:r>
        <w:rPr>
          <w:rFonts w:ascii="Times New Roman" w:cs="Times New Roman" w:eastAsia="Times New Roman" w:hAnsi="Times New Roman"/>
          <w:sz w:val="17"/>
          <w:szCs w:val="17"/>
          <w:color w:val="auto"/>
        </w:rPr>
        <w:t>Rezolve Ai is shaping the future of retail with cutting-edge innovation and best-in-class technology. Our solutions power seamless product discovery, conversational commerce, and frictionless checkout, turning every step of the customer journey into a revenue-driving experience.</w:t>
      </w:r>
    </w:p>
    <w:p>
      <w:pPr>
        <w:spacing w:after="0" w:line="14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Through deep collaboration with the world’s leading technology providers, Rezolve Ai empowers retailers to stay ahead in an ever-evolving market. With Rezolve Ai, businesses don’t just adapt to change—they lead it. We create shopping experiences so intuitive, engaging, and personalized that customers fall in love with retail all over again.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Ai is the future of commerce—where innovation meets customer delight.</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534035</wp:posOffset>
            </wp:positionH>
            <wp:positionV relativeFrom="page">
              <wp:posOffset>791845</wp:posOffset>
            </wp:positionV>
            <wp:extent cx="5631815" cy="3188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563181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Our total revenues were $0.19 million and $0.15 million, for the years ended December 31, 2024 and 2023, respectively. We currently generate our revenue from Transaction fees based on sales of ticketing for La Liga football events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14230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Bluedot Acquisition</w:t>
      </w:r>
    </w:p>
    <w:p>
      <w:pPr>
        <w:spacing w:after="0" w:line="227"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February 4, 2025, Rezolve entered into a Purchase Agreement (the “Bluedot Purchase Agreement”), by and between the Company and DBLP Sea Cow Ltd, a limited company organized under the laws of the Seychelles (“DBLP”), pursuant to which the Company agreed to purchase, and DBLP agreed to sell, the entire issued and to be issued share capital of each of Bluedot Industries, Inc., a Delaware corporation, and Bluedot Industries Pty. Ltd. (together, “Bluedot”), an Australian proprietary limited company registered in Victoria on 7 December 2013 with Australian Company Number 165 206 566 (the “Blue Dot Acquisition”).</w:t>
      </w:r>
    </w:p>
    <w:p>
      <w:pPr>
        <w:spacing w:after="0" w:line="183" w:lineRule="exact"/>
        <w:rPr>
          <w:sz w:val="20"/>
          <w:szCs w:val="20"/>
          <w:color w:val="auto"/>
        </w:rPr>
      </w:pPr>
    </w:p>
    <w:p>
      <w:pPr>
        <w:ind w:right="34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Bluedot Acquisition. As consideration for the Bluedot Acquisition, Rezolve issued 819,737 ordinary shares of the Company in a private placement to DBLP.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GroupBy Acquisition</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February 11, 2025, Rezolve entered into a Purchase Agreement (the “GroupBy Purchase Agreement”), by and among the Company, GroupBy Inc., an Ontario, Canada corporation (“GroupBy”), GroupBy International Ltd., an Ontario, Canada corporation (“GroupBy International” and together with GroupBy, the “Target Companies” and each a “Target Company”) and Fortis Advisors LLC, a Delaware limited liability company, as the representative of the sellers party thereto (the “Sellers”), pursuant to which the Company agreed to purchase, and the Sellers agreed to sell, the entire issued and to be issued share capital of each of GroupBy and GroupBy International (the “Acquisition”).</w:t>
      </w:r>
    </w:p>
    <w:p>
      <w:pPr>
        <w:spacing w:after="0" w:line="18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jc w:val="both"/>
        <w:ind w:right="640" w:firstLine="315"/>
        <w:spacing w:after="0" w:line="266" w:lineRule="auto"/>
        <w:rPr>
          <w:sz w:val="20"/>
          <w:szCs w:val="20"/>
          <w:color w:val="auto"/>
        </w:rPr>
      </w:pPr>
      <w:r>
        <w:rPr>
          <w:rFonts w:ascii="Times New Roman" w:cs="Times New Roman" w:eastAsia="Times New Roman" w:hAnsi="Times New Roman"/>
          <w:sz w:val="18"/>
          <w:szCs w:val="18"/>
          <w:color w:val="auto"/>
        </w:rPr>
        <w:t>On October 3, 2024, Rezolve entered into a strategic partnership with Microsoft Corporation ( "MSFT") to empower retailers with advanced capabilities for digital engagement. Through this collaboration, Rezolve AI’s Brain Suite – including Brain Commerce, Brain Checkout, and Brain Assistant – will be available on Microsoft Azure and available globally via Microsoft’s Azure Marketplace and co-sell channels.</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This partnership aims to empower retailers to transform their customer engagement and operations with advanced AI solutions from Rezolve supported by the Microsoft Cloud. In addition, Microsoft is providing extensive Go-to-Market (GTM) and co-sell support, providing marketing, sales, and technical support to accelerate Rezolve AI's market penetration over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Google</w:t>
      </w:r>
    </w:p>
    <w:p>
      <w:pPr>
        <w:spacing w:after="0" w:line="227" w:lineRule="exact"/>
        <w:rPr>
          <w:sz w:val="20"/>
          <w:szCs w:val="20"/>
          <w:color w:val="auto"/>
        </w:rPr>
      </w:pPr>
    </w:p>
    <w:p>
      <w:pPr>
        <w:ind w:right="100" w:firstLine="495"/>
        <w:spacing w:after="0" w:line="261" w:lineRule="auto"/>
        <w:rPr>
          <w:sz w:val="20"/>
          <w:szCs w:val="20"/>
          <w:color w:val="auto"/>
        </w:rPr>
      </w:pPr>
      <w:r>
        <w:rPr>
          <w:rFonts w:ascii="Times New Roman" w:cs="Times New Roman" w:eastAsia="Times New Roman" w:hAnsi="Times New Roman"/>
          <w:sz w:val="18"/>
          <w:szCs w:val="18"/>
          <w:color w:val="auto"/>
        </w:rPr>
        <w:t>On November 20, 2024, Rezolve entered into a strategic partnership with Google to accelerate the transformation of retail and consumer commerce through advanced artificial intelligence (AI) and cloud infrastructure. Through this collaboration, Google Cloud will resell Rezolve Ai’s groundbreaking Brain Suite, offering retailers a comprehensive set of AI-powered solutions designed to optimize digital commerce experiences, reduce cart abandonment, and enhance customer lifetime value.</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Under this partnership, Google and Rezolve Ai expect that its sales channel will generate over 50% of Rezolve Ai’s forecasted revenues over the next several years. To support this ambitious goal, Google are incentivizing its customers to Google Cloud by enabling them to access Rezolve Ai’s solutions, with these commitments decrementing against their Google agreements.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Tether</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2024, Rezolve announced a groundbreaking partnership with Tether, the world’s most widely used stablecoin platform, to integrate digital currency capabilities into Rezolve Ai’s Brain Checkout wallet. This collaboration introduces a non-custodial crypto wallet that enables consumers to make purchases using a variety of cryptocurrencies while maintaining full control over their assets. The partnership aims to revolutionize retail payments by eliminating traditional merchant fees - empowering retailers to accept digital currencies directly without incurring high transaction costs. By leveraging Tether’s globally trusted stablecoin infrastructure, Rezolve is enabling instant, secure, and borderless commerce, expanding financial access and improving margins for merchants worldwide.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 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70" w:name="page71"/>
    <w:bookmarkEnd w:id="70"/>
    <w:p>
      <w:pPr>
        <w:ind w:right="20"/>
        <w:spacing w:after="0" w:line="282" w:lineRule="auto"/>
        <w:rPr>
          <w:sz w:val="20"/>
          <w:szCs w:val="20"/>
          <w:color w:val="auto"/>
        </w:rPr>
      </w:pPr>
      <w:r>
        <w:rPr>
          <w:rFonts w:ascii="Times New Roman" w:cs="Times New Roman" w:eastAsia="Times New Roman" w:hAnsi="Times New Roman"/>
          <w:sz w:val="18"/>
          <w:szCs w:val="18"/>
          <w:color w:val="auto"/>
        </w:rPr>
        <w:t>reviews. A disappointing consumer experience may result in the permanent loss of customers and irreparable damage to the merchant’s reputation on social media.</w:t>
      </w:r>
    </w:p>
    <w:p>
      <w:pPr>
        <w:spacing w:after="0" w:line="162"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 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8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1" w:name="page72"/>
    <w:bookmarkEnd w:id="71"/>
    <w:p>
      <w:pPr>
        <w:ind w:right="40"/>
        <w:spacing w:after="0" w:line="261" w:lineRule="auto"/>
        <w:rPr>
          <w:sz w:val="20"/>
          <w:szCs w:val="20"/>
          <w:color w:val="auto"/>
        </w:rPr>
      </w:pPr>
      <w:r>
        <w:rPr>
          <w:rFonts w:ascii="Times New Roman" w:cs="Times New Roman" w:eastAsia="Times New Roman" w:hAnsi="Times New Roman"/>
          <w:sz w:val="18"/>
          <w:szCs w:val="18"/>
          <w:color w:val="auto"/>
        </w:rPr>
        <w:t>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provide an AI- and cloud-based advertising, engagement and commerce platform designed for merchants of all sizes. We are bringing conversational AI to digital retail. Our proprietary LLM has been built specifically with retail in mind, allowing authentic, human-level conversations for sales interactions in any of 95 languages.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1020" w:right="120" w:hanging="503"/>
        <w:spacing w:after="0" w:line="261"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eCommerce-Specific AI Platform and Suite—</w:t>
      </w:r>
      <w:r>
        <w:rPr>
          <w:rFonts w:ascii="Times New Roman" w:cs="Times New Roman" w:eastAsia="Times New Roman" w:hAnsi="Times New Roman"/>
          <w:sz w:val="18"/>
          <w:szCs w:val="18"/>
          <w:color w:val="auto"/>
        </w:rPr>
        <w:t>Brain Commerce allows customers, either online or instore, to ask, via voice or text and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96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b w:val="1"/>
          <w:bCs w:val="1"/>
          <w:color w:val="auto"/>
        </w:rPr>
      </w:pPr>
    </w:p>
    <w:p>
      <w:pPr>
        <w:ind w:left="1020" w:right="100" w:hanging="503"/>
        <w:spacing w:after="0" w:line="255"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Brain Checkout allows websites to convert passive browsers into actors or buyers with one click directly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product detail pages on merchant websites. Our Brain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b w:val="1"/>
          <w:bCs w:val="1"/>
          <w:color w:val="auto"/>
        </w:rPr>
      </w:pPr>
    </w:p>
    <w:p>
      <w:pPr>
        <w:ind w:left="1020" w:right="180" w:hanging="503"/>
        <w:spacing w:after="0" w:line="267"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 Assistant. </w:t>
      </w:r>
      <w:r>
        <w:rPr>
          <w:rFonts w:ascii="Times New Roman" w:cs="Times New Roman" w:eastAsia="Times New Roman" w:hAnsi="Times New Roman"/>
          <w:sz w:val="18"/>
          <w:szCs w:val="18"/>
          <w:color w:val="auto"/>
        </w:rPr>
        <w:t>Rezolve's Brain Assistant's advanced training allows customers to accelerate onboarding and answer customer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questions directly. Customers can create knowledge bases via Brain Assistant which can be interrogated by staff members who can quickly become subject matter experts.</w:t>
      </w:r>
    </w:p>
    <w:p>
      <w:pPr>
        <w:spacing w:after="0" w:line="65"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Brainpowa LLM. </w:t>
      </w:r>
      <w:r>
        <w:rPr>
          <w:rFonts w:ascii="Times New Roman" w:cs="Times New Roman" w:eastAsia="Times New Roman" w:hAnsi="Times New Roman"/>
          <w:sz w:val="18"/>
          <w:szCs w:val="18"/>
          <w:color w:val="auto"/>
        </w:rPr>
        <w:t>Rezolve's brainpowa LLM has been engineered for commerce. The propriety LLM harnesses over 300 billion tokens and</w:t>
      </w:r>
    </w:p>
    <w:p>
      <w:pPr>
        <w:spacing w:after="0" w:line="29" w:lineRule="exact"/>
        <w:rPr>
          <w:rFonts w:ascii="Times New Roman" w:cs="Times New Roman" w:eastAsia="Times New Roman" w:hAnsi="Times New Roman"/>
          <w:sz w:val="18"/>
          <w:szCs w:val="18"/>
          <w:b w:val="1"/>
          <w:bCs w:val="1"/>
          <w:color w:val="auto"/>
        </w:rPr>
      </w:pPr>
    </w:p>
    <w:p>
      <w:pPr>
        <w:ind w:left="1020"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 billion parameters to deliver unmatched specialized results. Rezolve's model is the first to ensure accurate LLM responses by eliminating hallucinations through patented validation, while real-time monitoring and feedback loops control model drift and enable continuous fine tuning. This results in unmatched extraction capabilities for our key information, delivering precise classification and content creation while enhancing product enrichment and taxonomy for optimized performance.</w:t>
      </w:r>
    </w:p>
    <w:p>
      <w:pPr>
        <w:spacing w:after="0" w:line="78" w:lineRule="exact"/>
        <w:rPr>
          <w:rFonts w:ascii="Times New Roman" w:cs="Times New Roman" w:eastAsia="Times New Roman" w:hAnsi="Times New Roman"/>
          <w:sz w:val="18"/>
          <w:szCs w:val="18"/>
          <w:b w:val="1"/>
          <w:bCs w:val="1"/>
          <w:color w:val="auto"/>
        </w:rPr>
      </w:pPr>
    </w:p>
    <w:p>
      <w:pPr>
        <w:ind w:left="1020" w:right="20" w:hanging="503"/>
        <w:spacing w:after="0" w:line="258"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75" w:lineRule="exact"/>
        <w:rPr>
          <w:rFonts w:ascii="Times New Roman" w:cs="Times New Roman" w:eastAsia="Times New Roman" w:hAnsi="Times New Roman"/>
          <w:sz w:val="18"/>
          <w:szCs w:val="18"/>
          <w:b w:val="1"/>
          <w:bCs w:val="1"/>
          <w:color w:val="auto"/>
        </w:rPr>
      </w:pPr>
    </w:p>
    <w:p>
      <w:pPr>
        <w:ind w:left="1020" w:hanging="503"/>
        <w:spacing w:after="0" w:line="261"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4" w:lineRule="auto"/>
        <w:tabs>
          <w:tab w:leader="none" w:pos="10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2" w:name="page73"/>
    <w:bookmarkEnd w:id="72"/>
    <w:p>
      <w:pPr>
        <w:ind w:left="503" w:hanging="503"/>
        <w:spacing w:after="0" w:line="257" w:lineRule="auto"/>
        <w:tabs>
          <w:tab w:leader="none" w:pos="50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b w:val="1"/>
          <w:bCs w:val="1"/>
          <w:color w:val="auto"/>
        </w:rPr>
      </w:pPr>
    </w:p>
    <w:p>
      <w:pPr>
        <w:ind w:left="503" w:right="120" w:hanging="503"/>
        <w:spacing w:after="0" w:line="258" w:lineRule="auto"/>
        <w:tabs>
          <w:tab w:leader="none" w:pos="503"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129540</wp:posOffset>
            </wp:positionV>
            <wp:extent cx="5349240" cy="37719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4924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118" w:right="37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654685</wp:posOffset>
            </wp:positionV>
            <wp:extent cx="5717540" cy="77920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717540" cy="779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4" w:name="page75"/>
    <w:bookmarkEnd w:id="74"/>
    <w:p>
      <w:pPr>
        <w:spacing w:after="0" w:line="200" w:lineRule="exact"/>
        <w:rPr>
          <w:sz w:val="20"/>
          <w:szCs w:val="20"/>
          <w:color w:val="auto"/>
        </w:rPr>
      </w:pPr>
    </w:p>
    <w:p>
      <w:pPr>
        <w:spacing w:after="0" w:line="26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33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we have a significant opportunity to transform how retail customers discover, engage and shop online. Our mobile commerce provides a natural interactive experience for your customers where they may enjoy a conversational approach to shopping.</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United States,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2 of 2025, initially in Europe and the USA. Revenues from Brain Commerce are also forecast to begin in Q2 2025, increasing significantly in Q3 and Q4 2025. We also expect to generate revenues in Q4 2025 in South America and the Asia. We expect revenues to increase in 2026 through our signed partner agreements with Microsoft, Google and others. For additional information regarding the partner agreements, see “—Partner Agreements”.</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(“CUP”) and Allinpay (“AP”). Rezolve’s former subsidiary, Rezolve Information Technology (Shanghai) Limited (“Rezolve Shanghai”) is a Wholly owned Foreign Entity (“WoFE”), which limits its influence locally in China. A WoFE in China must generally contract with a local third-party company if it wants to do business with a state-owned enterprise (“SOE”),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Rezolve’s Brain Commerce, Brain Checkout and Brain Assistant offerings will operate in large global market opportunities. We believe Rezolve’s Brain Commerce can supplement existing retailer site search platforms and that AI enabled search platforms, like Rezolve’s will replace all existing retailer site search platforms.</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ind w:left="1020" w:right="14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i w:val="1"/>
          <w:iCs w:val="1"/>
          <w:color w:val="auto"/>
        </w:rPr>
      </w:pPr>
    </w:p>
    <w:p>
      <w:pPr>
        <w:ind w:left="1020" w:right="4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i w:val="1"/>
          <w:iCs w:val="1"/>
          <w:color w:val="auto"/>
        </w:rPr>
      </w:pPr>
    </w:p>
    <w:p>
      <w:pPr>
        <w:ind w:left="1020" w:right="38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merchandising.</w:t>
      </w:r>
    </w:p>
    <w:p>
      <w:pPr>
        <w:spacing w:after="0" w:line="65" w:lineRule="exact"/>
        <w:rPr>
          <w:rFonts w:ascii="Times New Roman" w:cs="Times New Roman" w:eastAsia="Times New Roman" w:hAnsi="Times New Roman"/>
          <w:sz w:val="18"/>
          <w:szCs w:val="18"/>
          <w:i w:val="1"/>
          <w:iCs w:val="1"/>
          <w:color w:val="auto"/>
        </w:rPr>
      </w:pPr>
    </w:p>
    <w:p>
      <w:pPr>
        <w:ind w:left="1020" w:hanging="503"/>
        <w:spacing w:after="0" w:line="267"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Upsell/Cross Sell</w:t>
      </w:r>
      <w:r>
        <w:rPr>
          <w:rFonts w:ascii="Times New Roman" w:cs="Times New Roman" w:eastAsia="Times New Roman" w:hAnsi="Times New Roman"/>
          <w:sz w:val="18"/>
          <w:szCs w:val="18"/>
          <w:color w:val="auto"/>
        </w:rPr>
        <w:t>. We expect to further penetrate our customer base. We intend to expand direct and indirect sales capabilities, drive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65" w:lineRule="exact"/>
        <w:rPr>
          <w:rFonts w:ascii="Times New Roman" w:cs="Times New Roman" w:eastAsia="Times New Roman" w:hAnsi="Times New Roman"/>
          <w:sz w:val="18"/>
          <w:szCs w:val="18"/>
          <w:i w:val="1"/>
          <w:iCs w:val="1"/>
          <w:color w:val="auto"/>
        </w:rPr>
      </w:pPr>
    </w:p>
    <w:p>
      <w:pPr>
        <w:ind w:left="1020" w:right="480" w:hanging="503"/>
        <w:spacing w:after="0" w:line="284"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Europe, Australia, Canada and Brazil.</w:t>
      </w:r>
    </w:p>
    <w:p>
      <w:pPr>
        <w:spacing w:after="0" w:line="50" w:lineRule="exact"/>
        <w:rPr>
          <w:rFonts w:ascii="Times New Roman" w:cs="Times New Roman" w:eastAsia="Times New Roman" w:hAnsi="Times New Roman"/>
          <w:sz w:val="18"/>
          <w:szCs w:val="18"/>
          <w:i w:val="1"/>
          <w:iCs w:val="1"/>
          <w:color w:val="auto"/>
        </w:rPr>
      </w:pPr>
    </w:p>
    <w:p>
      <w:pPr>
        <w:ind w:left="1020" w:hanging="503"/>
        <w:spacing w:after="0" w:line="258" w:lineRule="auto"/>
        <w:tabs>
          <w:tab w:leader="none" w:pos="102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Acquisitions</w:t>
      </w:r>
      <w:r>
        <w:rPr>
          <w:rFonts w:ascii="Times New Roman" w:cs="Times New Roman" w:eastAsia="Times New Roman" w:hAnsi="Times New Roman"/>
          <w:sz w:val="18"/>
          <w:szCs w:val="18"/>
          <w:color w:val="auto"/>
        </w:rPr>
        <w:t>. We intend to selectively pursue acquisitions that enhance our existing platform capabilities and are consistent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97" w:lineRule="exact"/>
        <w:rPr>
          <w:sz w:val="20"/>
          <w:szCs w:val="20"/>
          <w:color w:val="auto"/>
        </w:rPr>
      </w:pPr>
    </w:p>
    <w:p>
      <w:pPr>
        <w:ind w:left="1020" w:right="100" w:hanging="503"/>
        <w:spacing w:after="0" w:line="256"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w:t>
      </w:r>
      <w:r>
        <w:rPr>
          <w:rFonts w:ascii="Times New Roman" w:cs="Times New Roman" w:eastAsia="Times New Roman" w:hAnsi="Times New Roman"/>
          <w:sz w:val="18"/>
          <w:szCs w:val="18"/>
          <w:i w:val="1"/>
          <w:iCs w:val="1"/>
          <w:color w:val="auto"/>
        </w:rPr>
        <w:t xml:space="preserve"> Brain Commerce </w:t>
      </w:r>
      <w:r>
        <w:rPr>
          <w:rFonts w:ascii="Times New Roman" w:cs="Times New Roman" w:eastAsia="Times New Roman" w:hAnsi="Times New Roman"/>
          <w:sz w:val="18"/>
          <w:szCs w:val="18"/>
          <w:color w:val="auto"/>
        </w:rPr>
        <w:t>allows customers, either online or instore, to interact naturally in a conversational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similar to engaging via a highly knowledgeable and customer centric store colleague, via voice or text and in 95 languages. Customers can ask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74" w:lineRule="exact"/>
        <w:rPr>
          <w:rFonts w:ascii="Times New Roman" w:cs="Times New Roman" w:eastAsia="Times New Roman" w:hAnsi="Times New Roman"/>
          <w:sz w:val="18"/>
          <w:szCs w:val="18"/>
          <w:i w:val="1"/>
          <w:iCs w:val="1"/>
          <w:color w:val="auto"/>
        </w:rPr>
      </w:pPr>
    </w:p>
    <w:p>
      <w:pPr>
        <w:ind w:left="1020" w:right="80" w:hanging="503"/>
        <w:spacing w:after="0" w:line="261" w:lineRule="auto"/>
        <w:tabs>
          <w:tab w:leader="none" w:pos="102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Customer Loyalty Programs. </w:t>
      </w:r>
      <w:r>
        <w:rPr>
          <w:rFonts w:ascii="Times New Roman" w:cs="Times New Roman" w:eastAsia="Times New Roman" w:hAnsi="Times New Roman"/>
          <w:sz w:val="18"/>
          <w:szCs w:val="18"/>
          <w:color w:val="auto"/>
        </w:rPr>
        <w:t>We expect to bring together merchants and consumers with the goal of empowering merchants to engage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with their customers and not solely through third-party intermediaries. By enabling direct consumer engagement, merchants are able to build customer loyalty and can launch campaigns or targeted offers through the Brain Checkout with a higher level of engagement and relevancy.</w:t>
      </w:r>
    </w:p>
    <w:p>
      <w:pPr>
        <w:spacing w:after="0" w:line="72" w:lineRule="exact"/>
        <w:rPr>
          <w:sz w:val="20"/>
          <w:szCs w:val="20"/>
          <w:color w:val="auto"/>
        </w:rPr>
      </w:pPr>
    </w:p>
    <w:p>
      <w:pPr>
        <w:ind w:left="1020" w:right="40" w:hanging="503"/>
        <w:spacing w:after="0" w:line="284" w:lineRule="auto"/>
        <w:tabs>
          <w:tab w:leader="none" w:pos="102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6" w:name="page77"/>
    <w:bookmarkEnd w:id="76"/>
    <w:p>
      <w:pPr>
        <w:jc w:val="center"/>
        <w:ind w:right="60"/>
        <w:spacing w:after="0"/>
        <w:rPr>
          <w:sz w:val="20"/>
          <w:szCs w:val="20"/>
          <w:color w:val="auto"/>
        </w:rPr>
      </w:pPr>
      <w:r>
        <w:rPr>
          <w:rFonts w:ascii="Times New Roman" w:cs="Times New Roman" w:eastAsia="Times New Roman" w:hAnsi="Times New Roman"/>
          <w:sz w:val="18"/>
          <w:szCs w:val="18"/>
          <w:color w:val="auto"/>
        </w:rPr>
        <w:t>typically sell their products through third-party intermediaries, these insights are useful for building brand affinity and loyalty.</w:t>
      </w:r>
    </w:p>
    <w:p>
      <w:pPr>
        <w:spacing w:after="0" w:line="115" w:lineRule="exact"/>
        <w:rPr>
          <w:sz w:val="20"/>
          <w:szCs w:val="20"/>
          <w:color w:val="auto"/>
        </w:rPr>
      </w:pPr>
    </w:p>
    <w:p>
      <w:pPr>
        <w:ind w:left="1020" w:hanging="503"/>
        <w:spacing w:after="0" w:line="284"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Mobile Vouchering</w:t>
      </w:r>
      <w:r>
        <w:rPr>
          <w:rFonts w:ascii="Times New Roman" w:cs="Times New Roman" w:eastAsia="Times New Roman" w:hAnsi="Times New Roman"/>
          <w:sz w:val="18"/>
          <w:szCs w:val="18"/>
          <w:color w:val="auto"/>
        </w:rPr>
        <w:t>. We expect to enable merchants to be more flexible in their offerings to consumers. With the Rezolve platform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merchants’ apps, consumers are able to scan products and buy them through the app, eliminating the need to wait online in retail stores.</w:t>
      </w:r>
    </w:p>
    <w:p>
      <w:pPr>
        <w:spacing w:after="0" w:line="50" w:lineRule="exact"/>
        <w:rPr>
          <w:rFonts w:ascii="Times New Roman" w:cs="Times New Roman" w:eastAsia="Times New Roman" w:hAnsi="Times New Roman"/>
          <w:sz w:val="18"/>
          <w:szCs w:val="18"/>
          <w:i w:val="1"/>
          <w:iCs w:val="1"/>
          <w:color w:val="auto"/>
        </w:rPr>
      </w:pPr>
    </w:p>
    <w:p>
      <w:pPr>
        <w:ind w:left="1020" w:right="100" w:hanging="503"/>
        <w:spacing w:after="0" w:line="284"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i w:val="1"/>
          <w:iCs w:val="1"/>
          <w:color w:val="auto"/>
        </w:rPr>
      </w:pPr>
    </w:p>
    <w:p>
      <w:pPr>
        <w:ind w:left="1020" w:right="160" w:hanging="503"/>
        <w:spacing w:after="0" w:line="315" w:lineRule="auto"/>
        <w:tabs>
          <w:tab w:leader="none" w:pos="1020" w:val="left"/>
        </w:tabs>
        <w:numPr>
          <w:ilvl w:val="0"/>
          <w:numId w:val="5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i w:val="1"/>
          <w:iCs w:val="1"/>
          <w:color w:val="auto"/>
        </w:rPr>
      </w:pPr>
    </w:p>
    <w:p>
      <w:pPr>
        <w:ind w:left="1020" w:right="100" w:hanging="503"/>
        <w:spacing w:after="0" w:line="267" w:lineRule="auto"/>
        <w:tabs>
          <w:tab w:leader="none" w:pos="102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 Consumers are able to find offers nearby and browse through products both online and offline. For local offers, consumers can simply go into the brick-and-mortar stores or can order through an app.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Brain Commerc</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i w:val="1"/>
          <w:iCs w:val="1"/>
          <w:color w:val="auto"/>
        </w:rPr>
      </w:pPr>
    </w:p>
    <w:p>
      <w:pPr>
        <w:ind w:left="760" w:right="540" w:hanging="513"/>
        <w:spacing w:after="0" w:line="284" w:lineRule="auto"/>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via Brain Checkout .</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7" w:lineRule="exact"/>
        <w:rPr>
          <w:rFonts w:ascii="Times New Roman" w:cs="Times New Roman" w:eastAsia="Times New Roman" w:hAnsi="Times New Roman"/>
          <w:sz w:val="18"/>
          <w:szCs w:val="18"/>
          <w:i w:val="1"/>
          <w:iCs w:val="1"/>
          <w:color w:val="auto"/>
        </w:rPr>
      </w:pPr>
    </w:p>
    <w:p>
      <w:pPr>
        <w:ind w:left="760" w:right="280" w:hanging="513"/>
        <w:spacing w:after="0" w:line="284" w:lineRule="auto"/>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i w:val="1"/>
          <w:iCs w:val="1"/>
          <w:color w:val="auto"/>
        </w:rPr>
      </w:pPr>
    </w:p>
    <w:p>
      <w:pPr>
        <w:ind w:left="760" w:right="680" w:hanging="513"/>
        <w:spacing w:after="0" w:line="284" w:lineRule="auto"/>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i w:val="1"/>
          <w:iCs w:val="1"/>
          <w:color w:val="auto"/>
        </w:rPr>
      </w:pPr>
    </w:p>
    <w:p>
      <w:pPr>
        <w:ind w:left="760" w:hanging="513"/>
        <w:spacing w:after="0"/>
        <w:tabs>
          <w:tab w:leader="none" w:pos="76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520" w:hanging="512"/>
        <w:spacing w:after="0" w:line="254" w:lineRule="auto"/>
        <w:tabs>
          <w:tab w:leader="none" w:pos="52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 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7" w:name="page78"/>
    <w:bookmarkEnd w:id="77"/>
    <w:p>
      <w:pPr>
        <w:ind w:left="3" w:right="840"/>
        <w:spacing w:after="0" w:line="282" w:lineRule="auto"/>
        <w:rPr>
          <w:sz w:val="20"/>
          <w:szCs w:val="20"/>
          <w:color w:val="auto"/>
        </w:rPr>
      </w:pPr>
      <w:r>
        <w:rPr>
          <w:rFonts w:ascii="Times New Roman" w:cs="Times New Roman" w:eastAsia="Times New Roman" w:hAnsi="Times New Roman"/>
          <w:sz w:val="18"/>
          <w:szCs w:val="18"/>
          <w:color w:val="auto"/>
        </w:rPr>
        <w:t>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114300</wp:posOffset>
            </wp:positionV>
            <wp:extent cx="4320540" cy="254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03" w:hanging="503"/>
        <w:spacing w:after="0" w:line="284"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503" w:right="60" w:hanging="503"/>
        <w:spacing w:after="0" w:line="25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74" w:lineRule="exact"/>
        <w:rPr>
          <w:rFonts w:ascii="Times New Roman" w:cs="Times New Roman" w:eastAsia="Times New Roman" w:hAnsi="Times New Roman"/>
          <w:sz w:val="18"/>
          <w:szCs w:val="18"/>
          <w:color w:val="auto"/>
        </w:rPr>
      </w:pPr>
    </w:p>
    <w:p>
      <w:pPr>
        <w:ind w:left="503" w:right="180" w:hanging="503"/>
        <w:spacing w:after="0" w:line="26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503" w:right="80" w:hanging="503"/>
        <w:spacing w:after="0" w:line="261"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503" w:right="40" w:hanging="503"/>
        <w:spacing w:after="0" w:line="26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Android and iOS app. The accompanying SDK sample app and documents allow third-party developers to quickly leverage the power of our solution.</w:t>
      </w:r>
    </w:p>
    <w:p>
      <w:pPr>
        <w:spacing w:after="0" w:line="65" w:lineRule="exact"/>
        <w:rPr>
          <w:rFonts w:ascii="Times New Roman" w:cs="Times New Roman" w:eastAsia="Times New Roman" w:hAnsi="Times New Roman"/>
          <w:sz w:val="18"/>
          <w:szCs w:val="18"/>
          <w:color w:val="auto"/>
        </w:rPr>
      </w:pPr>
    </w:p>
    <w:p>
      <w:pPr>
        <w:ind w:left="503" w:right="300" w:hanging="503"/>
        <w:spacing w:after="0" w:line="284"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503" w:right="160" w:hanging="503"/>
        <w:spacing w:after="0" w:line="284"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Analytics Engine to churn out smart Dashboards and Reports.</w:t>
      </w:r>
    </w:p>
    <w:p>
      <w:pPr>
        <w:spacing w:after="0" w:line="50" w:lineRule="exact"/>
        <w:rPr>
          <w:rFonts w:ascii="Times New Roman" w:cs="Times New Roman" w:eastAsia="Times New Roman" w:hAnsi="Times New Roman"/>
          <w:sz w:val="18"/>
          <w:szCs w:val="18"/>
          <w:color w:val="auto"/>
        </w:rPr>
      </w:pPr>
    </w:p>
    <w:p>
      <w:pPr>
        <w:ind w:left="503" w:right="80" w:hanging="503"/>
        <w:spacing w:after="0" w:line="26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503" w:right="160" w:hanging="503"/>
        <w:spacing w:after="0" w:line="267" w:lineRule="auto"/>
        <w:tabs>
          <w:tab w:leader="none" w:pos="5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78" w:name="page79"/>
    <w:bookmarkEnd w:id="78"/>
    <w:p>
      <w:pPr>
        <w:ind w:left="1020" w:right="100" w:hanging="503"/>
        <w:spacing w:after="0" w:line="267"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1020" w:right="160" w:hanging="503"/>
        <w:spacing w:after="0" w:line="284"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Microsoft and Google among others.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acquirer Channels promote the use of Rezolve technology embedded into their apps directly (using Rezolve’s SDK and mobile application libraries). All merchants are encouraged to use our Rezolve Experience Platform to create engagements with their end-customers, whether it is labeled with the brand of the Channel or our brand.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79" w:name="page80"/>
    <w:bookmarkEnd w:id="79"/>
    <w:p>
      <w:pPr>
        <w:ind w:right="40"/>
        <w:spacing w:after="0" w:line="266" w:lineRule="auto"/>
        <w:rPr>
          <w:sz w:val="20"/>
          <w:szCs w:val="20"/>
          <w:color w:val="auto"/>
        </w:rPr>
      </w:pPr>
      <w:r>
        <w:rPr>
          <w:rFonts w:ascii="Times New Roman" w:cs="Times New Roman" w:eastAsia="Times New Roman" w:hAnsi="Times New Roman"/>
          <w:sz w:val="18"/>
          <w:szCs w:val="18"/>
          <w:color w:val="auto"/>
        </w:rPr>
        <w:t>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headquartered in London, England, United Kingdom.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0" w:name="page81"/>
    <w:bookmarkEnd w:id="80"/>
    <w:p>
      <w:pPr>
        <w:ind w:right="120"/>
        <w:spacing w:after="0" w:line="261" w:lineRule="auto"/>
        <w:rPr>
          <w:sz w:val="20"/>
          <w:szCs w:val="20"/>
          <w:color w:val="auto"/>
        </w:rPr>
      </w:pPr>
      <w:r>
        <w:rPr>
          <w:rFonts w:ascii="Times New Roman" w:cs="Times New Roman" w:eastAsia="Times New Roman" w:hAnsi="Times New Roman"/>
          <w:sz w:val="18"/>
          <w:szCs w:val="18"/>
          <w:color w:val="auto"/>
        </w:rPr>
        <w:t>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81" w:name="page82"/>
    <w:bookmarkEnd w:id="81"/>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the date of this prospectus. The Company’s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Company’s 2025 annual meeting of shareholders, Class II directors shall serve a term expiring at Company’s 2026 annual meeting of shareholders and Class III directors shall serve a term expiring at Company’s 2027 annual meeting of shareholders.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5"/>
                <w:szCs w:val="15"/>
                <w:color w:val="auto"/>
              </w:rPr>
            </w:pPr>
          </w:p>
        </w:tc>
        <w:tc>
          <w:tcPr>
            <w:tcW w:w="5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42"/>
        </w:trPr>
        <w:tc>
          <w:tcPr>
            <w:tcW w:w="42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Directors</w:t>
            </w:r>
          </w:p>
        </w:tc>
        <w:tc>
          <w:tcPr>
            <w:tcW w:w="20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360" w:type="dxa"/>
            <w:vAlign w:val="bottom"/>
            <w:shd w:val="clear" w:color="auto" w:fill="CFF0FC"/>
          </w:tcPr>
          <w:p>
            <w:pPr>
              <w:spacing w:after="0"/>
              <w:rPr>
                <w:sz w:val="12"/>
                <w:szCs w:val="12"/>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92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80</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64</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79</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4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36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53</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49</w:t>
            </w:r>
          </w:p>
        </w:tc>
        <w:tc>
          <w:tcPr>
            <w:tcW w:w="5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51</w:t>
            </w:r>
          </w:p>
        </w:tc>
        <w:tc>
          <w:tcPr>
            <w:tcW w:w="55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 BA in Economics from the University of Nottingham and a PhD in Economics from the University of Nottingham. Rezolve believes Dr. Smith is qualified to serve on the board because of his history of holding leadership roles in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Mr. Herbert is expected to serve as a director on the board of directors of Rezolve.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3" w:name="page84"/>
    <w:bookmarkEnd w:id="83"/>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Treasurer at Arcadia Group Ltd from 1999 to 2021. From 2014 to 2021, he served as a director of the main operating board of Arcadia Group Ltd. He also served as director of card services at Arcadia Group Ltd from 2006 to 2021. He holds a degree in Accounting and Finance from Middlesex University and is a member of the Chartered Institute of Management Accountants.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40" w:firstLine="576"/>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i w:val="1"/>
          <w:iCs w:val="1"/>
          <w:color w:val="auto"/>
        </w:rPr>
      </w:pPr>
    </w:p>
    <w:p>
      <w:pPr>
        <w:ind w:left="1020" w:right="20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i w:val="1"/>
          <w:iCs w:val="1"/>
          <w:color w:val="auto"/>
        </w:rPr>
      </w:pPr>
    </w:p>
    <w:p>
      <w:pPr>
        <w:ind w:left="1020" w:right="6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i w:val="1"/>
          <w:iCs w:val="1"/>
          <w:color w:val="auto"/>
        </w:rPr>
      </w:pPr>
    </w:p>
    <w:p>
      <w:pPr>
        <w:ind w:left="1020" w:right="22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i w:val="1"/>
          <w:iCs w:val="1"/>
          <w:color w:val="auto"/>
        </w:rPr>
      </w:pPr>
    </w:p>
    <w:p>
      <w:pPr>
        <w:ind w:left="1020" w:right="280" w:hanging="503"/>
        <w:spacing w:after="0" w:line="282"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right="140" w:hanging="503"/>
        <w:spacing w:after="0" w:line="261" w:lineRule="auto"/>
        <w:tabs>
          <w:tab w:leader="none" w:pos="102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i w:val="1"/>
          <w:iCs w:val="1"/>
          <w:color w:val="auto"/>
        </w:rPr>
      </w:pPr>
    </w:p>
    <w:p>
      <w:pPr>
        <w:ind w:left="1020" w:right="1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i w:val="1"/>
          <w:iCs w:val="1"/>
          <w:color w:val="auto"/>
        </w:rPr>
      </w:pPr>
    </w:p>
    <w:p>
      <w:pPr>
        <w:ind w:left="1020" w:right="300" w:hanging="503"/>
        <w:spacing w:after="0" w:line="282" w:lineRule="auto"/>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85" w:name="page86"/>
    <w:bookmarkEnd w:id="85"/>
    <w:p>
      <w:pPr>
        <w:ind w:right="60"/>
        <w:spacing w:after="0" w:line="282" w:lineRule="auto"/>
        <w:rPr>
          <w:sz w:val="20"/>
          <w:szCs w:val="20"/>
          <w:color w:val="auto"/>
        </w:rPr>
      </w:pPr>
      <w:r>
        <w:rPr>
          <w:rFonts w:ascii="Times New Roman" w:cs="Times New Roman" w:eastAsia="Times New Roman" w:hAnsi="Times New Roman"/>
          <w:sz w:val="18"/>
          <w:szCs w:val="18"/>
          <w:color w:val="auto"/>
        </w:rPr>
        <w:t>the other directors at a meeting of the directors, or by written notice from all of the other directors. Each of our directors holds office until he or she resigns or is vacated from office. There will be a three-year rotation pattern.</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 directors and will serve until our annual meeting in 2026. Messrs. Dan Wagner and John Wagner are Class III directors and will serve until our annual meeting in 2027.</w:t>
      </w:r>
    </w:p>
    <w:p>
      <w:pPr>
        <w:spacing w:after="0" w:line="18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117"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520" w:right="66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6" w:name="page87"/>
    <w:bookmarkEnd w:id="86"/>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1020" w:right="120" w:hanging="503"/>
        <w:spacing w:after="0" w:line="266"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180" w:firstLine="576"/>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7" w:name="page88"/>
    <w:bookmarkEnd w:id="87"/>
    <w:p>
      <w:pPr>
        <w:jc w:val="both"/>
        <w:spacing w:after="0" w:line="255" w:lineRule="auto"/>
        <w:rPr>
          <w:sz w:val="20"/>
          <w:szCs w:val="20"/>
          <w:color w:val="auto"/>
        </w:rPr>
      </w:pPr>
      <w:r>
        <w:rPr>
          <w:rFonts w:ascii="Times New Roman" w:cs="Times New Roman" w:eastAsia="Times New Roman" w:hAnsi="Times New Roman"/>
          <w:sz w:val="18"/>
          <w:szCs w:val="18"/>
          <w:color w:val="auto"/>
        </w:rPr>
        <w:t>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have also purchased a policy of directors’ and officers’ liability insurance effective upon completion of the Business Combination that insures our officers and directors against the cost of defense, settlement or payment of a judgment in some circumstances and insures us against our obligations to indemnify our officers and directors.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3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2024 was $2,164,680.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8" w:name="page89"/>
    <w:bookmarkEnd w:id="88"/>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979,186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 (viii) 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(Stephen Herbert)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89" w:name="page90"/>
    <w:bookmarkEnd w:id="89"/>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At the Closing, the Company entered into that certain Investor Rights Agreement with certain directors and officers and certain other parties identified therein (such persons, the “Holders”) (the “Investor Rights Agreement”). Pursuant to the terms of the Investor Rights Agreement, the Holders are entitled to certain piggyback registration rights and customary demand registration rights. The Investor Rights Agreement provides that the Company will, as soon as practicable, and in any event within 21 days after August 16, 2024, file with the SEC a shelf registration statement. The Company will use its commercially reasonable efforts to have such shelf registration statement declared effective as soon as practicable after the filing thereof, but no later than the 45th day (or the 5th day business after the Securities and Exchange Commission (the “SEC”) notifies the Company that it will “review” such shelf registration statement) following the filing deadline, in each case subject to the terms and conditions set forth therein; and the Company will not be subject to any form of monetary penalty for its failure to do so.</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Investor Rights Agreement, subject to certain exceptions, the Holders agreed to not transfer or make any announcement of any intention to effect a transfer, in respect of the shares beneficially owned or otherwise held by the Holders prior to the termination of the applicable lock-up period,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Ordinary Shares for cash, securities, or other property.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Lock-In Agreements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At the Closing, the Company entered into separate Lock-In Agreements (the“Lock-In Agreements) with certain holders of the Company (such persons, the “Rezolve Holders”), pursuant to which the Ordinary Shares held by the Rezolve Holders will be locked-up and subject to transfer restrictions for 180 days following the Closing, subject to certain customary exceptions, including: (i) transfers to permitted transferees upon written notice to the Company, such as a member of the person’s immediate family or to a trust, the beneficiary of which is a member of the person’s immediate family or an affiliate of such person; (ii) to a charitable organization upon written notice to the Company, by the laws of descent and distribution upon death, or pursuant to a qualified domestic relations order; and (iii) pursuant to any liquidation, merger, stock exchange or other similar transaction which results in all of the Company’s stockholders having the right to exchange their Ordinary Shares for cash, securities, or other property.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Bluedot Acquisition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the Bluedot Purchase Agreement, by and between the Company and DBLP Sea Cow Limited (a company incorporated in the Seychelles) (“DBLP”), pursuant to which the Company agreed to purchase, and DBLP agreed to sell, the entire issued and to be issued share capital of Bluedot.</w:t>
      </w:r>
    </w:p>
    <w:p>
      <w:pPr>
        <w:spacing w:after="0" w:line="176"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On February 20, 2025, Rezolve closed the Bluedot Acquisition. As consideration for the Bluedot Acquisition, Rezolve issued 819,737 ordinary shares of the Company in a private placement to DBLP.</w:t>
      </w:r>
    </w:p>
    <w:p>
      <w:pPr>
        <w:spacing w:after="0" w:line="162"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19"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have debt outstanding to Daniel Wagner and DBLP Sea Cow Limited (a company incorporated in the Seychelles) (“</w:t>
      </w:r>
      <w:r>
        <w:rPr>
          <w:rFonts w:ascii="Times New Roman" w:cs="Times New Roman" w:eastAsia="Times New Roman" w:hAnsi="Times New Roman"/>
          <w:sz w:val="18"/>
          <w:szCs w:val="18"/>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$5,555,122 and $447,067, an aggregate of $6,002,189. The loans provided by DBLP were to provide liquidity to Rezolve. There are no formal loan documents in place and the loan is non-interest bearing and remains callable at any time. We expect the loan to be called and repaid in 2025.</w:t>
      </w:r>
    </w:p>
    <w:p>
      <w:pPr>
        <w:spacing w:after="0" w:line="182"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Other amounts due to related parties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we have the $137,019 due to Arthur Yao and $17,433 due to Steve Perry. All of these outstanding amounts will be settled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91" w:name="page92"/>
    <w:bookmarkEnd w:id="91"/>
    <w:p>
      <w:pPr>
        <w:spacing w:after="0" w:line="2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the beneficial ownership of our Ordinary Shares as of May 6, 2025 by:</w:t>
      </w:r>
    </w:p>
    <w:p>
      <w:pPr>
        <w:spacing w:after="0" w:line="117"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outstanding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243,671,374 Ordinary Shares outstanding.</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97"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of Beneficial Owners</w:t>
            </w:r>
            <w:r>
              <w:rPr>
                <w:rFonts w:ascii="Times New Roman" w:cs="Times New Roman" w:eastAsia="Times New Roman" w:hAnsi="Times New Roman"/>
                <w:sz w:val="19"/>
                <w:szCs w:val="19"/>
                <w:b w:val="1"/>
                <w:bCs w:val="1"/>
                <w:i w:val="1"/>
                <w:iCs w:val="1"/>
                <w:color w:val="auto"/>
                <w:vertAlign w:val="superscript"/>
              </w:rPr>
              <w:t>(1)</w:t>
            </w:r>
          </w:p>
        </w:tc>
        <w:tc>
          <w:tcPr>
            <w:tcW w:w="120" w:type="dxa"/>
            <w:vAlign w:val="bottom"/>
          </w:tcPr>
          <w:p>
            <w:pPr>
              <w:spacing w:after="0"/>
              <w:rPr>
                <w:sz w:val="18"/>
                <w:szCs w:val="18"/>
                <w:color w:val="auto"/>
              </w:rPr>
            </w:pPr>
          </w:p>
        </w:tc>
        <w:tc>
          <w:tcPr>
            <w:tcW w:w="14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i w:val="1"/>
                <w:iCs w:val="1"/>
                <w:color w:val="auto"/>
              </w:rPr>
              <w:t>Number of Shares</w:t>
            </w:r>
          </w:p>
        </w:tc>
        <w:tc>
          <w:tcPr>
            <w:tcW w:w="460" w:type="dxa"/>
            <w:vAlign w:val="bottom"/>
          </w:tcPr>
          <w:p>
            <w:pPr>
              <w:spacing w:after="0"/>
              <w:rPr>
                <w:sz w:val="18"/>
                <w:szCs w:val="18"/>
                <w:color w:val="auto"/>
              </w:rPr>
            </w:pPr>
          </w:p>
        </w:tc>
        <w:tc>
          <w:tcPr>
            <w:tcW w:w="1320" w:type="dxa"/>
            <w:vAlign w:val="bottom"/>
            <w:vMerge w:val="restart"/>
          </w:tcPr>
          <w:p>
            <w:pPr>
              <w:jc w:val="right"/>
              <w:ind w:right="531"/>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Directors and Executive Officers</w:t>
            </w:r>
          </w:p>
        </w:tc>
        <w:tc>
          <w:tcPr>
            <w:tcW w:w="12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24"/>
                <w:szCs w:val="24"/>
                <w:color w:val="auto"/>
                <w:vertAlign w:val="superscript"/>
              </w:rPr>
              <w:t>(2)</w:t>
            </w:r>
          </w:p>
        </w:tc>
        <w:tc>
          <w:tcPr>
            <w:tcW w:w="132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53,429,933</w:t>
            </w:r>
          </w:p>
        </w:tc>
        <w:tc>
          <w:tcPr>
            <w:tcW w:w="460" w:type="dxa"/>
            <w:vAlign w:val="bottom"/>
            <w:vMerge w:val="continue"/>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49,554,221</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154"/>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1,921,793</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495,343</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791,556</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33,334</w:t>
            </w:r>
          </w:p>
        </w:tc>
        <w:tc>
          <w:tcPr>
            <w:tcW w:w="4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298,436</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1,153,633</w:t>
            </w:r>
          </w:p>
        </w:tc>
        <w:tc>
          <w:tcPr>
            <w:tcW w:w="460" w:type="dxa"/>
            <w:vAlign w:val="bottom"/>
            <w:vMerge w:val="continue"/>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58,893,222</w:t>
            </w:r>
          </w:p>
        </w:tc>
        <w:tc>
          <w:tcPr>
            <w:tcW w:w="4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24.17%</w:t>
            </w:r>
          </w:p>
        </w:tc>
        <w:tc>
          <w:tcPr>
            <w:tcW w:w="0" w:type="dxa"/>
            <w:vAlign w:val="bottom"/>
          </w:tcPr>
          <w:p>
            <w:pPr>
              <w:spacing w:after="0"/>
              <w:rPr>
                <w:sz w:val="1"/>
                <w:szCs w:val="1"/>
                <w:color w:val="auto"/>
              </w:rPr>
            </w:pPr>
          </w:p>
        </w:tc>
      </w:tr>
      <w:tr>
        <w:trPr>
          <w:trHeight w:val="178"/>
        </w:trPr>
        <w:tc>
          <w:tcPr>
            <w:tcW w:w="660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w w:val="87"/>
              </w:rPr>
              <w:t>(10)</w:t>
            </w:r>
            <w:r>
              <w:rPr>
                <w:rFonts w:ascii="Times New Roman" w:cs="Times New Roman" w:eastAsia="Times New Roman" w:hAnsi="Times New Roman"/>
                <w:sz w:val="24"/>
                <w:szCs w:val="24"/>
                <w:color w:val="auto"/>
                <w:w w:val="87"/>
                <w:vertAlign w:val="superscript"/>
              </w:rPr>
              <w:t>(9)</w:t>
            </w: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1"/>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color w:val="auto"/>
                <w:vertAlign w:val="superscript"/>
              </w:rPr>
              <w:t>(8)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48,731,428</w:t>
            </w:r>
          </w:p>
        </w:tc>
        <w:tc>
          <w:tcPr>
            <w:tcW w:w="460" w:type="dxa"/>
            <w:vAlign w:val="bottom"/>
            <w:vMerge w:val="continue"/>
          </w:tcPr>
          <w:p>
            <w:pPr>
              <w:spacing w:after="0"/>
              <w:rPr>
                <w:sz w:val="24"/>
                <w:szCs w:val="24"/>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35,843,258</w:t>
            </w: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189"/>
        </w:trPr>
        <w:tc>
          <w:tcPr>
            <w:tcW w:w="66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Brooks Newmark</w:t>
            </w:r>
          </w:p>
        </w:tc>
        <w:tc>
          <w:tcPr>
            <w:tcW w:w="15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17,070,000</w:t>
            </w: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6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Brad Wickens</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25,864,807</w:t>
            </w:r>
          </w:p>
        </w:tc>
        <w:tc>
          <w:tcPr>
            <w:tcW w:w="460" w:type="dxa"/>
            <w:vAlign w:val="bottom"/>
            <w:vMerge w:val="continue"/>
          </w:tcPr>
          <w:p>
            <w:pPr>
              <w:spacing w:after="0"/>
              <w:rPr>
                <w:sz w:val="5"/>
                <w:szCs w:val="5"/>
                <w:color w:val="auto"/>
              </w:rPr>
            </w:pPr>
          </w:p>
        </w:tc>
        <w:tc>
          <w:tcPr>
            <w:tcW w:w="1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153"/>
        </w:trPr>
        <w:tc>
          <w:tcPr>
            <w:tcW w:w="6600" w:type="dxa"/>
            <w:vAlign w:val="bottom"/>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46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1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25,097,545</w:t>
            </w:r>
          </w:p>
        </w:tc>
        <w:tc>
          <w:tcPr>
            <w:tcW w:w="460" w:type="dxa"/>
            <w:vAlign w:val="bottom"/>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0" w:type="dxa"/>
            <w:vAlign w:val="bottom"/>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-2331085</wp:posOffset>
            </wp:positionV>
            <wp:extent cx="641223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-2056765</wp:posOffset>
            </wp:positionV>
            <wp:extent cx="641223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-1782445</wp:posOffset>
            </wp:positionV>
            <wp:extent cx="641223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-1508125</wp:posOffset>
            </wp:positionV>
            <wp:extent cx="64122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-685165</wp:posOffset>
            </wp:positionV>
            <wp:extent cx="641223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-410845</wp:posOffset>
            </wp:positionV>
            <wp:extent cx="641223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-136525</wp:posOffset>
            </wp:positionV>
            <wp:extent cx="641223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17"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W1S 3DN, United Kingdom.</w:t>
      </w:r>
    </w:p>
    <w:p>
      <w:pPr>
        <w:spacing w:after="0" w:line="113" w:lineRule="exact"/>
        <w:rPr>
          <w:rFonts w:ascii="Times New Roman" w:cs="Times New Roman" w:eastAsia="Times New Roman" w:hAnsi="Times New Roman"/>
          <w:sz w:val="18"/>
          <w:szCs w:val="18"/>
          <w:color w:val="auto"/>
        </w:rPr>
      </w:pPr>
    </w:p>
    <w:p>
      <w:pPr>
        <w:ind w:left="520" w:right="160" w:hanging="512"/>
        <w:spacing w:after="0" w:line="28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(ii) 37,052,254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and (iii) 11,679,174 shares issuable to DBLP upon conversion of certain options granted under Rezolve's Long Term</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2" w:name="page93"/>
    <w:bookmarkEnd w:id="92"/>
    <w:p>
      <w:pPr>
        <w:ind w:left="512" w:right="200"/>
        <w:spacing w:after="0" w:line="282" w:lineRule="auto"/>
        <w:rPr>
          <w:sz w:val="20"/>
          <w:szCs w:val="20"/>
          <w:color w:val="auto"/>
        </w:rPr>
      </w:pPr>
      <w:r>
        <w:rPr>
          <w:rFonts w:ascii="Times New Roman" w:cs="Times New Roman" w:eastAsia="Times New Roman" w:hAnsi="Times New Roman"/>
          <w:sz w:val="18"/>
          <w:szCs w:val="18"/>
          <w:color w:val="auto"/>
        </w:rPr>
        <w:t>Incentive Plan ("LTIP"). DBLP is wholly legally owned by Mr. Wagner and Mr. Wagner is a director of DBLP and therefore Mr. Wagner may be deemed to share voting and investment power over the shares held by DBLP.</w:t>
      </w:r>
    </w:p>
    <w:p>
      <w:pPr>
        <w:spacing w:after="0" w:line="54" w:lineRule="exact"/>
        <w:rPr>
          <w:sz w:val="20"/>
          <w:szCs w:val="20"/>
          <w:color w:val="auto"/>
        </w:rPr>
      </w:pPr>
    </w:p>
    <w:p>
      <w:pPr>
        <w:ind w:left="512"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(ii) 2,835 Ordinary Shares issued upon conversion of the Promissory Note held by Mr. Wagner; (iii) 3,969 Ordinary Shares underlying the Private Warrants held by Mr. Wagner (iv) 37,052,254 shares directly held by DBLP; and (v) 11,679,174 shares issuable to DBLP upon conversion of certain options granted under the LTIP. DBLP is beneficially owned by Mr. John Wagner and Mr. John Wagner is a director of DBLP and therefore Mr. Wagner may be deemed to share voting and investment power over the shares held by DBLP.</w:t>
      </w:r>
    </w:p>
    <w:p>
      <w:pPr>
        <w:spacing w:after="0" w:line="75" w:lineRule="exact"/>
        <w:rPr>
          <w:rFonts w:ascii="Times New Roman" w:cs="Times New Roman" w:eastAsia="Times New Roman" w:hAnsi="Times New Roman"/>
          <w:sz w:val="18"/>
          <w:szCs w:val="18"/>
          <w:color w:val="auto"/>
        </w:rPr>
      </w:pPr>
    </w:p>
    <w:p>
      <w:pPr>
        <w:ind w:left="512" w:right="26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1,879,352 Ordinary Shares; and (ii) 42,441 Ordinary Shares issued upon the conversion of the Advance Subscription made by Mr. Sharp. Excludes 15,850 Ordinary Shares underlying the Private Warrants held by Mr. Sharp.</w:t>
      </w:r>
    </w:p>
    <w:p>
      <w:pPr>
        <w:spacing w:after="0" w:line="53" w:lineRule="exact"/>
        <w:rPr>
          <w:rFonts w:ascii="Times New Roman" w:cs="Times New Roman" w:eastAsia="Times New Roman" w:hAnsi="Times New Roman"/>
          <w:sz w:val="18"/>
          <w:szCs w:val="18"/>
          <w:color w:val="auto"/>
        </w:rPr>
      </w:pPr>
    </w:p>
    <w:p>
      <w:pPr>
        <w:ind w:left="512" w:right="120" w:hanging="512"/>
        <w:spacing w:after="0" w:line="289" w:lineRule="auto"/>
        <w:tabs>
          <w:tab w:leader="none" w:pos="51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564,935 Ordinary Shares; (ii) 110,000 Ordinary Shares issued upon the conversion of the Advance Subscription made by Mr. Perry; and (iii) 69,526 Ordinary Shares issued upon conversion of the Convertible Note held by Mr. Perry. Excludes (i) 34,395 Ordinary Shares issued upon conversion of the Promissory Note held by Mr. Perry; and (ii) 12,700 Ordinary Shares underlying the Private Warrants held by Mr. Perry.</w:t>
      </w:r>
    </w:p>
    <w:p>
      <w:pPr>
        <w:spacing w:after="0" w:line="49" w:lineRule="exact"/>
        <w:rPr>
          <w:rFonts w:ascii="Times New Roman" w:cs="Times New Roman" w:eastAsia="Times New Roman" w:hAnsi="Times New Roman"/>
          <w:sz w:val="17"/>
          <w:szCs w:val="17"/>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33,334 Ordinary Shares issued upon the conversion of the Advance Subscription made by Mr. Smith.</w:t>
      </w:r>
    </w:p>
    <w:p>
      <w:pPr>
        <w:spacing w:after="0" w:line="117"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1,142,384 Ordinary Shares and (ii) 11,249 Ordinary Shares issued upon the conversion of the Advance Subscription made by Mr. Vesco.</w:t>
      </w:r>
    </w:p>
    <w:p>
      <w:pPr>
        <w:spacing w:after="0" w:line="53" w:lineRule="exact"/>
        <w:rPr>
          <w:rFonts w:ascii="Times New Roman" w:cs="Times New Roman" w:eastAsia="Times New Roman" w:hAnsi="Times New Roman"/>
          <w:sz w:val="18"/>
          <w:szCs w:val="18"/>
          <w:color w:val="auto"/>
        </w:rPr>
      </w:pPr>
    </w:p>
    <w:p>
      <w:pPr>
        <w:ind w:left="512" w:right="3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53" w:lineRule="exact"/>
        <w:rPr>
          <w:rFonts w:ascii="Times New Roman" w:cs="Times New Roman" w:eastAsia="Times New Roman" w:hAnsi="Times New Roman"/>
          <w:sz w:val="18"/>
          <w:szCs w:val="18"/>
          <w:color w:val="auto"/>
        </w:rPr>
      </w:pPr>
    </w:p>
    <w:p>
      <w:pPr>
        <w:ind w:left="512" w:right="20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37,052,254 Ordinary Shares; and (ii) 11,679,174 shares issuable to DBLP upon conversion of certain options granted under the LTIP. Excludes (i) 3,592,193 shares subject to a call option currently exercisable by Brad Wickens.</w:t>
      </w:r>
    </w:p>
    <w:p>
      <w:pPr>
        <w:spacing w:after="0" w:line="53"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34,649,207 Ordinary Shares; and (ii) 1,194,051 Ordinary Shares issued upon conversion of the Convertible Note held by Mr. Lychagov.</w:t>
      </w:r>
    </w:p>
    <w:p>
      <w:pPr>
        <w:spacing w:after="0" w:line="117" w:lineRule="exact"/>
        <w:rPr>
          <w:rFonts w:ascii="Times New Roman" w:cs="Times New Roman" w:eastAsia="Times New Roman" w:hAnsi="Times New Roman"/>
          <w:sz w:val="18"/>
          <w:szCs w:val="18"/>
          <w:color w:val="auto"/>
        </w:rPr>
      </w:pPr>
    </w:p>
    <w:p>
      <w:pPr>
        <w:ind w:left="512" w:right="280" w:hanging="512"/>
        <w:spacing w:after="0" w:line="282"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7,870,000 Ordinary Shares and (ii) 9,200,000 Ordinary Shares issued upon the conversion of the Advance Subscription made by Mr. Newmark.</w:t>
      </w:r>
    </w:p>
    <w:p>
      <w:pPr>
        <w:spacing w:after="0" w:line="53" w:lineRule="exact"/>
        <w:rPr>
          <w:rFonts w:ascii="Times New Roman" w:cs="Times New Roman" w:eastAsia="Times New Roman" w:hAnsi="Times New Roman"/>
          <w:sz w:val="18"/>
          <w:szCs w:val="18"/>
          <w:color w:val="auto"/>
        </w:rPr>
      </w:pPr>
    </w:p>
    <w:p>
      <w:pPr>
        <w:ind w:left="512" w:right="80" w:hanging="512"/>
        <w:spacing w:after="0" w:line="258"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 (v) 62,500 Ordinary Shares underlying the Private Warrants held by Mr. Wickens; and (vi) 10,840,973 Ordinary Shares issued upon conversion of the Convertible Note held by Mr. Wickens.</w:t>
      </w:r>
    </w:p>
    <w:p>
      <w:pPr>
        <w:spacing w:after="0" w:line="75" w:lineRule="exact"/>
        <w:rPr>
          <w:rFonts w:ascii="Times New Roman" w:cs="Times New Roman" w:eastAsia="Times New Roman" w:hAnsi="Times New Roman"/>
          <w:sz w:val="18"/>
          <w:szCs w:val="18"/>
          <w:color w:val="auto"/>
        </w:rPr>
      </w:pPr>
    </w:p>
    <w:p>
      <w:pPr>
        <w:ind w:left="512" w:right="40" w:hanging="512"/>
        <w:spacing w:after="0" w:line="257" w:lineRule="auto"/>
        <w:tabs>
          <w:tab w:leader="none" w:pos="51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10,712,645 Ordinary Shares, (ii) 333,333 Ordinary Shares issued upon conversion of the Advance Subscription made by Apeiron; (iii) 182,886 Ordinary Shares issuable upon potential conversion of the Promissory Note held by Apeiron; (iii) 62,500 Ordinary Shares underlying the Private Warrants held by Apeiron; and (iv) 13,806,181 Ordinary Shares issued upon conversion of the Convertible Note held by Apeiron. Excludes</w:t>
      </w:r>
    </w:p>
    <w:p>
      <w:pPr>
        <w:spacing w:after="0" w:line="1" w:lineRule="exact"/>
        <w:rPr>
          <w:rFonts w:ascii="Times New Roman" w:cs="Times New Roman" w:eastAsia="Times New Roman" w:hAnsi="Times New Roman"/>
          <w:sz w:val="18"/>
          <w:szCs w:val="18"/>
          <w:color w:val="auto"/>
        </w:rPr>
      </w:pPr>
    </w:p>
    <w:p>
      <w:pPr>
        <w:ind w:left="5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1,240,865 Ordinary Shares held by Apeiron on Brad Wickens' behalf.</w:t>
      </w:r>
    </w:p>
    <w:p>
      <w:pPr>
        <w:spacing w:after="0" w:line="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20" w:right="359" w:bottom="1440" w:gutter="0" w:footer="0" w:header="0"/>
        </w:sectPr>
      </w:pPr>
    </w:p>
    <w:bookmarkStart w:id="93" w:name="page94"/>
    <w:bookmarkEnd w:id="93"/>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0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This prospectus relates to the resale by certain of the Selling Holders of up to 58,393,288 Ordinary Shares, consisting of (i) up to 8,070,845 Ordinary Shares issued upon exercise of certain Convertible Notes by certain Selling Holders; (ii) up to 373,637 Ordinary Shares issuable upon conversion of certain Promissory Notes; (iii) up to 1,413,946 Ordinary Shares issued upon conversion of the YA Notes; and (iv) up to 48,534,860 Ordinary Shares issuable pursuant to the Second A&amp;R YA Agreement.</w:t>
      </w:r>
    </w:p>
    <w:p>
      <w:pPr>
        <w:spacing w:after="0" w:line="13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Following the expiration of the applicable lock-up restrictions described herein, the sale of all of the securities registered for resale hereunder, or the perception that such sales may occur, may cause the market prices of our securities to decline significantly. Despite such a decline in price, Armada’s Sponsor and our holders may still experience a positive rate of return on the shares purchased by them due to the lower price per share at which its shares were purchased. See “</w:t>
      </w:r>
      <w:r>
        <w:rPr>
          <w:rFonts w:ascii="Times New Roman" w:cs="Times New Roman" w:eastAsia="Times New Roman" w:hAnsi="Times New Roman"/>
          <w:sz w:val="18"/>
          <w:szCs w:val="18"/>
          <w:i w:val="1"/>
          <w:iCs w:val="1"/>
          <w:color w:val="auto"/>
        </w:rPr>
        <w:t>Risk Factors—Risks Related to the Company</w:t>
      </w:r>
      <w:r>
        <w:rPr>
          <w:rFonts w:ascii="Times New Roman" w:cs="Times New Roman" w:eastAsia="Times New Roman" w:hAnsi="Times New Roman"/>
          <w:sz w:val="18"/>
          <w:szCs w:val="18"/>
          <w:color w:val="auto"/>
        </w:rPr>
        <w:t>” for more information.</w:t>
      </w:r>
    </w:p>
    <w:p>
      <w:pPr>
        <w:spacing w:after="0" w:line="139"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In February 2021, Armada issued 4,312,500 shares of common stock to its Sponsor for $25,000 in cash, at a purchase price of approximately $0.006 per share, in connection with its organization. On June 16, 2021, Armada’s Sponsor purchased an additional 700,000 shares of common stock at a purchase price of $0.006 per share, resulting in the Sponsor holding an aggregate of 5,012,500 Founder Shares. On June 16, 2021, Armada’s Sponsor transferred 50,000 Founder Shares to each of Messrs. Herbert and Lurio and 35,000 Founder Shares to each of Messrs. Khan, Decker and White. On July 23, 2021, Armada’s Sponsor purchased an additional 1,200,000 shares of common stock at a purchase price of $0.006 per share, resulting in the Sponsor holding an aggregate of 6,007,500 shares of common stock. Because Armada’s underwriters did not exercise their over-allotment option, Armada’s Sponsor forfeited 1,125,000 shares of common stock as of October 1, 2021. Additionally, upon consummation of Armada’s initial business combination, the Sponsor allocated membership interests representing Founder Shares to each anchor investor.</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Armada’s Sponsor purchased an aggregate of 459,500 private shares at a price of $10.00 per share for an aggregate purchase price of $4,595,000.</w:t>
      </w:r>
    </w:p>
    <w:p>
      <w:pPr>
        <w:spacing w:after="0" w:line="19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Upon the consummation of the Business Combination, (i) each issued and outstanding share of common stock of Armada immediately prior to the Merger Effective Time was exchanged for one Ordinary Share; (ii) each issued and outstanding Armada Warrant immediately prior to the Merger Effective Time was exchanged for one Public Warrant; (iii) each issued and outstanding Armada Unit immediately prior to the Merger Effective Time was separated into its component parts (one share of Armada Common Stock and one-half of one Armada Warrant), with each share of Armada Common Stock to be exchanged for one Ordinary Share and each Armada Warrant to be exchanged for one Public Warrant. The Ordinary Shares, Public Warrants, the Ordinary Shares issuable upon exercise of the Private Warrants and the conversion of the Convertible Notes, the YA Note and the Promissory Notes are being registered by the registration statement of which this prospectus forms a part pursuant to the registration rights granted under certain of the Subscription Agreements and the Registration Rights Agreement.</w:t>
      </w:r>
    </w:p>
    <w:p>
      <w:pPr>
        <w:spacing w:after="0" w:line="151"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Selling Holders may from time to time offer and sell any or all of the Ordinary Shares a set forth below pursuant to this prospectus. When we refer to the “Selling Holders” in this prospectus, we mean the persons listed in the table and in the footnotes in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Class A ordinary shares or warrants after the date of this prospectus such that registration rights shall apply to those securities.</w:t>
      </w:r>
    </w:p>
    <w:p>
      <w:pPr>
        <w:spacing w:after="0" w:line="15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following tables are prepared based on information provided to us by the Selling Holders. It sets forth the name and address of the Selling Holders, the aggregate number of Ordinary Shares that the Selling Holders may offer pursuant to this prospectus, and the beneficial ownership of the Selling Holders both before and after the offering. Except as otherwise indicated in the table below, no selling stockholder is a broker-dealer or an affiliate of a broker-dealer. We have based ownership prior to this offering as of May 6, 2025. In calculating percentages of Ordinary Shares owned by a particular Selling Holder, we treated as outstanding the number of Ordinary Shares issuable upon exercise of that particular Selling Holder’s Warrants and upon the conversion of that Selling Holder’s Convertible Notes, YA Note or Promissory Notes, if any, and did not assume the exercise of any other Selling Holder’s Warrants or the conversion of any other Selling Holder’s Convertible Notes, YA Note or Promissory Notes.</w:t>
      </w:r>
    </w:p>
    <w:p>
      <w:pPr>
        <w:spacing w:after="0" w:line="14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Holders will in fact sell any or all of such Ordinary Shares. In addition, the Selling Holders may sell, transfer or otherwise dispose of, at any time and from time to time, the Ordinary Shares in transactions exempt from the registration requirements of the Securities Act after the date of this prospectus. For purposes of this table, we have assumed that the Selling Holders will have sold all of the securities covered by this prospectus upon the completion of the offering.</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Unless otherwise indicated, the business address of each of the following owners is 21 Sackville Street, London, United Kingdom, W1S 3DN.</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347"/>
        </w:trPr>
        <w:tc>
          <w:tcPr>
            <w:tcW w:w="2720" w:type="dxa"/>
            <w:vAlign w:val="bottom"/>
            <w:tcBorders>
              <w:top w:val="single" w:sz="8" w:color="auto"/>
              <w:left w:val="single" w:sz="8" w:color="auto"/>
              <w:right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24"/>
                <w:szCs w:val="24"/>
                <w:b w:val="1"/>
                <w:bCs w:val="1"/>
                <w:i w:val="1"/>
                <w:iCs w:val="1"/>
                <w:color w:val="auto"/>
                <w:vertAlign w:val="superscript"/>
              </w:rPr>
              <w:t>(1)</w:t>
            </w:r>
          </w:p>
        </w:tc>
        <w:tc>
          <w:tcPr>
            <w:tcW w:w="380" w:type="dxa"/>
            <w:vAlign w:val="bottom"/>
            <w:tcBorders>
              <w:top w:val="single" w:sz="8" w:color="auto"/>
            </w:tcBorders>
          </w:tcPr>
          <w:p>
            <w:pPr>
              <w:spacing w:after="0"/>
              <w:rPr>
                <w:sz w:val="24"/>
                <w:szCs w:val="24"/>
                <w:color w:val="auto"/>
              </w:rPr>
            </w:pPr>
          </w:p>
        </w:tc>
        <w:tc>
          <w:tcPr>
            <w:tcW w:w="1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2160" w:type="dxa"/>
            <w:vAlign w:val="bottom"/>
            <w:tcBorders>
              <w:bottom w:val="single" w:sz="8" w:color="auto"/>
            </w:tcBorders>
            <w:gridSpan w:val="2"/>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720" w:type="dxa"/>
            <w:vAlign w:val="bottom"/>
            <w:tcBorders>
              <w:right w:val="single" w:sz="8" w:color="auto"/>
            </w:tcBorders>
          </w:tcPr>
          <w:p>
            <w:pPr>
              <w:ind w:left="6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Name</w:t>
            </w:r>
          </w:p>
        </w:tc>
        <w:tc>
          <w:tcPr>
            <w:tcW w:w="2160" w:type="dxa"/>
            <w:vAlign w:val="bottom"/>
            <w:tcBorders>
              <w:right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196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Maximum Number</w:t>
            </w:r>
          </w:p>
        </w:tc>
        <w:tc>
          <w:tcPr>
            <w:tcW w:w="2160" w:type="dxa"/>
            <w:vAlign w:val="bottom"/>
          </w:tcPr>
          <w:p>
            <w:pPr>
              <w:ind w:left="4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Number Beneficially Owned</w:t>
            </w:r>
          </w:p>
        </w:tc>
        <w:tc>
          <w:tcPr>
            <w:tcW w:w="38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ind w:left="2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Percent Owned After</w:t>
            </w:r>
          </w:p>
        </w:tc>
        <w:tc>
          <w:tcPr>
            <w:tcW w:w="0" w:type="dxa"/>
            <w:vAlign w:val="bottom"/>
          </w:tcPr>
          <w:p>
            <w:pPr>
              <w:spacing w:after="0"/>
              <w:rPr>
                <w:sz w:val="1"/>
                <w:szCs w:val="1"/>
                <w:color w:val="auto"/>
              </w:rPr>
            </w:pPr>
          </w:p>
        </w:tc>
      </w:tr>
      <w:tr>
        <w:trPr>
          <w:trHeight w:val="216"/>
        </w:trPr>
        <w:tc>
          <w:tcPr>
            <w:tcW w:w="272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Prior to Offering</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c>
          <w:tcPr>
            <w:tcW w:w="38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Offered Shares are</w:t>
            </w:r>
          </w:p>
        </w:tc>
        <w:tc>
          <w:tcPr>
            <w:tcW w:w="0" w:type="dxa"/>
            <w:vAlign w:val="bottom"/>
          </w:tcPr>
          <w:p>
            <w:pPr>
              <w:spacing w:after="0"/>
              <w:rPr>
                <w:sz w:val="1"/>
                <w:szCs w:val="1"/>
                <w:color w:val="auto"/>
              </w:rPr>
            </w:pPr>
          </w:p>
        </w:tc>
      </w:tr>
      <w:tr>
        <w:trPr>
          <w:trHeight w:val="238"/>
        </w:trPr>
        <w:tc>
          <w:tcPr>
            <w:tcW w:w="27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c>
          <w:tcPr>
            <w:tcW w:w="380" w:type="dxa"/>
            <w:vAlign w:val="bottom"/>
            <w:tcBorders>
              <w:right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b w:val="1"/>
                <w:bCs w:val="1"/>
                <w:i w:val="1"/>
                <w:iCs w:val="1"/>
                <w:color w:val="auto"/>
                <w:w w:val="99"/>
              </w:rPr>
              <w:t>(2)</w:t>
            </w: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Sold</w:t>
            </w:r>
          </w:p>
        </w:tc>
        <w:tc>
          <w:tcPr>
            <w:tcW w:w="0" w:type="dxa"/>
            <w:vAlign w:val="bottom"/>
          </w:tcPr>
          <w:p>
            <w:pPr>
              <w:spacing w:after="0"/>
              <w:rPr>
                <w:sz w:val="1"/>
                <w:szCs w:val="1"/>
                <w:color w:val="auto"/>
              </w:rPr>
            </w:pPr>
          </w:p>
        </w:tc>
      </w:tr>
      <w:tr>
        <w:trPr>
          <w:trHeight w:val="135"/>
        </w:trPr>
        <w:tc>
          <w:tcPr>
            <w:tcW w:w="272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2160" w:type="dxa"/>
            <w:vAlign w:val="bottom"/>
            <w:vMerge w:val="continue"/>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right w:val="single" w:sz="8" w:color="auto"/>
            </w:tcBorders>
            <w:gridSpan w:val="2"/>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Arthur Yao </w:t>
            </w:r>
            <w:r>
              <w:rPr>
                <w:rFonts w:ascii="Times New Roman" w:cs="Times New Roman" w:eastAsia="Times New Roman" w:hAnsi="Times New Roman"/>
                <w:sz w:val="12"/>
                <w:szCs w:val="12"/>
                <w:color w:val="auto"/>
              </w:rPr>
              <w:t>(3)</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1,311,816 </w:t>
            </w:r>
            <w:r>
              <w:rPr>
                <w:rFonts w:ascii="Times New Roman" w:cs="Times New Roman" w:eastAsia="Times New Roman" w:hAnsi="Times New Roman"/>
                <w:sz w:val="12"/>
                <w:szCs w:val="12"/>
                <w:color w:val="auto"/>
              </w:rPr>
              <w:t>(4)</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37,387</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1,274,429</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272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gridSpan w:val="2"/>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Bradley Wickens</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25,864,807 </w:t>
            </w:r>
            <w:r>
              <w:rPr>
                <w:rFonts w:ascii="Times New Roman" w:cs="Times New Roman" w:eastAsia="Times New Roman" w:hAnsi="Times New Roman"/>
                <w:sz w:val="12"/>
                <w:szCs w:val="12"/>
                <w:color w:val="auto"/>
              </w:rPr>
              <w:t>(5)</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7,987,374</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17,877,433</w:t>
            </w:r>
          </w:p>
        </w:tc>
        <w:tc>
          <w:tcPr>
            <w:tcW w:w="38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67"/>
        </w:trPr>
        <w:tc>
          <w:tcPr>
            <w:tcW w:w="2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Fujian Limatong XinXi Keji</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325,411</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(6)</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99,697</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225,714</w:t>
            </w:r>
          </w:p>
        </w:tc>
        <w:tc>
          <w:tcPr>
            <w:tcW w:w="3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Youxian Gongsi</w:t>
            </w:r>
          </w:p>
        </w:tc>
        <w:tc>
          <w:tcPr>
            <w:tcW w:w="58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72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gridSpan w:val="2"/>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Julien Nurse</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59,102 </w:t>
            </w:r>
            <w:r>
              <w:rPr>
                <w:rFonts w:ascii="Times New Roman" w:cs="Times New Roman" w:eastAsia="Times New Roman" w:hAnsi="Times New Roman"/>
                <w:sz w:val="12"/>
                <w:szCs w:val="12"/>
                <w:color w:val="auto"/>
              </w:rPr>
              <w:t>(7)</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15,827</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43,275</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272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right w:val="single" w:sz="8" w:color="auto"/>
            </w:tcBorders>
            <w:gridSpan w:val="2"/>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72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18"/>
                <w:szCs w:val="18"/>
                <w:color w:val="auto"/>
              </w:rPr>
              <w:t>Julius Meller Management Services</w:t>
            </w:r>
          </w:p>
        </w:tc>
        <w:tc>
          <w:tcPr>
            <w:tcW w:w="216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27,812 </w:t>
            </w:r>
            <w:r>
              <w:rPr>
                <w:rFonts w:ascii="Times New Roman" w:cs="Times New Roman" w:eastAsia="Times New Roman" w:hAnsi="Times New Roman"/>
                <w:sz w:val="12"/>
                <w:szCs w:val="12"/>
                <w:color w:val="auto"/>
              </w:rPr>
              <w:t>(8)</w:t>
            </w:r>
          </w:p>
        </w:tc>
        <w:tc>
          <w:tcPr>
            <w:tcW w:w="196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14,955</w:t>
            </w:r>
          </w:p>
        </w:tc>
        <w:tc>
          <w:tcPr>
            <w:tcW w:w="21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12,857</w:t>
            </w:r>
          </w:p>
        </w:tc>
        <w:tc>
          <w:tcPr>
            <w:tcW w:w="38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LTD</w:t>
            </w:r>
          </w:p>
        </w:tc>
        <w:tc>
          <w:tcPr>
            <w:tcW w:w="580" w:type="dxa"/>
            <w:vAlign w:val="bottom"/>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216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72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right w:val="single" w:sz="8" w:color="auto"/>
            </w:tcBorders>
            <w:gridSpan w:val="2"/>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Justin King</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42,509 </w:t>
            </w:r>
            <w:r>
              <w:rPr>
                <w:rFonts w:ascii="Times New Roman" w:cs="Times New Roman" w:eastAsia="Times New Roman" w:hAnsi="Times New Roman"/>
                <w:sz w:val="12"/>
                <w:szCs w:val="12"/>
                <w:color w:val="auto"/>
              </w:rPr>
              <w:t>(9)</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18,992</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23,517</w:t>
            </w:r>
          </w:p>
        </w:tc>
        <w:tc>
          <w:tcPr>
            <w:tcW w:w="38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2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Karen Kalaris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111,632</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(10)</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24,924</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86,708</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272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gridSpan w:val="2"/>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Igor Lychagov</w:t>
            </w:r>
            <w:r>
              <w:rPr>
                <w:rFonts w:ascii="Times New Roman" w:cs="Times New Roman" w:eastAsia="Times New Roman" w:hAnsi="Times New Roman"/>
                <w:sz w:val="12"/>
                <w:szCs w:val="12"/>
                <w:color w:val="auto"/>
              </w:rPr>
              <w:t>(11)</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35,843,258 </w:t>
            </w:r>
            <w:r>
              <w:rPr>
                <w:rFonts w:ascii="Times New Roman" w:cs="Times New Roman" w:eastAsia="Times New Roman" w:hAnsi="Times New Roman"/>
                <w:sz w:val="12"/>
                <w:szCs w:val="12"/>
                <w:color w:val="auto"/>
              </w:rPr>
              <w:t>(12)</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51,194</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35,792,064</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54"/>
        </w:trPr>
        <w:tc>
          <w:tcPr>
            <w:tcW w:w="27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8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Stephen Perry</w:t>
            </w:r>
            <w:r>
              <w:rPr>
                <w:rFonts w:ascii="Times New Roman" w:cs="Times New Roman" w:eastAsia="Times New Roman" w:hAnsi="Times New Roman"/>
                <w:sz w:val="12"/>
                <w:szCs w:val="12"/>
                <w:color w:val="auto"/>
              </w:rPr>
              <w:t>(13)</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791,556</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(14)</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75,833</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715,723</w:t>
            </w:r>
          </w:p>
        </w:tc>
        <w:tc>
          <w:tcPr>
            <w:tcW w:w="38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Susan Briggs</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128,530</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(15)</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93,375</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35,155</w:t>
            </w:r>
          </w:p>
        </w:tc>
        <w:tc>
          <w:tcPr>
            <w:tcW w:w="38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2720" w:type="dxa"/>
            <w:vAlign w:val="bottom"/>
            <w:tcBorders>
              <w:bottom w:val="single" w:sz="8" w:color="auto"/>
              <w:right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380" w:type="dxa"/>
            <w:vAlign w:val="bottom"/>
            <w:tcBorders>
              <w:bottom w:val="single" w:sz="8" w:color="auto"/>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Trustees of Risol Limited Pension</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486,987</w:t>
            </w:r>
          </w:p>
        </w:tc>
        <w:tc>
          <w:tcPr>
            <w:tcW w:w="15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(16)</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24,924</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462,063</w:t>
            </w:r>
          </w:p>
        </w:tc>
        <w:tc>
          <w:tcPr>
            <w:tcW w:w="380" w:type="dxa"/>
            <w:vAlign w:val="bottom"/>
            <w:tcBorders>
              <w:right w:val="single" w:sz="8" w:color="auto"/>
            </w:tcBorders>
          </w:tcPr>
          <w:p>
            <w:pPr>
              <w:spacing w:after="0"/>
              <w:rPr>
                <w:sz w:val="22"/>
                <w:szCs w:val="22"/>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72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right w:val="single" w:sz="8" w:color="auto"/>
            </w:tcBorders>
            <w:gridSpan w:val="2"/>
          </w:tcPr>
          <w:p>
            <w:pPr>
              <w:spacing w:after="0"/>
              <w:rPr>
                <w:sz w:val="24"/>
                <w:szCs w:val="24"/>
                <w:color w:val="auto"/>
              </w:rPr>
            </w:pPr>
          </w:p>
        </w:tc>
        <w:tc>
          <w:tcPr>
            <w:tcW w:w="1960" w:type="dxa"/>
            <w:vAlign w:val="bottom"/>
            <w:tcBorders>
              <w:bottom w:val="single" w:sz="8" w:color="auto"/>
              <w:right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YA II PN, Ltd. </w:t>
            </w:r>
            <w:r>
              <w:rPr>
                <w:rFonts w:ascii="Times New Roman" w:cs="Times New Roman" w:eastAsia="Times New Roman" w:hAnsi="Times New Roman"/>
                <w:sz w:val="12"/>
                <w:szCs w:val="12"/>
                <w:color w:val="auto"/>
              </w:rPr>
              <w:t>(17)</w:t>
            </w:r>
          </w:p>
        </w:tc>
        <w:tc>
          <w:tcPr>
            <w:tcW w:w="21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1,413,946 </w:t>
            </w:r>
            <w:r>
              <w:rPr>
                <w:rFonts w:ascii="Times New Roman" w:cs="Times New Roman" w:eastAsia="Times New Roman" w:hAnsi="Times New Roman"/>
                <w:sz w:val="12"/>
                <w:szCs w:val="12"/>
                <w:color w:val="auto"/>
              </w:rPr>
              <w:t>(18)</w:t>
            </w:r>
          </w:p>
        </w:tc>
        <w:tc>
          <w:tcPr>
            <w:tcW w:w="1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49,948,806 </w:t>
            </w:r>
            <w:r>
              <w:rPr>
                <w:rFonts w:ascii="Times New Roman" w:cs="Times New Roman" w:eastAsia="Times New Roman" w:hAnsi="Times New Roman"/>
                <w:sz w:val="12"/>
                <w:szCs w:val="12"/>
                <w:color w:val="auto"/>
              </w:rPr>
              <w:t>(19)</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right w:val="single" w:sz="8" w:color="auto"/>
            </w:tcBorders>
          </w:tcPr>
          <w:p>
            <w:pPr>
              <w:spacing w:after="0"/>
              <w:rPr>
                <w:sz w:val="19"/>
                <w:szCs w:val="19"/>
                <w:color w:val="auto"/>
              </w:rPr>
            </w:pPr>
          </w:p>
        </w:tc>
        <w:tc>
          <w:tcPr>
            <w:tcW w:w="18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72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960" w:type="dxa"/>
            <w:vAlign w:val="bottom"/>
            <w:tcBorders>
              <w:bottom w:val="single" w:sz="8" w:color="auto"/>
              <w:right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198" w:lineRule="exact"/>
        <w:rPr>
          <w:sz w:val="20"/>
          <w:szCs w:val="20"/>
          <w:color w:val="auto"/>
        </w:rPr>
      </w:pPr>
    </w:p>
    <w:p>
      <w:pPr>
        <w:jc w:val="both"/>
        <w:ind w:right="80" w:firstLine="8"/>
        <w:spacing w:after="0" w:line="261"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243,671,374 Ordinary Shares outstanding, which includes the issuance of all Ordinary Shares issuable upon conversion of the Promissory Note, the exercise of all currently outstanding Warrants, the sale of all securities offered hereby by that particular Selling Holder and does not assume the exercise, conversion or sale, as applicable, by any other Selling Holder.</w:t>
      </w:r>
    </w:p>
    <w:p>
      <w:pPr>
        <w:spacing w:after="0" w:line="13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Ordinary Shares being offered pursuant to this prospectus.</w:t>
      </w:r>
    </w:p>
    <w:p>
      <w:pPr>
        <w:spacing w:after="0" w:line="184" w:lineRule="exact"/>
        <w:rPr>
          <w:rFonts w:ascii="Times New Roman" w:cs="Times New Roman" w:eastAsia="Times New Roman" w:hAnsi="Times New Roman"/>
          <w:sz w:val="18"/>
          <w:szCs w:val="18"/>
          <w:color w:val="auto"/>
        </w:rPr>
      </w:pPr>
    </w:p>
    <w:p>
      <w:pPr>
        <w:ind w:right="60" w:firstLine="8"/>
        <w:spacing w:after="0" w:line="282"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Yao is the Chief Executive Officer of Rezolve’s China office. The principal business address for Mr. Yao is No. 2 Zhuang, 268 Hao, Qinggong Lu, Fengxianqu, Shanghai, China.</w:t>
      </w:r>
    </w:p>
    <w:p>
      <w:pPr>
        <w:spacing w:after="0" w:line="134" w:lineRule="exact"/>
        <w:rPr>
          <w:rFonts w:ascii="Times New Roman" w:cs="Times New Roman" w:eastAsia="Times New Roman" w:hAnsi="Times New Roman"/>
          <w:sz w:val="18"/>
          <w:szCs w:val="18"/>
          <w:color w:val="auto"/>
        </w:rPr>
      </w:pPr>
    </w:p>
    <w:p>
      <w:pPr>
        <w:jc w:val="both"/>
        <w:ind w:right="500" w:firstLine="8"/>
        <w:spacing w:after="0" w:line="258"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1,192,335 Ordinary Shares; (ii) 50,780 Ordinary Shares issuable upon conversion of the Promissory Note held by Mr. Yao, when converted at $2 per share; (iii) 49,951 Ordinary Shares issued upon the conversion of the Advance Subscription made by Mr. Yao; and (iv) 18,750 Ordinary Shares underlying the Private Warrants held by Mr. Yao. For the avoidance of doubt, 13,393 of the 50,780 Ordinary Shares underlying the Promissory Note held by Mr. Wickens were registered on the Prior Form F-1and 37,387 Ordinary Shares underlying such Promissory Note are being registered for resale hereby.</w:t>
      </w:r>
    </w:p>
    <w:p>
      <w:pPr>
        <w:spacing w:after="0" w:line="142" w:lineRule="exact"/>
        <w:rPr>
          <w:rFonts w:ascii="Times New Roman" w:cs="Times New Roman" w:eastAsia="Times New Roman" w:hAnsi="Times New Roman"/>
          <w:sz w:val="18"/>
          <w:szCs w:val="18"/>
          <w:color w:val="auto"/>
        </w:rPr>
      </w:pPr>
    </w:p>
    <w:p>
      <w:pPr>
        <w:ind w:right="140" w:firstLine="8"/>
        <w:spacing w:after="0" w:line="272" w:lineRule="auto"/>
        <w:tabs>
          <w:tab w:leader="none" w:pos="25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9,638,692 Ordinary Shares; (ii) 1,240,865 Ordinary Shares currently held by Apeiron on Mr. Wickens' behalf; (iii) 3,592,194 Ordinary Shares currently held by DBLP but subject to a call option currently exercisable by Mr. Wickens; (iv) 156,250 Ordinary Shares issued upon conversion of the Promissory Note held by Mr. Wickens; (iv) 333,333 Ordinary Shares issued upon the conversion of the Advance Subscription made by Mr. Wickens,</w:t>
      </w:r>
    </w:p>
    <w:p>
      <w:pPr>
        <w:spacing w:after="0" w:line="1" w:lineRule="exact"/>
        <w:rPr>
          <w:rFonts w:ascii="Times New Roman" w:cs="Times New Roman" w:eastAsia="Times New Roman" w:hAnsi="Times New Roman"/>
          <w:sz w:val="17"/>
          <w:szCs w:val="17"/>
          <w:color w:val="auto"/>
        </w:rPr>
      </w:pPr>
    </w:p>
    <w:p>
      <w:pPr>
        <w:ind w:right="4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62,500 Ordinary Shares underlying the Private Warrants held by Mr. Wickens; and (vi) 10,840,973 Ordinary Shares issued upon conversion of the Convertible Note held by Mr. Wickens. For the</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5" w:name="page96"/>
    <w:bookmarkEnd w:id="95"/>
    <w:p>
      <w:pPr>
        <w:ind w:right="20"/>
        <w:spacing w:after="0" w:line="255" w:lineRule="auto"/>
        <w:rPr>
          <w:sz w:val="20"/>
          <w:szCs w:val="20"/>
          <w:color w:val="auto"/>
        </w:rPr>
      </w:pPr>
      <w:r>
        <w:rPr>
          <w:rFonts w:ascii="Times New Roman" w:cs="Times New Roman" w:eastAsia="Times New Roman" w:hAnsi="Times New Roman"/>
          <w:sz w:val="18"/>
          <w:szCs w:val="18"/>
          <w:color w:val="auto"/>
        </w:rPr>
        <w:t>avoidance of doubt, (A)(i) 7,897,913 of the 9,712,804 Ordinary Shares, (ii) the 1,240,865 Ordinary Shares currently held by Apeiron on Mr. Wickens' behalf, (iii) 44,643 of the 156,250 Ordinary Shares issued upon conversion of the Promissory Note held by Mr. Wickens, (iv) 333,333 Ordinary Shares issued upon the conversion of the Advance Subscription made by Mr. Wickens, (v) the 62,500 Ordinary Shares underlying the Private Warrants held by Mr. Wickens, and (vi) 2,965,206 of the 10,840,973 Ordinary Shares issued upon conversion of the Convertible Note held by Mr. Wickens are registered for resale hereby, and (B)(i) 111,607 of the 156,250 Ordinary Shares issued upon conversion of the Promissory Note held by Mr. Wickens and (ii) 7,875,767 of the 10,840,973 Ordinary Shares issued upon conversion of the Convertible Note held by Mr. Wickens were registered for resale on the January Form F-1.</w:t>
      </w:r>
    </w:p>
    <w:p>
      <w:pPr>
        <w:spacing w:after="0" w:line="148" w:lineRule="exact"/>
        <w:rPr>
          <w:sz w:val="20"/>
          <w:szCs w:val="20"/>
          <w:color w:val="auto"/>
        </w:rPr>
      </w:pPr>
    </w:p>
    <w:p>
      <w:pPr>
        <w:ind w:right="40" w:firstLine="8"/>
        <w:spacing w:after="0" w:line="258"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135,411 Ordinary Shares issuable upon conversion of the Promissory Note held by FMS China when converted at $2 per share; (ii) 50,000 Ordinary Shares underlying the Private Warrants held by FMS China; and (iii) 140,000 Ordinary Shares issued upon the conversion of the Advance Subscription made by Fujian Global Services Co., Ltd. (collectively, with FMS China “</w:t>
      </w:r>
      <w:r>
        <w:rPr>
          <w:rFonts w:ascii="Times New Roman" w:cs="Times New Roman" w:eastAsia="Times New Roman" w:hAnsi="Times New Roman"/>
          <w:sz w:val="18"/>
          <w:szCs w:val="18"/>
          <w:b w:val="1"/>
          <w:bCs w:val="1"/>
          <w:i w:val="1"/>
          <w:iCs w:val="1"/>
          <w:color w:val="auto"/>
        </w:rPr>
        <w:t>Fujian Limatong XinXi Keji Youxian Gongsi</w:t>
      </w:r>
      <w:r>
        <w:rPr>
          <w:rFonts w:ascii="Times New Roman" w:cs="Times New Roman" w:eastAsia="Times New Roman" w:hAnsi="Times New Roman"/>
          <w:sz w:val="18"/>
          <w:szCs w:val="18"/>
          <w:color w:val="auto"/>
        </w:rPr>
        <w:t>”). For the avoidance of doubt, 35,715 of the 135,411 Ordinary Shares underlying the Promissory Note held by FMS China were registered on the Prior Form F-1 and 99,697 Ordinary Shares underlying such Promissory Note are being registered for resale hereby.</w:t>
      </w:r>
    </w:p>
    <w:p>
      <w:pPr>
        <w:spacing w:after="0" w:line="156" w:lineRule="exact"/>
        <w:rPr>
          <w:rFonts w:ascii="Times New Roman" w:cs="Times New Roman" w:eastAsia="Times New Roman" w:hAnsi="Times New Roman"/>
          <w:sz w:val="18"/>
          <w:szCs w:val="18"/>
          <w:color w:val="auto"/>
        </w:rPr>
      </w:pPr>
    </w:p>
    <w:p>
      <w:pPr>
        <w:ind w:right="80" w:firstLine="8"/>
        <w:spacing w:after="0" w:line="261"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21,497 Ordinary Shares issued upon conversion of the Promissory Note held by Mr. Nurse; (ii) 29,667 Ordinary Shares issued upon the conversion of the Advance Subscription made by Mr. Nurse; and (iii) 7,938 Ordinary Shares underlying the Private Warrants held by Julian Nurse. For the avoidance of doubt, 5,670 of the 21,497 Ordinary Shares underlying the Promissory Note held by Mr. Nurse were registered on the Prior Form F-1 and 15,827 Ordinary Shares underlying such Promissory Note are being registered for resale hereby.</w:t>
      </w:r>
    </w:p>
    <w:p>
      <w:pPr>
        <w:spacing w:after="0" w:line="139" w:lineRule="exact"/>
        <w:rPr>
          <w:rFonts w:ascii="Times New Roman" w:cs="Times New Roman" w:eastAsia="Times New Roman" w:hAnsi="Times New Roman"/>
          <w:sz w:val="18"/>
          <w:szCs w:val="18"/>
          <w:color w:val="auto"/>
        </w:rPr>
      </w:pPr>
    </w:p>
    <w:p>
      <w:pPr>
        <w:ind w:right="20" w:firstLine="8"/>
        <w:spacing w:after="0" w:line="261"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20,312 Ordinary Shares issuable upon conversion of the Promissory Note held by Mr. Meller, when converted at $2 per share; and (ii) 7,500 Ordinary Shares underlying the Private Warrants held by Mr. Meller. For the avoidance of doubt, 5,357 of the 20,312 Ordinary Shares underlying the Promissory Note held by Mr. Meller were registered on the Prior Form F-1 and 14,955 Ordinary Shares underlying such Promissory Note and are being registered for resale hereby.</w:t>
      </w:r>
    </w:p>
    <w:p>
      <w:pPr>
        <w:spacing w:after="0" w:line="139" w:lineRule="exact"/>
        <w:rPr>
          <w:rFonts w:ascii="Times New Roman" w:cs="Times New Roman" w:eastAsia="Times New Roman" w:hAnsi="Times New Roman"/>
          <w:sz w:val="18"/>
          <w:szCs w:val="18"/>
          <w:color w:val="auto"/>
        </w:rPr>
      </w:pPr>
    </w:p>
    <w:p>
      <w:pPr>
        <w:ind w:right="80" w:firstLine="8"/>
        <w:spacing w:after="0" w:line="261" w:lineRule="auto"/>
        <w:tabs>
          <w:tab w:leader="none" w:pos="2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7,188 Ordinary Shares; (ii) 25,796 Ordinary Shares issuable upon conversion of the Promissory Note held by Mr. King, when converted at $2 per share; and (iii) 9,525 Ordinary Shares underlying the Private Warrants held by Mr. King. For the avoidance of doubt, 6,804 of the 25,796 Ordinary Shares underlying the Promissory Note held by Mr. King were registered on the Prior Form F-1 and 18,992 underlying such Promissory Note are being registered for resale hereby.</w:t>
      </w:r>
    </w:p>
    <w:p>
      <w:pPr>
        <w:spacing w:after="0" w:line="152" w:lineRule="exact"/>
        <w:rPr>
          <w:rFonts w:ascii="Times New Roman" w:cs="Times New Roman" w:eastAsia="Times New Roman" w:hAnsi="Times New Roman"/>
          <w:sz w:val="18"/>
          <w:szCs w:val="18"/>
          <w:color w:val="auto"/>
        </w:rPr>
      </w:pPr>
    </w:p>
    <w:p>
      <w:pPr>
        <w:jc w:val="both"/>
        <w:ind w:right="40" w:firstLine="8"/>
        <w:spacing w:after="0" w:line="261"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65,279 Ordinary Shares; (ii) 33,853 Ordinary Shares issuable upon the conversion of the Promissory Note held by Ms. Kalaris, when converted at $2 per share; and (iii) 12,500 Ordinary Shares underlying the Private Warrants held by Ms. Kalaris. For the avoidance of doubt, 8,929 of the 33,853 Ordinary Shares underlying the Promissory Note held by Ms. Kalaris were registered on the Prior Form F-1 and 24,924 Ordinary Shares underlying such Promissory Note are being registered for resale hereby.</w:t>
      </w:r>
    </w:p>
    <w:p>
      <w:pPr>
        <w:spacing w:after="0" w:line="139" w:lineRule="exact"/>
        <w:rPr>
          <w:rFonts w:ascii="Times New Roman" w:cs="Times New Roman" w:eastAsia="Times New Roman" w:hAnsi="Times New Roman"/>
          <w:sz w:val="18"/>
          <w:szCs w:val="18"/>
          <w:color w:val="auto"/>
        </w:rPr>
      </w:pPr>
    </w:p>
    <w:p>
      <w:pPr>
        <w:ind w:right="180" w:firstLine="8"/>
        <w:spacing w:after="0" w:line="266"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securities are held directly by Mr. Lychagov, with no agreements or understandings with any other parties regarding the distribution of the securities. Mr. Lychagov resigned as a director of Rezolve on May 19, 2023, having served in such position since August 2019. Mr. Lychagov’s business address is c/o LakeShore International Management AG, Obergrundstrasse 44, 6003 Luzern, Switzerland.</w:t>
      </w:r>
    </w:p>
    <w:p>
      <w:pPr>
        <w:spacing w:after="0" w:line="135" w:lineRule="exact"/>
        <w:rPr>
          <w:rFonts w:ascii="Times New Roman" w:cs="Times New Roman" w:eastAsia="Times New Roman" w:hAnsi="Times New Roman"/>
          <w:sz w:val="18"/>
          <w:szCs w:val="18"/>
          <w:color w:val="auto"/>
        </w:rPr>
      </w:pPr>
    </w:p>
    <w:p>
      <w:pPr>
        <w:ind w:firstLine="8"/>
        <w:spacing w:after="0" w:line="266"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34,649,207 Ordinary Shares; and (ii) 1,194,051 Ordinary Shares issued upon conversion of the Convertible Note held by Mr. Lychagov. For the avoidance of doubt, 1,142,857 of the 1,194,051 Ordinary Shares issued upon conversion of the Convertible Note held by Mr.Lychagov were registered on the Prior Form F-1 and 51,194 Ordinary Shares issued upon conversion of such Convertible Note are being registered for resale hereby.</w:t>
      </w:r>
    </w:p>
    <w:p>
      <w:pPr>
        <w:spacing w:after="0" w:line="14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Perry is a director of Rezolve.</w:t>
      </w:r>
    </w:p>
    <w:p>
      <w:pPr>
        <w:spacing w:after="0" w:line="184" w:lineRule="exact"/>
        <w:rPr>
          <w:rFonts w:ascii="Times New Roman" w:cs="Times New Roman" w:eastAsia="Times New Roman" w:hAnsi="Times New Roman"/>
          <w:sz w:val="18"/>
          <w:szCs w:val="18"/>
          <w:color w:val="auto"/>
        </w:rPr>
      </w:pPr>
    </w:p>
    <w:p>
      <w:pPr>
        <w:ind w:right="120" w:firstLine="8"/>
        <w:spacing w:after="0" w:line="256"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564,935 Ordinary Shares; (ii) 34,395 Ordinary Shares issuable upon conversion of the Promissory Note held by Mr. Perry, when converted at $2 per share; (iii) 110,000 Ordinary Shares issued upon the conversion of the Advance Subscription made by Mr. Perry; (iv) 12,700 Ordinary Shares underlying the Private Warrants held by Mr. Perry; (v) 69,526 Ordinary Shares, issued upon conversion of the Convertible Note held by Mr. Perry. For the avoidance of doubt, 9,070 of the 34,395 Ordinary Shares underlying the Promissory Note held by Mr.Perry and 19,017 of the 69,526 Ordinary Shares issued upon conversion of the Convertible Note held by Mr. Perry were registered on the Prior Form F-1, and 25,324 Ordinary Shares underlying such Promissory Note and 50,509 Ordinary Shares issued upon conversion of such Convertible Note are being registered for resale hereby.</w:t>
      </w:r>
    </w:p>
    <w:p>
      <w:pPr>
        <w:spacing w:after="0" w:line="146" w:lineRule="exact"/>
        <w:rPr>
          <w:rFonts w:ascii="Times New Roman" w:cs="Times New Roman" w:eastAsia="Times New Roman" w:hAnsi="Times New Roman"/>
          <w:sz w:val="18"/>
          <w:szCs w:val="18"/>
          <w:color w:val="auto"/>
        </w:rPr>
      </w:pPr>
    </w:p>
    <w:p>
      <w:pPr>
        <w:ind w:right="180" w:firstLine="8"/>
        <w:spacing w:after="0" w:line="266" w:lineRule="auto"/>
        <w:tabs>
          <w:tab w:leader="none" w:pos="3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128,530 Ordinary Shares issued upon conversion of the Convertible Note held by Ms. Briggs. For the avoidance of doubt, 35,155 of the 128,530 Ordinary Shares issued upon conversion of the Convertible Note held by Ms. Briggs were registered for resale on the Prior Form F-1 and 93,375 of the Ordinary Shares issued upon conversion of the Convertible Note are being registered for resale hereby.</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6" w:name="page97"/>
    <w:bookmarkEnd w:id="96"/>
    <w:p>
      <w:pPr>
        <w:ind w:left="-8" w:right="80" w:firstLine="8"/>
        <w:spacing w:after="0" w:line="258"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440,634 Ordinary Shares, (ii) 33,853 Ordinary Shares issuable upon the conversion of the Promissory Note held by Trustees of Risol Limited Pension, when converted at $2 per share; and (iii) 12,500 Ordinary Shares underlying the Private Warrants held by Trustees of Risol Limited Pension. For the avoidance of doubt, 8,929 of the 33,853 Ordinary Shares underlying the Promissory Note held by Trustees of Risol Limited Pension were registered for resale on the Prior Form F-1 and 24,924 of the Ordinary Shares underlying such Promissory Note are being registered for resale hereby.</w:t>
      </w:r>
    </w:p>
    <w:p>
      <w:pPr>
        <w:spacing w:after="0" w:line="179" w:lineRule="exact"/>
        <w:rPr>
          <w:rFonts w:ascii="Times New Roman" w:cs="Times New Roman" w:eastAsia="Times New Roman" w:hAnsi="Times New Roman"/>
          <w:sz w:val="18"/>
          <w:szCs w:val="18"/>
          <w:color w:val="auto"/>
        </w:rPr>
      </w:pPr>
    </w:p>
    <w:p>
      <w:pPr>
        <w:ind w:left="-8" w:firstLine="8"/>
        <w:spacing w:after="0" w:line="268"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II PN, Ltd. is managed by Yorkville Advisors Global, LP (“</w:t>
      </w:r>
      <w:r>
        <w:rPr>
          <w:rFonts w:ascii="Times New Roman" w:cs="Times New Roman" w:eastAsia="Times New Roman" w:hAnsi="Times New Roman"/>
          <w:sz w:val="18"/>
          <w:szCs w:val="18"/>
          <w:b w:val="1"/>
          <w:bCs w:val="1"/>
          <w:i w:val="1"/>
          <w:iCs w:val="1"/>
          <w:color w:val="auto"/>
        </w:rPr>
        <w:t>Yorkville LP</w:t>
      </w:r>
      <w:r>
        <w:rPr>
          <w:rFonts w:ascii="Times New Roman" w:cs="Times New Roman" w:eastAsia="Times New Roman" w:hAnsi="Times New Roman"/>
          <w:sz w:val="18"/>
          <w:szCs w:val="18"/>
          <w:color w:val="auto"/>
        </w:rPr>
        <w:t>”). Yorkville Advisors Global II, LLC (“</w:t>
      </w:r>
      <w:r>
        <w:rPr>
          <w:rFonts w:ascii="Times New Roman" w:cs="Times New Roman" w:eastAsia="Times New Roman" w:hAnsi="Times New Roman"/>
          <w:sz w:val="18"/>
          <w:szCs w:val="18"/>
          <w:b w:val="1"/>
          <w:bCs w:val="1"/>
          <w:i w:val="1"/>
          <w:iCs w:val="1"/>
          <w:color w:val="auto"/>
        </w:rPr>
        <w:t>Yorkville LLC</w:t>
      </w:r>
      <w:r>
        <w:rPr>
          <w:rFonts w:ascii="Times New Roman" w:cs="Times New Roman" w:eastAsia="Times New Roman" w:hAnsi="Times New Roman"/>
          <w:sz w:val="18"/>
          <w:szCs w:val="18"/>
          <w:color w:val="auto"/>
        </w:rPr>
        <w:t>”) is the General Partner of Yorkville LP. All investment decisions for YA are made by Yorkville LLC’s President and Managing Member, Mr. Mark Angelo. The business address of YA is 1012 Springfield Avenue, Mountainside, NJ 07092.</w:t>
      </w:r>
    </w:p>
    <w:p>
      <w:pPr>
        <w:spacing w:after="0" w:line="174" w:lineRule="exact"/>
        <w:rPr>
          <w:rFonts w:ascii="Times New Roman" w:cs="Times New Roman" w:eastAsia="Times New Roman" w:hAnsi="Times New Roman"/>
          <w:sz w:val="18"/>
          <w:szCs w:val="18"/>
          <w:color w:val="auto"/>
        </w:rPr>
      </w:pPr>
    </w:p>
    <w:p>
      <w:pPr>
        <w:ind w:left="-8" w:right="60" w:firstLine="8"/>
        <w:spacing w:after="0" w:line="253"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13d-3(d) under the Exchange Act, we have excluded from the number of shares beneficially owned prior to the offering all of the shares that YA may be required to purchase under the Second A&amp;R YA Agreement, because the issuance of such shares is at our discretion and is subject to conditions contained in the Second A&amp;R YA Agreement, the satisfaction of which are entirely outside of YA's control, including the registration statement that includes this prospectus becoming and remaining effective. Furthermore, the Advances of common stock under the Second A&amp;R YA Agreement are subject to certain agreed upon maximum amount limitations set forth in the Second A&amp;R YA Agreement. Also, the Second A&amp;R YA Agreement prohibits us from issuing and selling any shares of our common stock to YA to the extent such shares, when aggregated with all other shares of our common stock then beneficially owned by YA, would cause YA's beneficial ownership of our common stock to exceed the 4.99% Ownership Limitation. The Second A&amp;R YA Agreement also prohibits us from issuing or selling shares of our Common Stock under the Second A&amp;R YA Agreement in excess of the 19.99% Exchange Cap, unless we obtain stockholder approval to do so, or unless all applicable sales of shares of common stock under the Second A&amp;R YA Agreement equal or exceed the “Minimum Price” (as such term is defined in Nasdaq Rule 5635) or, as to any Advance, the issuance of the common stock pursuant to an Advance Notice would be excluded from the Exchange Cap under Nasdaq rules (or interpretive guidance provided by Nasdaq with respect thereto), in which case the Exchange Cap limitation would no longer apply under applicable Nasdaq rules.</w:t>
      </w:r>
    </w:p>
    <w:p>
      <w:pPr>
        <w:spacing w:after="0" w:line="187" w:lineRule="exact"/>
        <w:rPr>
          <w:rFonts w:ascii="Times New Roman" w:cs="Times New Roman" w:eastAsia="Times New Roman" w:hAnsi="Times New Roman"/>
          <w:sz w:val="18"/>
          <w:szCs w:val="18"/>
          <w:color w:val="auto"/>
        </w:rPr>
      </w:pPr>
    </w:p>
    <w:p>
      <w:pPr>
        <w:jc w:val="both"/>
        <w:ind w:left="-8" w:right="120" w:firstLine="8"/>
        <w:spacing w:after="0" w:line="261"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1,413,946 Ordinary Shares issued as repayment of certain of the YA Notes and (ii) 48,534,860 Ordinary Shares issuable pursuant to the Second A&amp;R YA Agreement. For the avoidance of doubt, the Company shall not be permitted to issue shares Ordinary Shares to Yorkville pursuant to the Second A&amp;R YA Agreement to the extent that after such issuance Yorkville (together with any affiliates) would beneficially own in excess of 4.99% of the number of outstanding Ordinary Shares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1"/>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72"/>
          </w:cols>
          <w:pgMar w:left="328" w:top="1012" w:right="49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7"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 w:lineRule="exact"/>
        <w:rPr>
          <w:rFonts w:ascii="Times New Roman" w:cs="Times New Roman" w:eastAsia="Times New Roman" w:hAnsi="Times New Roman"/>
          <w:sz w:val="22"/>
          <w:szCs w:val="22"/>
          <w:color w:val="auto"/>
        </w:rPr>
      </w:pPr>
    </w:p>
    <w:p>
      <w:pPr>
        <w:jc w:val="both"/>
        <w:ind w:left="760" w:hanging="378"/>
        <w:spacing w:after="0" w:line="241"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20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jc w:val="both"/>
        <w:ind w:firstLine="576"/>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jc w:val="both"/>
        <w:spacing w:after="0" w:line="282" w:lineRule="auto"/>
        <w:rPr>
          <w:sz w:val="20"/>
          <w:szCs w:val="20"/>
          <w:color w:val="auto"/>
        </w:rPr>
      </w:pPr>
      <w:r>
        <w:rPr>
          <w:rFonts w:ascii="Times New Roman" w:cs="Times New Roman" w:eastAsia="Times New Roman" w:hAnsi="Times New Roman"/>
          <w:sz w:val="18"/>
          <w:szCs w:val="18"/>
          <w:color w:val="auto"/>
        </w:rPr>
        <w:t>limited, or no, information regarding the ultimate beneficial owners of Rezolve’s Ordinary Shares. Rezolve’s share register is maintained by its registrar, Computershare Inc.</w:t>
      </w:r>
    </w:p>
    <w:p>
      <w:pPr>
        <w:spacing w:after="0" w:line="16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7" w:lineRule="exact"/>
        <w:rPr>
          <w:sz w:val="20"/>
          <w:szCs w:val="20"/>
          <w:color w:val="auto"/>
        </w:rPr>
      </w:pPr>
    </w:p>
    <w:p>
      <w:pPr>
        <w:ind w:left="760" w:hanging="378"/>
        <w:spacing w:after="0"/>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jc w:val="both"/>
        <w:ind w:firstLine="576"/>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ind w:left="760" w:hanging="378"/>
        <w:spacing w:after="0" w:line="234"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whole and not in part;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at a price of $0.01 per warrant;</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2"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9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99" w:name="page100"/>
    <w:bookmarkEnd w:id="99"/>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rPr>
          <w:sz w:val="20"/>
          <w:szCs w:val="20"/>
          <w:color w:val="auto"/>
        </w:rPr>
      </w:pPr>
      <w:r>
        <w:rPr>
          <w:rFonts w:ascii="Times New Roman" w:cs="Times New Roman" w:eastAsia="Times New Roman" w:hAnsi="Times New Roman"/>
          <w:sz w:val="18"/>
          <w:szCs w:val="18"/>
          <w:color w:val="auto"/>
        </w:rPr>
        <w:t>(i)75% of the votes attaching to all shares in the capital of the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(ii)the total number of votes that would otherwise have been conferred on Daniel Wagner.</w:t>
      </w:r>
    </w:p>
    <w:p>
      <w:pPr>
        <w:spacing w:after="0" w:line="207"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1" w:name="page102"/>
    <w:bookmarkEnd w:id="101"/>
    <w:p>
      <w:pPr>
        <w:jc w:val="both"/>
        <w:spacing w:after="0" w:line="256" w:lineRule="auto"/>
        <w:rPr>
          <w:sz w:val="20"/>
          <w:szCs w:val="20"/>
          <w:color w:val="auto"/>
        </w:rPr>
      </w:pPr>
      <w:r>
        <w:rPr>
          <w:rFonts w:ascii="Times New Roman" w:cs="Times New Roman" w:eastAsia="Times New Roman" w:hAnsi="Times New Roman"/>
          <w:sz w:val="18"/>
          <w:szCs w:val="18"/>
          <w:color w:val="auto"/>
        </w:rPr>
        <w:t>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3" w:name="page104"/>
    <w:bookmarkEnd w:id="103"/>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36" w:lineRule="exact"/>
        <w:rPr>
          <w:sz w:val="20"/>
          <w:szCs w:val="20"/>
          <w:color w:val="auto"/>
        </w:rPr>
      </w:pP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10" w:lineRule="exact"/>
        <w:rPr>
          <w:rFonts w:ascii="Times New Roman" w:cs="Times New Roman" w:eastAsia="Times New Roman" w:hAnsi="Times New Roman"/>
          <w:sz w:val="22"/>
          <w:szCs w:val="22"/>
          <w:color w:val="auto"/>
        </w:rPr>
      </w:pPr>
    </w:p>
    <w:p>
      <w:pPr>
        <w:ind w:left="760" w:right="2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4" w:name="page105"/>
    <w:bookmarkEnd w:id="104"/>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5" w:name="page106"/>
    <w:bookmarkEnd w:id="105"/>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12" w:lineRule="exact"/>
        <w:rPr>
          <w:sz w:val="20"/>
          <w:szCs w:val="20"/>
          <w:color w:val="auto"/>
        </w:rPr>
      </w:pPr>
    </w:p>
    <w:p>
      <w:pPr>
        <w:ind w:left="760" w:hanging="378"/>
        <w:spacing w:after="0" w:line="234"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10" w:lineRule="exact"/>
        <w:rPr>
          <w:rFonts w:ascii="Times New Roman" w:cs="Times New Roman" w:eastAsia="Times New Roman" w:hAnsi="Times New Roman"/>
          <w:sz w:val="22"/>
          <w:szCs w:val="22"/>
          <w:color w:val="auto"/>
        </w:rPr>
      </w:pPr>
    </w:p>
    <w:p>
      <w:pPr>
        <w:jc w:val="both"/>
        <w:ind w:left="760" w:hanging="378"/>
        <w:spacing w:after="0" w:line="243" w:lineRule="auto"/>
        <w:tabs>
          <w:tab w:leader="none" w:pos="7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ind w:left="760" w:hanging="378"/>
        <w:spacing w:after="0" w:line="235"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198"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6" w:name="page107"/>
    <w:bookmarkEnd w:id="106"/>
    <w:p>
      <w:pPr>
        <w:ind w:left="760" w:hanging="378"/>
        <w:spacing w:after="0" w:line="261" w:lineRule="auto"/>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500" w:firstLine="576"/>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jc w:val="both"/>
        <w:ind w:right="20" w:firstLine="576"/>
        <w:spacing w:after="0" w:line="282"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7" w:name="page108"/>
    <w:bookmarkEnd w:id="107"/>
    <w:p>
      <w:pPr>
        <w:jc w:val="both"/>
        <w:spacing w:after="0" w:line="266" w:lineRule="auto"/>
        <w:rPr>
          <w:sz w:val="20"/>
          <w:szCs w:val="20"/>
          <w:color w:val="auto"/>
        </w:rPr>
      </w:pPr>
      <w:r>
        <w:rPr>
          <w:rFonts w:ascii="Times New Roman" w:cs="Times New Roman" w:eastAsia="Times New Roman" w:hAnsi="Times New Roman"/>
          <w:sz w:val="18"/>
          <w:szCs w:val="18"/>
          <w:color w:val="auto"/>
        </w:rPr>
        <w:t>“data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76"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7"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 w:lineRule="exact"/>
        <w:rPr>
          <w:rFonts w:ascii="Times New Roman" w:cs="Times New Roman" w:eastAsia="Times New Roman" w:hAnsi="Times New Roman"/>
          <w:sz w:val="22"/>
          <w:szCs w:val="22"/>
          <w:color w:val="auto"/>
        </w:rPr>
      </w:pPr>
    </w:p>
    <w:p>
      <w:pPr>
        <w:ind w:left="760" w:right="20" w:hanging="378"/>
        <w:spacing w:after="0" w:line="233"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20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09" w:name="page110"/>
    <w:bookmarkEnd w:id="109"/>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jc w:val="both"/>
        <w:ind w:firstLine="576"/>
        <w:spacing w:after="0" w:line="28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jc w:val="both"/>
        <w:spacing w:after="0" w:line="258" w:lineRule="auto"/>
        <w:rPr>
          <w:sz w:val="20"/>
          <w:szCs w:val="20"/>
          <w:color w:val="auto"/>
        </w:rPr>
      </w:pPr>
      <w:r>
        <w:rPr>
          <w:rFonts w:ascii="Times New Roman" w:cs="Times New Roman" w:eastAsia="Times New Roman" w:hAnsi="Times New Roman"/>
          <w:sz w:val="18"/>
          <w:szCs w:val="18"/>
          <w:color w:val="auto"/>
        </w:rPr>
        <w:t>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3"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ind w:left="760" w:hanging="378"/>
        <w:spacing w:after="0" w:line="236"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9"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10" w:lineRule="exact"/>
        <w:rPr>
          <w:rFonts w:ascii="Times New Roman" w:cs="Times New Roman" w:eastAsia="Times New Roman" w:hAnsi="Times New Roman"/>
          <w:sz w:val="22"/>
          <w:szCs w:val="22"/>
          <w:color w:val="auto"/>
        </w:rPr>
      </w:pPr>
    </w:p>
    <w:p>
      <w:pPr>
        <w:ind w:left="760" w:hanging="378"/>
        <w:spacing w:after="0" w:line="234"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whose functional currency is not the U.S. dollar;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194"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its legislative history, existing and proposed Treasury regulations promulgated under the Code (the “</w:t>
      </w:r>
      <w:r>
        <w:rPr>
          <w:rFonts w:ascii="Times New Roman" w:cs="Times New Roman" w:eastAsia="Times New Roman" w:hAnsi="Times New Roman"/>
          <w:sz w:val="18"/>
          <w:szCs w:val="18"/>
          <w:b w:val="1"/>
          <w:bCs w:val="1"/>
          <w:i w:val="1"/>
          <w:iCs w:val="1"/>
          <w:color w:val="auto"/>
        </w:rPr>
        <w:t>Treasury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Regulations</w:t>
      </w:r>
      <w:r>
        <w:rPr>
          <w:rFonts w:ascii="Times New Roman" w:cs="Times New Roman" w:eastAsia="Times New Roman" w:hAnsi="Times New Roman"/>
          <w:sz w:val="18"/>
          <w:szCs w:val="18"/>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 IRS will not take positions concerning the tax consequences of the Business Combination that are different from those discussed below, or that any such different positions would not be sustained by a court.</w:t>
      </w:r>
    </w:p>
    <w:p>
      <w:pPr>
        <w:spacing w:after="0" w:line="189" w:lineRule="exact"/>
        <w:rPr>
          <w:sz w:val="20"/>
          <w:szCs w:val="20"/>
          <w:color w:val="auto"/>
        </w:rPr>
      </w:pPr>
    </w:p>
    <w:p>
      <w:pPr>
        <w:jc w:val="both"/>
        <w:ind w:right="20" w:firstLine="576"/>
        <w:spacing w:after="0" w:line="259"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ind w:left="760" w:hanging="378"/>
        <w:spacing w:after="0" w:line="233"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ind w:left="760" w:hanging="378"/>
        <w:spacing w:after="0" w:line="230" w:lineRule="auto"/>
        <w:tabs>
          <w:tab w:leader="none" w:pos="7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1" w:name="page112"/>
    <w:bookmarkEnd w:id="111"/>
    <w:p>
      <w:pPr>
        <w:jc w:val="both"/>
        <w:ind w:left="760" w:hanging="378"/>
        <w:spacing w:after="0" w:line="239" w:lineRule="auto"/>
        <w:tabs>
          <w:tab w:leader="none" w:pos="7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200"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 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12" w:name="page113"/>
    <w:bookmarkEnd w:id="112"/>
    <w:p>
      <w:pPr>
        <w:jc w:val="both"/>
        <w:spacing w:after="0" w:line="282" w:lineRule="auto"/>
        <w:rPr>
          <w:sz w:val="20"/>
          <w:szCs w:val="20"/>
          <w:color w:val="auto"/>
        </w:rPr>
      </w:pPr>
      <w:r>
        <w:rPr>
          <w:rFonts w:ascii="Times New Roman" w:cs="Times New Roman" w:eastAsia="Times New Roman" w:hAnsi="Times New Roman"/>
          <w:sz w:val="18"/>
          <w:szCs w:val="18"/>
          <w:color w:val="auto"/>
        </w:rPr>
        <w:t>subject to limitations. Any gain or loss recognized by a U.S. holder on the sale or exchange of Ordinary Shares or Warrants generally will be treated as U.S. source gain or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jc w:val="both"/>
        <w:ind w:firstLine="57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Generally. </w:t>
      </w:r>
      <w:r>
        <w:rPr>
          <w:rFonts w:ascii="Times New Roman" w:cs="Times New Roman" w:eastAsia="Times New Roman" w:hAnsi="Times New Roman"/>
          <w:sz w:val="18"/>
          <w:szCs w:val="18"/>
          <w:color w:val="auto"/>
        </w:rPr>
        <w:t>The treatment of U.S. holders of the Ordinary Shares could be materially different from that described above if Rezolve is treated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passive foreign investment company, or PFIC, for U.S. federal income tax purposes. A PFIC is any foreign corporation with respect to which either: (i) 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2"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 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8"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w:t>
      </w:r>
    </w:p>
    <w:p>
      <w:pPr>
        <w:jc w:val="both"/>
        <w:ind w:firstLine="8"/>
        <w:spacing w:after="0" w:line="255" w:lineRule="auto"/>
        <w:tabs>
          <w:tab w:leader="none" w:pos="31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3" w:name="page114"/>
    <w:bookmarkEnd w:id="113"/>
    <w:p>
      <w:pPr>
        <w:jc w:val="both"/>
        <w:spacing w:after="0" w:line="282" w:lineRule="auto"/>
        <w:rPr>
          <w:sz w:val="20"/>
          <w:szCs w:val="20"/>
          <w:color w:val="auto"/>
        </w:rPr>
      </w:pPr>
      <w:r>
        <w:rPr>
          <w:rFonts w:ascii="Times New Roman" w:cs="Times New Roman" w:eastAsia="Times New Roman" w:hAnsi="Times New Roman"/>
          <w:sz w:val="18"/>
          <w:szCs w:val="18"/>
          <w:color w:val="auto"/>
        </w:rPr>
        <w:t>However, dividends paid by a PFIC are generally not eligible for the lower rates of taxation applicable to qualified dividend income (“QDI”) under any of the foregoing regimes.</w:t>
      </w:r>
    </w:p>
    <w:p>
      <w:pPr>
        <w:spacing w:after="0" w:line="160" w:lineRule="exact"/>
        <w:rPr>
          <w:sz w:val="20"/>
          <w:szCs w:val="20"/>
          <w:color w:val="auto"/>
        </w:rPr>
      </w:pPr>
    </w:p>
    <w:p>
      <w:pPr>
        <w:jc w:val="both"/>
        <w:ind w:firstLine="57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ind w:left="760" w:hanging="378"/>
        <w:spacing w:after="0" w:line="235"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2" w:lineRule="exact"/>
        <w:rPr>
          <w:rFonts w:ascii="Times New Roman" w:cs="Times New Roman" w:eastAsia="Times New Roman" w:hAnsi="Times New Roman"/>
          <w:sz w:val="22"/>
          <w:szCs w:val="22"/>
          <w:color w:val="auto"/>
        </w:rPr>
      </w:pPr>
    </w:p>
    <w:p>
      <w:pPr>
        <w:ind w:left="760" w:hanging="378"/>
        <w:spacing w:after="0" w:line="233" w:lineRule="auto"/>
        <w:tabs>
          <w:tab w:leader="none" w:pos="7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98"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jc w:val="both"/>
        <w:ind w:firstLine="57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PFIC 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firstLine="57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 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3" w:lineRule="exact"/>
        <w:rPr>
          <w:sz w:val="20"/>
          <w:szCs w:val="20"/>
          <w:color w:val="auto"/>
        </w:rPr>
      </w:pPr>
    </w:p>
    <w:p>
      <w:pPr>
        <w:jc w:val="both"/>
        <w:ind w:firstLine="57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4" w:name="page115"/>
    <w:bookmarkEnd w:id="114"/>
    <w:p>
      <w:pPr>
        <w:jc w:val="both"/>
        <w:ind w:firstLine="576"/>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5" w:name="page116"/>
    <w:bookmarkEnd w:id="115"/>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0" w:lineRule="exact"/>
        <w:rPr>
          <w:sz w:val="20"/>
          <w:szCs w:val="20"/>
          <w:color w:val="auto"/>
        </w:rPr>
      </w:pPr>
    </w:p>
    <w:p>
      <w:pPr>
        <w:spacing w:after="0" w:line="205" w:lineRule="exact"/>
        <w:rPr>
          <w:sz w:val="20"/>
          <w:szCs w:val="20"/>
          <w:color w:val="auto"/>
        </w:rPr>
      </w:pPr>
    </w:p>
    <w:p>
      <w:pPr>
        <w:ind w:right="20" w:firstLine="599"/>
        <w:spacing w:after="0" w:line="261"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Holders or their permitted transferees of up to 58,393,288 Ordinary Shares, consisting of (i) up to 8,070,845 Ordinary Shares issued upon exercise of certain Convertible Notes by certain Selling Holders; (ii) up to 373,637 Ordinary Shares issuable upon conversion of certain Promissory Notes; (iii) up to 1,413,946 Ordinary Shares issued upon conversion of the YA Notes; and (iv) up to 48,534,860 Ordinary Shares issuable pursuant to the Second A&amp;R YA Agreement.</w:t>
      </w:r>
    </w:p>
    <w:p>
      <w:pPr>
        <w:spacing w:after="0" w:line="180"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The Selling Holders may offer and sell, from time to time, their respective Ordinary Shares covered by this prospectus.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Holders may offer and sell their securities by one or more of, or a combination of, the following methods:</w:t>
      </w:r>
    </w:p>
    <w:p>
      <w:pPr>
        <w:spacing w:after="0" w:line="207" w:lineRule="exact"/>
        <w:rPr>
          <w:sz w:val="20"/>
          <w:szCs w:val="20"/>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Nasdaq, in the over-the-counter market or on any other national securities exchange on which our securities are listed or traded;</w:t>
      </w:r>
    </w:p>
    <w:p>
      <w:pPr>
        <w:spacing w:after="0" w:line="252"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Holder pursuant to Rule 10b5-l under the Exchange Act that are in place at the time of an offering pursuant to this prospectus or any applicable prospectus supplement hereto that provide for periodic sales of their securities on the basis of parameters described in such trading plans;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through a specific bidding, auction or other process, or in in privately negotiated transactions;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underwritten offerings;</w:t>
      </w:r>
    </w:p>
    <w:p>
      <w:pPr>
        <w:spacing w:after="0" w:line="252"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block trades in which a broker-dealer will attempt to sell the offered securities as agent but may purchase and resell a portion of the block as principal to facilitate the transaction;</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purchases by a broker-dealer as principal and resale by the broker-dealer for its account pursuant to this prospectus;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ordinary brokerage transactions and transactions in which the broker solicits purchasers;</w:t>
      </w:r>
    </w:p>
    <w:p>
      <w:pPr>
        <w:spacing w:after="0" w:line="252"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(including put or call options) or other hedging transactions, whether the options are listed on an options exchange or otherwise;</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short sales entered into after the effective date of the registration statement of which this prospectus is a part;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with broker-dealers to sell a specified number of the securities at a stipulated price per share or warrant;</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agents;</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or through market makers or into an existing market for the securities; or</w:t>
      </w:r>
    </w:p>
    <w:p>
      <w:pPr>
        <w:spacing w:after="0" w:line="25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20" w:firstLine="576"/>
        <w:spacing w:after="0" w:line="266" w:lineRule="auto"/>
        <w:rPr>
          <w:sz w:val="20"/>
          <w:szCs w:val="20"/>
          <w:color w:val="auto"/>
        </w:rPr>
      </w:pPr>
      <w:r>
        <w:rPr>
          <w:rFonts w:ascii="Times New Roman" w:cs="Times New Roman" w:eastAsia="Times New Roman" w:hAnsi="Times New Roman"/>
          <w:sz w:val="18"/>
          <w:szCs w:val="18"/>
          <w:color w:val="auto"/>
        </w:rPr>
        <w:t>The Selling Holders may sell the securities at prices then prevailing, related to the then prevailing market price or at negotiated prices. The offering price of the securities from time to time will be determined by the Selling Holders and, at the time of the determination, may be higher or lower than the market price of our securities on Nasdaq or any other exchange or market.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ind w:right="20" w:firstLine="576"/>
        <w:spacing w:after="0" w:line="261" w:lineRule="auto"/>
        <w:rPr>
          <w:sz w:val="20"/>
          <w:szCs w:val="20"/>
          <w:color w:val="auto"/>
        </w:rPr>
      </w:pPr>
      <w:r>
        <w:rPr>
          <w:rFonts w:ascii="Times New Roman" w:cs="Times New Roman" w:eastAsia="Times New Roman" w:hAnsi="Times New Roman"/>
          <w:sz w:val="18"/>
          <w:szCs w:val="18"/>
          <w:color w:val="auto"/>
        </w:rPr>
        <w:t>If a donee, pledgee, transferee, or other successor-in-interest intends to sell our securities in connection with a foreclosure or otherwise, we will, to the extent required, promptly file a prospectus supplement or, if necessary, a post-effective amendment to the registration statement that includes this prospectus, to name specifically such person as a Selling Holder. The Selling Holders also may transfer our securities in other circumstances, in which case the transferees, pledgees or other successors in interest will be the selling beneficial owners for purposes of this prospectus.</w:t>
      </w:r>
    </w:p>
    <w:p>
      <w:pPr>
        <w:spacing w:after="0" w:line="180" w:lineRule="exact"/>
        <w:rPr>
          <w:sz w:val="20"/>
          <w:szCs w:val="20"/>
          <w:color w:val="auto"/>
        </w:rPr>
      </w:pPr>
    </w:p>
    <w:p>
      <w:pPr>
        <w:ind w:right="60" w:firstLine="576"/>
        <w:spacing w:after="0" w:line="253" w:lineRule="auto"/>
        <w:rPr>
          <w:sz w:val="20"/>
          <w:szCs w:val="20"/>
          <w:color w:val="auto"/>
        </w:rPr>
      </w:pPr>
      <w:r>
        <w:rPr>
          <w:rFonts w:ascii="Times New Roman" w:cs="Times New Roman" w:eastAsia="Times New Roman" w:hAnsi="Times New Roman"/>
          <w:sz w:val="18"/>
          <w:szCs w:val="18"/>
          <w:color w:val="auto"/>
        </w:rPr>
        <w:t>The Selling Holders may also sell our securities short and deliver the securities to close out their short positions or loan or pledge the securities to broker-dealers that in turn may sell the securities. The shares may be sold directly or through broker-dealers acting as principal or agent or pursuant to a distribution by one or more underwriters on a firm commitment or best-efforts basis. The Selling Holders may also enter into hedging transactions with broker-dealers. In connection with such transactions, broker-dealers of other financial institutions may engage in short sales of our securities in the course of hedging the positions they assume with the Selling Holders. The Selling Holders may also enter into options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In connection with an underwritten offering, underwriters or agents may receive compensation in the form of discounts, concessions or commissions from the Selling Holders or from purchasers of the offered securities for whom they may act as agents. In addition, underwriters may sell the securities to or through dealers, and those dealers may receive compensation in the form of discounts, concessions or commissions from the underwriters and/or commissions from the purchasers for whom they may act as agents. The Selling Holders and any underwriters, dealers or agents participating in a distribution of the securities may be deemed to be “underwriters” within the meaning of the Securities Act, and any profit on the sale of the securities by the Selling Holders and any commissions received by broker-dealers may be deemed to be underwriting commissions under the Securities Act.</w:t>
      </w:r>
    </w:p>
    <w:p>
      <w:pPr>
        <w:spacing w:after="0" w:line="7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YA is an “underwriter” within the meaning of Section 2(a)(11) of the Securities Act, and any profits on the sales of shares of our common stock by YA and any discounts, commissions, or concessions received by YA are deemed to be underwriting discounts and commissions under the Securities Act. We know of no existing arrangements between YA or any other stockholder, broker, dealer, underwriter, or agent relating to the sale or distribution of the shares of our common stock offered by this prospectus.</w:t>
      </w:r>
    </w:p>
    <w:p>
      <w:pPr>
        <w:spacing w:after="0" w:line="72" w:lineRule="exact"/>
        <w:rPr>
          <w:sz w:val="20"/>
          <w:szCs w:val="20"/>
          <w:color w:val="auto"/>
        </w:rPr>
      </w:pPr>
    </w:p>
    <w:p>
      <w:pPr>
        <w:ind w:right="140" w:firstLine="749"/>
        <w:spacing w:after="0" w:line="281" w:lineRule="auto"/>
        <w:rPr>
          <w:sz w:val="20"/>
          <w:szCs w:val="20"/>
          <w:color w:val="auto"/>
        </w:rPr>
      </w:pPr>
      <w:r>
        <w:rPr>
          <w:rFonts w:ascii="Times New Roman" w:cs="Times New Roman" w:eastAsia="Times New Roman" w:hAnsi="Times New Roman"/>
          <w:sz w:val="17"/>
          <w:szCs w:val="17"/>
          <w:color w:val="auto"/>
        </w:rPr>
        <w:t>YA has agreed that it and its affiliates will not engage in any short sales during the term of the Second A&amp;R YA Agreement and will not enter into any transaction that establishes a net short position with respect to the common stock. The Second A&amp;R YA Agreement stipulates that the YA may sell our common stock to be issued pursuant to an Advance Notice, following receipt of the Advance Notice, but prior to receiving such shares, and may sell other common stock acquired pursuant to the Purchase Agreement that the Selling Stockholder has continuously held from a prior date of acquisition.</w:t>
      </w:r>
    </w:p>
    <w:p>
      <w:pPr>
        <w:spacing w:after="0" w:line="164" w:lineRule="exact"/>
        <w:rPr>
          <w:sz w:val="20"/>
          <w:szCs w:val="20"/>
          <w:color w:val="auto"/>
        </w:rPr>
      </w:pPr>
    </w:p>
    <w:p>
      <w:pPr>
        <w:ind w:right="280" w:firstLine="576"/>
        <w:spacing w:after="0" w:line="282" w:lineRule="auto"/>
        <w:rPr>
          <w:sz w:val="20"/>
          <w:szCs w:val="20"/>
          <w:color w:val="auto"/>
        </w:rPr>
      </w:pPr>
      <w:r>
        <w:rPr>
          <w:rFonts w:ascii="Times New Roman" w:cs="Times New Roman" w:eastAsia="Times New Roman" w:hAnsi="Times New Roman"/>
          <w:sz w:val="18"/>
          <w:szCs w:val="18"/>
          <w:color w:val="auto"/>
        </w:rPr>
        <w:t>The Selling Holders party to the Investor Rights Agreement have agreed, and the other Selling Holders may agree, to indemnify an underwriter, broker-dealer or agent against certain liabilities related to the sale of the securities, including liabilities under the Securities Act.</w:t>
      </w:r>
    </w:p>
    <w:p>
      <w:pPr>
        <w:spacing w:after="0" w:line="162"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ind w:right="120" w:firstLine="576"/>
        <w:spacing w:after="0" w:line="256" w:lineRule="auto"/>
        <w:rPr>
          <w:sz w:val="20"/>
          <w:szCs w:val="20"/>
          <w:color w:val="auto"/>
        </w:rPr>
      </w:pPr>
      <w:r>
        <w:rPr>
          <w:rFonts w:ascii="Times New Roman" w:cs="Times New Roman" w:eastAsia="Times New Roman" w:hAnsi="Times New Roman"/>
          <w:sz w:val="18"/>
          <w:szCs w:val="18"/>
          <w:color w:val="auto"/>
        </w:rPr>
        <w:t>The Selling Holders, including YA, are subject to the applicable provisions of the Exchange Act and the rules and regulations under the Exchange Act, including Regulation M. This regulation may limit the timing of purchases and sales of any of the securities offered in this prospectus by the Selling Holders. The anti manipulation rules under the Exchange Act may apply to sales of the securities in the market and to the activities of the Selling Holders and their affiliates. Furthermore, Regulation M may restrict the ability of any person engaged in the distribution of the securities to engage in market-making activities for the particular securities being distributed for a period of up to five business days before the distribution. The restrictions may affect the marketability of the securities and the ability of any person or entity to engage in market-making activities for the securities.</w:t>
      </w:r>
    </w:p>
    <w:p>
      <w:pPr>
        <w:spacing w:after="0" w:line="187" w:lineRule="exact"/>
        <w:rPr>
          <w:sz w:val="20"/>
          <w:szCs w:val="20"/>
          <w:color w:val="auto"/>
        </w:rPr>
      </w:pPr>
    </w:p>
    <w:p>
      <w:pPr>
        <w:ind w:firstLine="576"/>
        <w:spacing w:after="0" w:line="261"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or, if necessary, a post-effective amendment to the registration statement that includes this prospectus,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80"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Instead of selling the securities under this prospectus, the Selling Holders may sell the securities in compliance with the provisions of Rule 144 under the Securities Act, if available, or pursuant to other available exemptions from the registration requirements of the Securities Act.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17" w:name="page118"/>
    <w:bookmarkEnd w:id="117"/>
    <w:p>
      <w:pPr>
        <w:ind w:left="58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ind w:firstLine="576"/>
        <w:spacing w:after="0" w:line="266" w:lineRule="auto"/>
        <w:rPr>
          <w:sz w:val="20"/>
          <w:szCs w:val="20"/>
          <w:color w:val="auto"/>
        </w:rPr>
      </w:pPr>
      <w:r>
        <w:rPr>
          <w:rFonts w:ascii="Times New Roman" w:cs="Times New Roman" w:eastAsia="Times New Roman" w:hAnsi="Times New Roman"/>
          <w:sz w:val="18"/>
          <w:szCs w:val="18"/>
          <w:color w:val="auto"/>
        </w:rPr>
        <w:t>Certain of our shareholders are subject to the transfer restrictions in the Investor Rights Agreement, which is incorporated by reference herein as Exhibit 4.7 to the registration statement of which this prospectus is a part, and the Lock-In Agreement, the form of which is incorporated by reference herein as Exhibits 4.8 to the registration statement of which this prospectus is a part.</w:t>
      </w:r>
    </w:p>
    <w:p>
      <w:pPr>
        <w:spacing w:after="0" w:line="6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24" w:right="599" w:bottom="1440" w:gutter="0" w:footer="0" w:header="0"/>
        </w:sectPr>
      </w:pPr>
    </w:p>
    <w:bookmarkStart w:id="118" w:name="page119"/>
    <w:bookmarkEnd w:id="118"/>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198"/>
        </w:trPr>
        <w:tc>
          <w:tcPr>
            <w:tcW w:w="90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These fees are calculated based on the securities offered and the number of issuances and accordingly cannot be defined at this time.</w:t>
      </w:r>
    </w:p>
    <w:p>
      <w:pPr>
        <w:spacing w:after="0" w:line="18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DLA Piper LLP, New York, New York, and Taylor Wessing LLP, have passed upon the validity of the securities of Rezolve AI plc (formerly Rezolve AI Limited) offered by this prospectus and certain other legal matters related to this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0"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included in this prospectus and elsewhere in the registration statement have been audited by MNP, LLP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189"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jc w:val="both"/>
        <w:ind w:firstLine="576"/>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589"/>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firm ID 606)</w:t>
            </w:r>
          </w:p>
        </w:tc>
        <w:tc>
          <w:tcPr>
            <w:tcW w:w="3440" w:type="dxa"/>
            <w:vAlign w:val="bottom"/>
            <w:gridSpan w:val="5"/>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466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20" w:type="dxa"/>
            <w:vAlign w:val="bottom"/>
            <w:tcBorders>
              <w:bottom w:val="single" w:sz="8" w:color="0000EE"/>
            </w:tcBorders>
          </w:tcPr>
          <w:p>
            <w:pPr>
              <w:spacing w:after="0"/>
              <w:rPr>
                <w:sz w:val="17"/>
                <w:szCs w:val="17"/>
                <w:color w:val="auto"/>
              </w:rPr>
            </w:pPr>
          </w:p>
        </w:tc>
        <w:tc>
          <w:tcPr>
            <w:tcW w:w="4660" w:type="dxa"/>
            <w:vAlign w:val="bottom"/>
            <w:gridSpan w:val="8"/>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Comprehensive Loss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Deficit for the Years ended December 31, 2024 and 2023</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2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7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December 31, 2023</w:t>
            </w:r>
          </w:p>
        </w:tc>
        <w:tc>
          <w:tcPr>
            <w:tcW w:w="1740" w:type="dxa"/>
            <w:vAlign w:val="bottom"/>
          </w:tcPr>
          <w:p>
            <w:pPr>
              <w:spacing w:after="0"/>
              <w:rPr>
                <w:sz w:val="17"/>
                <w:szCs w:val="17"/>
                <w:color w:val="auto"/>
              </w:rPr>
            </w:pP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1900" w:type="dxa"/>
            <w:vAlign w:val="bottom"/>
          </w:tcPr>
          <w:p>
            <w:pPr>
              <w:ind w:left="1640"/>
              <w:spacing w:after="0" w:line="196" w:lineRule="exact"/>
              <w:rPr>
                <w:sz w:val="20"/>
                <w:szCs w:val="20"/>
                <w:color w:val="auto"/>
              </w:rPr>
            </w:pPr>
            <w:r>
              <w:rPr>
                <w:rFonts w:ascii="Times New Roman" w:cs="Times New Roman" w:eastAsia="Times New Roman" w:hAnsi="Times New Roman"/>
                <w:sz w:val="18"/>
                <w:szCs w:val="18"/>
                <w:color w:val="auto"/>
                <w:w w:val="95"/>
              </w:rPr>
              <w:t>F-8</w:t>
            </w:r>
          </w:p>
        </w:tc>
      </w:tr>
      <w:tr>
        <w:trPr>
          <w:trHeight w:val="862"/>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8"/>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GROUPBY INC.</w:t>
            </w:r>
          </w:p>
        </w:tc>
        <w:tc>
          <w:tcPr>
            <w:tcW w:w="19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40" w:type="dxa"/>
            <w:vAlign w:val="bottom"/>
            <w:gridSpan w:val="12"/>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Combined Consolidated Financial Statements</w:t>
            </w:r>
          </w:p>
        </w:tc>
        <w:tc>
          <w:tcPr>
            <w:tcW w:w="1900" w:type="dxa"/>
            <w:vAlign w:val="bottom"/>
          </w:tcPr>
          <w:p>
            <w:pPr>
              <w:spacing w:after="0"/>
              <w:rPr>
                <w:sz w:val="19"/>
                <w:szCs w:val="19"/>
                <w:color w:val="auto"/>
              </w:rPr>
            </w:pPr>
          </w:p>
        </w:tc>
      </w:tr>
      <w:tr>
        <w:trPr>
          <w:trHeight w:val="234"/>
        </w:trPr>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20" w:type="dxa"/>
            <w:vAlign w:val="bottom"/>
            <w:gridSpan w:val="14"/>
          </w:tcPr>
          <w:p>
            <w:pPr>
              <w:jc w:val="center"/>
              <w:ind w:right="1520"/>
              <w:spacing w:after="0"/>
              <w:rPr>
                <w:sz w:val="20"/>
                <w:szCs w:val="20"/>
                <w:color w:val="auto"/>
              </w:rPr>
            </w:pPr>
            <w:r>
              <w:rPr>
                <w:rFonts w:ascii="Times New Roman" w:cs="Times New Roman" w:eastAsia="Times New Roman" w:hAnsi="Times New Roman"/>
                <w:sz w:val="18"/>
                <w:szCs w:val="18"/>
                <w:color w:val="auto"/>
                <w:w w:val="99"/>
              </w:rPr>
              <w:t>As of and for the years ended December 31, 2024 and 2023</w:t>
            </w:r>
          </w:p>
        </w:tc>
        <w:tc>
          <w:tcPr>
            <w:tcW w:w="1900" w:type="dxa"/>
            <w:vAlign w:val="bottom"/>
          </w:tcPr>
          <w:p>
            <w:pPr>
              <w:spacing w:after="0"/>
              <w:rPr>
                <w:sz w:val="20"/>
                <w:szCs w:val="20"/>
                <w:color w:val="auto"/>
              </w:rPr>
            </w:pPr>
          </w:p>
        </w:tc>
      </w:tr>
      <w:tr>
        <w:trPr>
          <w:trHeight w:val="391"/>
        </w:trPr>
        <w:tc>
          <w:tcPr>
            <w:tcW w:w="21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20" w:type="dxa"/>
            <w:vAlign w:val="bottom"/>
            <w:tcBorders>
              <w:bottom w:val="single" w:sz="8" w:color="0000EE"/>
            </w:tcBorders>
          </w:tcPr>
          <w:p>
            <w:pPr>
              <w:spacing w:after="0"/>
              <w:rPr>
                <w:sz w:val="24"/>
                <w:szCs w:val="24"/>
                <w:color w:val="auto"/>
              </w:rPr>
            </w:pPr>
          </w:p>
        </w:tc>
        <w:tc>
          <w:tcPr>
            <w:tcW w:w="7180" w:type="dxa"/>
            <w:vAlign w:val="bottom"/>
            <w:gridSpan w:val="15"/>
          </w:tcPr>
          <w:p>
            <w:pPr>
              <w:spacing w:after="0"/>
              <w:rPr>
                <w:sz w:val="24"/>
                <w:szCs w:val="24"/>
                <w:color w:val="auto"/>
              </w:rPr>
            </w:pPr>
          </w:p>
        </w:tc>
        <w:tc>
          <w:tcPr>
            <w:tcW w:w="190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3"/>
              </w:rPr>
              <w:t>F-41</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 of Financial Position</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F-43</w:t>
            </w:r>
          </w:p>
        </w:tc>
      </w:tr>
      <w:tr>
        <w:trPr>
          <w:trHeight w:val="20"/>
        </w:trPr>
        <w:tc>
          <w:tcPr>
            <w:tcW w:w="3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50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Loss and Comprehensive Loss</w:t>
            </w:r>
          </w:p>
        </w:tc>
        <w:tc>
          <w:tcPr>
            <w:tcW w:w="4300" w:type="dxa"/>
            <w:vAlign w:val="bottom"/>
            <w:gridSpan w:val="7"/>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F-44</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Combined Consolidated Statements of Changes in Stockholders’ Deficit</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F-45</w:t>
            </w:r>
          </w:p>
        </w:tc>
      </w:tr>
      <w:tr>
        <w:trPr>
          <w:trHeight w:val="196"/>
        </w:trPr>
        <w:tc>
          <w:tcPr>
            <w:tcW w:w="36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Combined Consolidated Statements of Cash Flows</w:t>
            </w:r>
          </w:p>
        </w:tc>
        <w:tc>
          <w:tcPr>
            <w:tcW w:w="20" w:type="dxa"/>
            <w:vAlign w:val="bottom"/>
            <w:tcBorders>
              <w:top w:val="single" w:sz="8" w:color="0000FF"/>
              <w:bottom w:val="single" w:sz="8" w:color="0000EE"/>
            </w:tcBorders>
          </w:tcPr>
          <w:p>
            <w:pPr>
              <w:spacing w:after="0"/>
              <w:rPr>
                <w:sz w:val="17"/>
                <w:szCs w:val="17"/>
                <w:color w:val="auto"/>
              </w:rPr>
            </w:pPr>
          </w:p>
        </w:tc>
        <w:tc>
          <w:tcPr>
            <w:tcW w:w="1520" w:type="dxa"/>
            <w:vAlign w:val="bottom"/>
            <w:tcBorders>
              <w:top w:val="single" w:sz="8" w:color="0000FF"/>
            </w:tcBorders>
            <w:gridSpan w:val="6"/>
          </w:tcPr>
          <w:p>
            <w:pPr>
              <w:spacing w:after="0"/>
              <w:rPr>
                <w:sz w:val="17"/>
                <w:szCs w:val="17"/>
                <w:color w:val="auto"/>
              </w:rPr>
            </w:pPr>
          </w:p>
        </w:tc>
        <w:tc>
          <w:tcPr>
            <w:tcW w:w="4120" w:type="dxa"/>
            <w:vAlign w:val="bottom"/>
            <w:gridSpan w:val="6"/>
          </w:tcPr>
          <w:p>
            <w:pPr>
              <w:spacing w:after="0"/>
              <w:rPr>
                <w:sz w:val="17"/>
                <w:szCs w:val="17"/>
                <w:color w:val="auto"/>
              </w:rPr>
            </w:pP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F-46</w:t>
            </w:r>
          </w:p>
        </w:tc>
      </w:tr>
      <w:tr>
        <w:trPr>
          <w:trHeight w:val="196"/>
        </w:trPr>
        <w:tc>
          <w:tcPr>
            <w:tcW w:w="9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Combined Consolidated Financial Statements</w:t>
            </w:r>
          </w:p>
        </w:tc>
        <w:tc>
          <w:tcPr>
            <w:tcW w:w="1900" w:type="dxa"/>
            <w:vAlign w:val="bottom"/>
          </w:tcPr>
          <w:p>
            <w:pPr>
              <w:ind w:left="1560"/>
              <w:spacing w:after="0" w:line="196" w:lineRule="exact"/>
              <w:rPr>
                <w:sz w:val="20"/>
                <w:szCs w:val="20"/>
                <w:color w:val="auto"/>
              </w:rPr>
            </w:pPr>
            <w:r>
              <w:rPr>
                <w:rFonts w:ascii="Times New Roman" w:cs="Times New Roman" w:eastAsia="Times New Roman" w:hAnsi="Times New Roman"/>
                <w:sz w:val="18"/>
                <w:szCs w:val="18"/>
                <w:color w:val="auto"/>
                <w:w w:val="93"/>
              </w:rPr>
              <w:t>F-47</w:t>
            </w:r>
          </w:p>
        </w:tc>
      </w:tr>
      <w:tr>
        <w:trPr>
          <w:trHeight w:val="885"/>
        </w:trPr>
        <w:tc>
          <w:tcPr>
            <w:tcW w:w="2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20" w:type="dxa"/>
            <w:vAlign w:val="bottom"/>
            <w:gridSpan w:val="6"/>
          </w:tcPr>
          <w:p>
            <w:pPr>
              <w:jc w:val="center"/>
              <w:ind w:right="3320"/>
              <w:spacing w:after="0"/>
              <w:rPr>
                <w:sz w:val="20"/>
                <w:szCs w:val="20"/>
                <w:color w:val="auto"/>
              </w:rPr>
            </w:pPr>
            <w:r>
              <w:rPr>
                <w:rFonts w:ascii="Times New Roman" w:cs="Times New Roman" w:eastAsia="Times New Roman" w:hAnsi="Times New Roman"/>
                <w:sz w:val="18"/>
                <w:szCs w:val="18"/>
                <w:color w:val="auto"/>
                <w:w w:val="95"/>
              </w:rPr>
              <w:t>F-1</w:t>
            </w:r>
          </w:p>
        </w:tc>
        <w:tc>
          <w:tcPr>
            <w:tcW w:w="190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0" w:name="page121"/>
    <w:bookmarkEnd w:id="120"/>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Rezolve AI plc and Subsidiaries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Rezolve AI PLC and Subsidiaries (the Company) as of December 31, 2024 and 2023, and the related consolidated statements of operations, comprehensive loss, stockholders’ deficit and cash flows for each of the years in the two year period ended December 31, 2024, and the related notes (collectively referred to as the consolidated financial statements). In our opinion, the consolidated financial statements present fairly, in all material respects, the consolidated financial position of the Company as December 31, 2024 and 2023, and the results of its operations and its cash flows for each of the years in the two – year period ended December 31, 2024,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23, 2025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9,450,944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12,534</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960,848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299,013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Derivative asset</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13,020,647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321,988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79,593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6,750,178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2,134,903</w:t>
            </w:r>
          </w:p>
        </w:tc>
        <w:tc>
          <w:tcPr>
            <w:tcW w:w="100" w:type="dxa"/>
            <w:vAlign w:val="bottom"/>
          </w:tcPr>
          <w:p>
            <w:pPr>
              <w:spacing w:after="0"/>
              <w:rPr>
                <w:sz w:val="17"/>
                <w:szCs w:val="17"/>
                <w:color w:val="auto"/>
              </w:rPr>
            </w:pPr>
          </w:p>
        </w:tc>
      </w:tr>
      <w:tr>
        <w:trPr>
          <w:trHeight w:val="19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80" w:type="dxa"/>
            <w:vAlign w:val="bottom"/>
            <w:tcBorders>
              <w:bottom w:val="single" w:sz="8" w:color="auto"/>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6,767,510</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2,214,496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deficit</w:t>
            </w: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7,303,060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4,569,703</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Due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expenses and other payables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9,513,932</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4,492,790</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Short term convertible debt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10,288,123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31,088,259</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Short term convertible debt to related party (refer to note 13)</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Convertible promissory notes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6,428,825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Payable</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8,223,928</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Share-based payment liability</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1,311,028</w:t>
            </w:r>
          </w:p>
        </w:tc>
        <w:tc>
          <w:tcPr>
            <w:tcW w:w="100" w:type="dxa"/>
            <w:vAlign w:val="bottom"/>
            <w:shd w:val="clear" w:color="auto" w:fill="CFF0FC"/>
          </w:tcPr>
          <w:p>
            <w:pPr>
              <w:spacing w:after="0"/>
              <w:rPr>
                <w:sz w:val="17"/>
                <w:szCs w:val="17"/>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Advisors loans</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12,812,366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2,579,875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5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top w:val="single" w:sz="8" w:color="CFF0FC"/>
            </w:tcBorders>
          </w:tcPr>
          <w:p>
            <w:pPr>
              <w:spacing w:after="0"/>
              <w:rPr>
                <w:sz w:val="17"/>
                <w:szCs w:val="17"/>
                <w:color w:val="auto"/>
              </w:rPr>
            </w:pP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57,784,739</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56,821,368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(refer to note 16)</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Shareholders’ deficit</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Ordinary shares, £0.0001 nominal value 208,260,754 shares issued and outstanding as of December 31, 2024;</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152,262,295 shares issued and outstanding as of December 31, 2023; 256,365,817 and 161,710,480 shares</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authorized as of December 31, 2024 and 2023 (refer to note 2.19)</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127,310</w:t>
            </w:r>
          </w:p>
        </w:tc>
        <w:tc>
          <w:tcPr>
            <w:tcW w:w="100" w:type="dxa"/>
            <w:vAlign w:val="bottom"/>
          </w:tcPr>
          <w:p>
            <w:pPr>
              <w:spacing w:after="0"/>
              <w:rPr>
                <w:sz w:val="18"/>
                <w:szCs w:val="18"/>
                <w:color w:val="auto"/>
              </w:rPr>
            </w:pPr>
          </w:p>
        </w:tc>
      </w:tr>
      <w:tr>
        <w:trPr>
          <w:trHeight w:val="192"/>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Series A shares, £0.0001 nominal value 4,575,983 shares issued, authorized and outstanding as of December 31,</w:t>
            </w:r>
          </w:p>
        </w:tc>
        <w:tc>
          <w:tcPr>
            <w:tcW w:w="18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2023 (refer to note 2.19)</w:t>
            </w:r>
          </w:p>
        </w:tc>
        <w:tc>
          <w:tcPr>
            <w:tcW w:w="18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3,868</w:t>
            </w:r>
          </w:p>
        </w:tc>
        <w:tc>
          <w:tcPr>
            <w:tcW w:w="100" w:type="dxa"/>
            <w:vAlign w:val="bottom"/>
            <w:shd w:val="clear" w:color="auto" w:fill="CFF0FC"/>
          </w:tcPr>
          <w:p>
            <w:pPr>
              <w:spacing w:after="0"/>
              <w:rPr>
                <w:sz w:val="18"/>
                <w:szCs w:val="18"/>
                <w:color w:val="auto"/>
              </w:rPr>
            </w:pP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194,062,767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172,204,832</w:t>
            </w:r>
          </w:p>
        </w:tc>
        <w:tc>
          <w:tcPr>
            <w:tcW w:w="100" w:type="dxa"/>
            <w:vAlign w:val="bottom"/>
          </w:tcPr>
          <w:p>
            <w:pPr>
              <w:spacing w:after="0"/>
              <w:rPr>
                <w:sz w:val="17"/>
                <w:szCs w:val="17"/>
                <w:color w:val="auto"/>
              </w:rPr>
            </w:pP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Share subscription receivable</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(178,720)</w:t>
            </w:r>
          </w:p>
        </w:tc>
      </w:tr>
      <w:tr>
        <w:trPr>
          <w:trHeight w:val="203"/>
        </w:trPr>
        <w:tc>
          <w:tcPr>
            <w:tcW w:w="7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(232,075,815)</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(226,291,430)</w:t>
            </w:r>
          </w:p>
        </w:tc>
      </w:tr>
      <w:tr>
        <w:trPr>
          <w:trHeight w:val="203"/>
        </w:trPr>
        <w:tc>
          <w:tcPr>
            <w:tcW w:w="7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(10,270)</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(150,744)</w:t>
            </w:r>
          </w:p>
        </w:tc>
      </w:tr>
      <w:tr>
        <w:trPr>
          <w:trHeight w:val="20"/>
        </w:trPr>
        <w:tc>
          <w:tcPr>
            <w:tcW w:w="75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80" w:type="dxa"/>
            <w:vAlign w:val="bottom"/>
          </w:tcPr>
          <w:p>
            <w:pPr>
              <w:spacing w:after="0"/>
              <w:rPr>
                <w:sz w:val="17"/>
                <w:szCs w:val="17"/>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(37,996,582)</w:t>
            </w:r>
          </w:p>
        </w:tc>
        <w:tc>
          <w:tcPr>
            <w:tcW w:w="180" w:type="dxa"/>
            <w:vAlign w:val="bottom"/>
          </w:tcPr>
          <w:p>
            <w:pPr>
              <w:spacing w:after="0"/>
              <w:rPr>
                <w:sz w:val="17"/>
                <w:szCs w:val="17"/>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(54,284,884)</w:t>
            </w:r>
          </w:p>
        </w:tc>
      </w:tr>
      <w:tr>
        <w:trPr>
          <w:trHeight w:val="236"/>
        </w:trPr>
        <w:tc>
          <w:tcPr>
            <w:tcW w:w="7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19,788,157</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2,536,484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-4379595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-2014220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-2014220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-1739265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-1722120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10"/>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187,788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 of revenue (see note 2.15)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34,053</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100" w:type="dxa"/>
            <w:vAlign w:val="bottom"/>
            <w:shd w:val="clear" w:color="auto" w:fill="CFF0FC"/>
          </w:tcPr>
          <w:p>
            <w:pPr>
              <w:spacing w:after="0"/>
              <w:rPr>
                <w:sz w:val="18"/>
                <w:szCs w:val="18"/>
                <w:color w:val="auto"/>
              </w:rPr>
            </w:pPr>
          </w:p>
        </w:tc>
      </w:tr>
      <w:tr>
        <w:trPr>
          <w:trHeight w:val="198"/>
        </w:trPr>
        <w:tc>
          <w:tcPr>
            <w:tcW w:w="75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transactions of $1,011,119 and $2,072,224, see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note 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6,285,446</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100" w:type="dxa"/>
            <w:vAlign w:val="bottom"/>
          </w:tcPr>
          <w:p>
            <w:pPr>
              <w:spacing w:after="0"/>
              <w:rPr>
                <w:sz w:val="20"/>
                <w:szCs w:val="20"/>
                <w:color w:val="auto"/>
              </w:rPr>
            </w:pPr>
          </w:p>
        </w:tc>
      </w:tr>
      <w:tr>
        <w:trPr>
          <w:trHeight w:val="198"/>
        </w:trPr>
        <w:tc>
          <w:tcPr>
            <w:tcW w:w="7560" w:type="dxa"/>
            <w:vAlign w:val="bottom"/>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General and administrative expenses (including related party transactions of $68,413,399 and</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$4,830,987, see note 13)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131,430,412</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225,251</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138,230,574</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(138,042,786)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(26,006,274)</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(10,557,714)</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(4,791,782)</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Gain/(loss) on derivatives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19,001,681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Gain/(loss) on extinguishment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(44,332,819)</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1,329,781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100" w:type="dxa"/>
            <w:vAlign w:val="bottom"/>
          </w:tcPr>
          <w:p>
            <w:pPr>
              <w:spacing w:after="0"/>
              <w:rPr>
                <w:sz w:val="18"/>
                <w:szCs w:val="18"/>
                <w:color w:val="auto"/>
              </w:rPr>
            </w:pPr>
          </w:p>
        </w:tc>
      </w:tr>
      <w:tr>
        <w:trPr>
          <w:trHeight w:val="209"/>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(34,559,071)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(4,666,416)</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(30,672,690)</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(44,933)</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(63,408)</w:t>
            </w:r>
          </w:p>
        </w:tc>
      </w:tr>
      <w:tr>
        <w:trPr>
          <w:trHeight w:val="20"/>
        </w:trPr>
        <w:tc>
          <w:tcPr>
            <w:tcW w:w="75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(172,646,790)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(30,736,098)</w:t>
            </w: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share, basic and diluted</w:t>
            </w:r>
          </w:p>
        </w:tc>
        <w:tc>
          <w:tcPr>
            <w:tcW w:w="3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2"/>
            <w:shd w:val="clear" w:color="auto" w:fill="CFF0FC"/>
          </w:tcPr>
          <w:p>
            <w:pPr>
              <w:jc w:val="right"/>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(0.20)</w:t>
            </w:r>
          </w:p>
        </w:tc>
      </w:tr>
      <w:tr>
        <w:trPr>
          <w:trHeight w:val="209"/>
        </w:trPr>
        <w:tc>
          <w:tcPr>
            <w:tcW w:w="7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basic and diluted</w:t>
            </w:r>
          </w:p>
        </w:tc>
        <w:tc>
          <w:tcPr>
            <w:tcW w:w="1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162,855,146</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151,256,853</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-1868170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-745490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-462280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774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(172,646,790)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(30,736,098)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140,474</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(69,565)</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(172,506,316)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(30,805,663)</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4" w:name="page125"/>
    <w:bookmarkEnd w:id="12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78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70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980" w:type="dxa"/>
            <w:vAlign w:val="bottom"/>
            <w:gridSpan w:val="3"/>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subscriptio</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70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Paid-in</w:t>
            </w:r>
          </w:p>
        </w:tc>
        <w:tc>
          <w:tcPr>
            <w:tcW w:w="9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7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2"/>
                <w:szCs w:val="12"/>
                <w:color w:val="auto"/>
              </w:rPr>
            </w:pPr>
          </w:p>
        </w:tc>
        <w:tc>
          <w:tcPr>
            <w:tcW w:w="76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96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600" w:type="dxa"/>
            <w:vAlign w:val="bottom"/>
            <w:tcBorders>
              <w:top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Value</w:t>
            </w:r>
          </w:p>
        </w:tc>
        <w:tc>
          <w:tcPr>
            <w:tcW w:w="24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3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8"/>
              </w:rPr>
              <w:t>Value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40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8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60" w:type="dxa"/>
            <w:vAlign w:val="bottom"/>
          </w:tcPr>
          <w:p>
            <w:pPr>
              <w:spacing w:after="0"/>
              <w:rPr>
                <w:sz w:val="11"/>
                <w:szCs w:val="11"/>
                <w:color w:val="auto"/>
              </w:rPr>
            </w:pPr>
          </w:p>
        </w:tc>
        <w:tc>
          <w:tcPr>
            <w:tcW w:w="8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151,419,</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2023</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4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332)</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(81,179)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(32,519,603)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to related parties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26,634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199,974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 exercise of share-options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815,989</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115,190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 parties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3,646,017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(30,736,0</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(30,736,098)</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(loss)</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160" w:type="dxa"/>
            <w:vAlign w:val="bottom"/>
          </w:tcPr>
          <w:p>
            <w:pPr>
              <w:spacing w:after="0"/>
              <w:rPr>
                <w:sz w:val="11"/>
                <w:szCs w:val="11"/>
                <w:color w:val="auto"/>
              </w:rPr>
            </w:pPr>
          </w:p>
        </w:tc>
        <w:tc>
          <w:tcPr>
            <w:tcW w:w="8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(69,565)</w:t>
            </w: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December 31, 2023</w:t>
            </w: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152,262,</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4,575,98</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(178,72</w:t>
            </w: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(150,74</w:t>
            </w: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295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430)</w:t>
            </w:r>
          </w:p>
        </w:tc>
        <w:tc>
          <w:tcPr>
            <w:tcW w:w="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(54,284,884)</w:t>
            </w:r>
          </w:p>
        </w:tc>
        <w:tc>
          <w:tcPr>
            <w:tcW w:w="0" w:type="dxa"/>
            <w:vAlign w:val="bottom"/>
          </w:tcPr>
          <w:p>
            <w:pPr>
              <w:spacing w:after="0"/>
              <w:rPr>
                <w:sz w:val="1"/>
                <w:szCs w:val="1"/>
                <w:color w:val="auto"/>
              </w:rPr>
            </w:pPr>
          </w:p>
        </w:tc>
      </w:tr>
      <w:tr>
        <w:trPr>
          <w:trHeight w:val="97"/>
        </w:trPr>
        <w:tc>
          <w:tcPr>
            <w:tcW w:w="3100" w:type="dxa"/>
            <w:vAlign w:val="bottom"/>
            <w:tcBorders>
              <w:top w:val="single" w:sz="8" w:color="CFF0FC"/>
            </w:tcBorders>
          </w:tcPr>
          <w:p>
            <w:pPr>
              <w:spacing w:after="0" w:line="98" w:lineRule="exact"/>
              <w:rPr>
                <w:sz w:val="20"/>
                <w:szCs w:val="20"/>
                <w:color w:val="auto"/>
              </w:rPr>
            </w:pPr>
            <w:r>
              <w:rPr>
                <w:rFonts w:ascii="Times New Roman" w:cs="Times New Roman" w:eastAsia="Times New Roman" w:hAnsi="Times New Roman"/>
                <w:sz w:val="10"/>
                <w:szCs w:val="10"/>
                <w:color w:val="auto"/>
              </w:rPr>
              <w:t>Ordinary shares issued in lieu of cash payment for</w:t>
            </w:r>
          </w:p>
        </w:tc>
        <w:tc>
          <w:tcPr>
            <w:tcW w:w="60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104,514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304,137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304,152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issued with loan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Recapitalization upon demerger of Rezolve Limited to</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4,575,98</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(107,36</w:t>
            </w:r>
          </w:p>
        </w:tc>
        <w:tc>
          <w:tcPr>
            <w:tcW w:w="24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(4,575,9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176,207,4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Rezolve AI plc</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(3,868)</w:t>
            </w:r>
          </w:p>
        </w:tc>
        <w:tc>
          <w:tcPr>
            <w:tcW w:w="14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941)</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178,720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 employees shares restrictions</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9,512,82</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18,834,88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lifted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18,836,099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63,001,39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 - related parties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63,001,392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employees</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4,314,649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payments for consultancy</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217,365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 of services</w:t>
            </w: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5,826,79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(9,345,05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ordinary shares upon acquisition of Armada</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(9,344,318)</w:t>
            </w:r>
          </w:p>
        </w:tc>
        <w:tc>
          <w:tcPr>
            <w:tcW w:w="0" w:type="dxa"/>
            <w:vAlign w:val="bottom"/>
          </w:tcPr>
          <w:p>
            <w:pPr>
              <w:spacing w:after="0"/>
              <w:rPr>
                <w:sz w:val="1"/>
                <w:szCs w:val="1"/>
                <w:color w:val="auto"/>
              </w:rPr>
            </w:pPr>
          </w:p>
        </w:tc>
      </w:tr>
      <w:tr>
        <w:trPr>
          <w:trHeight w:val="135"/>
        </w:trPr>
        <w:tc>
          <w:tcPr>
            <w:tcW w:w="3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Warrants exercised</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574,993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575,000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1,930,03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17,949,33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Ordinary shares issued on conversion of advisors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17,949,589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6,600,00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16,241,54</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Ordinary shares issued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16,242,944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11,053,0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Shares issued under the rights issue</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4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9,009,884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9,011,193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senior secured</w:t>
            </w:r>
          </w:p>
        </w:tc>
        <w:tc>
          <w:tcPr>
            <w:tcW w:w="6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12,035,0</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52,399,82</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52,401,332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issued on conversion of convertible</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4,310,20</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14,008,07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promissory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14,008,437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(172,646,79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790)</w:t>
            </w:r>
          </w:p>
        </w:tc>
        <w:tc>
          <w:tcPr>
            <w:tcW w:w="1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Foreign currency translation gain</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140,474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00" w:type="dxa"/>
            <w:vAlign w:val="bottom"/>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208,260,</w:t>
            </w: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194,062,7</w:t>
            </w:r>
          </w:p>
        </w:tc>
        <w:tc>
          <w:tcPr>
            <w:tcW w:w="22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(232,075,</w:t>
            </w:r>
          </w:p>
        </w:tc>
        <w:tc>
          <w:tcPr>
            <w:tcW w:w="200" w:type="dxa"/>
            <w:vAlign w:val="bottom"/>
            <w:shd w:val="clear" w:color="auto" w:fill="CFF0FC"/>
          </w:tcPr>
          <w:p>
            <w:pPr>
              <w:spacing w:after="0"/>
              <w:rPr>
                <w:sz w:val="9"/>
                <w:szCs w:val="9"/>
                <w:color w:val="auto"/>
              </w:rPr>
            </w:pPr>
          </w:p>
        </w:tc>
        <w:tc>
          <w:tcPr>
            <w:tcW w:w="140" w:type="dxa"/>
            <w:vAlign w:val="bottom"/>
            <w:tcBorders>
              <w:top w:val="single" w:sz="8" w:color="auto"/>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60" w:type="dxa"/>
            <w:vAlign w:val="bottom"/>
            <w:tcBorders>
              <w:top w:val="single" w:sz="8" w:color="auto"/>
            </w:tcBorders>
            <w:shd w:val="clear" w:color="auto" w:fill="CFF0FC"/>
          </w:tcPr>
          <w:p>
            <w:pPr>
              <w:spacing w:after="0"/>
              <w:rPr>
                <w:sz w:val="9"/>
                <w:szCs w:val="9"/>
                <w:color w:val="auto"/>
              </w:rPr>
            </w:pPr>
          </w:p>
        </w:tc>
        <w:tc>
          <w:tcPr>
            <w:tcW w:w="70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 as at December 31, 2024</w:t>
            </w:r>
          </w:p>
        </w:tc>
        <w:tc>
          <w:tcPr>
            <w:tcW w:w="6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754</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26,816</w:t>
            </w:r>
          </w:p>
        </w:tc>
        <w:tc>
          <w:tcPr>
            <w:tcW w:w="240" w:type="dxa"/>
            <w:vAlign w:val="bottom"/>
            <w:tcBorders>
              <w:bottom w:val="single" w:sz="8" w:color="CFF0FC"/>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67</w:t>
            </w:r>
          </w:p>
        </w:tc>
        <w:tc>
          <w:tcPr>
            <w:tcW w:w="2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6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815)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(80)</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(10,270)</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(37,996,582)</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-2630805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-2614295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-2630805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-2614295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-2630805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-2614295</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-2630805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-2614295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-2630805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-2614295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-2630805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-2614295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-2630805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-2614295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-2630805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-2614295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-2614295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-24765</wp:posOffset>
            </wp:positionV>
            <wp:extent cx="768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-8255</wp:posOffset>
            </wp:positionV>
            <wp:extent cx="768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-24765</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768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-8255</wp:posOffset>
            </wp:positionV>
            <wp:extent cx="768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-24765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5" w:name="page126"/>
    <w:bookmarkEnd w:id="12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6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(172,646,790)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(30,736,098)</w:t>
            </w:r>
          </w:p>
        </w:tc>
      </w:tr>
      <w:tr>
        <w:trPr>
          <w:trHeight w:val="203"/>
        </w:trPr>
        <w:tc>
          <w:tcPr>
            <w:tcW w:w="6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242,436</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Impairment of loans receivable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1,156,316</w:t>
            </w:r>
          </w:p>
        </w:tc>
        <w:tc>
          <w:tcPr>
            <w:tcW w:w="100" w:type="dxa"/>
            <w:vAlign w:val="bottom"/>
            <w:shd w:val="clear" w:color="auto" w:fill="CFF0FC"/>
          </w:tcPr>
          <w:p>
            <w:pPr>
              <w:spacing w:after="0"/>
              <w:rPr>
                <w:sz w:val="17"/>
                <w:szCs w:val="17"/>
                <w:color w:val="auto"/>
              </w:rPr>
            </w:pPr>
          </w:p>
        </w:tc>
      </w:tr>
      <w:tr>
        <w:trPr>
          <w:trHeight w:val="21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 employees shares restrictions lifted</w:t>
            </w:r>
          </w:p>
        </w:tc>
        <w:tc>
          <w:tcPr>
            <w:tcW w:w="1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18,836,099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employees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4,314,649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5,079,201</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based compensation issued to related parties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63,001,392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3,646,017</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 based compensation for consultancy services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217,365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shares issued in lieu of cash payment for services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Northlands Securities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5,141,250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 J.V.B. Financial Group (refer to note 7.7)</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Advisor loan issued for services- Cantor Fitzgerald (refer to note 7.7)</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10,557,714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4,791,782</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derivatives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(19,001,681)</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44,332,819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(gain)/loss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(1,329,775)</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375,298</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expenses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(8,739)</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(3,679)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prepaid expense and other current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(906,198)</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(416,069)</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accounts payable, accrued expenses and other payables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1,354,146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2,310,465</w:t>
            </w:r>
          </w:p>
        </w:tc>
        <w:tc>
          <w:tcPr>
            <w:tcW w:w="100" w:type="dxa"/>
            <w:vAlign w:val="bottom"/>
          </w:tcPr>
          <w:p>
            <w:pPr>
              <w:spacing w:after="0"/>
              <w:rPr>
                <w:sz w:val="17"/>
                <w:szCs w:val="17"/>
                <w:color w:val="auto"/>
              </w:rPr>
            </w:pPr>
          </w:p>
        </w:tc>
      </w:tr>
      <w:tr>
        <w:trPr>
          <w:trHeight w:val="202"/>
        </w:trPr>
        <w:tc>
          <w:tcPr>
            <w:tcW w:w="6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Increase in payables due to related parties</w:t>
            </w:r>
          </w:p>
        </w:tc>
        <w:tc>
          <w:tcPr>
            <w:tcW w:w="132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209,997</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552,456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(21,642,715)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(13,001,875)</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(4,774)</w:t>
            </w: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(14,376)</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Development of intangible assets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(3,523,852)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(1,767,148)</w:t>
            </w:r>
          </w:p>
        </w:tc>
      </w:tr>
      <w:tr>
        <w:trPr>
          <w:trHeight w:val="20"/>
        </w:trPr>
        <w:tc>
          <w:tcPr>
            <w:tcW w:w="62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(3,528,626)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(1,781,524)</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merger with Armada</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rights issuance</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1,405,592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7,767,674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debt from related party</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6,623,541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4,369,413</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short-term debt obligation from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(1,153,750)</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(250,000)</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promissory loans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11,859,249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promissory notes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(1,471,852)</w:t>
            </w: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promissory notes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399,982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to related parties</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199,974</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rights issue</w:t>
            </w:r>
          </w:p>
        </w:tc>
        <w:tc>
          <w:tcPr>
            <w:tcW w:w="1320" w:type="dxa"/>
            <w:vAlign w:val="bottom"/>
          </w:tcPr>
          <w:p>
            <w:pPr>
              <w:spacing w:after="0"/>
              <w:rPr>
                <w:sz w:val="17"/>
                <w:szCs w:val="17"/>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16,444,773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obligation</w:t>
            </w:r>
          </w:p>
        </w:tc>
        <w:tc>
          <w:tcPr>
            <w:tcW w:w="1320" w:type="dxa"/>
            <w:vAlign w:val="bottom"/>
            <w:shd w:val="clear" w:color="auto" w:fill="CFF0FC"/>
          </w:tcPr>
          <w:p>
            <w:pPr>
              <w:spacing w:after="0"/>
              <w:rPr>
                <w:sz w:val="17"/>
                <w:szCs w:val="17"/>
                <w:color w:val="auto"/>
              </w:rPr>
            </w:pP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2,625,000</w:t>
            </w:r>
          </w:p>
        </w:tc>
        <w:tc>
          <w:tcPr>
            <w:tcW w:w="100" w:type="dxa"/>
            <w:vAlign w:val="bottom"/>
            <w:shd w:val="clear" w:color="auto" w:fill="CFF0FC"/>
          </w:tcPr>
          <w:p>
            <w:pPr>
              <w:spacing w:after="0"/>
              <w:rPr>
                <w:sz w:val="17"/>
                <w:szCs w:val="17"/>
                <w:color w:val="auto"/>
              </w:rPr>
            </w:pPr>
          </w:p>
        </w:tc>
      </w:tr>
      <w:tr>
        <w:trPr>
          <w:trHeight w:val="196"/>
        </w:trPr>
        <w:tc>
          <w:tcPr>
            <w:tcW w:w="6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flow generated from financing activities</w:t>
            </w:r>
          </w:p>
        </w:tc>
        <w:tc>
          <w:tcPr>
            <w:tcW w:w="1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34,585,896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14,712,061</w:t>
            </w:r>
          </w:p>
        </w:tc>
        <w:tc>
          <w:tcPr>
            <w:tcW w:w="100" w:type="dxa"/>
            <w:vAlign w:val="bottom"/>
            <w:tcBorders>
              <w:top w:val="single" w:sz="8" w:color="CFF0FC"/>
            </w:tcBorders>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32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25,948</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42,399</w:t>
            </w:r>
          </w:p>
        </w:tc>
        <w:tc>
          <w:tcPr>
            <w:tcW w:w="100" w:type="dxa"/>
            <w:vAlign w:val="bottom"/>
            <w:shd w:val="clear" w:color="auto" w:fill="CFF0FC"/>
          </w:tcPr>
          <w:p>
            <w:pPr>
              <w:spacing w:after="0"/>
              <w:rPr>
                <w:sz w:val="15"/>
                <w:szCs w:val="15"/>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w:t>
            </w:r>
          </w:p>
        </w:tc>
        <w:tc>
          <w:tcPr>
            <w:tcW w:w="1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9,440,503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(28,939)</w:t>
            </w:r>
          </w:p>
        </w:tc>
      </w:tr>
      <w:tr>
        <w:trPr>
          <w:trHeight w:val="203"/>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39,380</w:t>
            </w: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9,450,944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10,441</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32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payment for development of intangible asset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115,190</w:t>
            </w:r>
          </w:p>
        </w:tc>
        <w:tc>
          <w:tcPr>
            <w:tcW w:w="100" w:type="dxa"/>
            <w:vAlign w:val="bottom"/>
          </w:tcPr>
          <w:p>
            <w:pPr>
              <w:spacing w:after="0"/>
              <w:rPr>
                <w:sz w:val="17"/>
                <w:szCs w:val="17"/>
                <w:color w:val="auto"/>
              </w:rPr>
            </w:pP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Cash paid for interest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114,966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paid for taxes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2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interest payable converted to principal</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1,339,800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4,040,989</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-3702685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-3154045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6" w:name="page127"/>
    <w:bookmarkEnd w:id="12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21 Sackville Street, London, W1S 3DN, United Kingdom.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60" w:firstLine="8"/>
        <w:spacing w:after="0" w:line="378" w:lineRule="auto"/>
        <w:tabs>
          <w:tab w:leader="none" w:pos="509"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2.1 Basis of presentation</w:t>
      </w: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Rezolve AI plc and subsidiaries (together “the Company” or “we”) have been prepared in accordance with accounting principles generally accepted in the United States of America (“US GAAP”). The consolidated financial statements have been prepared using the United Stated Dollar (“$” or “US dollar”) as the reporting currency.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Rezolve AI plc,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Chinese Business”) which were abandoned on January 3, 2023 (see below).</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“Pre-Closing Demerger” or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Pre-Closing Demerger was completed on July 4, 2024. A new holding company Rezolve AI plc was established.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Therefore upon the completion of the Pre-Closing Demerger, Rezolve AI plc ended up with the same business as Rezolve Limited but without the Chinese business.</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Rezolve AI plc and Rezolve Merger Sub, Inc., a Delaware corporation (“Rezolve Merger Sub”), consummated a business combination (the “Business Combination”) pursuant to which the Company effected a company reorganization whereby the Company’s series A shares were reclassified as ordinary shares and Armada merged with and into Rezolve Merger Sub, with Armada surviving as a wholly owned subsidiary of Rezolve, with shareholders of Armada receiving ordinary shares of the Company in exchange for their existing Armada common stock and Armada warrant holders having their warrants automatically exchanged for warrants of the Company (see note 8). Upon the closing of the Business Combination, the Company became the direct parent of Armada. The Business Combination was accounted for as a reverse merger under ASC 805, whereby Rezolve AI plc was deemed to be the accounting acquirer for financial reporting purposes and Armada was treated as the accounting acquiree. This determination was primarily based on the expectation that, immediately following the reverse merger: former Rezolve AI plc’s stockholders own a substantial majority of the voting rights in the combined company; former Rezolve AI plc’s largest stockholders retain the largest interest in the combined company and former Rezolve AI plc’s executive management team became the management team of the combined company.</w:t>
      </w:r>
    </w:p>
    <w:p>
      <w:pPr>
        <w:spacing w:after="0" w:line="19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For accounting purposes the Business Combination, accounted for as a reverse merger, was treated as the equivalent of Rezolve AI plc issuing 5,827,796 ordinary shares to acquire the net liabilities of Armada. The excess amount paid by an investor over the par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7" w:name="page128"/>
    <w:bookmarkEnd w:id="12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value of ordinary shares issued usually is allocated to additional paid-in capital, however as the Business Combination resulted in the issuance of ordinary shares to acquire the net liabilities of Armada, it rendered a negative amount of additional paid-in capital. In accordance with ASC 505-30-30-8, the Company made an accounting policy election that additional paid-in capital cannot be a negative amount and therefore the negative amount was allocated to accumulated deficit.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liabilities of Armada are recorded at their acquisition-date fair value in the Consolidated Financial Statements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500" w:type="dxa"/>
            <w:vAlign w:val="bottom"/>
          </w:tcPr>
          <w:p>
            <w:pPr>
              <w:spacing w:after="0"/>
              <w:rPr>
                <w:sz w:val="18"/>
                <w:szCs w:val="18"/>
                <w:color w:val="auto"/>
              </w:rPr>
            </w:pP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169,425</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(4,873,019)</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Debt (promissory notes)</w:t>
            </w:r>
          </w:p>
        </w:tc>
        <w:tc>
          <w:tcPr>
            <w:tcW w:w="2500" w:type="dxa"/>
            <w:vAlign w:val="bottom"/>
          </w:tcPr>
          <w:p>
            <w:pPr>
              <w:spacing w:after="0"/>
              <w:rPr>
                <w:sz w:val="18"/>
                <w:szCs w:val="18"/>
                <w:color w:val="auto"/>
              </w:rPr>
            </w:pP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(3,144,883)</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00" w:type="dxa"/>
            <w:vAlign w:val="bottom"/>
            <w:shd w:val="clear" w:color="auto" w:fill="CFF0FC"/>
          </w:tcPr>
          <w:p>
            <w:pPr>
              <w:spacing w:after="0"/>
              <w:rPr>
                <w:sz w:val="18"/>
                <w:szCs w:val="18"/>
                <w:color w:val="auto"/>
              </w:rPr>
            </w:pP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(1,499,936)</w:t>
            </w:r>
          </w:p>
        </w:tc>
      </w:tr>
      <w:tr>
        <w:trPr>
          <w:trHeight w:val="20"/>
        </w:trPr>
        <w:tc>
          <w:tcPr>
            <w:tcW w:w="5160" w:type="dxa"/>
            <w:vAlign w:val="bottom"/>
            <w:shd w:val="clear" w:color="auto" w:fill="CFF0FC"/>
          </w:tcPr>
          <w:p>
            <w:pPr>
              <w:spacing w:after="0" w:line="20" w:lineRule="exact"/>
              <w:rPr>
                <w:sz w:val="1"/>
                <w:szCs w:val="1"/>
                <w:color w:val="auto"/>
              </w:rPr>
            </w:pPr>
          </w:p>
        </w:tc>
        <w:tc>
          <w:tcPr>
            <w:tcW w:w="2500" w:type="dxa"/>
            <w:vAlign w:val="bottom"/>
            <w:shd w:val="clear" w:color="auto" w:fill="CFF0FC"/>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liabilities acquired</w:t>
            </w:r>
          </w:p>
        </w:tc>
        <w:tc>
          <w:tcPr>
            <w:tcW w:w="25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5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(9,345,052)</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50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Consolidated Financial Statements of Rezolve AI plc and subsidiaries have been prepared on the following basis:</w:t>
      </w:r>
    </w:p>
    <w:p>
      <w:pPr>
        <w:spacing w:after="0" w:line="117" w:lineRule="exact"/>
        <w:rPr>
          <w:sz w:val="20"/>
          <w:szCs w:val="20"/>
          <w:color w:val="auto"/>
        </w:rPr>
      </w:pPr>
    </w:p>
    <w:p>
      <w:pPr>
        <w:ind w:left="1020" w:right="100" w:hanging="503"/>
        <w:spacing w:after="0" w:line="254"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Pre-Closing Demerger was completed retrospectively on December 31, 2021, and thus reflects the predecessor company, Rezolve Limited, prior to completion of the Pre-Closing Demerger. These Consolidated Financial Statements are therefore prepared on a carve-out basis. All costs of doing business in Rezolve Limited have been reflected in Rezolve AI plc on a 100% allocation basis since management feels that this fully reflects the Consolidated Financial Statements had the Demerger completed on December 31, 2022. Investments made in the China Business by Rezolve Limited in the People’s Republic of China (“China”) for the years ending December 31, 2024 and December 31, 2023 have been recorded as “Business development expenses”, a component of General and Administrative expenses within the Company’s 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(“SAB 1-B1”). Management asserts that this method used is reasonable.</w:t>
      </w:r>
    </w:p>
    <w:p>
      <w:pPr>
        <w:spacing w:after="0" w:line="83" w:lineRule="exact"/>
        <w:rPr>
          <w:rFonts w:ascii="Times New Roman" w:cs="Times New Roman" w:eastAsia="Times New Roman" w:hAnsi="Times New Roman"/>
          <w:sz w:val="18"/>
          <w:szCs w:val="18"/>
          <w:color w:val="auto"/>
        </w:rPr>
      </w:pPr>
    </w:p>
    <w:p>
      <w:pPr>
        <w:ind w:left="1020" w:right="180" w:hanging="503"/>
        <w:spacing w:after="0" w:line="256"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ownership structure of Rezolve Limited and Rezolve AI plc, the Pre-Closing Demerger was accounted for as a common control transaction in accordance with the common control guidance in ASC 805. The net liabilities of Rezolve Limited were transferred to Rezolve AI plc at their carrying values immediately prior to the Pre-Closing Demerger transaction, with an offsetting impact to Additional Paid in Capital which was then recapitalized to Accumulated Deficit. The Consolidated Financial Statements as of and for the year ended December 31, 2023 and the period January 1, 2024 to July 4, 2024 for Rezolve Limited have been aggregated with the Consolidated Financial Statements of the Company for the period July 5, 2024 to December 31, 2024.</w:t>
      </w:r>
    </w:p>
    <w:p>
      <w:pPr>
        <w:spacing w:after="0" w:line="79"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issued in Rezolve AI plc to the shareholders of Rezolve Limited pursuant to the Pre-Closing Demerger was in the order of 1 share in Rezolve AI plc for each 6.13 shares held in Rezolve Limited. This adjustment in share numbers enabled the issuance of the appropriate number of shares in Rezolve AI plc so that each Company Shareholder will after the Pre-Closing Demerger hold their applicable pro rata portion of the aggregate stock consideration in accordance with the terms of the Pre-Closing Demerger transaction. All share and per share amounts in these Consolidated Financial Statements and notes thereto have been retroactively adjusted for all periods presented to give effect to the Pre-Closing Demerger transaction. Additionally, holders of Series A shares of Rezolve AI plc received one Ordinary share in the Company for each Series A share held in Rezolve AI plc.</w:t>
      </w:r>
    </w:p>
    <w:p>
      <w:pPr>
        <w:spacing w:after="0" w:line="29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with the most significant impact on the entity’s economic performance, and (2) the right to receive benefits or the obligation to absorb losses from the entity which could potentially be significant to the entity.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8" w:name="page129"/>
    <w:bookmarkEnd w:id="12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AI plc’s holding as of December 31, 2024 and 2023 is as follows:</w:t>
      </w:r>
    </w:p>
    <w:p>
      <w:pPr>
        <w:spacing w:after="0" w:line="20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3"/>
                <w:szCs w:val="13"/>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48"/>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shareholding</w:t>
            </w:r>
          </w:p>
        </w:tc>
        <w:tc>
          <w:tcPr>
            <w:tcW w:w="0" w:type="dxa"/>
            <w:vAlign w:val="bottom"/>
          </w:tcPr>
          <w:p>
            <w:pPr>
              <w:spacing w:after="0"/>
              <w:rPr>
                <w:sz w:val="1"/>
                <w:szCs w:val="1"/>
                <w:color w:val="auto"/>
              </w:rPr>
            </w:pPr>
          </w:p>
        </w:tc>
      </w:tr>
      <w:tr>
        <w:trPr>
          <w:trHeight w:val="173"/>
        </w:trPr>
        <w:tc>
          <w:tcPr>
            <w:tcW w:w="3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48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2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Rezolve Technology (India) Private</w:t>
            </w:r>
          </w:p>
        </w:tc>
        <w:tc>
          <w:tcPr>
            <w:tcW w:w="16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17"/>
                <w:szCs w:val="17"/>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480" w:type="dxa"/>
            <w:vAlign w:val="bottom"/>
            <w:gridSpan w:val="2"/>
            <w:vMerge w:val="restart"/>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Limited</w:t>
            </w:r>
          </w:p>
        </w:tc>
        <w:tc>
          <w:tcPr>
            <w:tcW w:w="1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720" w:type="dxa"/>
            <w:vAlign w:val="bottom"/>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4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Rezolve AI IP Holdings Limited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December 19,</w:t>
            </w:r>
          </w:p>
        </w:tc>
        <w:tc>
          <w:tcPr>
            <w:tcW w:w="140" w:type="dxa"/>
            <w:vAlign w:val="bottom"/>
            <w:shd w:val="clear" w:color="auto" w:fill="CFF0FC"/>
          </w:tcPr>
          <w:p>
            <w:pPr>
              <w:spacing w:after="0"/>
              <w:rPr>
                <w:sz w:val="17"/>
                <w:szCs w:val="17"/>
                <w:color w:val="auto"/>
              </w:rPr>
            </w:pPr>
          </w:p>
        </w:tc>
        <w:tc>
          <w:tcPr>
            <w:tcW w:w="27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gridSpan w:val="2"/>
            <w:vMerge w:val="restart"/>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40" w:type="dxa"/>
            <w:vAlign w:val="bottom"/>
            <w:shd w:val="clear" w:color="auto" w:fill="CFF0FC"/>
          </w:tcPr>
          <w:p>
            <w:pPr>
              <w:spacing w:after="0"/>
              <w:rPr>
                <w:sz w:val="10"/>
                <w:szCs w:val="10"/>
                <w:color w:val="auto"/>
              </w:rPr>
            </w:pPr>
          </w:p>
        </w:tc>
        <w:tc>
          <w:tcPr>
            <w:tcW w:w="15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shd w:val="clear" w:color="auto" w:fill="CFF0FC"/>
          </w:tcPr>
          <w:p>
            <w:pPr>
              <w:spacing w:after="0"/>
              <w:rPr>
                <w:sz w:val="10"/>
                <w:szCs w:val="10"/>
                <w:color w:val="auto"/>
              </w:rPr>
            </w:pPr>
          </w:p>
        </w:tc>
        <w:tc>
          <w:tcPr>
            <w:tcW w:w="2720" w:type="dxa"/>
            <w:vAlign w:val="bottom"/>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shd w:val="clear" w:color="auto" w:fill="CFF0FC"/>
          </w:tcPr>
          <w:p>
            <w:pPr>
              <w:spacing w:after="0"/>
              <w:rPr>
                <w:sz w:val="9"/>
                <w:szCs w:val="9"/>
                <w:color w:val="auto"/>
              </w:rPr>
            </w:pPr>
          </w:p>
        </w:tc>
        <w:tc>
          <w:tcPr>
            <w:tcW w:w="158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Armada Acquisition Corp. I</w:t>
            </w:r>
          </w:p>
        </w:tc>
        <w:tc>
          <w:tcPr>
            <w:tcW w:w="1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 2024</w:t>
            </w:r>
          </w:p>
        </w:tc>
        <w:tc>
          <w:tcPr>
            <w:tcW w:w="14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48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United Stated Dollar ($) as its reporting currency.</w:t>
      </w:r>
    </w:p>
    <w:p>
      <w:pPr>
        <w:spacing w:after="0" w:line="3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2.3  Emerging Growth Company</w:t>
      </w:r>
    </w:p>
    <w:p>
      <w:pPr>
        <w:spacing w:after="0" w:line="121"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an accumulated deficit of $232.1 million. For the year ended December 31, 2024, the Company incurred a net loss of $172.6 million and net cash used in operating activities was $21.6 million. Cash and cash equivalents totaled $9.5 million as of December 31, 2024, an increase of $9.4 million from December 31, 2023. The Company has a working capital deficit of $44.8 million as at December 31, 2024. The Company continues to incur losses while it develops technological services, targets customers and incurs costs for an initial public offering or business combination. Our sources of cash for these activities rely on debt and equity funding.</w:t>
      </w:r>
    </w:p>
    <w:p>
      <w:pPr>
        <w:spacing w:after="0" w:line="183"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5460" w:right="3760" w:hanging="4943"/>
        <w:spacing w:after="0" w:line="407" w:lineRule="auto"/>
        <w:tabs>
          <w:tab w:leader="none" w:pos="103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29" w:name="page130"/>
    <w:bookmarkEnd w:id="12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tabs>
          <w:tab w:leader="none" w:pos="10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into, were considered. As of the date of issuance of these consolidated financial statements, the Company has a further $234.4 million remaining on the Standby Equity Purchase Agreement ("SEPA") capital commitment facility with YA II PN, LTD ("YA"), a Cayman Island exempt limited company. The SEPA is a share subscription facility which was signed and executed on February 23, 2023 and amended and restated on February 2, 2024 to provide for, inter alia, Rezolve AI Limited joining as a party to the agreement and the subscription by YA of a promissory convertible note (“YA Agreement”, note 7.6). The Company may continue to seek capital through the issuance of equity securities using the remaining undrawn capital commitment facility. Consequently, it has been concluded that adequate resources and liquidity to meet the cash flow requirements for the next twelve months are present, and it is reasonable to apply the going concern basis as the underlying assumption for the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and its predecessor company, Rezolve Limited, predominantly generates cash through financing transactions and expended cash in.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£85,000 in accordance with the regulations of the United Kingdom’s Financial Conduct Authority. The Company has not experienced any losses associated with cash held with financial institutions.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0" w:name="page131"/>
    <w:bookmarkEnd w:id="13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Account receivable consists primarily of amounts related to fees charged to customers. Credit is extended based on evaluation of a customer’s financial condition and generally collateral is not required. Accounts receivable is stated at amounts due from customers net of an allowance for expected credit losses.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00"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bl>
    <w:p>
      <w:pPr>
        <w:spacing w:after="0" w:line="1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2.10.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and internal-use software.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2024 and 2023.</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pacing w:after="0" w:line="219"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09"/>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3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 The Company has not commenced amortizing the in-development software as it not yet ready for its intended use. The Company reviews internal-use software for impairment when an event or changes in business circumstances indicate that the carrying</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1" w:name="page132"/>
    <w:bookmarkEnd w:id="13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 of the asset may not be fully recoverable. There were no indicators of impairment for internal-use software as of December 31, 2024 and December 31, 2023 and the years then ended.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2.11.  Impairment of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indicators of impairment for any of the long-lived assets as of December 31, 2024 and December 31, 2023 and the years then ended.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Convertible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Convertible notes are regarded as hybrid instruments, consisting of a liability component and an equity component.</w:t>
      </w:r>
    </w:p>
    <w:p>
      <w:pPr>
        <w:spacing w:after="0" w:line="11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host instrument (i.e., convertible note or debt element of the outstanding instruments) is classified as a financial liability and recorded at the present value of the Company’s obligation to make future interest payments in cash and settle the redemption value of the instrument in cash. The carrying value of the host instrument is accounted for at amortized cost and is therefore accreted to the original face value of the instrument, over the life, using the effective interest method.</w:t>
      </w:r>
    </w:p>
    <w:p>
      <w:pPr>
        <w:spacing w:after="0" w:line="7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When the Company issues debt with a conversion feature, we assess, in accordance with ASC 480-10 -Distinguishing Liabilities from Equity and ASC 815 - Derivatives and Hedging, whether the conversion feature meets the requirements to be treated as a derivative, as follows: (a) one or more underlying’s, typically the price of our common stock; (b) one or more notional amounts or payment provisions or both, generally the number of shares upon conversion; (c) no initial net investment, which typically excludes the amount borrowed; and (d) net settlement provisions, which in the case of convertible debt generally means the stock received upon conversion can be readily sold for cash.</w:t>
      </w:r>
    </w:p>
    <w:p>
      <w:pPr>
        <w:spacing w:after="0" w:line="7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conversion features of convertible debt instruments issued by the Company, that meet the requirements to be bifurcated and treated as derivatives, are recorded as either financial assets or financial liabilities, in accordance with the substance of the contractual arrangements and the definitions of either a financial asset or a financial liability. These financial assets or a financial liabilities are initially recognized at fair value and classified as derivative assets or liabilities in the consolidated balance sheet. Changes in the fair value of the derivative assets or liabilities are subsequently accounted for directly through the consolidated statements of operations and comprehensive income (loss) and are included in operating activities in the consolidated statements of cash flows as non-cash adjustment.</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conversion options are valued using certain directly and indirectly observable inputs and are classified as Level 2 in the fair value hierarchy in accordance with ASC 820 - Fair Value Measurement. The Company utilizes a third party valuation expert to determine the estimated fair value of the derivatives. The third party valuation expert estimates the fair value of the derivative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w:t>
      </w:r>
    </w:p>
    <w:p>
      <w:pPr>
        <w:spacing w:after="0" w:line="7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also considers the impact, if any, of the dilutive effect of the shares of its common stock issuable upon conversion of the outstanding convertible debt in its diluted income per share, see note 2.20.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2.13.  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2.14.  Revenue recognition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2" w:name="page133"/>
    <w:bookmarkEnd w:id="13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2.15.  Cost of revenue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the impairment of current assets (see note 2.11).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Operating segments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the Company operates as one operating segment, financial data provided in the consolidated financial statements, including total revenues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$187,788 (2023:$145,051), total operating expenses of $138,230,574 (2023:$26,151,325), consolidated net loss of $172,646,790 (2023: $30,736,098),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of $19,788,157 (2023: $2,536,484), represent the performance of our single reportable segment. The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 the same level of significant expense categories regularly provided to the CODM for decision-making purposes. 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the consolidated statements of operations includes advertising expenses, payroll expenses, and consultancy charges (see note 12). General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expenses reported in the consolidated statements of operations includes IT expenses, legal and professional expenses, payroll expenses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consultancy charges (see note 12).</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CODM does not review segment assets at a different level or category than those disclosed in the consolidated balance sheet.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2.17.  Research and development credits</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2.18.  Share-based compensation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3" w:name="page134"/>
    <w:bookmarkEnd w:id="13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2.19.  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one class of issued shares, ordinary shares. As of December 31, 2023, the Company had two classes of issued shares, ordinary shares and Series A preferred shares. On August 15, 2024, the Company’s series A shares were reclassified as Ordinary Shares, see note 2.1.</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December 31, 2024 and 2023, the Company’s Board of Directors had not declared any dividends for ordinary shares.</w:t>
      </w:r>
    </w:p>
    <w:p>
      <w:pPr>
        <w:spacing w:after="0" w:line="68" w:lineRule="exact"/>
        <w:rPr>
          <w:sz w:val="20"/>
          <w:szCs w:val="20"/>
          <w:color w:val="auto"/>
        </w:rPr>
      </w:pPr>
    </w:p>
    <w:p>
      <w:pPr>
        <w:ind w:right="360" w:firstLine="509"/>
        <w:spacing w:after="0" w:line="312" w:lineRule="auto"/>
        <w:rPr>
          <w:sz w:val="20"/>
          <w:szCs w:val="20"/>
          <w:color w:val="auto"/>
        </w:rPr>
      </w:pPr>
      <w:r>
        <w:rPr>
          <w:rFonts w:ascii="Times New Roman" w:cs="Times New Roman" w:eastAsia="Times New Roman" w:hAnsi="Times New Roman"/>
          <w:sz w:val="17"/>
          <w:szCs w:val="17"/>
          <w:color w:val="auto"/>
        </w:rPr>
        <w:t>The authorized and outstanding shares as of December 31, 2024 and December 31, 2023 as are follows, reflecting the impact of the Pre-Closing Demerger transaction whereby one share in Rezolve AI plc was issued to shareholders of Rezolve Limited for each 6.13 shares held (see note 2.1):</w:t>
      </w:r>
    </w:p>
    <w:p>
      <w:pPr>
        <w:spacing w:after="0" w:line="32" w:lineRule="exact"/>
        <w:rPr>
          <w:sz w:val="20"/>
          <w:szCs w:val="20"/>
          <w:color w:val="auto"/>
        </w:rPr>
      </w:pPr>
    </w:p>
    <w:p>
      <w:pPr>
        <w:ind w:left="1020" w:right="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£0.0001 nominal value 208,260,754 shares issued and outstanding as of December 31, 2024; 152,262,295 shares issued and outstanding as of December 31, 2023; 256,365,817 and 161,710,480 shares authorized as of December 31, 2024 and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shares: £0.0001 nominal value 4,575,983 shares issued, authorized and outstanding as of December 31, 2023.</w:t>
      </w:r>
    </w:p>
    <w:p>
      <w:pPr>
        <w:spacing w:after="0" w:line="225"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As of December 31, 2023, 9,513,181 restricted employee shares were outstanding due to an unofficial and unapproved equity incentive plan. These shares par value of £0.0001 per share were unpaid by the employees. The employee shares had significant restrictions including management’s and or the board’s rights to cancel the shares any time, restrictions on right to transfer, to vote and cumulative dividends. There were no vesting conditions including service conditions in relation to the shares issued. Considering the restrictions imposed on these shares, these shares were considered to be ungranted to the employees. The amount receivable for these employee shares and such employee shares issued were adjusted from the share subscription receivable and number of ordinary shares, respectively in the Company’s consolidated statement of changes in shareholder’s deficit as of and for the year ended December 31, 2023. The articles of incorporation of the Company were amended to remove these restrictions prior to the completion of the Pre-Closing Demerger transaction. The removal of these restrictions triggered a “grant date” as defined in ASC 718. As there were no vesting conditions, the shares were fully vested at grant date. The Company recognized a share-based payment expense of $18,836,099 during the year ended December 31, 2024 using a fair value of ordinary shares of $1.98. The fair value of the ordinary shares was estimated using a recent funding of the Company, historical discounts to share prices following an initial public offering through a Special Purpose Acquisition Corp ("SPAC"), while also considering the risk that the Company may not successfully close its Business Combination with Armada or complete the Demerger. The valuation used an estimated discount for lack of marketability using an average from the results of a Black-Scholes Protective Put Option Analysis, Asian Put Option Analysis and the Finnerty Put Option Analysis.</w:t>
      </w:r>
    </w:p>
    <w:p>
      <w:pPr>
        <w:spacing w:after="0" w:line="176"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2.20.  Fair value measurement and concentration of credit risk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hanging="503"/>
        <w:spacing w:after="0" w:line="282"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74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2,579,875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5"/>
              </w:rPr>
              <w:t>(2)</w:t>
            </w:r>
          </w:p>
        </w:tc>
        <w:tc>
          <w:tcPr>
            <w:tcW w:w="4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Derivative asset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2,587,581</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(1)</w:t>
            </w: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left="520" w:right="280" w:hanging="512"/>
        <w:spacing w:after="0" w:line="261" w:lineRule="auto"/>
        <w:tabs>
          <w:tab w:leader="none" w:pos="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See note 7.5.</w:t>
      </w:r>
    </w:p>
    <w:p>
      <w:pPr>
        <w:ind w:left="520" w:right="20" w:hanging="512"/>
        <w:spacing w:after="0" w:line="253" w:lineRule="auto"/>
        <w:tabs>
          <w:tab w:leader="none" w:pos="5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asset and 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See note 2.12.</w:t>
      </w:r>
    </w:p>
    <w:p>
      <w:pPr>
        <w:spacing w:after="0" w:line="187" w:lineRule="exact"/>
        <w:rPr>
          <w:sz w:val="20"/>
          <w:szCs w:val="20"/>
          <w:color w:val="auto"/>
        </w:rPr>
      </w:pPr>
    </w:p>
    <w:p>
      <w:pPr>
        <w:ind w:firstLine="450"/>
        <w:spacing w:after="0" w:line="261" w:lineRule="auto"/>
        <w:rPr>
          <w:sz w:val="20"/>
          <w:szCs w:val="20"/>
          <w:color w:val="auto"/>
        </w:rPr>
      </w:pPr>
      <w:r>
        <w:rPr>
          <w:rFonts w:ascii="Times New Roman" w:cs="Times New Roman" w:eastAsia="Times New Roman" w:hAnsi="Times New Roman"/>
          <w:sz w:val="18"/>
          <w:szCs w:val="18"/>
          <w:color w:val="auto"/>
        </w:rPr>
        <w:t>The derivative asset pertains to an option held by the Company to convert a promissory note payable to Northland Securities (see note 7.7).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derivative liabilities were triggered by conversion features embedded in promissory notes held by investors Cohen &amp; Company Financial Management LLC (note 7.6), J.V.B. Financial Group and Northlands Securities (see note 7.7). On August 15, 2024, the Company recognized derivative liabilities and an offsetting debt discount associated with the embedded conversion features in its senior secured convertible notes (see note 7.3), convertible promissory notes (see note 7.6) and advisors loans (see note 7.7). The Company previously did not bifurcate the embedded conversion features as derivatives due to the lack of an underlying share price prior to the Company's acquisition of Armada and listing of its Ordinary Shares on the NASDAQ. The Company no longer recognizes a derivative liability associated with the following debt liabilities due to the investors having exercised their conversion features by December 31, 2024:</w:t>
      </w:r>
    </w:p>
    <w:p>
      <w:pPr>
        <w:spacing w:after="0" w:line="81" w:lineRule="exact"/>
        <w:rPr>
          <w:sz w:val="20"/>
          <w:szCs w:val="20"/>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convertible notes (note 7.3);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YA notes (note 7.6);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(note 7.6)</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5" w:name="page136"/>
    <w:bookmarkEnd w:id="13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at December 31, 2024,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At December 31, 2024 and 2023, the following vendors represented more than 10% of total accounts payable.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1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DLA Piper LLP</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Donnelley Financial LLC</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64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Less than 10%</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2160" w:type="dxa"/>
            <w:vAlign w:val="bottom"/>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2160" w:type="dxa"/>
            <w:vAlign w:val="bottom"/>
            <w:shd w:val="clear" w:color="auto" w:fill="CFF0FC"/>
          </w:tcPr>
          <w:p>
            <w:pPr>
              <w:ind w:left="980"/>
              <w:spacing w:after="0"/>
              <w:rPr>
                <w:sz w:val="20"/>
                <w:szCs w:val="20"/>
                <w:color w:val="auto"/>
              </w:rPr>
            </w:pPr>
            <w:r>
              <w:rPr>
                <w:rFonts w:ascii="Times New Roman" w:cs="Times New Roman" w:eastAsia="Times New Roman" w:hAnsi="Times New Roman"/>
                <w:sz w:val="16"/>
                <w:szCs w:val="16"/>
                <w:color w:val="auto"/>
              </w:rPr>
              <w:t>Less than 10%</w:t>
            </w:r>
          </w:p>
        </w:tc>
        <w:tc>
          <w:tcPr>
            <w:tcW w:w="17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14%</w:t>
            </w:r>
          </w:p>
        </w:tc>
      </w:tr>
    </w:tbl>
    <w:p>
      <w:pPr>
        <w:spacing w:after="0" w:line="3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2024 and 2023, a sensitivity analysis shows that a 10% appreciation or depreciation in the EUR against the dollar would have increased or decreased, respectively, the Company’s revenue for the years ended December 31, 2024 and 2023 by approximately $18,779 and $14,505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2024 and 2023,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2.21.  Income taxes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36" w:name="page137"/>
    <w:bookmarkEnd w:id="13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2024 and 2023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Pr>
          <w:p>
            <w:pPr>
              <w:spacing w:after="0"/>
              <w:rPr>
                <w:sz w:val="15"/>
                <w:szCs w:val="15"/>
                <w:color w:val="auto"/>
              </w:rPr>
            </w:pPr>
          </w:p>
        </w:tc>
        <w:tc>
          <w:tcPr>
            <w:tcW w:w="11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10,944,628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1,543,664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13,019,976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848,287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2,639,169</w:t>
            </w:r>
          </w:p>
        </w:tc>
        <w:tc>
          <w:tcPr>
            <w:tcW w:w="1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4,574,146</w:t>
            </w:r>
          </w:p>
        </w:tc>
        <w:tc>
          <w:tcPr>
            <w:tcW w:w="80" w:type="dxa"/>
            <w:vAlign w:val="bottom"/>
          </w:tcPr>
          <w:p>
            <w:pPr>
              <w:spacing w:after="0"/>
              <w:rPr>
                <w:sz w:val="18"/>
                <w:szCs w:val="18"/>
                <w:color w:val="auto"/>
              </w:rPr>
            </w:pP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(note 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2,335,092</w:t>
            </w:r>
          </w:p>
        </w:tc>
        <w:tc>
          <w:tcPr>
            <w:tcW w:w="1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48,042,040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13,013,845</w:t>
            </w: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514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w:t>
      </w:r>
    </w:p>
    <w:p>
      <w:pPr>
        <w:spacing w:after="0" w:line="200" w:lineRule="exact"/>
        <w:rPr>
          <w:sz w:val="20"/>
          <w:szCs w:val="20"/>
          <w:color w:val="auto"/>
        </w:rPr>
      </w:pPr>
    </w:p>
    <w:p>
      <w:pPr>
        <w:spacing w:after="0" w:line="300" w:lineRule="exact"/>
        <w:rPr>
          <w:sz w:val="20"/>
          <w:szCs w:val="20"/>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2024, Financial Accounting Standards Board (the “FASB”) issued Accounting Standards Update (“ASU”) 2024-02, Codification Improvements—Amendments to Remove References to the Concepts Statements (“ASU 2024-02”), which is intended to simplify the Codification and draw a distinction between authoritative and non-authoritative literature. ASU 2024-02 is effective for annual reporting periods beginning after December 15, 2024, with early adoption permitted and can be applied on either a prospective or retroactive basis. The Company is currently assessing the impact of ASU 2024-02 on its consolidated financial statements.</w:t>
      </w:r>
    </w:p>
    <w:p>
      <w:pPr>
        <w:spacing w:after="0" w:line="1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Accounting Standards Update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2023-09”). ASU 2023-09 requires additional disclosures related to rate reconciliation, income taxes paid, and other disclosures.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2023-09, for each annual periods presented, public entities are required to (1) disclose specific categories in the tabular rate reconciliation and (2) provide additional information for reconciling items that meet a quantitative threshold. In addition, ASU 2023-09 requires all reporting entities to disclose on an annual basis the amount of income taxes paid disaggregated by federal, state, and foreign taxes as well as the amount of income taxes paid by individual jurisdiction. ASU 2023-09 is effective for public business entities for annual periods beginning after December 15, 2024, and can be applied on a prospective</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37" w:name="page138"/>
    <w:bookmarkEnd w:id="13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basis with an option to apply the standard retrospectively. Early adoption is permitted. The Company is currently evaluating the impact of ASU 2023-09 on its consolidated financial statements and related disclosures.</w:t>
      </w:r>
    </w:p>
    <w:p>
      <w:pPr>
        <w:spacing w:after="0" w:line="160"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2023-07, </w:t>
      </w:r>
      <w:r>
        <w:rPr>
          <w:rFonts w:ascii="Times New Roman" w:cs="Times New Roman" w:eastAsia="Times New Roman" w:hAnsi="Times New Roman"/>
          <w:sz w:val="18"/>
          <w:szCs w:val="18"/>
          <w:i w:val="1"/>
          <w:iCs w:val="1"/>
          <w:color w:val="auto"/>
        </w:rPr>
        <w:t>Segment Reporting—Improvements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which requires incremental disclosures related to a public entity’s reportable segments. Required disclosures include,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interim periods within fiscal years beginning after December 15, 2024.The adoption had no impact on the reportable segment the Company has identified, and additional required disclosures have been included in Note 2.16.</w:t>
      </w:r>
    </w:p>
    <w:p>
      <w:pPr>
        <w:spacing w:after="0" w:line="19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2023-06, Disclosure Improvements (“ASU 2023-06”), to clarify or improve disclosure and presentation requirements of a variety of topics and align the requirements in the FASB ASC with the SEC’s regulations. The amendments in ASU 2023-06 will become effective on the date the related disclosures are removed from Regulation S-X or Regulation S-K by the SEC, and will no longer be effective if the SEC has not removed the applicable disclosure requirement by June 30, 2027. Early adoption is prohibited. The Company is currently evaluating the impact of ASU 2023-06 on its consolidated financial statements and disclosures.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237,462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140" w:type="dxa"/>
            <w:vAlign w:val="bottom"/>
            <w:shd w:val="clear" w:color="auto" w:fill="CFF0FC"/>
          </w:tcPr>
          <w:p>
            <w:pPr>
              <w:spacing w:after="0"/>
              <w:rPr>
                <w:sz w:val="18"/>
                <w:szCs w:val="18"/>
                <w:color w:val="auto"/>
              </w:rPr>
            </w:pP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697,214</w:t>
            </w:r>
          </w:p>
        </w:tc>
        <w:tc>
          <w:tcPr>
            <w:tcW w:w="12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960,848</w:t>
            </w:r>
          </w:p>
        </w:tc>
        <w:tc>
          <w:tcPr>
            <w:tcW w:w="1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37"/>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(153,912)</w:t>
            </w:r>
          </w:p>
        </w:tc>
        <w:tc>
          <w:tcPr>
            <w:tcW w:w="8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(115,837)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vMerge w:val="restart"/>
          </w:tcPr>
          <w:p>
            <w:pPr>
              <w:spacing w:after="0" w:line="20" w:lineRule="exact"/>
              <w:rPr>
                <w:sz w:val="1"/>
                <w:szCs w:val="1"/>
                <w:color w:val="auto"/>
              </w:rPr>
            </w:pPr>
          </w:p>
        </w:tc>
        <w:tc>
          <w:tcPr>
            <w:tcW w:w="5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17,332</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-1422400</wp:posOffset>
            </wp:positionV>
            <wp:extent cx="431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431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-1422400</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and 2023 was $41,673 and $44,556 respectively.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4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1,014,967</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In-development intangible asset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6,655,623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7,670,590</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 for Software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(920,412)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w:t>
            </w:r>
          </w:p>
        </w:tc>
        <w:tc>
          <w:tcPr>
            <w:tcW w:w="16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6,750,178</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52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F-19</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-1156335</wp:posOffset>
            </wp:positionV>
            <wp:extent cx="514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-1156335</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-864870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-847725</wp:posOffset>
            </wp:positionV>
            <wp:extent cx="514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8" w:name="page139"/>
    <w:bookmarkEnd w:id="13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Amortization expense for software for the years ended December 31, 2024 and 2023 was $183,578 and $197,800 respectively. The Company has not commenced amortizing the in-development intangible asset as it not yet ready for its intended use.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920" w:type="dxa"/>
            <w:vAlign w:val="bottom"/>
            <w:gridSpan w:val="13"/>
          </w:tcPr>
          <w:p>
            <w:pPr>
              <w:ind w:left="180"/>
              <w:spacing w:after="0"/>
              <w:rPr>
                <w:sz w:val="20"/>
                <w:szCs w:val="20"/>
                <w:color w:val="auto"/>
              </w:rPr>
            </w:pPr>
            <w:r>
              <w:rPr>
                <w:rFonts w:ascii="Times New Roman" w:cs="Times New Roman" w:eastAsia="Times New Roman" w:hAnsi="Times New Roman"/>
                <w:sz w:val="18"/>
                <w:szCs w:val="18"/>
                <w:color w:val="auto"/>
                <w:w w:val="99"/>
              </w:rPr>
              <w:t>As of December 31, 2024, expected amortization expense for Software over its remaining life is as follows:</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gridSpan w:val="2"/>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94,555</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to related parties (7.1)</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5,102,211</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Ordinary shares payable (7.2)</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1,206,609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(7.3)</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10,288,123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(7.4)</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95,309</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 (7.5)</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1,400,000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6,428,825</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12,812,366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37,333,443</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46,981,299</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(Gain)/loss on extinguishment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(7.3)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39,658,290</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debt (7.3)</w:t>
            </w:r>
          </w:p>
        </w:tc>
        <w:tc>
          <w:tcPr>
            <w:tcW w:w="18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(1,306,077)</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notes (7.6)</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4,175,791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Advisors loans (7.7)</w:t>
            </w: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1,804,814</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44,332,819</w:t>
            </w:r>
          </w:p>
        </w:tc>
        <w:tc>
          <w:tcPr>
            <w:tcW w:w="80" w:type="dxa"/>
            <w:vAlign w:val="bottom"/>
          </w:tcPr>
          <w:p>
            <w:pPr>
              <w:spacing w:after="0"/>
              <w:rPr>
                <w:sz w:val="18"/>
                <w:szCs w:val="18"/>
                <w:color w:val="auto"/>
              </w:rPr>
            </w:pPr>
          </w:p>
        </w:tc>
        <w:tc>
          <w:tcPr>
            <w:tcW w:w="22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-2990850</wp:posOffset>
            </wp:positionV>
            <wp:extent cx="431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-2973705</wp:posOffset>
            </wp:positionV>
            <wp:extent cx="431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-1139190</wp:posOffset>
            </wp:positionV>
            <wp:extent cx="431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-1122045</wp:posOffset>
            </wp:positionV>
            <wp:extent cx="431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-1139190</wp:posOffset>
            </wp:positionV>
            <wp:extent cx="431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-1122045</wp:posOffset>
            </wp:positionV>
            <wp:extent cx="431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768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857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1" w:lineRule="exact"/>
        <w:rPr>
          <w:sz w:val="20"/>
          <w:szCs w:val="20"/>
          <w:color w:val="auto"/>
        </w:rPr>
      </w:pPr>
    </w:p>
    <w:p>
      <w:pPr>
        <w:ind w:left="520" w:right="62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Unsecured interest free loans taken from related parties DBLP Sea Cow Ltd of $447,067 and Daniel Wagner of $4,655,144 are repayable on demand.</w:t>
      </w:r>
    </w:p>
    <w:p>
      <w:pPr>
        <w:spacing w:after="0" w:line="16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were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1020" w:hanging="503"/>
        <w:spacing w:after="0" w:line="282" w:lineRule="auto"/>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340" w:hanging="503"/>
        <w:spacing w:after="0" w:line="282"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1" w:lineRule="auto"/>
        <w:tabs>
          <w:tab w:leader="none" w:pos="10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jc w:val="both"/>
        <w:ind w:left="5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2.1). The Company issued 11,052,716 ordinary shares in December 2024 to subscribers of the rights issue. On January 24, 2025, the Company issued a further 171,429 ordinary shares to a subscriber of the rights issue to whom they were owed ordinary shares payable as at December 31, 2024.</w:t>
      </w:r>
    </w:p>
    <w:p>
      <w:pPr>
        <w:spacing w:after="0" w:line="75"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until May 23, 2023. The Company estimated that the difference between amortizing the debt discounts and the issuance costs using the straight line method as compared to using effective interest rate method was immaterial. As noted below, senior secured convertible note has been accounted for as a troubled debt restructuring since May 23, 2023 and as a result the effective interest rate method has been applied prospectively from this date.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0" w:name="page141"/>
    <w:bookmarkEnd w:id="140"/>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b w:val="1"/>
          <w:bCs w:val="1"/>
          <w:color w:val="auto"/>
        </w:rPr>
      </w:pPr>
    </w:p>
    <w:p>
      <w:pPr>
        <w:ind w:left="1020" w:right="440" w:hanging="503"/>
        <w:spacing w:after="0" w:line="282"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line="282"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b w:val="1"/>
          <w:bCs w:val="1"/>
          <w:color w:val="auto"/>
        </w:rPr>
      </w:pPr>
    </w:p>
    <w:p>
      <w:pPr>
        <w:ind w:left="1020" w:right="360" w:hanging="503"/>
        <w:spacing w:after="0" w:line="282"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71" w:lineRule="exact"/>
        <w:rPr>
          <w:rFonts w:ascii="Times New Roman" w:cs="Times New Roman" w:eastAsia="Times New Roman" w:hAnsi="Times New Roman"/>
          <w:sz w:val="18"/>
          <w:szCs w:val="18"/>
          <w:b w:val="1"/>
          <w:bCs w:val="1"/>
          <w:color w:val="auto"/>
        </w:rPr>
      </w:pPr>
    </w:p>
    <w:p>
      <w:pPr>
        <w:ind w:left="1020" w:hanging="503"/>
        <w:spacing w:after="0" w:line="255" w:lineRule="auto"/>
        <w:tabs>
          <w:tab w:leader="none" w:pos="10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 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a troubled debt restructuring since May 23, 2023. No gain has been recognized.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as at December 31, 2023 does not include the $8,500,000 of notes issuable upon completion of the Demerger. These were contingent upon completion of the Demerger therefore upon close of the Demerger on July 4, 2024, they were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Senior Secured Convertible Notes converted all of their $8,000,000 outstanding Convertible Notes at a conversion price of $7 per ordinary share. The Company recognized a gain on extinguishment of $1,306,077, equal to the book value of the debt less the fair value of the ordinary shares issued on conversion.</w:t>
      </w:r>
    </w:p>
    <w:p>
      <w:pPr>
        <w:spacing w:after="0" w:line="176"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Apeiron Investment Group Ltd. and Bradley Wickens, the beneficial holders of the majority of Senior Secured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$41,892,080 million of outstanding Senior Secured Convertible Notes was revised to equal $2 per ordinary share.</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$41,512,877 of outstanding Convertible Notes and accrued interest of $1,851,020 (on behalf of Apeiron Investment Group Ltd. and Bradley Wickens) will exercise their option to convert all such outstanding Convertible Notes, at a conversion price of $2 per ordinary share. On December 27, 2024, 10,840,974 ordinary shares were issued to settle $20,756,439 and $925,510 of interest, respectively. The Company recorded a debt conversion expense of $39,658,290, equal to the fair value of the ordinary shares given up less the carrying value of the debt including accrued interest. On January 15, 2025 and February 13, 2025, respectively, a further 3,009,849 and 7,987,374 ordinary shares were issued to settle $20,756,439 and $925,510 of principle and interest. Following such conversions, there remains $0.4 million of Senior Secured Convertible Notes outstanding under the Loan Note Instrument.</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95,309</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80" w:type="dxa"/>
            <w:vAlign w:val="bottom"/>
          </w:tcPr>
          <w:p>
            <w:pPr>
              <w:spacing w:after="0"/>
              <w:rPr>
                <w:sz w:val="18"/>
                <w:szCs w:val="18"/>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(1,590,572)</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7,176,741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(7,401,611)</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80" w:type="dxa"/>
            <w:vAlign w:val="bottom"/>
          </w:tcPr>
          <w:p>
            <w:pPr>
              <w:spacing w:after="0"/>
              <w:rPr>
                <w:sz w:val="18"/>
                <w:szCs w:val="18"/>
                <w:color w:val="auto"/>
              </w:rPr>
            </w:pPr>
          </w:p>
        </w:tc>
      </w:tr>
      <w:tr>
        <w:trPr>
          <w:trHeight w:val="250"/>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debt under troubled debt restructuring</w:t>
            </w:r>
          </w:p>
        </w:tc>
        <w:tc>
          <w:tcPr>
            <w:tcW w:w="5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10,383,432</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514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2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5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2,113,742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491,928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6,986,248</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3,559,237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-170815</wp:posOffset>
            </wp:positionV>
            <wp:extent cx="431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4" w:lineRule="exact"/>
        <w:rPr>
          <w:sz w:val="20"/>
          <w:szCs w:val="20"/>
          <w:color w:val="auto"/>
        </w:rPr>
      </w:pPr>
    </w:p>
    <w:p>
      <w:pPr>
        <w:ind w:left="520" w:right="2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2" w:name="page143"/>
    <w:bookmarkEnd w:id="14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6" w:lineRule="exact"/>
        <w:rPr>
          <w:sz w:val="20"/>
          <w:szCs w:val="20"/>
          <w:color w:val="auto"/>
        </w:rPr>
      </w:pPr>
    </w:p>
    <w:p>
      <w:pPr>
        <w:ind w:left="520" w:right="80" w:hanging="373"/>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shares to Jaymax’s former owner for completion of a 3-year noncompete period which began on the October 7, 2021. The cost of the share-based payment is considered to have vested immediately upon commencement of the non-compete period as the Company’s assumption is that it is more likely than not that the former owner will not breach the non-compete agreement. The share-based payment liability is to be settled by a fixed dollar amount of shares and therefore represents a liability in accordance with ASC 480. As at December 31, 2023, the liability has been measured at fair value using a discounted cash-flow model and a market participant borrowing rate of 10.8%. At December 31, 2024 the liability is equal its present value of $1,400,000 as the term of the non-compete agreement ended on October 7, 2024. The Company has yet to settle it in ordinary shares as at December 31, 2024.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color w:val="auto"/>
        </w:rPr>
        <w:t>Convertible Promissory notes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YA notes</w:t>
            </w:r>
          </w:p>
        </w:tc>
        <w:tc>
          <w:tcPr>
            <w:tcW w:w="2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2,250,245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1,146,966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 from sponsor</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6,428,825</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22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2, 2024, the Company obtained an unsecured loan of $2,000,000 from YA II PN, LTD (“Yorkville” or “YA”)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daily volume weighted average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plc upon public listing (or if an event of default occurs or the note reaches maturity). Conversion is at the option of the noteholder at a conversion price calculated by reference to the lower of (i) a fixed price of $10 per share or (ii) a variable price based on 90% of the lowest daily volume weighted average share price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(the "First YA Note")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3" w:name="page144"/>
    <w:bookmarkEnd w:id="14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Second A&amp;R YA Agreement and upon effectiveness of the F-1 Registration Statement originally filed with U.S. Securities and Exchange Commission on September 6, 2024, and declared effective on November 27, 2024, on November 29,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xml:space="preserve">”, and together with the </w:t>
      </w:r>
      <w:r>
        <w:rPr>
          <w:rFonts w:ascii="Times New Roman" w:cs="Times New Roman" w:eastAsia="Times New Roman" w:hAnsi="Times New Roman"/>
          <w:sz w:val="18"/>
          <w:szCs w:val="18"/>
          <w:b w:val="1"/>
          <w:bCs w:val="1"/>
          <w:i w:val="1"/>
          <w:iCs w:val="1"/>
          <w:color w:val="auto"/>
        </w:rPr>
        <w:t>First YA Note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reflecting the third tranche of the prepaid advances. The YA Notes bear interest at an annual rate of 10% of the outstanding principal balance of the YA Notes and mature on September 11, 2025. Under the YA Notes, YA may elect to convert all or part of the amount outstanding under the Note into ordinary shares of Rezolve at the Conversion Price (as defined in the Note), subject to certain limitations. Rezolve has the right to redeem early a portion or all amounts outstanding under the Note upon 10 days written notice upon the occurrence of certain events.</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received the Noteholder's request to convert of all of the principal and interest outstanding under the YA Notes. In connection therewith, the Company issued an aggregate of 4,310,208 Ordinary Shares (including in payment of a fee to YA) in December 2024, and a further 1,413,946 Ordinary Shares in January 2025. A loss on extinguishment of $4,175,791 was recognized. As of December 31, 2024, $2,705,929 in principal and interest was outstanding, which was subsequently settled in Ordinary Shares on February 5, 2025, and no further amounts remain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Promissory notes</w:t>
      </w:r>
    </w:p>
    <w:p>
      <w:pPr>
        <w:spacing w:after="0" w:line="121"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the “Net Investment Amount”.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11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plc.</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(except if an event of default has occurred and is continuing, an 18% interest rate will apply). The Promissory Notes are freely transferable in whole or in part, subject to the terms of the Promissory Notes Instrument.</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plc.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plc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plc, if a “Promissory Note Trigger Event” occurs (being where (i) the daily VWAP is less than the Floor Price for five (5) trading days during a period of seven (7) consecutive trading days (the “Promissory Note Floor Price Trigger”), or</w:t>
      </w:r>
    </w:p>
    <w:p>
      <w:pPr>
        <w:ind w:right="20" w:firstLine="8"/>
        <w:spacing w:after="0" w:line="251" w:lineRule="auto"/>
        <w:tabs>
          <w:tab w:leader="none" w:pos="2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plc has issued in excess of 99% of the ordinary shares available under the Exchange Cap unless Rezolve AI plc shareholders have approved such issuances, or if Rezolve AI plc is permitted to follow (and has elected to do so) its home country practices instead of the stockholder approval requirements of Nasdaq Rule 5635) (the “Promissory Note Exchange Cap Trigger”), then Rezolve AI plc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plc reduces the Floor Price (in accordance with its rights to do so under the Promissory Note Instruments), or (ii) in the event of an Exchange Cap</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Trigger, the date Rezolve AI plc has obtained stockholder approval to increase the number of ordinary shares under the Exchange Cap (or if the Exchange Cap no longer applies), unless a subsequent Promissory Note Trigger Event occurs.</w:t>
      </w:r>
    </w:p>
    <w:p>
      <w:pPr>
        <w:spacing w:after="0" w:line="54"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On December 30, 2024, the Company repaid $1,472,231 of principal and interest to noteholders and related persons. As at December 31, 2024, certain noteholders and related parties have agreed to convert an aggregate of $1,189,096 of principal and interest into 425,288 Ordinary Shares. The outstanding balance at December 31, 2024 is $406,238, which the Company intends to settle by conversion into Ordinary Shares.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Cohen &amp; Company Financial Management LLC</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(“Cohen”) as an agent for Armada, in the principal sum of $3,144,883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Cohen’s request, Rezolve AI shall pay Cohen the principal amount plus all of the accrued interest in increments of 1/18 of the outstanding principal amount (the “Amortization Payment”) on a date determined by Cohen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Cohen shall have the right, at Cohen’s sole option, on any business day, to convert at the conversion price described in the note all or any portion of the outstanding principal amount of the note up to an amount described in the note. The promissory note was settled on February 10, 2025 by issuing ordinary shares, and no further amounts remain outstanding.</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7.7  Advisors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issued the following promissory notes to financial advisors for fees payable contingent on the close of the Business Combination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Armada: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Northland Securities</w:t>
      </w:r>
    </w:p>
    <w:p>
      <w:pPr>
        <w:spacing w:after="0" w:line="11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AI plc. The Company settled the promissory note with Northland on January 30, 2025 by issuing 391,681 ordinary shares and paying $3,500,000 in cash. No further amounts remain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J.V.B. Financial Group</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volume weighted average share price ("VWP")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Rezolve AI plc. On February 26, 2025, the Company issued 778,165 ordinary shares to settle $2,000,000 of principle outstanding to the JVB promissory note.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Cantor Fitzgerald</w:t>
      </w:r>
    </w:p>
    <w:p>
      <w:pPr>
        <w:spacing w:after="0" w:line="119"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18"/>
          <w:szCs w:val="18"/>
          <w:color w:val="auto"/>
        </w:rPr>
        <w:t>On November 20, 2023, the Company engaged Cantor Fitzgerald ("Cantor") to act as its financial and capital markets advisor in connection with any transactions, placement agent and arranger in connection with any financing. A fee of $16,000,000 ("the Armada fee") contingent on the close of the Business Combination with Armada was payable in ordinary shares. The number of shares issuable in connection with the Armada fee was to be calculated using the greater of 1) 1.6 million and 2) the quotient obtained by dividing (x) $16,000,000 by (y) the daily VWAP of the ordinary shares over five trading days immediately preceding the date of the initial filing of the F-1 registration statement.</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5, 2024 the Company issued 17,354,231 ordinary shares to Cantor to settle the Armada fee. A loss on extinguishment of $1,804,814 was recognized. No further amounts remain outstanding.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for advisors loans remain outstanding as of December 31, 2024:</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Advisors loans</w:t>
            </w:r>
          </w:p>
        </w:tc>
        <w:tc>
          <w:tcPr>
            <w:tcW w:w="29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Northland Securities</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J.V.B Financial Group</w:t>
            </w:r>
          </w:p>
        </w:tc>
        <w:tc>
          <w:tcPr>
            <w:tcW w:w="29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7,320,560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ind w:left="14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12,812,366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 w:hanging="512"/>
        <w:spacing w:after="0"/>
        <w:tabs>
          <w:tab w:leader="none" w:pos="5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1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February 1, 2024, pursuant to the Promissory notes issued to certain institutional investors (see note 7.6), each holder of a Promissory note was also granted a freely transferable warrant (“Subscription Agreement Warrants”) by Rezolve upon completion of the Business Combination. The Subscription Agreement Warrants have an exercise price of $8.00 per share and may be exercised at any time during their three year term ending on January 31, 2027.</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the Company may make an offer to all holders of its Ordinary Shares for the purchase by the Company of any of its Ordinary Shares. If such as offer is made by the Company, the Company shall give each holder of a Subscription Agreement Warrants at least 21 days’ notice that they are required to exercise their Subscription Agreement Warrants. If the holders of the Subscription Agreement Warrants do not exercise their Subscription Agreement Warrants within 14 days of receiving notice, the Company are authorized to execute a transaction to exercise the Subscription Agreement Warrants, deliver the Ordinary Shares to the holder and cancel the Subscription Agreement Warrants.</w:t>
      </w:r>
    </w:p>
    <w:p>
      <w:pPr>
        <w:spacing w:after="0" w:line="7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Subscription Agreement Warrants qualify for equity classification under ASC 815-40 as it is considered indexed to the Company's stock under ASC 815-40-15 and the Subscription Agreement Warrants permit the Company to share settle it. In no event will the Company be required to net cash settle any Subscription Agreement Warrants. The Company recorded these Subscription Agreement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569,982 Subscription Agreement Warrants outstanding at December 31, 2024 continue to qualify for equity classification. The Subscription Agreement Warrants have a remaining term of two years and one month as of December 31,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Armada warrants</w:t>
      </w:r>
    </w:p>
    <w:p>
      <w:pPr>
        <w:spacing w:after="0" w:line="11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15, 2024, under the terms of the Business Combination (see note 2.1), each outstanding Armada Warrant was exchanged for a Rezolve Warrant that entitles the holder to purchase one Rezolve Ordinary Share, at an exercise price of $11.50 per share, in lieu of one share of Armada Common Stock and otherwise on substantially the same terms and conditions as the terms of the original Armada Warrants. The Rezolve Warrants have a term of five years from the consummation of the Business Combination.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qualify for equity classification under ASC 815-40 as it is considered indexed to the Company's stock under ASC 815-40-15 and Rezolve Warrants permit the Company to share settle it. In no event will the Company be required to net cash settle any Rezolve Warrant. The Company recorded these warrants in equity on the date of issuance which was August 15, 2024 when the Business Combination was consummated (see note 2.1) as part of the accounting for the Business Combination as a reverse merger under ASC 805.</w:t>
      </w:r>
    </w:p>
    <w:p>
      <w:pPr>
        <w:spacing w:after="0" w:line="7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Rezolve Warrants trade under the symbol on the Nasdaq Stock Market LLC under the symbol RZLV.W. The initial carrying amount of a freestanding equity-classified instrument is not subsequently adjusted to fair value unless, in subsequent periods, the instrument no longer qualifies for equity classification and so must be reclassified as an asset or a liability. The 7,499,994 Rezolve Warrants outstanding at December 31, 2024 continue to qualify for equity classification. The Rezolve Warrants have a remaining term of four years and seven and a half months as of December 31, 2024.</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 issued to institutional investors</w:t>
      </w:r>
    </w:p>
    <w:p>
      <w:pPr>
        <w:spacing w:after="0" w:line="11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On December 23, 2024, the Company completed a registered offering of (i) 5,000,000 Ordinary Shares, par value £0.0001 per share, and (ii) 5,000,000 warrants exercisable for an aggregate of 5,000,000 Ordinary Shares (the “Offering Warrants”), issued pursuant to the securities purchase agreement, dated December 19, 2024, between the Company and certain institutional investors.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offering price of each Ordinary Share and accompanying Offering Warrant was $3.00.</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Offering Warrants have an exercise price of $3.00 per share, are exercisable immediately upon issuance and will expire on the earlier of (i) thirty days after the volume weighted average price of the Ordinary Shares is at or above $6.00 for five consecutive trading days and (ii) five years from the date of issuance.</w:t>
      </w:r>
    </w:p>
    <w:p>
      <w:pPr>
        <w:spacing w:after="0" w:line="6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H.C. Wainwright &amp; Co., LLC serving as the placement agent of this offering, the Company paid the H.C. Wainwright &amp; Co., LLC a cash fee equal to 5.5% of the aggregate gross proceeds of the Offering, and reimbursed the H.C. Wainwright &amp; Co., LLC for certain expenses and legal fees.</w:t>
      </w:r>
    </w:p>
    <w:p>
      <w:pPr>
        <w:spacing w:after="0" w:line="6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Ordinary Shares and Offering Warrants were offered pursuant to a registration statement on Form F-1 (File No. 333-283622), as amended, which was declared effective by the Securities and Exchange Commission on December 19, 2024.</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received net proceeds of approximately $13.8 million from this offering, after deducting offering expenses payable by the Company, including H.C. Wainwright &amp; Co., LLC’s commissions and fees. The Company intends to use the net proceeds from the Offering for working capital, repayment of convertible debt and for general corporate purposes.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Offering Warrants qualify for equity classification under ASC 815-40 as it is considered indexed to the Company's stock under ASC 815-40-15 and the Offering Warrants permit the Company to share settle it. In no event will the Company be required to net cash settle any Offering Warrants. The Company recorded these Offering Warrants at fair value in equity on the date of issuance. The initial carrying amount of a freestanding equity-classified instrument is not subsequently adjusted to fair value unless, in subsequent periods, the instrument no longer qualifies for equity classification and so must be reclassified as an asset or a liability. The 5,000,000 Offering Warrants outstanding at December 31, 2024 continue to qualify for equity classification. The Offering Warrants have a remaining term of five years as of December 31, 2024.</w:t>
      </w:r>
    </w:p>
    <w:p>
      <w:pPr>
        <w:spacing w:after="0" w:line="200" w:lineRule="exact"/>
        <w:rPr>
          <w:sz w:val="20"/>
          <w:szCs w:val="20"/>
          <w:color w:val="auto"/>
        </w:rPr>
      </w:pPr>
    </w:p>
    <w:p>
      <w:pPr>
        <w:spacing w:after="0" w:line="307"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in lieu of cash payment for services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February 2024, the Company issued 4,514 ordinary shares to Sales Force in lieu of a cash payment for customer relationship platform services provided to the Company.</w:t>
      </w:r>
    </w:p>
    <w:p>
      <w:pPr>
        <w:spacing w:after="0" w:line="5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D. Boral Capital LLC in lieu of a cash payment for financial and capital raising advisory services provided to the Company.</w:t>
      </w:r>
    </w:p>
    <w:p>
      <w:pPr>
        <w:spacing w:after="0" w:line="54"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In December 2024, the Company issued 50,000 shares to the Maxim Group in lieu of a cash payment for advisory services provided to the Company.</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the guidance in ASC 505, the ordinary shares issued in lieu of cash payment for services were measured based on the fair value of services received or the ordinary shares granted, whichever was more reliably determinable. As the ordinary shares are publicly traded, the market price of the ordinary shares were readily and reliably determinable. The Company recognized expense and equity equal to the number of ordinary shares issued multiplied by the fair value per share on date of issuance. The equity impact consisted of ordinary shares at par value and the remaining proceeds in additional paid-in capital.</w:t>
      </w:r>
    </w:p>
    <w:p>
      <w:pPr>
        <w:spacing w:after="0" w:line="287"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7" w:name="page148"/>
    <w:bookmarkEnd w:id="14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LTIP Plan</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the Company was authorized to issue a maximum number of 8,596,486 ordinary shares before any grants made in the year to directors, shareholders, consultants or financers to purchase or acquire ordinary shares. After awarding 277,325 warrants (note 8), 815,661 and 4,444,773 ordinary shares to financers, a consultant and its principal shareholder and founder, respectively, the Company had 3,058,728 ordinary shares available to grant. The Company granted 2,569,331 share options under the 2022 LTIP.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407,830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 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6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Grants in 2022 under the 2022</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LTIP</w:t>
            </w: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center"/>
              <w:ind w:left="115"/>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- 63.5%</w:t>
            </w: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w:t>
            </w: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center"/>
              <w:ind w:left="115"/>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8" w:lineRule="exact"/>
        <w:rPr>
          <w:sz w:val="20"/>
          <w:szCs w:val="20"/>
          <w:color w:val="auto"/>
        </w:rPr>
      </w:pPr>
    </w:p>
    <w:p>
      <w:pPr>
        <w:ind w:left="1020" w:right="60" w:hanging="503"/>
        <w:spacing w:after="0" w:line="282" w:lineRule="auto"/>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LTIP Plan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the Company was authorized to issue a maximum number of 8,043,318 ordinary shares before any grants made in the year to directors, shareholders, consultants or financers to purchase or acquire ordinary shares. The Company granted 8,043,318 share options in the year ended December 31, 2023 including 4,078,303 share options issued to DBLP Sea Cow Ltd. (principal shareholder, and company owned by founder, chairman and CEO Dan Wagner).</w:t>
      </w:r>
    </w:p>
    <w:p>
      <w:pPr>
        <w:spacing w:after="0" w:line="7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granted 13,611,563 share options in the year ended December 31, 2024 including 4,876,969 share options issued to DBLP Sea Cow Ltd. (principal shareholder, and company owned by founder, chairman and CEO Dan Wagner).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1020" w:right="540" w:hanging="503"/>
        <w:spacing w:after="0" w:line="282" w:lineRule="auto"/>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8" w:name="page149"/>
    <w:bookmarkEnd w:id="14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4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Grants in 2023 and 2024 under</w:t>
            </w:r>
          </w:p>
        </w:tc>
      </w:tr>
      <w:tr>
        <w:trPr>
          <w:trHeight w:val="17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the 2023 LTIP</w:t>
            </w:r>
          </w:p>
        </w:tc>
        <w:tc>
          <w:tcPr>
            <w:tcW w:w="60" w:type="dxa"/>
            <w:vAlign w:val="bottom"/>
          </w:tcPr>
          <w:p>
            <w:pPr>
              <w:spacing w:after="0"/>
              <w:rPr>
                <w:sz w:val="15"/>
                <w:szCs w:val="15"/>
                <w:color w:val="auto"/>
              </w:rPr>
            </w:pPr>
          </w:p>
        </w:tc>
      </w:tr>
      <w:tr>
        <w:trPr>
          <w:trHeight w:val="210"/>
        </w:trPr>
        <w:tc>
          <w:tcPr>
            <w:tcW w:w="32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Expected term—years </w:t>
            </w:r>
            <w:r>
              <w:rPr>
                <w:rFonts w:ascii="Times New Roman" w:cs="Times New Roman" w:eastAsia="Times New Roman" w:hAnsi="Times New Roman"/>
                <w:sz w:val="24"/>
                <w:szCs w:val="24"/>
                <w:color w:val="auto"/>
                <w:vertAlign w:val="superscript"/>
              </w:rPr>
              <w:t>(1)</w:t>
            </w:r>
          </w:p>
        </w:tc>
        <w:tc>
          <w:tcPr>
            <w:tcW w:w="1420" w:type="dxa"/>
            <w:vAlign w:val="bottom"/>
            <w:shd w:val="clear" w:color="auto" w:fill="CFF0FC"/>
          </w:tcPr>
          <w:p>
            <w:pPr>
              <w:spacing w:after="0"/>
              <w:rPr>
                <w:sz w:val="18"/>
                <w:szCs w:val="18"/>
                <w:color w:val="auto"/>
              </w:rPr>
            </w:pPr>
          </w:p>
        </w:tc>
        <w:tc>
          <w:tcPr>
            <w:tcW w:w="2120" w:type="dxa"/>
            <w:vAlign w:val="bottom"/>
            <w:gridSpan w:val="3"/>
            <w:shd w:val="clear" w:color="auto" w:fill="CFF0FC"/>
          </w:tcPr>
          <w:p>
            <w:pPr>
              <w:jc w:val="center"/>
              <w:ind w:left="102"/>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52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Expected volatility </w:t>
            </w:r>
            <w:r>
              <w:rPr>
                <w:rFonts w:ascii="Times New Roman" w:cs="Times New Roman" w:eastAsia="Times New Roman" w:hAnsi="Times New Roman"/>
                <w:sz w:val="24"/>
                <w:szCs w:val="24"/>
                <w:color w:val="auto"/>
                <w:vertAlign w:val="superscript"/>
              </w:rPr>
              <w:t>(2)</w:t>
            </w:r>
          </w:p>
        </w:tc>
        <w:tc>
          <w:tcPr>
            <w:tcW w:w="2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- 63.5%</w:t>
            </w:r>
          </w:p>
        </w:tc>
        <w:tc>
          <w:tcPr>
            <w:tcW w:w="6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24"/>
                <w:szCs w:val="24"/>
                <w:color w:val="auto"/>
                <w:vertAlign w:val="superscript"/>
              </w:rPr>
              <w:t>(3)</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w:t>
            </w:r>
          </w:p>
        </w:tc>
        <w:tc>
          <w:tcPr>
            <w:tcW w:w="6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24"/>
                <w:szCs w:val="24"/>
                <w:color w:val="auto"/>
                <w:vertAlign w:val="superscript"/>
              </w:rPr>
              <w:t>(4)</w:t>
            </w:r>
          </w:p>
        </w:tc>
        <w:tc>
          <w:tcPr>
            <w:tcW w:w="3480" w:type="dxa"/>
            <w:vAlign w:val="bottom"/>
            <w:gridSpan w:val="3"/>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1020" w:hanging="503"/>
        <w:spacing w:after="0" w:line="282" w:lineRule="auto"/>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2024 was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2"/>
                <w:szCs w:val="12"/>
                <w:color w:val="auto"/>
              </w:rPr>
            </w:pPr>
          </w:p>
        </w:tc>
        <w:tc>
          <w:tcPr>
            <w:tcW w:w="90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6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10,612,649</w:t>
            </w:r>
          </w:p>
        </w:tc>
        <w:tc>
          <w:tcPr>
            <w:tcW w:w="3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13,611,563</w:t>
            </w:r>
          </w:p>
        </w:tc>
        <w:tc>
          <w:tcPr>
            <w:tcW w:w="3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(587,296)</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2024</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17,559,511</w:t>
            </w:r>
          </w:p>
        </w:tc>
        <w:tc>
          <w:tcPr>
            <w:tcW w:w="3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6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23,636,916</w:t>
            </w:r>
          </w:p>
        </w:tc>
        <w:tc>
          <w:tcPr>
            <w:tcW w:w="3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3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-334010</wp:posOffset>
            </wp:positionV>
            <wp:extent cx="603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-316865</wp:posOffset>
            </wp:positionV>
            <wp:extent cx="603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-334010</wp:posOffset>
            </wp:positionV>
            <wp:extent cx="603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-316865</wp:posOffset>
            </wp:positionV>
            <wp:extent cx="6032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-334010</wp:posOffset>
            </wp:positionV>
            <wp:extent cx="596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-316865</wp:posOffset>
            </wp:positionV>
            <wp:extent cx="59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-334010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-316865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03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603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-8255</wp:posOffset>
            </wp:positionV>
            <wp:extent cx="603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-24765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-8255</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2024 and December 31, 2023 was $5.10 and $0.61, respectively. The total fair value of the options that vested during the year ended December 31, 2024 and December 31, 2023 was $68.8 million and $8,725,218, respectively.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31,2024, the Company had $6.1 million of unrecognized share-based compensation expense related to share options. This cost is expected to be recognized over a weighted-average period of 3 years and 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payables</w:t>
      </w: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49" w:name="page150"/>
    <w:bookmarkEnd w:id="149"/>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20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7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2,225,906</w:t>
            </w:r>
          </w:p>
        </w:tc>
        <w:tc>
          <w:tcPr>
            <w:tcW w:w="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5,694,788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80" w:type="dxa"/>
            <w:vAlign w:val="bottom"/>
          </w:tcPr>
          <w:p>
            <w:pPr>
              <w:spacing w:after="0"/>
              <w:rPr>
                <w:sz w:val="18"/>
                <w:szCs w:val="18"/>
                <w:color w:val="auto"/>
              </w:rPr>
            </w:pPr>
          </w:p>
        </w:tc>
      </w:tr>
      <w:tr>
        <w:trPr>
          <w:trHeight w:val="216"/>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excise tax liability</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1,557,733</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80" w:type="dxa"/>
            <w:vAlign w:val="bottom"/>
          </w:tcPr>
          <w:p>
            <w:pPr>
              <w:spacing w:after="0"/>
              <w:rPr>
                <w:sz w:val="18"/>
                <w:szCs w:val="18"/>
                <w:color w:val="auto"/>
              </w:rPr>
            </w:pPr>
          </w:p>
        </w:tc>
      </w:tr>
      <w:tr>
        <w:trPr>
          <w:trHeight w:val="250"/>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9,513,932</w:t>
            </w:r>
          </w:p>
        </w:tc>
        <w:tc>
          <w:tcPr>
            <w:tcW w:w="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431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431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6400" w:hanging="512"/>
        <w:spacing w:after="0" w:line="412" w:lineRule="auto"/>
        <w:tabs>
          <w:tab w:leader="none" w:pos="5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income/(expense), net </w:t>
      </w:r>
      <w:r>
        <w:rPr>
          <w:rFonts w:ascii="Times New Roman" w:cs="Times New Roman" w:eastAsia="Times New Roman" w:hAnsi="Times New Roman"/>
          <w:sz w:val="18"/>
          <w:szCs w:val="18"/>
          <w:i w:val="1"/>
          <w:iCs w:val="1"/>
          <w:color w:val="auto"/>
        </w:rPr>
        <w:t>Sales and marketing expenses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887,333</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423,710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508,288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389,444</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6,285,446</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782,665</w:t>
            </w:r>
          </w:p>
        </w:tc>
        <w:tc>
          <w:tcPr>
            <w:tcW w:w="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1,135,355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36,486,915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2,274,891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4,750,430</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777,161</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17,511,920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4,340,558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3,662,209</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3,249,635</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3,806,361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2,543,621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62,611,948</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2,306,182</w:t>
            </w:r>
          </w:p>
        </w:tc>
        <w:tc>
          <w:tcPr>
            <w:tcW w:w="80" w:type="dxa"/>
            <w:vAlign w:val="bottom"/>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217,365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485,080</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gridSpan w:val="2"/>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1,600,599</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874,045</w:t>
            </w:r>
          </w:p>
        </w:tc>
        <w:tc>
          <w:tcPr>
            <w:tcW w:w="80" w:type="dxa"/>
            <w:vAlign w:val="bottom"/>
            <w:tcBorders>
              <w:bottom w:val="single" w:sz="8" w:color="CFF0FC"/>
            </w:tcBorders>
            <w:shd w:val="clear" w:color="auto" w:fill="CFF0FC"/>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131,430,412</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i w:val="1"/>
                <w:iCs w:val="1"/>
                <w:color w:val="auto"/>
              </w:rPr>
              <w:t>Other non-operating income (expense),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 w:type="dxa"/>
            <w:vAlign w:val="bottom"/>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1,329,775</w:t>
            </w:r>
          </w:p>
        </w:tc>
        <w:tc>
          <w:tcPr>
            <w:tcW w:w="80" w:type="dxa"/>
            <w:vAlign w:val="bottom"/>
            <w:shd w:val="clear" w:color="auto" w:fill="CFF0FC"/>
          </w:tcPr>
          <w:p>
            <w:pPr>
              <w:spacing w:after="0"/>
              <w:rPr>
                <w:sz w:val="18"/>
                <w:szCs w:val="18"/>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497,978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1,329,781</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6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Related party disclosures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20" w:type="dxa"/>
            <w:vAlign w:val="bottom"/>
            <w:vMerge w:val="continue"/>
          </w:tcPr>
          <w:p>
            <w:pPr>
              <w:spacing w:after="0"/>
              <w:rPr>
                <w:sz w:val="24"/>
                <w:szCs w:val="24"/>
                <w:color w:val="auto"/>
              </w:rPr>
            </w:pPr>
          </w:p>
        </w:tc>
        <w:tc>
          <w:tcPr>
            <w:tcW w:w="61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4"/>
                <w:szCs w:val="24"/>
                <w:color w:val="auto"/>
              </w:rPr>
            </w:pPr>
          </w:p>
        </w:tc>
        <w:tc>
          <w:tcPr>
            <w:tcW w:w="5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Key managerial personnel (KMP) and Members of their immediate families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8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F-31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-5031105</wp:posOffset>
            </wp:positionV>
            <wp:extent cx="431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-5031105</wp:posOffset>
            </wp:positionV>
            <wp:extent cx="431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-2973705</wp:posOffset>
            </wp:positionV>
            <wp:extent cx="51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-2973705</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-1876425</wp:posOffset>
            </wp:positionV>
            <wp:extent cx="431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-1876425</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7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tc>
      </w:tr>
      <w:tr>
        <w:trPr>
          <w:trHeight w:val="238"/>
        </w:trPr>
        <w:tc>
          <w:tcPr>
            <w:tcW w:w="2540" w:type="dxa"/>
            <w:vAlign w:val="bottom"/>
          </w:tcPr>
          <w:p>
            <w:pPr>
              <w:spacing w:after="0"/>
              <w:rPr>
                <w:sz w:val="20"/>
                <w:szCs w:val="20"/>
                <w:color w:val="auto"/>
              </w:rPr>
            </w:pPr>
          </w:p>
        </w:tc>
        <w:tc>
          <w:tcPr>
            <w:tcW w:w="870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2540" w:type="dxa"/>
            <w:vAlign w:val="bottom"/>
          </w:tcPr>
          <w:p>
            <w:pPr>
              <w:spacing w:after="0"/>
              <w:rPr>
                <w:sz w:val="21"/>
                <w:szCs w:val="21"/>
                <w:color w:val="auto"/>
              </w:rPr>
            </w:pPr>
          </w:p>
        </w:tc>
        <w:tc>
          <w:tcPr>
            <w:tcW w:w="8700" w:type="dxa"/>
            <w:vAlign w:val="bottom"/>
          </w:tcPr>
          <w:p>
            <w:pPr>
              <w:spacing w:after="0"/>
              <w:rPr>
                <w:sz w:val="21"/>
                <w:szCs w:val="21"/>
                <w:color w:val="auto"/>
              </w:rPr>
            </w:pP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 Wagner</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Richard Burchill</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executive officer, products, technology and digital services</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Salman Ahmad</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technical officer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Peter Vesco</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Arthur Yao (1)</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Chief executive officer, Rezolve China</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deputy chairman</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Sir David Wright</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Derek Smith</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Non-executive director</w:t>
            </w:r>
          </w:p>
        </w:tc>
      </w:tr>
      <w:tr>
        <w:trPr>
          <w:trHeight w:val="203"/>
        </w:trPr>
        <w:tc>
          <w:tcPr>
            <w:tcW w:w="2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870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6"/>
                <w:szCs w:val="16"/>
                <w:color w:val="auto"/>
              </w:rPr>
              <w:t>Non-Executive director (resigned May 19, 2023)</w:t>
            </w:r>
          </w:p>
        </w:tc>
      </w:tr>
      <w:tr>
        <w:trPr>
          <w:trHeight w:val="210"/>
        </w:trPr>
        <w:tc>
          <w:tcPr>
            <w:tcW w:w="2540" w:type="dxa"/>
            <w:vAlign w:val="bottom"/>
          </w:tcPr>
          <w:p>
            <w:pPr>
              <w:spacing w:after="0"/>
              <w:rPr>
                <w:sz w:val="20"/>
                <w:szCs w:val="20"/>
                <w:color w:val="auto"/>
              </w:rPr>
            </w:pPr>
            <w:r>
              <w:rPr>
                <w:rFonts w:ascii="Times New Roman" w:cs="Times New Roman" w:eastAsia="Times New Roman" w:hAnsi="Times New Roman"/>
                <w:sz w:val="16"/>
                <w:szCs w:val="16"/>
                <w:color w:val="auto"/>
              </w:rPr>
              <w:t>Susan Wagner</w:t>
            </w:r>
          </w:p>
        </w:tc>
        <w:tc>
          <w:tcPr>
            <w:tcW w:w="8700" w:type="dxa"/>
            <w:vAlign w:val="bottom"/>
          </w:tcPr>
          <w:p>
            <w:pPr>
              <w:ind w:left="1740"/>
              <w:spacing w:after="0"/>
              <w:rPr>
                <w:sz w:val="20"/>
                <w:szCs w:val="20"/>
                <w:color w:val="auto"/>
              </w:rPr>
            </w:pPr>
            <w:r>
              <w:rPr>
                <w:rFonts w:ascii="Times New Roman" w:cs="Times New Roman" w:eastAsia="Times New Roman" w:hAnsi="Times New Roman"/>
                <w:sz w:val="16"/>
                <w:szCs w:val="16"/>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Transactions and outstanding balances of related parties were as follows:</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1" w:name="page152"/>
    <w:bookmarkEnd w:id="151"/>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42"/>
        </w:trPr>
        <w:tc>
          <w:tcPr>
            <w:tcW w:w="71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Share Capital Issued at nominal value</w:t>
            </w:r>
          </w:p>
        </w:tc>
        <w:tc>
          <w:tcPr>
            <w:tcW w:w="140" w:type="dxa"/>
            <w:vAlign w:val="bottom"/>
            <w:tcBorders>
              <w:top w:val="single" w:sz="8" w:color="auto"/>
            </w:tcBorders>
            <w:shd w:val="clear" w:color="auto" w:fill="CFF0FC"/>
          </w:tcPr>
          <w:p>
            <w:pPr>
              <w:spacing w:after="0"/>
              <w:rPr>
                <w:sz w:val="12"/>
                <w:szCs w:val="12"/>
                <w:color w:val="auto"/>
              </w:rPr>
            </w:pPr>
          </w:p>
        </w:tc>
        <w:tc>
          <w:tcPr>
            <w:tcW w:w="1680" w:type="dxa"/>
            <w:vAlign w:val="bottom"/>
            <w:tcBorders>
              <w:top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7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Brooks Newmark</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2,977</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repaid</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Repaid</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promissory notes taken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Ltd.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Adam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John Wagner</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93,750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Debt converted into shares, including interest</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3,559,380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Convertible 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132,269</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Loans Taken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4,463,322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191,405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Igor Lychagov</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5,587,343</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Managerial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Key Management Personnel</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Dan Wagner</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306,725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296,067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230,044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281,164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271,395</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393,440</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817,933</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789,997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817,933</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1,183,437</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Share-based compensation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61,230,453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756,944</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Richard Burchill</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1,153,439</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1,326,703</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Salman Ahmad</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228,056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222,535</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194,722</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60,556</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Sauvik Banerjee</w:t>
            </w:r>
          </w:p>
        </w:tc>
        <w:tc>
          <w:tcPr>
            <w:tcW w:w="140" w:type="dxa"/>
            <w:vAlign w:val="bottom"/>
            <w:tcBorders>
              <w:bottom w:val="single" w:sz="8" w:color="CFF0FC"/>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842,746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389,444</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963,858</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62,611,948</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2,306,182</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63,001,392</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3,270,040</w:t>
            </w:r>
          </w:p>
        </w:tc>
        <w:tc>
          <w:tcPr>
            <w:tcW w:w="120" w:type="dxa"/>
            <w:vAlign w:val="bottom"/>
            <w:shd w:val="clear" w:color="auto" w:fill="CFF0FC"/>
          </w:tcPr>
          <w:p>
            <w:pPr>
              <w:spacing w:after="0"/>
              <w:rPr>
                <w:sz w:val="12"/>
                <w:szCs w:val="12"/>
                <w:color w:val="auto"/>
              </w:rPr>
            </w:pPr>
          </w:p>
        </w:tc>
      </w:tr>
      <w:tr>
        <w:trPr>
          <w:trHeight w:val="149"/>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Consulting fees</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DBLP Sea Cow (2)</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Peter Vesco</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321,675</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414,926</w:t>
            </w:r>
          </w:p>
        </w:tc>
        <w:tc>
          <w:tcPr>
            <w:tcW w:w="120" w:type="dxa"/>
            <w:vAlign w:val="bottom"/>
          </w:tcPr>
          <w:p>
            <w:pPr>
              <w:spacing w:after="0"/>
              <w:rPr>
                <w:sz w:val="12"/>
                <w:szCs w:val="12"/>
                <w:color w:val="auto"/>
              </w:rPr>
            </w:pPr>
          </w:p>
        </w:tc>
      </w:tr>
      <w:tr>
        <w:trPr>
          <w:trHeight w:val="1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Arthur Yao (1)</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621,675</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714,926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921,675</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1,014,926</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Director remuneration</w:t>
            </w:r>
          </w:p>
        </w:tc>
        <w:tc>
          <w:tcPr>
            <w:tcW w:w="1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Sir David Wright</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Anthony Sharp</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380,084</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Steve Perry</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Derek Smith</w:t>
            </w:r>
          </w:p>
        </w:tc>
        <w:tc>
          <w:tcPr>
            <w:tcW w:w="1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95,852</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92,521</w:t>
            </w:r>
          </w:p>
        </w:tc>
        <w:tc>
          <w:tcPr>
            <w:tcW w:w="120" w:type="dxa"/>
            <w:vAlign w:val="bottom"/>
          </w:tcPr>
          <w:p>
            <w:pPr>
              <w:spacing w:after="0"/>
              <w:rPr>
                <w:sz w:val="12"/>
                <w:szCs w:val="12"/>
                <w:color w:val="auto"/>
              </w:rPr>
            </w:pPr>
          </w:p>
        </w:tc>
      </w:tr>
      <w:tr>
        <w:trPr>
          <w:trHeight w:val="142"/>
        </w:trPr>
        <w:tc>
          <w:tcPr>
            <w:tcW w:w="71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670,961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657,647</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670,961</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657,647</w:t>
            </w:r>
          </w:p>
        </w:tc>
        <w:tc>
          <w:tcPr>
            <w:tcW w:w="120" w:type="dxa"/>
            <w:vAlign w:val="bottom"/>
          </w:tcPr>
          <w:p>
            <w:pPr>
              <w:spacing w:after="0"/>
              <w:rPr>
                <w:sz w:val="12"/>
                <w:szCs w:val="12"/>
                <w:color w:val="auto"/>
              </w:rPr>
            </w:pPr>
          </w:p>
        </w:tc>
      </w:tr>
      <w:tr>
        <w:trPr>
          <w:trHeight w:val="14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Management remuneration</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40" w:type="dxa"/>
            <w:vAlign w:val="bottom"/>
          </w:tcPr>
          <w:p>
            <w:pPr>
              <w:spacing w:after="0"/>
              <w:rPr>
                <w:sz w:val="12"/>
                <w:szCs w:val="1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1,011,119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2,072,224</w:t>
            </w:r>
          </w:p>
        </w:tc>
        <w:tc>
          <w:tcPr>
            <w:tcW w:w="120" w:type="dxa"/>
            <w:vAlign w:val="bottom"/>
          </w:tcPr>
          <w:p>
            <w:pPr>
              <w:spacing w:after="0"/>
              <w:rPr>
                <w:sz w:val="12"/>
                <w:szCs w:val="12"/>
                <w:color w:val="auto"/>
              </w:rPr>
            </w:pPr>
          </w:p>
        </w:tc>
      </w:tr>
      <w:tr>
        <w:trPr>
          <w:trHeight w:val="148"/>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40" w:type="dxa"/>
            <w:vAlign w:val="bottom"/>
            <w:tcBorders>
              <w:bottom w:val="single" w:sz="8" w:color="auto"/>
            </w:tcBorders>
            <w:shd w:val="clear" w:color="auto" w:fill="CFF0FC"/>
          </w:tcPr>
          <w:p>
            <w:pPr>
              <w:spacing w:after="0"/>
              <w:rPr>
                <w:sz w:val="12"/>
                <w:szCs w:val="12"/>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64,400,841</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4,053,826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42"/>
        </w:trPr>
        <w:tc>
          <w:tcPr>
            <w:tcW w:w="718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65,411,960</w:t>
            </w:r>
          </w:p>
        </w:tc>
        <w:tc>
          <w:tcPr>
            <w:tcW w:w="4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6,126,050</w:t>
            </w:r>
          </w:p>
        </w:tc>
        <w:tc>
          <w:tcPr>
            <w:tcW w:w="120" w:type="dxa"/>
            <w:vAlign w:val="bottom"/>
          </w:tcPr>
          <w:p>
            <w:pPr>
              <w:spacing w:after="0"/>
              <w:rPr>
                <w:sz w:val="12"/>
                <w:szCs w:val="12"/>
                <w:color w:val="auto"/>
              </w:rPr>
            </w:pPr>
          </w:p>
        </w:tc>
      </w:tr>
      <w:tr>
        <w:trPr>
          <w:trHeight w:val="148"/>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i w:val="1"/>
                <w:iCs w:val="1"/>
                <w:color w:val="auto"/>
              </w:rPr>
              <w:t>Business development expenses</w:t>
            </w:r>
          </w:p>
        </w:tc>
        <w:tc>
          <w:tcPr>
            <w:tcW w:w="140" w:type="dxa"/>
            <w:vAlign w:val="bottom"/>
            <w:shd w:val="clear" w:color="auto" w:fill="CFF0FC"/>
          </w:tcPr>
          <w:p>
            <w:pPr>
              <w:spacing w:after="0"/>
              <w:rPr>
                <w:sz w:val="12"/>
                <w:szCs w:val="12"/>
                <w:color w:val="auto"/>
              </w:rPr>
            </w:pPr>
          </w:p>
        </w:tc>
        <w:tc>
          <w:tcPr>
            <w:tcW w:w="16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4"/>
        </w:trPr>
        <w:tc>
          <w:tcPr>
            <w:tcW w:w="7180" w:type="dxa"/>
            <w:vAlign w:val="bottom"/>
          </w:tcPr>
          <w:p>
            <w:pPr>
              <w:spacing w:after="0"/>
              <w:rPr>
                <w:sz w:val="20"/>
                <w:szCs w:val="20"/>
                <w:color w:val="auto"/>
              </w:rPr>
            </w:pPr>
            <w:r>
              <w:rPr>
                <w:rFonts w:ascii="Times New Roman" w:cs="Times New Roman" w:eastAsia="Times New Roman" w:hAnsi="Times New Roman"/>
                <w:sz w:val="13"/>
                <w:szCs w:val="13"/>
                <w:color w:val="auto"/>
              </w:rPr>
              <w:t>Rezolve China (3)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4,750,430</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777,161</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-3384550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-3384550</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-2621915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-2621915</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-1850390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-1850390</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-692785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-692785</wp:posOffset>
            </wp:positionV>
            <wp:extent cx="774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-307340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-307340</wp:posOffset>
            </wp:positionV>
            <wp:extent cx="7747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2" w:name="page153"/>
    <w:bookmarkEnd w:id="152"/>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left="1020" w:right="220" w:hanging="503"/>
        <w:spacing w:after="0" w:line="282"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liquidated through the Demerger (Refer to Note 2.1—Basis of presentation).</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former subsidiary Rezolve China (Refer to Note 2.1—Basis of presentation).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debt to related party</w:t>
            </w:r>
          </w:p>
        </w:tc>
        <w:tc>
          <w:tcPr>
            <w:tcW w:w="3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447,067</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4,655,144</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191,405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Igor Lychagov</w:t>
            </w: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5,587,343</w:t>
            </w:r>
          </w:p>
        </w:tc>
        <w:tc>
          <w:tcPr>
            <w:tcW w:w="80" w:type="dxa"/>
            <w:vAlign w:val="bottom"/>
          </w:tcPr>
          <w:p>
            <w:pPr>
              <w:spacing w:after="0"/>
              <w:rPr>
                <w:sz w:val="17"/>
                <w:szCs w:val="17"/>
                <w:color w:val="auto"/>
              </w:rPr>
            </w:pPr>
          </w:p>
        </w:tc>
      </w:tr>
      <w:tr>
        <w:trPr>
          <w:trHeight w:val="196"/>
        </w:trPr>
        <w:tc>
          <w:tcPr>
            <w:tcW w:w="50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5,102,211</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6,225,815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related party</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899,978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147,605</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Arthur Yao</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137,019</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61,945</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Peter Vesco</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31,248</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17,433</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Sauvik Banerjjee</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58,320</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Anthony Sharp</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127,325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1,054,429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777,576</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Short term convertible debt</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Steve Perry</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132,269</w:t>
            </w:r>
          </w:p>
        </w:tc>
        <w:tc>
          <w:tcPr>
            <w:tcW w:w="80" w:type="dxa"/>
            <w:vAlign w:val="bottom"/>
          </w:tcPr>
          <w:p>
            <w:pPr>
              <w:spacing w:after="0"/>
              <w:rPr>
                <w:sz w:val="17"/>
                <w:szCs w:val="17"/>
                <w:color w:val="auto"/>
              </w:rPr>
            </w:pPr>
          </w:p>
        </w:tc>
      </w:tr>
      <w:tr>
        <w:trPr>
          <w:trHeight w:val="203"/>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Share Subscription Receivables</w:t>
            </w:r>
          </w:p>
        </w:tc>
        <w:tc>
          <w:tcPr>
            <w:tcW w:w="3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Daniel Wagner</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111,845</w:t>
            </w:r>
          </w:p>
        </w:tc>
        <w:tc>
          <w:tcPr>
            <w:tcW w:w="80" w:type="dxa"/>
            <w:vAlign w:val="bottom"/>
          </w:tcPr>
          <w:p>
            <w:pPr>
              <w:spacing w:after="0"/>
              <w:rPr>
                <w:sz w:val="17"/>
                <w:szCs w:val="17"/>
                <w:color w:val="auto"/>
              </w:rPr>
            </w:pPr>
          </w:p>
        </w:tc>
      </w:tr>
      <w:tr>
        <w:trPr>
          <w:trHeight w:val="203"/>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DBLP Sea Cow (2)</w:t>
            </w: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119,844</w:t>
            </w: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-921385</wp:posOffset>
            </wp:positionV>
            <wp:extent cx="431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-921385</wp:posOffset>
            </wp:positionV>
            <wp:extent cx="514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-141605</wp:posOffset>
            </wp:positionV>
            <wp:extent cx="431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-141605</wp:posOffset>
            </wp:positionV>
            <wp:extent cx="514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78" w:lineRule="exact"/>
        <w:rPr>
          <w:sz w:val="20"/>
          <w:szCs w:val="20"/>
          <w:color w:val="auto"/>
        </w:rPr>
      </w:pPr>
    </w:p>
    <w:p>
      <w:pPr>
        <w:ind w:left="1020" w:right="580" w:hanging="503"/>
        <w:spacing w:after="0" w:line="282"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of the Company's lease arrangements in place during the years ended December 31, 2024 and 2023 are short-term leases as they have lease</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terms of 12 months or less and do not include options to purchase the underlying assets. Upon adoption of ASC 842, the Company elected not to record short-term leases on its consolidated balance sheet and instead recognize lease payments in its consolidated statement of operations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hanging="512"/>
        <w:spacing w:after="0"/>
        <w:tabs>
          <w:tab w:leader="none" w:pos="5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United States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loss (income) before income taxes are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53" w:name="page154"/>
    <w:bookmarkEnd w:id="153"/>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171,670,156</w:t>
            </w:r>
          </w:p>
        </w:tc>
        <w:tc>
          <w:tcPr>
            <w:tcW w:w="8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696,137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262,064</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1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(92,982)</w:t>
            </w: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61,948</w:t>
            </w: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172,601,857</w:t>
            </w: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30,672,690</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-153670</wp:posOffset>
            </wp:positionV>
            <wp:extent cx="77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-153670</wp:posOffset>
            </wp:positionV>
            <wp:extent cx="1111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Current and deferred income tax expense consist of:</w:t>
      </w:r>
    </w:p>
    <w:p>
      <w:pPr>
        <w:spacing w:after="0" w:line="219"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r>
      <w:tr>
        <w:trPr>
          <w:trHeight w:val="42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24"/>
                <w:szCs w:val="24"/>
                <w:color w:val="auto"/>
              </w:rPr>
            </w:pPr>
          </w:p>
        </w:tc>
      </w:tr>
      <w:tr>
        <w:trPr>
          <w:trHeight w:val="209"/>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80" w:type="dxa"/>
            <w:vAlign w:val="bottom"/>
          </w:tcPr>
          <w:p>
            <w:pPr>
              <w:spacing w:after="0"/>
              <w:rPr>
                <w:sz w:val="18"/>
                <w:szCs w:val="18"/>
                <w:color w:val="auto"/>
              </w:rPr>
            </w:pPr>
          </w:p>
        </w:tc>
      </w:tr>
      <w:tr>
        <w:trPr>
          <w:trHeight w:val="210"/>
        </w:trPr>
        <w:tc>
          <w:tcPr>
            <w:tcW w:w="2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-299720</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143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4"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55"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(172,601,857)</w:t>
            </w:r>
          </w:p>
        </w:tc>
        <w:tc>
          <w:tcPr>
            <w:tcW w:w="220" w:type="dxa"/>
            <w:vAlign w:val="bottom"/>
            <w:tcBorders>
              <w:lef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(30,672,690)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43,150,464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or non-taxable foreign currency exchange results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(29,893,933)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(2,050,426)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(12,858,776)</w:t>
            </w:r>
          </w:p>
        </w:tc>
        <w:tc>
          <w:tcPr>
            <w:tcW w:w="80" w:type="dxa"/>
            <w:vAlign w:val="bottom"/>
            <w:tcBorders>
              <w:lef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(4,996,208)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Borders>
              <w:lef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44,933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-153670</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-153670</wp:posOffset>
            </wp:positionV>
            <wp:extent cx="514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ind w:left="520" w:hanging="377"/>
        <w:spacing w:after="0" w:line="266"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25% for 2024 and 23.5% for 2023.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520" w:right="460" w:hanging="377"/>
        <w:spacing w:after="0" w:line="282" w:lineRule="auto"/>
        <w:tabs>
          <w:tab w:leader="none" w:pos="5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80" w:type="dxa"/>
            <w:vAlign w:val="bottom"/>
          </w:tcPr>
          <w:p>
            <w:pPr>
              <w:spacing w:after="0"/>
              <w:rPr>
                <w:sz w:val="13"/>
                <w:szCs w:val="13"/>
                <w:color w:val="auto"/>
              </w:rPr>
            </w:pPr>
          </w:p>
        </w:tc>
        <w:tc>
          <w:tcPr>
            <w:tcW w:w="1260" w:type="dxa"/>
            <w:vAlign w:val="bottom"/>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UK (1)</w:t>
            </w:r>
          </w:p>
        </w:tc>
        <w:tc>
          <w:tcPr>
            <w:tcW w:w="2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41,980,917</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6,238,596</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Spain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1,106,475</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Indefinite</w:t>
            </w:r>
          </w:p>
        </w:tc>
        <w:tc>
          <w:tcPr>
            <w:tcW w:w="0" w:type="dxa"/>
            <w:vAlign w:val="bottom"/>
          </w:tcPr>
          <w:p>
            <w:pPr>
              <w:spacing w:after="0"/>
              <w:rPr>
                <w:sz w:val="1"/>
                <w:szCs w:val="1"/>
                <w:color w:val="auto"/>
              </w:rPr>
            </w:pPr>
          </w:p>
        </w:tc>
      </w:tr>
      <w:tr>
        <w:trPr>
          <w:trHeight w:val="203"/>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India</w:t>
            </w:r>
          </w:p>
        </w:tc>
        <w:tc>
          <w:tcPr>
            <w:tcW w:w="2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0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Taiwan</w:t>
            </w:r>
          </w:p>
        </w:tc>
        <w:tc>
          <w:tcPr>
            <w:tcW w:w="2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2,421,606</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20" w:right="540" w:hanging="512"/>
        <w:spacing w:after="0" w:line="266"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were not transferred to Rezolve AI plc in the Pre-Closing Demerger. As a result, all tax losses previously created in the UK was lost upon completion of the Pre-Closing Demerger, see note 2.1. Tax losses incurred subsequent to the Pre-Closing Demerger have an indefinite life.</w:t>
      </w:r>
    </w:p>
    <w:p>
      <w:pPr>
        <w:spacing w:after="0" w:line="67"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4" w:name="page155"/>
    <w:bookmarkEnd w:id="154"/>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10,719,324</w:t>
            </w: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8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 (based on tax return)</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16,505,726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losses lost on demerger</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(47,942,752)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80" w:type="dxa"/>
            <w:vAlign w:val="bottom"/>
          </w:tcPr>
          <w:p>
            <w:pPr>
              <w:spacing w:after="0"/>
              <w:rPr>
                <w:sz w:val="18"/>
                <w:szCs w:val="18"/>
                <w:color w:val="auto"/>
              </w:rPr>
            </w:pPr>
          </w:p>
        </w:tc>
      </w:tr>
      <w:tr>
        <w:trPr>
          <w:trHeight w:val="210"/>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6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-7620</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2025, we do not expect any material reductions to our unrecognized tax benefits related to tax positions taken as of December 31, 2024. No assurance can be given as to the nature or impact of any changes in our unrecognized tax positions during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19"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5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13,624,502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7,382,329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22,001,800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(646,895)</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(485,477)</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(1,132,372)</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20,869,428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(20,869,428)</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 net of valuation allowance</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-1148080</wp:posOffset>
            </wp:positionV>
            <wp:extent cx="514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431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-582295</wp:posOffset>
            </wp:positionV>
            <wp:extent cx="514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-582295</wp:posOffset>
            </wp:positionV>
            <wp:extent cx="431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514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431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33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 2024, the Company announced that it entered into a commercial agreement with Microsoft Corporation. Through this collaboration, Rezolve’s Brain Suite, including Brain Commerce, Brain Checkout, and Brain Assistant, will be powered by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155" w:name="page156"/>
    <w:bookmarkEnd w:id="155"/>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Microsoft Azure and available globally via Microsoft’s Azure Marketplace and co-sell channels. The Company is committed to spend £117.98 million (approximately $147.66 million at December 31, 2024) under this agreement to purchase eligible services and offerings from Microsoft over the next 5 years.</w:t>
      </w:r>
    </w:p>
    <w:p>
      <w:pPr>
        <w:spacing w:after="0" w:line="68"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November 20, 2024, the Company announced that it entered into a commercial agreement with Google Cloud EMEA Ltd (“Google”). Through this collaboration, Google will resell Rezolve AI’s Brain Suite. The Company’s commitments to purchase eligible services and offerings from Google is summarized in the table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Commitment amount</w:t>
            </w:r>
          </w:p>
        </w:tc>
        <w:tc>
          <w:tcPr>
            <w:tcW w:w="100" w:type="dxa"/>
            <w:vAlign w:val="bottom"/>
          </w:tcPr>
          <w:p>
            <w:pPr>
              <w:spacing w:after="0"/>
              <w:rPr>
                <w:sz w:val="15"/>
                <w:szCs w:val="15"/>
                <w:color w:val="auto"/>
              </w:rPr>
            </w:pPr>
          </w:p>
        </w:tc>
      </w:tr>
      <w:tr>
        <w:trPr>
          <w:trHeight w:val="209"/>
        </w:trPr>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1</w:t>
            </w:r>
          </w:p>
        </w:tc>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FF0FC"/>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Commitment period 2</w:t>
            </w:r>
          </w:p>
        </w:tc>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3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18"/>
                <w:szCs w:val="18"/>
                <w:color w:val="auto"/>
              </w:rPr>
            </w:pPr>
          </w:p>
        </w:tc>
      </w:tr>
      <w:tr>
        <w:trPr>
          <w:trHeight w:val="216"/>
        </w:trPr>
        <w:tc>
          <w:tcPr>
            <w:tcW w:w="1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 period 3</w:t>
            </w:r>
          </w:p>
        </w:tc>
        <w:tc>
          <w:tcPr>
            <w:tcW w:w="3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34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Commitment</w:t>
            </w:r>
          </w:p>
        </w:tc>
        <w:tc>
          <w:tcPr>
            <w:tcW w:w="3720" w:type="dxa"/>
            <w:vAlign w:val="bottom"/>
          </w:tcPr>
          <w:p>
            <w:pPr>
              <w:spacing w:after="0"/>
              <w:rPr>
                <w:sz w:val="18"/>
                <w:szCs w:val="18"/>
                <w:color w:val="auto"/>
              </w:rPr>
            </w:pPr>
          </w:p>
        </w:tc>
        <w:tc>
          <w:tcPr>
            <w:tcW w:w="3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w:t>
            </w:r>
          </w:p>
        </w:tc>
        <w:tc>
          <w:tcPr>
            <w:tcW w:w="10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left="760" w:hanging="243"/>
        <w:spacing w:after="0"/>
        <w:tabs>
          <w:tab w:leader="none" w:pos="7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on November 15, 2024 and continuing for 12 months.</w:t>
      </w:r>
    </w:p>
    <w:p>
      <w:pPr>
        <w:spacing w:after="0" w:line="117"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1 and continuing for 12 months.</w:t>
      </w:r>
    </w:p>
    <w:p>
      <w:pPr>
        <w:spacing w:after="0" w:line="117" w:lineRule="exact"/>
        <w:rPr>
          <w:rFonts w:ascii="Times New Roman" w:cs="Times New Roman" w:eastAsia="Times New Roman" w:hAnsi="Times New Roman"/>
          <w:sz w:val="18"/>
          <w:szCs w:val="18"/>
          <w:color w:val="auto"/>
        </w:rPr>
      </w:pPr>
    </w:p>
    <w:p>
      <w:pPr>
        <w:ind w:left="760" w:hanging="243"/>
        <w:spacing w:after="0"/>
        <w:tabs>
          <w:tab w:leader="none" w:pos="76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starting at the end of Commitment Period 2 and continuing for 12 months.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2024, we have evaluated subsequent events through April 23, 2025, which is the date such financial statements are available to be issued.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Senior-secured term-loan facility</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January 23, 2025, the Company entered into a senior-secured term-loan facility (the “Facility”) with Joh. Berenberg, Gossler &amp; Co. KG, a financial institution established under the laws of the Federal Republic of Germany (the “Lender”). Capitalized terms used but not defined herein shall have the meanings ascribed to them in the Facility.</w:t>
      </w:r>
    </w:p>
    <w:p>
      <w:pPr>
        <w:spacing w:after="0" w:line="68" w:lineRule="exact"/>
        <w:rPr>
          <w:sz w:val="20"/>
          <w:szCs w:val="20"/>
          <w:color w:val="auto"/>
        </w:rPr>
      </w:pPr>
    </w:p>
    <w:p>
      <w:pPr>
        <w:ind w:right="100" w:firstLine="554"/>
        <w:spacing w:after="0" w:line="282" w:lineRule="auto"/>
        <w:rPr>
          <w:sz w:val="20"/>
          <w:szCs w:val="20"/>
          <w:color w:val="auto"/>
        </w:rPr>
      </w:pPr>
      <w:r>
        <w:rPr>
          <w:rFonts w:ascii="Times New Roman" w:cs="Times New Roman" w:eastAsia="Times New Roman" w:hAnsi="Times New Roman"/>
          <w:sz w:val="18"/>
          <w:szCs w:val="18"/>
          <w:color w:val="auto"/>
        </w:rPr>
        <w:t>The committed amount of the Facility is $30,000,000 (the “Committed Amount”). The Company may draw the Committed Amount, in full but not in part, until February 20, 2025 upon the satisfaction or waiver of certain customary conditions precedent.</w:t>
      </w:r>
    </w:p>
    <w:p>
      <w:pPr>
        <w:spacing w:after="0" w:line="54"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68"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68" w:lineRule="exact"/>
        <w:rPr>
          <w:sz w:val="20"/>
          <w:szCs w:val="20"/>
          <w:color w:val="auto"/>
        </w:rPr>
      </w:pPr>
    </w:p>
    <w:p>
      <w:pPr>
        <w:ind w:right="40" w:firstLine="554"/>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72" w:lineRule="exact"/>
        <w:rPr>
          <w:sz w:val="20"/>
          <w:szCs w:val="20"/>
          <w:color w:val="auto"/>
        </w:rPr>
      </w:pPr>
    </w:p>
    <w:p>
      <w:pPr>
        <w:ind w:right="120" w:firstLine="554"/>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68"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Bluedot Acquisition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6" w:name="page157"/>
    <w:bookmarkEnd w:id="156"/>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4, 2025, the Company entered into a purchase agreement with DBLP Sea Cow Ltd (“DBLP”), to acquire the entire issued and to be issued share capital of each of Bluedot Industries, Inc. and Bluedot Industries Pty. Ltd. As consideration for this acquisition, the Company issued 819,737 ordinary shares of the Company to DBLP.</w:t>
      </w:r>
    </w:p>
    <w:p>
      <w:pPr>
        <w:spacing w:after="0" w:line="176"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DBLP is a related party and is wholly legally owned by Daniel Wagner and beneficially owned by John Wagner. Both Daniel Wagner and John Wagner are directors of DBLP.</w:t>
      </w:r>
    </w:p>
    <w:p>
      <w:pPr>
        <w:spacing w:after="0" w:line="54"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March 17, 2025, the Company entered into a share purchase agreement with Tanist Group Limited (“Tanist Group”) pursuant to which the Company acquired 100% of the issued and outstanding shares of Bluedot Innovation Pty. Ltd. As consideration for this acquisition, the Company issued 1,941,111 ordinary shares of the Company to the Tanist Group.</w:t>
      </w:r>
    </w:p>
    <w:p>
      <w:pPr>
        <w:spacing w:after="0" w:line="68"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Bluedot Industries, Inc., Bluedot Industries Pty. Ltd.and Bluedot Innovation Pty. Ltd, together “Bluedot”, is a developer of mobile location technology to enhance customer experiences.</w:t>
      </w:r>
    </w:p>
    <w:p>
      <w:pPr>
        <w:spacing w:after="0" w:line="54"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February 20, 2025 and March 17, 2025, the Company closed the Bluedot Acquisition and issued the above mentioned ordinary shares as consideration to DBLP and the Tanist Group, respectively.</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Bluedot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 of Bluedot was not deemed significant under Rule 3-05 of Regulation S-X (“Rule 3-05”).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Sellers”), to acquire the entire issued and to be issued share capital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22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in a private placement to the Sellers.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utilizes the services of an independent valuation consultant, along with estimates and assumptions determined by management, to estimate the fair value of the assets acquired and liabilities assumed. Given the timing of the GroupBy Acquisition, the assets acquired are still in process of being valued by an independent valuation consultant. The liabilities assumed are also preliminary until the contractual post-closing adjustments are finalized. The final determination of the fair value of assets acquired and liabilities assumed will be completed within the one-year measurement period as allowed by ASC 805. Therefore the initial accounting for this acquisition is incomplete as of the date of issuance of these consolidated financial statements.</w:t>
      </w:r>
    </w:p>
    <w:p>
      <w:pPr>
        <w:spacing w:after="0" w:line="183"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separate financial statements for GroupBy are included elsewhere in this prospectus.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February 21, 2025, the Company entered into a Securities Purchase Agreement (the “SPA”) with each of the investors listed on the Schedule of Buyers attached thereto (the “Buyers”). Capitalized terms used but not defined herein shall have the meanings ascribed to them in the SPA or the form of Convertible Note (as defined below), as applicable.</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Pursuant to the SPA, the Company has agreed to sell to the Buyers up to $1 billion of Convertible Notes. The Company has agreed to use all of the proceeds it receives from the sale of the Convertible Notes to cause a newly formed, wholly owned subsidiary of the Company (the “New SPV Subsidiary”), to purchase and hold Bitcoin, subject to certain conditions being met, as set out in the terms of the Convertible Notes.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7" w:name="page158"/>
    <w:bookmarkEnd w:id="157"/>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the Company will initially sell $100 million of Convertible Notes (the “Initial Notes”) to the Buyers (the “Initial Closing”). In connection with the Initial Closing, the Company will also issue a number of ordinary shares (“Closing Commitment Shares”) of the Company, par value £0.0001 (“Ordinary Shares”) equal to the applicable Commitment Shares Calculation set forth in the SPA. The Closing Commitment Shares shall be purchased for a price of £0.0001 per Closing Commitment Share and shall be delivered to the Buyers as set forth in the Schedule of Buyers on the date the Closing Commitment Shares are registered for resale under the Securities Exchange Act of 1934, as amended.</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Subject to the satisfaction or waiver of certain conditions to closing set forth in the SPA, beginning on June 25, 2025 and until February 21, 2028, the Lead Buyer may cause the Company to participate in additional closings (each, an “Additional Closing”) for up to $900 million of additional Convertible Notes (the “Additional Notes” and, together with the Initial Notes, the “Convertible Notes”) with a conversion price equal to the 20-day VWAP of the Ordinary Shares on the date of the applicable Additional Closing. In connection with each Additional Closing, the Company will sell Additional Notes to the Buyers and issue a number of Ordinary Shares (“Additional Commitment Shares” and, together with Closing Commitment Shares, “Commitment Shares”) to the Buyers equal to the applicable Commitment Shares Calculation set forth in the SPA. The Additional Commitment Shares shall be purchased for a price of £0.0001 per Additional Commitment Share and shall be delivered to the Buyers on a pro rata basis upon the delivery of the Conversion Notice associated with the Additional Notes purchased at the respective Additional Closing.</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that the Lead Buyer does not purchase any Additional Notes on or prior to the earlier of (i) the Company meeting the Equity Conditions or (ii) December 24, 2025, the Company may reduce the maximum number Additional Notes purchasable by the Buyers from $900 million to $500 million.</w:t>
      </w:r>
    </w:p>
    <w:p>
      <w:pPr>
        <w:spacing w:after="0" w:line="17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Each Convertible Note shall mature on the fifth anniversary of its issuance date, subject to acceleration through full redemption or conversion pursuant to its terms, and shall accrue interest at the Effective Federal Funds Rate. Upon the option of the Buyers, (i) the Initial Notes will be convertible into Ordinary Shares at a conversion price of $3 per share and (ii) the Additional Notes will be convertible into Ordinary Shares at a conversion price equal to the 20-day VWAP of the Ordinary Shares as of the date of the applicable Additional Closing on which such Additional Notes were purchased. The conversion price will be subject to adjustment as provided in the Convertible Notes if, so long as any Convertible Notes remain outstanding, the Company issues or sells, or is deemed to have issued or sold, any Ordinary Shares or other instruments convertible into Ordinary Shares at an Effective Issuance Price Per Ordinary Share less than the Conversion Price of the then-outstanding Convertible Notes.</w:t>
      </w:r>
    </w:p>
    <w:p>
      <w:pPr>
        <w:spacing w:after="0" w:line="189"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Convertible Notes will be guaranteed by the Company and all of its direct and indirect subsidiaries, including the New SPV Subsidiary. Additionally, the Convertible Notes will be secured by a first priority perfected security interest in (i) all of the Bitcoin purchased by the New SPV Subsidiary and (i) all remaining cash proceeds from the sale of the Convertible Notes held by the New SPV Subsidiary.</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Initial Closing, the Company will enter into a Pledge Agreement and Registration Rights Agreement in favor of the Buyers. The Registration Rights Agreement will register for resale all of the Ordinary Shares issued upon conversion of the Convertible Notes and all of the Commitment Shares.</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Convertible Notes contain customary events of default for similar financing transactions, but with sole recourse (save in the case of certain major events of default set forth in the Note) to the segregated accounts held by the New SPV Subsidiary and irrespective to the market price of Bitcoin. In the event Bitcoin trades above the value of the Convertible Notes, the value in excess of the Convertible Notes will be for the account of the Company. At any time after an event of default, the Convertible Notes will accrue interest at a rate equal to the then applicable interest rate plus 5.0% and the Buyers may accelerate or redeem the Convertible Notes, as set forth in the Convertible Notes.</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Certain of the Buyers or their affiliates have in the past provided and may from time to time in the future provide investment banking and other services to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of additional paid-in-capital</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February 26, 2025, the board of the directors of the Company passed a resolution to reduce the additional paid-in-capital of the Company by $200,000,000. A recapitalization occurred capitalizing $200,000,000 to accumulated deficit.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other liabilities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8" w:name="page159"/>
    <w:bookmarkEnd w:id="158"/>
    <w:p>
      <w:pPr>
        <w:ind w:left="398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4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the Company settled certain of its outstanding convertible debt through the issuance of ordinary shares and also issued additional ordinary shares to a subscriber under its advanced subscription agreement for ordinary shares. See note 7 for more information.</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765" w:right="679" w:bottom="1440" w:gutter="0" w:footer="0" w:header="0"/>
        </w:sectPr>
      </w:pPr>
    </w:p>
    <w:bookmarkStart w:id="159" w:name="page160"/>
    <w:bookmarkEnd w:id="15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Board of Directors and Shareholders of GroupBy Group of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combined consolidated financial statements of GroupBy Group of Companies, which comprise the balance sheets as of December 31, 2024 and December 31, 2023, and the related statements of loss and other comprehensive loss, changes in deficit, and cash flows for the years then ended, and the related notes to the combined consolidated financial statements, including a summary of material accounting policies.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combined consolidated financial statements referred to above present fairly, in all material respects, the financial position of GroupBy Group of Companies as of December 31, 2024 and December 31, 2023, and the results of its operations and its cash flows for the years then ended in accordance with IFRS® Accounting Standards as issued by the International Accounting Standards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Our responsibilities under those standards are further described in the Auditor’s Responsibilities for the Audit of the Combined Consolidated Financial Statements section of our report. We are required to be independent of GroupBy Group of Companies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Uncertainty Related to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draw attention to Note 3 in the combined consolidated financial statements, which indicated that GroupBy Group of Companies incurred a net loss during the years ended December 31, 2024 and December 31, 2023, and as of those dates, GroupBy Group of Companies’ current liabilities exceeded its total assets. As stated in Note 3, these events or conditions, along with other matters as set forth in Note 3, indicate that material uncertainty exists that casts significant doubt on GroupBy Group of Companies’ ability to continue as a going concern. Our opinion is not modified in respect of this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Combined Consolidated Financial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combined consolidated financial statements in accordance with IFRS Accounting Standards as issued by the International Accounting Standards Board, and for the design, implementation, and maintenance of internal control relevant to the preparation and fair presentation of combined consolidated financial statements that are free from material misstatement, whether due to fraud or error.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combined consolidated financial statements, management is required to evaluate whether there are conditions or events, considered in the aggregate, that raise substantial doubt about GroupBy Group of Companies’ ability to continue as a going concern within one year after the date that the combined consolidated financial statements are available to be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Combined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combined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generally accepted auditing standards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combined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generally accepted auditing standards, we:</w:t>
      </w:r>
    </w:p>
    <w:p>
      <w:pPr>
        <w:spacing w:after="0" w:line="117" w:lineRule="exact"/>
        <w:rPr>
          <w:sz w:val="20"/>
          <w:szCs w:val="20"/>
          <w:color w:val="auto"/>
        </w:rPr>
      </w:pPr>
    </w:p>
    <w:p>
      <w:pPr>
        <w:ind w:left="5460" w:right="3640" w:hanging="4943"/>
        <w:spacing w:after="0" w:line="407" w:lineRule="auto"/>
        <w:tabs>
          <w:tab w:leader="none" w:pos="107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 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0" w:name="page161"/>
    <w:bookmarkEnd w:id="160"/>
    <w:p>
      <w:pPr>
        <w:ind w:left="1020" w:right="220" w:hanging="503"/>
        <w:spacing w:after="0" w:line="266"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combined consolidated financial statements, whether due to fraud or error, and design and perform audit procedures responsive to those risks. Such procedures include examining, on a test basis, evidence regarding the amounts and disclosures in the combined consolidated financial statements.</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GroupBy Group of Companies’ internal control. Accordingly, no such opinion is expressed.</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combined consolidated financial statements.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1" w:lineRule="auto"/>
        <w:tabs>
          <w:tab w:leader="none" w:pos="10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GroupBy Group of Companies’ ability to continue as a going concern for a reasonable period of time.We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MNP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Public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2025</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8"/>
                <w:szCs w:val="18"/>
                <w:i w:val="1"/>
                <w:iCs w:val="1"/>
                <w:color w:val="auto"/>
              </w:rPr>
              <w:t>(Note 5, Note 15)</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1,594,710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Investment tax credits receivable </w:t>
            </w:r>
            <w:r>
              <w:rPr>
                <w:rFonts w:ascii="Times New Roman" w:cs="Times New Roman" w:eastAsia="Times New Roman" w:hAnsi="Times New Roman"/>
                <w:sz w:val="18"/>
                <w:szCs w:val="18"/>
                <w:i w:val="1"/>
                <w:iCs w:val="1"/>
                <w:color w:val="auto"/>
              </w:rPr>
              <w:t>(Note 7)</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148,630</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Prepaid expenses and deposits </w:t>
            </w:r>
            <w:r>
              <w:rPr>
                <w:rFonts w:ascii="Times New Roman" w:cs="Times New Roman" w:eastAsia="Times New Roman" w:hAnsi="Times New Roman"/>
                <w:sz w:val="18"/>
                <w:szCs w:val="18"/>
                <w:i w:val="1"/>
                <w:iCs w:val="1"/>
                <w:color w:val="auto"/>
              </w:rPr>
              <w:t>(Note 19)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1,146,327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1,153,536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taxes receivable</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8,999,708</w:t>
            </w:r>
          </w:p>
        </w:tc>
        <w:tc>
          <w:tcPr>
            <w:tcW w:w="3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6,273,772</w:t>
            </w:r>
          </w:p>
        </w:tc>
        <w:tc>
          <w:tcPr>
            <w:tcW w:w="100" w:type="dxa"/>
            <w:vAlign w:val="bottom"/>
            <w:tcBorders>
              <w:top w:val="single" w:sz="8" w:color="CFF0FC"/>
            </w:tcBorders>
          </w:tcPr>
          <w:p>
            <w:pPr>
              <w:spacing w:after="0"/>
              <w:rPr>
                <w:sz w:val="18"/>
                <w:szCs w:val="18"/>
                <w:color w:val="auto"/>
              </w:rPr>
            </w:pPr>
          </w:p>
        </w:tc>
      </w:tr>
      <w:tr>
        <w:trPr>
          <w:trHeight w:val="209"/>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Property and equipment </w:t>
            </w:r>
            <w:r>
              <w:rPr>
                <w:rFonts w:ascii="Times New Roman" w:cs="Times New Roman" w:eastAsia="Times New Roman" w:hAnsi="Times New Roman"/>
                <w:sz w:val="18"/>
                <w:szCs w:val="18"/>
                <w:i w:val="1"/>
                <w:iCs w:val="1"/>
                <w:color w:val="auto"/>
              </w:rPr>
              <w:t>(Note 6)</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Right-of-use asset </w:t>
            </w:r>
            <w:r>
              <w:rPr>
                <w:rFonts w:ascii="Times New Roman" w:cs="Times New Roman" w:eastAsia="Times New Roman" w:hAnsi="Times New Roman"/>
                <w:sz w:val="18"/>
                <w:szCs w:val="18"/>
                <w:i w:val="1"/>
                <w:iCs w:val="1"/>
                <w:color w:val="auto"/>
              </w:rPr>
              <w:t>(Note 8)</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374,938</w:t>
            </w:r>
          </w:p>
        </w:tc>
        <w:tc>
          <w:tcPr>
            <w:tcW w:w="100" w:type="dxa"/>
            <w:vAlign w:val="bottom"/>
          </w:tcPr>
          <w:p>
            <w:pPr>
              <w:spacing w:after="0"/>
              <w:rPr>
                <w:sz w:val="18"/>
                <w:szCs w:val="18"/>
                <w:color w:val="auto"/>
              </w:rPr>
            </w:pPr>
          </w:p>
        </w:tc>
      </w:tr>
      <w:tr>
        <w:trPr>
          <w:trHeight w:val="24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21"/>
                <w:szCs w:val="21"/>
                <w:color w:val="auto"/>
              </w:rPr>
            </w:pPr>
          </w:p>
        </w:tc>
      </w:tr>
      <w:tr>
        <w:trPr>
          <w:trHeight w:val="197"/>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Bank indebtedness </w:t>
            </w:r>
            <w:r>
              <w:rPr>
                <w:rFonts w:ascii="Times New Roman" w:cs="Times New Roman" w:eastAsia="Times New Roman" w:hAnsi="Times New Roman"/>
                <w:sz w:val="18"/>
                <w:szCs w:val="18"/>
                <w:i w:val="1"/>
                <w:iCs w:val="1"/>
                <w:color w:val="auto"/>
              </w:rPr>
              <w:t>(Note 9)</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Accounts Payable and accrued liabilities </w:t>
            </w:r>
            <w:r>
              <w:rPr>
                <w:rFonts w:ascii="Times New Roman" w:cs="Times New Roman" w:eastAsia="Times New Roman" w:hAnsi="Times New Roman"/>
                <w:sz w:val="18"/>
                <w:szCs w:val="18"/>
                <w:i w:val="1"/>
                <w:iCs w:val="1"/>
                <w:color w:val="auto"/>
              </w:rPr>
              <w:t>(Note 10, Note 15)</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21,598,041</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10,416,166</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216,876</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Deferred revenue </w:t>
            </w:r>
            <w:r>
              <w:rPr>
                <w:rFonts w:ascii="Times New Roman" w:cs="Times New Roman" w:eastAsia="Times New Roman" w:hAnsi="Times New Roman"/>
                <w:sz w:val="18"/>
                <w:szCs w:val="18"/>
                <w:i w:val="1"/>
                <w:iCs w:val="1"/>
                <w:color w:val="auto"/>
              </w:rPr>
              <w:t>(Note 19)</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8,584,886</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Current portion of 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 liability </w:t>
            </w:r>
            <w:r>
              <w:rPr>
                <w:rFonts w:ascii="Times New Roman" w:cs="Times New Roman" w:eastAsia="Times New Roman" w:hAnsi="Times New Roman"/>
                <w:sz w:val="18"/>
                <w:szCs w:val="18"/>
                <w:i w:val="1"/>
                <w:iCs w:val="1"/>
                <w:color w:val="auto"/>
              </w:rPr>
              <w:t>(Note 11)</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20,149</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42,246,145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30,823,750</w:t>
            </w:r>
          </w:p>
        </w:tc>
        <w:tc>
          <w:tcPr>
            <w:tcW w:w="100" w:type="dxa"/>
            <w:vAlign w:val="bottom"/>
          </w:tcPr>
          <w:p>
            <w:pPr>
              <w:spacing w:after="0"/>
              <w:rPr>
                <w:sz w:val="18"/>
                <w:szCs w:val="18"/>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Lease liabilities </w:t>
            </w:r>
            <w:r>
              <w:rPr>
                <w:rFonts w:ascii="Times New Roman" w:cs="Times New Roman" w:eastAsia="Times New Roman" w:hAnsi="Times New Roman"/>
                <w:sz w:val="18"/>
                <w:szCs w:val="18"/>
                <w:i w:val="1"/>
                <w:iCs w:val="1"/>
                <w:color w:val="auto"/>
              </w:rPr>
              <w:t>(Note 8)</w:t>
            </w:r>
          </w:p>
        </w:tc>
        <w:tc>
          <w:tcPr>
            <w:tcW w:w="1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tcPr>
          <w:p>
            <w:pPr>
              <w:spacing w:after="0"/>
              <w:rPr>
                <w:sz w:val="18"/>
                <w:szCs w:val="18"/>
                <w:color w:val="auto"/>
              </w:rPr>
            </w:pPr>
          </w:p>
        </w:tc>
      </w:tr>
      <w:tr>
        <w:trPr>
          <w:trHeight w:val="25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42,395,090</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31,012,719</w:t>
            </w:r>
          </w:p>
        </w:tc>
        <w:tc>
          <w:tcPr>
            <w:tcW w:w="100" w:type="dxa"/>
            <w:vAlign w:val="bottom"/>
            <w:shd w:val="clear" w:color="auto" w:fill="CFF0FC"/>
          </w:tcPr>
          <w:p>
            <w:pPr>
              <w:spacing w:after="0"/>
              <w:rPr>
                <w:sz w:val="21"/>
                <w:szCs w:val="21"/>
                <w:color w:val="auto"/>
              </w:rPr>
            </w:pPr>
          </w:p>
        </w:tc>
      </w:tr>
      <w:tr>
        <w:trPr>
          <w:trHeight w:val="196"/>
        </w:trPr>
        <w:tc>
          <w:tcPr>
            <w:tcW w:w="61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Contingencies </w:t>
            </w:r>
            <w:r>
              <w:rPr>
                <w:rFonts w:ascii="Times New Roman" w:cs="Times New Roman" w:eastAsia="Times New Roman" w:hAnsi="Times New Roman"/>
                <w:sz w:val="18"/>
                <w:szCs w:val="18"/>
                <w:i w:val="1"/>
                <w:iCs w:val="1"/>
                <w:color w:val="auto"/>
              </w:rPr>
              <w:t>(Note 21)</w:t>
            </w:r>
          </w:p>
        </w:tc>
        <w:tc>
          <w:tcPr>
            <w:tcW w:w="16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Share capital </w:t>
            </w:r>
            <w:r>
              <w:rPr>
                <w:rFonts w:ascii="Times New Roman" w:cs="Times New Roman" w:eastAsia="Times New Roman" w:hAnsi="Times New Roman"/>
                <w:sz w:val="18"/>
                <w:szCs w:val="18"/>
                <w:i w:val="1"/>
                <w:iCs w:val="1"/>
                <w:color w:val="auto"/>
              </w:rPr>
              <w:t>(Note 13)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14,005,728</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18"/>
                <w:szCs w:val="18"/>
                <w:i w:val="1"/>
                <w:iCs w:val="1"/>
                <w:color w:val="auto"/>
              </w:rPr>
              <w:t>(Note 14)</w:t>
            </w:r>
          </w:p>
        </w:tc>
        <w:tc>
          <w:tcPr>
            <w:tcW w:w="1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(58,196,350)</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(49,263,493)</w:t>
            </w:r>
          </w:p>
        </w:tc>
      </w:tr>
      <w:tr>
        <w:trPr>
          <w:trHeight w:val="216"/>
        </w:trPr>
        <w:tc>
          <w:tcPr>
            <w:tcW w:w="61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 xml:space="preserve">Contributed surplus </w:t>
            </w:r>
            <w:r>
              <w:rPr>
                <w:rFonts w:ascii="Times New Roman" w:cs="Times New Roman" w:eastAsia="Times New Roman" w:hAnsi="Times New Roman"/>
                <w:sz w:val="18"/>
                <w:szCs w:val="18"/>
                <w:i w:val="1"/>
                <w:iCs w:val="1"/>
                <w:color w:val="auto"/>
              </w:rPr>
              <w:t>(Note 20)</w:t>
            </w:r>
          </w:p>
        </w:tc>
        <w:tc>
          <w:tcPr>
            <w:tcW w:w="16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(33,220,814)</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(24,364,009)</w:t>
            </w:r>
          </w:p>
        </w:tc>
      </w:tr>
      <w:tr>
        <w:trPr>
          <w:trHeight w:val="20"/>
        </w:trPr>
        <w:tc>
          <w:tcPr>
            <w:tcW w:w="6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9,174,276</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6,648,710</w:t>
            </w:r>
          </w:p>
        </w:tc>
        <w:tc>
          <w:tcPr>
            <w:tcW w:w="100" w:type="dxa"/>
            <w:vAlign w:val="bottom"/>
            <w:shd w:val="clear" w:color="auto" w:fill="CFF0FC"/>
          </w:tcPr>
          <w:p>
            <w:pPr>
              <w:spacing w:after="0"/>
              <w:rPr>
                <w:sz w:val="19"/>
                <w:szCs w:val="19"/>
                <w:color w:val="auto"/>
              </w:rPr>
            </w:pP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-3719830</wp:posOffset>
            </wp:positionV>
            <wp:extent cx="77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-3154045</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-2862580</wp:posOffset>
            </wp:positionV>
            <wp:extent cx="7747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-2845435</wp:posOffset>
            </wp:positionV>
            <wp:extent cx="7747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-2845435</wp:posOffset>
            </wp:positionV>
            <wp:extent cx="6858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-1739265</wp:posOffset>
            </wp:positionV>
            <wp:extent cx="774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-1165225</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7747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7747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774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7747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2" w:name="page163"/>
    <w:bookmarkEnd w:id="162"/>
    <w:p>
      <w:pPr>
        <w:ind w:left="4100"/>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7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i w:val="1"/>
                <w:iCs w:val="1"/>
                <w:color w:val="auto"/>
              </w:rPr>
              <w:t>(Note 19)</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11,874,137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9,596,739</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7,016,797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8"/>
                <w:szCs w:val="18"/>
                <w:i w:val="1"/>
                <w:iCs w:val="1"/>
                <w:color w:val="auto"/>
              </w:rPr>
              <w:t>(Note 7)</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6,835,367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7,096,165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18"/>
                <w:szCs w:val="18"/>
                <w:i w:val="1"/>
                <w:iCs w:val="1"/>
                <w:color w:val="auto"/>
              </w:rPr>
              <w:t>(Note 19)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4,906,824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4,158,183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General and administration </w:t>
            </w:r>
            <w:r>
              <w:rPr>
                <w:rFonts w:ascii="Times New Roman" w:cs="Times New Roman" w:eastAsia="Times New Roman" w:hAnsi="Times New Roman"/>
                <w:sz w:val="18"/>
                <w:szCs w:val="18"/>
                <w:i w:val="1"/>
                <w:iCs w:val="1"/>
                <w:color w:val="auto"/>
              </w:rPr>
              <w:t>(Note 12, Note 15, Note 16)</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2,789,811</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3,010,741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i w:val="1"/>
                <w:iCs w:val="1"/>
                <w:color w:val="auto"/>
              </w:rPr>
              <w:t>(Note 6, Note 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200,370</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14,732,372</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14,401,283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the undernoted</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(7,715,575)</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(4,149,201)</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and accretion </w:t>
            </w:r>
            <w:r>
              <w:rPr>
                <w:rFonts w:ascii="Times New Roman" w:cs="Times New Roman" w:eastAsia="Times New Roman" w:hAnsi="Times New Roman"/>
                <w:sz w:val="18"/>
                <w:szCs w:val="18"/>
                <w:i w:val="1"/>
                <w:iCs w:val="1"/>
                <w:color w:val="auto"/>
              </w:rPr>
              <w:t>(Note 8, Note 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1,152,396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1,147,970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47,365</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Gain on revaluation of warrant liability </w:t>
            </w:r>
            <w:r>
              <w:rPr>
                <w:rFonts w:ascii="Times New Roman" w:cs="Times New Roman" w:eastAsia="Times New Roman" w:hAnsi="Times New Roman"/>
                <w:sz w:val="18"/>
                <w:szCs w:val="18"/>
                <w:i w:val="1"/>
                <w:iCs w:val="1"/>
                <w:color w:val="auto"/>
              </w:rPr>
              <w:t>(Note 11)</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(7,474)</w:t>
            </w: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1,183,758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1,227,816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(8,899,333)</w:t>
            </w: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(5,377,017)</w:t>
            </w: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Provision for income taxes </w:t>
            </w:r>
            <w:r>
              <w:rPr>
                <w:rFonts w:ascii="Times New Roman" w:cs="Times New Roman" w:eastAsia="Times New Roman" w:hAnsi="Times New Roman"/>
                <w:sz w:val="18"/>
                <w:szCs w:val="18"/>
                <w:i w:val="1"/>
                <w:iCs w:val="1"/>
                <w:color w:val="auto"/>
              </w:rPr>
              <w:t>(Note 18)</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33,524</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(5,697,931)</w:t>
            </w:r>
          </w:p>
        </w:tc>
      </w:tr>
      <w:tr>
        <w:trPr>
          <w:trHeight w:val="20"/>
        </w:trPr>
        <w:tc>
          <w:tcPr>
            <w:tcW w:w="7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-2133600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768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-453390</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7683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6,085,161</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(43,565,562)</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(18,795,945)</w:t>
            </w: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10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(5,697,931)</w:t>
            </w:r>
          </w:p>
        </w:tc>
        <w:tc>
          <w:tcPr>
            <w:tcW w:w="0" w:type="dxa"/>
            <w:vAlign w:val="bottom"/>
          </w:tcPr>
          <w:p>
            <w:pPr>
              <w:spacing w:after="0"/>
              <w:rPr>
                <w:sz w:val="1"/>
                <w:szCs w:val="1"/>
                <w:color w:val="auto"/>
              </w:rPr>
            </w:pPr>
          </w:p>
        </w:tc>
      </w:tr>
      <w:tr>
        <w:trPr>
          <w:trHeight w:val="148"/>
        </w:trPr>
        <w:tc>
          <w:tcPr>
            <w:tcW w:w="53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2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129,867</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6,215,028</w:t>
            </w:r>
          </w:p>
        </w:tc>
        <w:tc>
          <w:tcPr>
            <w:tcW w:w="3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(49,263,493)</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(24,364,009)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and comprehensive loss</w:t>
            </w:r>
          </w:p>
        </w:tc>
        <w:tc>
          <w:tcPr>
            <w:tcW w:w="1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10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(8,932,857)</w:t>
            </w:r>
          </w:p>
        </w:tc>
        <w:tc>
          <w:tcPr>
            <w:tcW w:w="0" w:type="dxa"/>
            <w:vAlign w:val="bottom"/>
          </w:tcPr>
          <w:p>
            <w:pPr>
              <w:spacing w:after="0"/>
              <w:rPr>
                <w:sz w:val="1"/>
                <w:szCs w:val="1"/>
                <w:color w:val="auto"/>
              </w:rPr>
            </w:pPr>
          </w:p>
        </w:tc>
      </w:tr>
      <w:tr>
        <w:trPr>
          <w:trHeight w:val="148"/>
        </w:trPr>
        <w:tc>
          <w:tcPr>
            <w:tcW w:w="53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Recognition of share-based payments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76,052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14,005,728</w:t>
            </w:r>
          </w:p>
        </w:tc>
        <w:tc>
          <w:tcPr>
            <w:tcW w:w="30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4,678,728</w:t>
            </w:r>
          </w:p>
        </w:tc>
        <w:tc>
          <w:tcPr>
            <w:tcW w:w="320" w:type="dxa"/>
            <w:vAlign w:val="bottom"/>
            <w:gridSpan w:val="3"/>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6,291,080</w:t>
            </w:r>
          </w:p>
        </w:tc>
        <w:tc>
          <w:tcPr>
            <w:tcW w:w="3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(58,196,350)</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(33,220,814)</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-410845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-410845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-410845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-410845</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for) the following activities</w:t>
            </w:r>
          </w:p>
        </w:tc>
        <w:tc>
          <w:tcPr>
            <w:tcW w:w="17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(8,932,857)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(5,697,931)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200,369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136,194</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foreign exchange loss (gain)</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(3,044)</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warrant liability</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(16,004)</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(7,474)</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working capital accounts: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2,383,829</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148,630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(122,766)</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 (net)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(439,098)</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192,488</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7,209</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(147,724)</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10,415,075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720,304</w:t>
            </w:r>
          </w:p>
        </w:tc>
        <w:tc>
          <w:tcPr>
            <w:tcW w:w="12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1,233,267</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3,264,176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3,135,449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853,653</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Advances of bank indebtedness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lease liabilities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(90,630)</w:t>
            </w:r>
          </w:p>
        </w:tc>
      </w:tr>
      <w:tr>
        <w:trPr>
          <w:trHeight w:val="20"/>
        </w:trPr>
        <w:tc>
          <w:tcPr>
            <w:tcW w:w="570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(30,047)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1,909,370</w:t>
            </w:r>
          </w:p>
        </w:tc>
        <w:tc>
          <w:tcPr>
            <w:tcW w:w="120" w:type="dxa"/>
            <w:vAlign w:val="bottom"/>
          </w:tcPr>
          <w:p>
            <w:pPr>
              <w:spacing w:after="0"/>
              <w:rPr>
                <w:sz w:val="18"/>
                <w:szCs w:val="18"/>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(32,373)</w:t>
            </w:r>
          </w:p>
        </w:tc>
      </w:tr>
      <w:tr>
        <w:trPr>
          <w:trHeight w:val="216"/>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7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(32,093)</w:t>
            </w: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cash</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3,105,402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2,730,930</w:t>
            </w:r>
          </w:p>
        </w:tc>
        <w:tc>
          <w:tcPr>
            <w:tcW w:w="120" w:type="dxa"/>
            <w:vAlign w:val="bottom"/>
            <w:shd w:val="clear" w:color="auto" w:fill="CFF0FC"/>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year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3,376,896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645,966</w:t>
            </w:r>
          </w:p>
        </w:tc>
        <w:tc>
          <w:tcPr>
            <w:tcW w:w="120" w:type="dxa"/>
            <w:vAlign w:val="bottom"/>
          </w:tcPr>
          <w:p>
            <w:pPr>
              <w:spacing w:after="0"/>
              <w:rPr>
                <w:sz w:val="18"/>
                <w:szCs w:val="18"/>
                <w:color w:val="auto"/>
              </w:rPr>
            </w:pPr>
          </w:p>
        </w:tc>
      </w:tr>
      <w:tr>
        <w:trPr>
          <w:trHeight w:val="210"/>
        </w:trPr>
        <w:tc>
          <w:tcPr>
            <w:tcW w:w="5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end of year</w:t>
            </w:r>
          </w:p>
        </w:tc>
        <w:tc>
          <w:tcPr>
            <w:tcW w:w="19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6,482,298</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3,376,896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additions to right-of-use assets</w:t>
            </w:r>
          </w:p>
        </w:tc>
        <w:tc>
          <w:tcPr>
            <w:tcW w:w="1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(232,758)</w:t>
            </w:r>
          </w:p>
        </w:tc>
      </w:t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Non-cash additions to lease liabilities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-2139315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-2139315</wp:posOffset>
            </wp:positionV>
            <wp:extent cx="7747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-1573530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-1573530</wp:posOffset>
            </wp:positionV>
            <wp:extent cx="774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-1007745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-1007745</wp:posOffset>
            </wp:positionV>
            <wp:extent cx="7747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-433705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-433705</wp:posOffset>
            </wp:positionV>
            <wp:extent cx="7747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5" w:name="page166"/>
    <w:bookmarkEnd w:id="16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GROUPBY GROUP OF COMPANIES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COMBINED CONSOLIDIDATED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For the year ended December 31, 2024</w:t>
      </w:r>
    </w:p>
    <w:p>
      <w:pPr>
        <w:spacing w:after="0" w:line="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(Expressed in United States dollars)</w:t>
      </w:r>
    </w:p>
    <w:p>
      <w:pPr>
        <w:spacing w:after="0" w:line="218"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GroupBy Group of Companies (the “Group”) provides e-commerce software solutions that help their customers better connect with their customers by creating a more relevant user experience.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principal and registered address of the Group’s registered office is 250 The Esplanade, Suite 500, Toronto, ON M5A 4J6.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Compliance</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in accordance with International Financial Reporting Standards (“IFRS”) and interpretations adopted by the International Accounting Standards Board (“IASB”). The combined consolidated financial statements have been prepared on a historical cost basis, except for certain financial instruments that are measured at fair value as described in the accounting policies.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combined consolidated financial statements were approved by the Group’s board of directors on April 12, 2025.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combined consolidated financial statements were prepared on a going concern basis under the historical cost basis except for the revaluation of certain financial instruments. The principal accounting policies are set out in Note 4.</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on a going concern basis assuming that the Group will be able to realize its assets and to discharge its liabilities in the normal course of its operations. The Group has yet to achieve profitable operations.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 ended December 31, 2024, the Group incurred a net loss before other expenses and income taxes of $ 7,715,575 (2023 - $4,149,201</w:t>
      </w:r>
    </w:p>
    <w:p>
      <w:pPr>
        <w:spacing w:after="0" w:line="27" w:lineRule="exact"/>
        <w:rPr>
          <w:sz w:val="20"/>
          <w:szCs w:val="20"/>
          <w:color w:val="auto"/>
        </w:rPr>
      </w:pPr>
    </w:p>
    <w:p>
      <w:pPr>
        <w:ind w:right="160" w:firstLine="8"/>
        <w:spacing w:after="0" w:line="253" w:lineRule="auto"/>
        <w:tabs>
          <w:tab w:leader="none" w:pos="1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 net loss and comprehensive loss of $$8,932,857 (2023 - $$5,697,931). As at December 31,2024 , the Group has a deficit of $$58,196,350 (2023 - $$49,263,493), negative working capital of $33,212,913 (2023 - $24,648,395) and was not in compliance with their financial covenants (Note 9). These conditions, among others,create substantial doubt about the Group's ability to continue as a going concern. The Group is actively seeking new equity financing to relieve its debt load and provide sufficient capital to allow the Group to achieve positive operating cash flows. There can be no assurance the Group will be able to secure new financing or achieve its projected sales targets.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Management believes that the going concern assumption is appropriate for these combined consolidated financial statements. If the Group were unable to continue operations, material adjustments to the carrying amounts and classification of assets and liabilities would be necessary.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presentation currency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financial statements are presented in United States dollars, which is the functional currency of each entity within the Group.</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judgments, estimates and assumptions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the Group’s combined consolidated financial statements requires management to make judgments,estimates and assumptions that affect the reported amounts of revenues, expenses, assets and liabilities, and the disclosure of contingent liabilities, at the reporting date. These estimates and assumptions have been made using careful judgment; however, uncertainties could result in outcomes that would require a material adjustment to the carrying amount of the asset or liability affected in the future. The most significant estimates are as follows: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66" w:name="page167"/>
    <w:bookmarkEnd w:id="166"/>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Judgments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 examines the contracts with their customers to determine the individual performance obligations and then allocates the consideration of the contract to each performance obligation. The Group's services are to give customers access to cloud-based search-enhancing and data curation algorithms. The Group has determined that performance of this service obligation occurs over the time that the contract is outstanding and as such, has recognized the revenue from each contract on a straight-line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warrant liability</w:t>
      </w:r>
    </w:p>
    <w:p>
      <w:pPr>
        <w:spacing w:after="0" w:line="22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Estimating the fair value of warrants and conversion features requires determining the most appropriate valuation model,which is dependent on the terms and conditions of the grant. This estimate also requires determining the most appropriate inputs to the valuation model including the expected life of the warrants and conversion feature, volatility and dividend yield and making assumptions about them.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Group's functional currency is dependent on which currency the Group primarily operates in. The Group has assessed its revenues and expenditures, financing, and cash balances, and determined that the primary revenues and expenditures of each entity within the Group are denominated in United States dollars.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Recoverability of the carrying values of property and equipment</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Group assesses its property and equipment for indications of impairment at the end of each reporting period. Such indicators include, but are not limited to, changes in the Group's business plans, changes in market conditions and evidence of physical damage.</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Determination as to whether and to what degree property and equipment are impaired, involves management's application of judgment on highly uncertain matters such as future selling and purchasing prices, projected revenues and expenses, the effect of inflation on operating expenses, the Group's weighted average cost of capital and the economics of the industry.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Identification of cash-generating units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Group has allocated its tangible assets to the smallest identifiable group of assets that generate cash inflows and that are largely independent of the cash inflows from other assets. The Group has applied judgment to determine its cash generating units.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assesses its current liquidity and operational environment to determine if the going concern assumption is appropriate.</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Key sources of estimation uncertainty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Depreciation of the Group's property and equipment involves estimating their useful lives and residual values. These estimates may change as more experience is obtained, thereby impacting the value of the Group's property and equipment.</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Black-Scholes option pricing model was developed for use in estimating the fair value of traded options, which are fully transferable with no vesting restrictions. This option valuation model requires the input of highly subjective assumptions,including the expected stock price volatility, expected lives of the options, expected dividends to be paid by the Group and risk-free interest rates. Because the Group’s stock options have characteristics significantly different from those of traded options and because changes in the input assumptions can materially affect the fair value estimate, such value is subject to measurement uncertainty. The effect on the combined consolidated financial statements from changes in such estimates in future years could be significant.</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86" w:right="399" w:bottom="1440" w:gutter="0" w:footer="0" w:header="0"/>
        </w:sectPr>
      </w:pPr>
    </w:p>
    <w:bookmarkStart w:id="167" w:name="page168"/>
    <w:bookmarkEnd w:id="16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calculation of deferred taxes is based on assumptions, which are subject to uncertainty as to timing and which tax rates are expected to apply when temporary differences reverse. Deferred taxes recorded are also subject to uncertainty regarding the magnitude on non-capital losses available for carry forward and of the balances in various tax pools as the corporate tax return have not been prepared as of the date of financial statement preparation.</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These estimates and assumptions are reviewed periodically and as adjustments become necessary, they are reported in net loss in the years in which they become known. Actual results may differ significantly from management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Investment tax credits are accrued when the Group has made the qualifying expenditures, provided there is reasonable assurance that the credits will be realized. When the investment tax credits are not accrued in the year in which the qualifying expenditures are made due to no reasonable assurance that the credits will be realized, such credits are accrued in the subsequent year in which reasonable assurance of realization is first obtained. This is accounted for as a change in accounting estimate.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Valuation of financial instruments</w:t>
      </w:r>
    </w:p>
    <w:p>
      <w:pPr>
        <w:spacing w:after="0" w:line="22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Group uses valuation techniques that include inputs that are not based on observable market data to estimate the fair value of certain types of financial instruments. Management believes that the chosen valuation techniques and assumptions used are appropriate in determining the fair value of financial instruments.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Expected credit losses</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Group recognizes an allowance for expected credit losses associated with its financial assets, other than those financial assets measured at fair value through profit and loss. Expected credit losses are measured to reflect a probability weighted amount, the time value of money, and reasonable and supportable information regarding past events, current conditions and forecasts of future economic conditions. The Group assesses credit-impairment at each reporting date. The expected credit losses are presented in the combined consolidated statement of financial position as a deduction from the gross carrying amount of the financial asset.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0"/>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Material accounting policy information</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principle accounting policies adopted in the preparation of the combined consolidated financial statements are set out below. The policies have been consistently applied to all the years presented, unless otherwise stated.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combination</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combined consolidated financial statements incorporate the financial statements of GroupBy Inc. and the consolidated financial statements of GroupBy International Ltd. and its subsidiaries. GroupBy Inc. and GroupBy International Ltd. are companies under common control and were incorporated on November 15, 2012 and November 18, 2013, respectively,under the laws of the Province of Ontario. GroupBy International Ltd.'s wholly owned subsidiary, GroupBy USA Inc., was incorporated under the laws of the State of Delaware on November 18, 2013. GroupBy International Ltd.'s other wholly owned subsidiary, GroupBy UK Ltd., was incorporated on November 23, 2018 under the Companies Act 2006 of England and Wales.</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Group. Control is achieved where the Group is exposed, or has rights, to variable returns from its involvement with the entities and has the ability to affect those returns through its power over the entities. In assessing control, only rights that give the Group the current ability to direct the relevant activities and that the Group has the practical ability to exercise, are considered.</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results of subsidiaries are included in these combined consolidated financial statements from the effective date of acquisition, as appropriate. Where necessary, adjustments are made to the combined consolidated financial statements of acquired subsidiaries to conform their accounting policies to the Group's accounting policies. All inter-Group transactions,balances, income and expenses are eliminated on consolidation and combination.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68" w:name="page169"/>
    <w:bookmarkEnd w:id="168"/>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combined consolidated financial statements have been prepared using uniform accounting policies for like transactions and other events in similar circumstances. Where necessary, adjustments are made to the financial statements of subsidiaries to ensure consistency with those used by other members of the Group.</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Any balances, unrealized gains and losses or income and expenses arising from inter-Group transactions, are eliminated upon consolidation and combination. Unrealized gains arising from transactions with equity accounted investees are eliminated against the investment to the extent of the Group’s interest in the investee. Unrealized losses are eliminated in the same manner as unrealized gains, but only to the extent that there is no evidence of impairment.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These combined consolidated financial statements have been presented in United States ("US") dollars, the functional currency of the Group's operations.</w:t>
      </w:r>
    </w:p>
    <w:p>
      <w:pPr>
        <w:spacing w:after="0" w:line="16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Transactions denominated in foreign currencies are translated into the functional currency of the Group at exchange rates prevailing at the transaction dates (spot exchange rates). Monetary assets and liabilities are retranslated at the exchange rates at the combined consolidated statement of financial position date. Exchange gains and losses on translation or settlement are recognized in net loss for the year.</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Non-monetary items that are measured at historical cost are translated using the exchange rates at the date of the transaction and non-monetary items that are measured at fair value are translated using the exchange rates at the date when the items’ fair values were determined. Translation gains and losses are included in net loss and comprehensive loss for the year.</w:t>
      </w:r>
    </w:p>
    <w:p>
      <w:pPr>
        <w:spacing w:after="0" w:line="3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Group recognizes revenue when it transfers control of its services to the customer. As the Group has the right to bill customers in advance of providing the services, the Group recognizes the amount receivable with a corresponding deferred revenue. The Group follows a 5-step process to determine whether to recognize revenue:</w:t>
      </w:r>
    </w:p>
    <w:p>
      <w:pPr>
        <w:spacing w:after="0" w:line="176" w:lineRule="exact"/>
        <w:rPr>
          <w:sz w:val="20"/>
          <w:szCs w:val="20"/>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with a customer</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the performance obligations.</w:t>
      </w:r>
    </w:p>
    <w:p>
      <w:pPr>
        <w:spacing w:after="0" w:line="225"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performance obligations are satisfied.</w:t>
      </w:r>
    </w:p>
    <w:p>
      <w:pPr>
        <w:spacing w:after="0" w:line="22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Group's principal service involves cloud-based software solutions, which include the "Searchandiser" and "Edgecase Enrich" products. These services provide customers with e-commerce curation and intelligent search tools along with available support. Additional server time can be purchased separately and most contracts span multiple years. The Group recognizes revenue on a straight-line basis over the contract term as access to the software is provided. Additional server time is billed on a data-consumption basis and is recognized at the time the additional server time is provided. The Group recognizes sales commissions incurred to obtain new contracts as an asset which is amortized into expense on a straight-line basis over the term of the related contract.</w:t>
      </w:r>
    </w:p>
    <w:p>
      <w:pPr>
        <w:spacing w:after="0" w:line="18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Group recognizes an asset, included in prepaid expenses and deposits, for the incremental costs of obtaining a contract with a customer if it expects the costs to be recoverable and has determined that such costs meet the requirements to be capitalized. Capitalized contract acquisition costs are amortized consistent with the pattern of transfer to the customer for the services to which the asset relates. The Group does not capitalize incremental costs of obtaining contracts if the amortization period is one year or less.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deferred taxes</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Income taxes are comprised of current and deferred taxes. Income taxes are recognized in the combined consolidated statement of loss and comprehensive loss except to the extent that it relates to items recognized directly in equity, in which case the income tax is also recognized directly in equity.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9" w:name="page170"/>
    <w:bookmarkEnd w:id="169"/>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Current tax is the expected taxes payable on the taxable income for the year, using tax rates enacted, or substantively enacted, at the end of the reporting period, and any adjustment to tax payable in respect of previous years.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Deferred tax is recognized in respect of temporary differences arising between the tax bases of assets and liabilities and their carrying amounts in the financial statements. Deferred tax is determined on a non-discounted basis using tax rates and laws that have been enacted or substantively enacted at the end of the reporting period and are expected to apply when the asset is realized, or liability is settled. Deferred tax assets are recognized for deductible temporary differences, unused tax losses and other income tax deductions to the extent that it is probable the Group will have taxable income against which those deductible temporary differences, unused tax losses and other income tax deductions can be utilized. The extent to which deductible temporary differences, unused tax losses and other income tax deductions are expected to be realized is reassessed at the end of each reporting period.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 tax credits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Investment tax credits (“ITCs”) are recognized where there is reasonable assurance that the ITCs will be received and all attached conditions will be complied with. When the ITCs relate to an expense item, it is recognized in revenue. Where the ITCs relate to an asset, it reduces the carrying amount of the asset. The ITCs are then recognized as income over the useful life of a depreciable asset by way of a reduced depreciation charge. The Group is actively engaged in scientific research and development (“R&amp;D”) and, accordingly, has previously filed for ITC refunds under both the Canadian federal and Ontario provincial Scientific Research and Experimental Development (“SR&amp;ED”) tax incentive programs. The ITCs recorded in the accounts are based on management’s interpretation of the Income Tax Act of Canada, provisions which govern the eligibility of R&amp;D costs. The claims are subject to review by the Canada Revenue Agency and the Minister of Revenue for Ontario before the refunds can be released.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Cost includes expenditures that are directly attributable to the acquisition of the asset. Subsequent costs are included in the asset’s carrying amount or recognized as a separate asset, as appropriate, only when it is probable that future economic benefits associated with the item will flow to the Group and the cost can be measured reliably. The carrying amount of a replaced asset is derecognized when replaced. Repairs and maintenance costs are charged to the combined consolidated statement of loss and comprehensive loss during the period in which they are incurred.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Depreciation is provided using the declining balance method at rates intended to depreciate the cost of assets over their estimated useful lives.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methods of depreciation and depreciation rates applicable for each class of asset during the current and comparative years are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492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Method</w:t>
            </w:r>
          </w:p>
        </w:tc>
        <w:tc>
          <w:tcPr>
            <w:tcW w:w="1660" w:type="dxa"/>
            <w:vAlign w:val="bottom"/>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2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4920" w:type="dxa"/>
            <w:vAlign w:val="bottom"/>
          </w:tcPr>
          <w:p>
            <w:pPr>
              <w:ind w:left="3100"/>
              <w:spacing w:after="0"/>
              <w:rPr>
                <w:sz w:val="20"/>
                <w:szCs w:val="20"/>
                <w:color w:val="auto"/>
              </w:rPr>
            </w:pPr>
            <w:r>
              <w:rPr>
                <w:rFonts w:ascii="Times New Roman" w:cs="Times New Roman" w:eastAsia="Times New Roman" w:hAnsi="Times New Roman"/>
                <w:sz w:val="18"/>
                <w:szCs w:val="18"/>
                <w:color w:val="auto"/>
              </w:rPr>
              <w:t>declining balance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Residual values, method of depreciation and useful lives of the assets are reviewed annually and adjusted, if required.</w:t>
      </w:r>
    </w:p>
    <w:p>
      <w:pPr>
        <w:spacing w:after="0" w:line="22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Gains and losses on disposals of property and equipment are determined by comparing the proceeds with the carrying amount of the asset and are included in the combined consolidated statement of loss and comprehensive loss.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9"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Directors, officers, consultants, and employees of the Group receive remuneration in the form of share-based payment transactions, whereby directors, officers, consultants, and employees render services as consideration for equity instruments ("equity-settled share-based payments").</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Where equity instruments are issued and some or all of the goods or services received by the Group as consideration cannot be specifically identified, these non-identifiable goods or services are measured as the difference between the fair value of the share-based payment and the fair value of any identifiable goods or services received at the grant date.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0" w:name="page171"/>
    <w:bookmarkEnd w:id="170"/>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Equity-settled share-based payments to employees and others providing similar services are measured at the fair value of the equity instruments at the grant date. The fair value of the equity instruments granted is estimated using the Black-Scholes option pricing model, taking into account amounts that are believed to approximate the expected volatility of the trading price of the Group's stock, the expected lives of the awards of stock-based compensation, the fair value of the Group's stock and the risk-free interest rate, as determined at the grant date.</w:t>
      </w:r>
    </w:p>
    <w:p>
      <w:pPr>
        <w:spacing w:after="0" w:line="180"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equity instruments granted is recognized as an expense over the vesting period, based on the Group's estimate of the number of equity instruments that will eventually vest, with a corresponding increase to contributed surplus.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The Group’s financial assets, upon initial recognition, are measured at fair value and are classified as Fair Value through Profit or Loss (“FVTPL”), Fair Value through Other Comprehensive Income (“FVOCI”), or amortized cost. The classification is determined at initial recognition and is dependent on the business model in which a financial asset is managed and the characteristics of the contractual cash flows. Subsequent reclassification may only occur on the first day of the reporting period following a change to the business model.</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Group’s financial liabilities, upon initial recognition, are measured at fair value and are classified as amortized cost or FVTPL. A financial liability is classified as amortized cost at initial recognition unless it is classified as held-for-trading, is a derivative instrument or is specifically designated as FVTPL. Financial liabilities classified as amortized cost are subsequently measured using the effective interest method while financial liabilities at FVTPL are subsequently measured at fair value with changes in fair value recognized in the combined consolidated statement of loss and comprehensive loss in the period in which such changes arise.</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for trade receivables. The Group records an allowance for expected credit losses for financial assets that are measured at amortized cost. At each reporting date, the Group measures the allowance at an amount equal to the lifetime expected credit losses if the credit risk on its financial assets has increased significantly since initial recognition. If credit risk has not significantly increased since initial recognition, the Group measures the loss allowance at an amount equal to the 12-month expected credit losses.</w:t>
      </w:r>
    </w:p>
    <w:p>
      <w:pPr>
        <w:spacing w:after="0" w:line="180"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other than those related to financial instruments classified as FVTPL, which are expensed as incurred,are capitalized to the carrying amount of the instrument and amortized using the effective interest method.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the Group's classification of their financial instruments is disclosed below:</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20" w:type="dxa"/>
            <w:vAlign w:val="bottom"/>
          </w:tcPr>
          <w:p>
            <w:pPr>
              <w:spacing w:after="0"/>
              <w:rPr>
                <w:sz w:val="15"/>
                <w:szCs w:val="15"/>
                <w:color w:val="auto"/>
              </w:rPr>
            </w:pPr>
          </w:p>
        </w:tc>
      </w:tr>
      <w:tr>
        <w:trPr>
          <w:trHeight w:val="210"/>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tax credits and receivable</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r>
        <w:trPr>
          <w:trHeight w:val="216"/>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FVTPL</w:t>
            </w: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220"/>
              <w:spacing w:after="0"/>
              <w:rPr>
                <w:sz w:val="20"/>
                <w:szCs w:val="20"/>
                <w:color w:val="auto"/>
              </w:rPr>
            </w:pPr>
            <w:r>
              <w:rPr>
                <w:rFonts w:ascii="Times New Roman" w:cs="Times New Roman" w:eastAsia="Times New Roman" w:hAnsi="Times New Roman"/>
                <w:sz w:val="18"/>
                <w:szCs w:val="18"/>
                <w:color w:val="auto"/>
              </w:rPr>
              <w:t>Amortized Cost</w:t>
            </w:r>
          </w:p>
        </w:tc>
      </w:tr>
    </w:tbl>
    <w:p>
      <w:pPr>
        <w:spacing w:after="0" w:line="3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Compound financial instruments and embedded derivatives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examines the terms of its preferred shares for the correct classification in shareholders' deficit or liabilities. The Class A preferred shares have a conversion feature that includes a price-based antidilution adjustment. The price-based antidilution adjustment ensures Class A preferred shareholders are made whole in the event of a down financing round at the expense of common shareholders; therefore, the conversion feature was assessed to be a derivative liability, and measured at fair value. The residual amount was classified as equity. The derivative liability was determined to have a value of $nil (2023 - $nil) as at December 31, 2024. The derivative liability is revalued using the option pricing model at the end of each reporting period, with any changes recognized on the combined consolidated statement of loss and other comprehensive loss.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1" w:name="page172"/>
    <w:bookmarkEnd w:id="17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At inception of a contract, the Group assesses whether a contract is, or contains, a lease based on whether the contract conveys the right to control the use of identified asset for a period of time in exchange for consideration. The Group recognizes a right-of-use asset and a lease liability at the lease commencement date. The right-of-use assets are initially measured based on the initial amount of the lease liability adjusted for any lease payments made at or before the commencement date, plus any initial direct costs incurred and an estimate of the costs to dismantle and remove the underlying assets or to restore the underlying assets or the site on which it is located, less any lease incentives received.The right-of-use assets are depreciated to the earlier of the end of their useful life or the lease term using the straight-line method as this most closely reflects the expected pattern of the consumption of the future economic benefits. The lease term includes periods covered by an option to extend if the Group is reasonably certain to exercise that option. In addition,the right-of-use assets can be periodically reduced by impairment losses, if any, and adjusted for certain remeasurements of the lease liability. The lease liabilities are initially measured at the present value of the lease payments that are not paid at the commencement date, discounted using the interest rate implicit in the lease or, if that rate cannot be readily determined, the Group’s incremental borrowing rate.</w:t>
      </w:r>
    </w:p>
    <w:p>
      <w:pPr>
        <w:spacing w:after="0" w:line="1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lease liabilities are measured at amortized cost using the effective interest method. It is remeasured when there is a change in future lease payments arising from the change in an index or rate, if there is a change in the Group’s estimate of the amount expected to be payable under a residual value guarantee, or if the Group changes its assessment of whether it will exercise a purchase, extension or termination option. When the lease liability is remeasured in this way, a corresponding adjustment is made to the carrying amount of the right-of-use asset, unless it has been reduced to zero.</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Group has elected to apply the practical expedient not to recognize right-of-use assets and lease liabilities for short-term leases that have a lease term of 12 months or less or to leases of low value assets when applicable. The lease payments associated with those leases are recognized as an expense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had the following receivables at the end of each reporting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2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Harmonized sales tax receivable</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304,206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2,398,367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2,894,022</w:t>
            </w:r>
          </w:p>
        </w:tc>
        <w:tc>
          <w:tcPr>
            <w:tcW w:w="2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expected credit losses (Note 15)</w:t>
            </w:r>
          </w:p>
        </w:tc>
        <w:tc>
          <w:tcPr>
            <w:tcW w:w="1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1,148,861</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1,594,710</w:t>
            </w:r>
          </w:p>
        </w:tc>
        <w:tc>
          <w:tcPr>
            <w:tcW w:w="2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737"/>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2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w w:val="99"/>
              </w:rPr>
              <w:t>F-53</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-1293495</wp:posOffset>
            </wp:positionV>
            <wp:extent cx="431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-1293495</wp:posOffset>
            </wp:positionV>
            <wp:extent cx="431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-1002665</wp:posOffset>
            </wp:positionV>
            <wp:extent cx="431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-985520</wp:posOffset>
            </wp:positionV>
            <wp:extent cx="431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-1002665</wp:posOffset>
            </wp:positionV>
            <wp:extent cx="431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-985520</wp:posOffset>
            </wp:positionV>
            <wp:extent cx="431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2" w:name="page173"/>
    <w:bookmarkEnd w:id="172"/>
    <w:p>
      <w:pPr>
        <w:ind w:left="520" w:hanging="512"/>
        <w:spacing w:after="0"/>
        <w:tabs>
          <w:tab w:leader="none" w:pos="5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Computer</w:t>
            </w:r>
          </w:p>
        </w:tc>
        <w:tc>
          <w:tcPr>
            <w:tcW w:w="14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Funiture and</w:t>
            </w:r>
          </w:p>
        </w:tc>
        <w:tc>
          <w:tcPr>
            <w:tcW w:w="12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Office</w:t>
            </w:r>
          </w:p>
        </w:tc>
        <w:tc>
          <w:tcPr>
            <w:tcW w:w="140" w:type="dxa"/>
            <w:vAlign w:val="bottom"/>
          </w:tcPr>
          <w:p>
            <w:pPr>
              <w:spacing w:after="0"/>
              <w:rPr>
                <w:sz w:val="13"/>
                <w:szCs w:val="13"/>
                <w:color w:val="auto"/>
              </w:rPr>
            </w:pPr>
          </w:p>
        </w:tc>
        <w:tc>
          <w:tcPr>
            <w:tcW w:w="11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sofware</w:t>
            </w:r>
          </w:p>
        </w:tc>
        <w:tc>
          <w:tcPr>
            <w:tcW w:w="14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fixtures</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6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419,028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187,745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38,239</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688,404</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15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(451,351)</w:t>
            </w: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(11,069)</w:t>
            </w: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(187,745)</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10"/>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483,097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51,489</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343,323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143,723</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36,471</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534,586</w:t>
            </w:r>
          </w:p>
        </w:tc>
        <w:tc>
          <w:tcPr>
            <w:tcW w:w="2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5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Disposals</w:t>
            </w:r>
          </w:p>
        </w:tc>
        <w:tc>
          <w:tcPr>
            <w:tcW w:w="15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(455,225)</w:t>
            </w:r>
          </w:p>
        </w:tc>
        <w:tc>
          <w:tcPr>
            <w:tcW w:w="1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(11,048)</w:t>
            </w: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(183,893)</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(38,239)</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(688,404)</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5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153,818</w:t>
            </w:r>
          </w:p>
        </w:tc>
        <w:tc>
          <w:tcPr>
            <w:tcW w:w="2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-1859280</wp:posOffset>
            </wp:positionV>
            <wp:extent cx="768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-1859280</wp:posOffset>
            </wp:positionV>
            <wp:extent cx="7747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-1859280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-1859280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-1859280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-1576705</wp:posOffset>
            </wp:positionV>
            <wp:extent cx="7683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-1576705</wp:posOffset>
            </wp:positionV>
            <wp:extent cx="7747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-1576705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-1576705</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-1576705</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-1010920</wp:posOffset>
            </wp:positionV>
            <wp:extent cx="768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-1010920</wp:posOffset>
            </wp:positionV>
            <wp:extent cx="774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-1010920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-1010920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-1010920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-436245</wp:posOffset>
            </wp:positionV>
            <wp:extent cx="7683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-436245</wp:posOffset>
            </wp:positionV>
            <wp:extent cx="774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-436245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-436245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-436245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-153670</wp:posOffset>
            </wp:positionV>
            <wp:extent cx="768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-153670</wp:posOffset>
            </wp:positionV>
            <wp:extent cx="7747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-153670</wp:posOffset>
            </wp:positionV>
            <wp:extent cx="6858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-153670</wp:posOffset>
            </wp:positionV>
            <wp:extent cx="6858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-153670</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Tax Credits</w:t>
      </w:r>
    </w:p>
    <w:p>
      <w:pPr>
        <w:spacing w:after="0" w:line="22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Group undertakes certain scientific research and experimental development ("SR&amp;ED") activities. As at December 31,2024, the Group accrued $nil (2023 - $148,630) of investment tax credits ("ITCs") receivable. During the year, ITCs of $nil (2023 - $148,630) have been included as a reduction in research and development costs in relation to its current year claim.</w:t>
      </w:r>
    </w:p>
    <w:p>
      <w:pPr>
        <w:spacing w:after="0" w:line="200" w:lineRule="exact"/>
        <w:rPr>
          <w:sz w:val="20"/>
          <w:szCs w:val="20"/>
          <w:color w:val="auto"/>
        </w:rPr>
      </w:pPr>
    </w:p>
    <w:p>
      <w:pPr>
        <w:spacing w:after="0" w:line="296"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December 31, 2024, the Group's right-of-use assets and lease liabilities include a lease agreement for office premises in Toronto, Ontario.</w:t>
      </w:r>
    </w:p>
    <w:p>
      <w:pPr>
        <w:spacing w:after="0" w:line="2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Right-of-use assets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illustrates the right-of-use assets balance during the year: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73"/>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Office premises</w:t>
            </w:r>
          </w:p>
        </w:tc>
        <w:tc>
          <w:tcPr>
            <w:tcW w:w="0" w:type="dxa"/>
            <w:vAlign w:val="bottom"/>
          </w:tcPr>
          <w:p>
            <w:pPr>
              <w:spacing w:after="0"/>
              <w:rPr>
                <w:sz w:val="1"/>
                <w:szCs w:val="1"/>
                <w:color w:val="auto"/>
              </w:rPr>
            </w:pPr>
          </w:p>
        </w:tc>
      </w:tr>
      <w:tr>
        <w:trPr>
          <w:trHeight w:val="209"/>
        </w:trPr>
        <w:tc>
          <w:tcPr>
            <w:tcW w:w="75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10"/>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Disposals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232,758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(539,232)</w:t>
            </w:r>
          </w:p>
        </w:tc>
        <w:tc>
          <w:tcPr>
            <w:tcW w:w="0" w:type="dxa"/>
            <w:vAlign w:val="bottom"/>
          </w:tcPr>
          <w:p>
            <w:pPr>
              <w:spacing w:after="0"/>
              <w:rPr>
                <w:sz w:val="1"/>
                <w:szCs w:val="1"/>
                <w:color w:val="auto"/>
              </w:rPr>
            </w:pPr>
          </w:p>
        </w:tc>
      </w:tr>
      <w:tr>
        <w:trPr>
          <w:trHeight w:val="209"/>
        </w:trPr>
        <w:tc>
          <w:tcPr>
            <w:tcW w:w="752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11,638</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Derecognition</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58,190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Additions to the right-of-use assets during the year were $nil (2023 - $232,758).</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right-of-use assets are depreciated on a straight-line basis over the term of the respective leases.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sets out the maturity analysis of the lease liabilities: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75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Maturity analysis - contractual undiscounted cash flows</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51,264</w:t>
            </w:r>
          </w:p>
        </w:tc>
        <w:tc>
          <w:tcPr>
            <w:tcW w:w="6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One to five years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159,320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undiscounted lease liabilities as at December 31</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210,584</w:t>
            </w:r>
          </w:p>
        </w:tc>
        <w:tc>
          <w:tcPr>
            <w:tcW w:w="6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included in the statement of financial position as at December 31</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192,014</w:t>
            </w:r>
          </w:p>
        </w:tc>
        <w:tc>
          <w:tcPr>
            <w:tcW w:w="3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43,069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148,945</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7747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lease liabilities were measured at the present value of the remaining lease payments, discounted using the Group's estimated incremental borrowing rate at the inception of the leases. Leases are discounted at an estimated incremental borrowing rate of 9.00% (2023 - 9.75%). The expiration date of the outstanding lease agreement is September 2028 (2023 -September 2028).</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Group incurred interest expense of $nil (2023 - $2,783) on the lease liabilities, which was included in interest and accretion in the combined consolidated statement of loss and other comprehensive loss.</w:t>
      </w:r>
    </w:p>
    <w:p>
      <w:pPr>
        <w:spacing w:after="0" w:line="266"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indebtedness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The Group has access to a revolving credit facility with Bridge Bank, a division of Western Alliance. This credit facility has a maximum credit limit of $12,000,000 (2023 - $12,000,000). As at December 31, 2024, the Group had utilized $12,000,000 (2023 - $12,000,000) of this facility. The facility bears interest at the greater of (i) 3.25% and; (ii) bank's prime rate plus 1.25% (2023 - greater of (i) 3.25% and; (ii) bank's prime rate plus 1.25%) per annum. The facility is secured by a first priority security interest over all rights, title and interests of the Group.</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During the year, the Group recognized interest expense of $1,147,083 (2023 - $1,140,563) related to the above facilities, which is included in interest and accretion expense on the combined consolidated statement of loss and other comprehensive loss.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74" w:name="page175"/>
    <w:bookmarkEnd w:id="174"/>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Under the terms of the credit agreement with Bridge Bank, the Group is governed by standard operating covenants and must comply with certain financial covenants with respect to minimum annual recurring revenue and minimum liquidity, as defined in the loan and security agreement that the Group must achieve over a series of predefined periods. As at December 31, 2024, the Group was not in compliance with these financial covenants (2023 - not in compliance).</w:t>
      </w:r>
    </w:p>
    <w:p>
      <w:pPr>
        <w:spacing w:after="0" w:line="284"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remittances</w:t>
      </w:r>
    </w:p>
    <w:p>
      <w:pPr>
        <w:spacing w:after="0" w:line="229"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Government remittances payable of $12,662 (2023 - $4,374) related to United States sales taxes and United Kingdom value added taxes are included in accounts payable and accrued liabilities as at December 31, 2024.</w:t>
      </w:r>
    </w:p>
    <w:p>
      <w:pPr>
        <w:spacing w:after="0" w:line="266" w:lineRule="exact"/>
        <w:rPr>
          <w:sz w:val="20"/>
          <w:szCs w:val="20"/>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22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Group has issued warrants to Silicon Valley Bank in connection to a credit facility that was fully repaid and closed in the prior year. Each warrant is exchangeable for one Class A preferred share of GroupBy International Ltd. and GroupBy Inc. with an exercise price of $1.45 (2023 - $1.45). Upon initial recognition, the warrants were determined to be and presented as a warrant liability as the terms of the warrants give the holder the option to settle in cash or to exchange the warrants for Class A preferred share of an equivalent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Share-based payments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2"/>
            <w:vMerge w:val="restart"/>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3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230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December 31, 2022</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14,883,972</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1,360,500</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(1,583,500)</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14,660,972</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issued</w:t>
            </w:r>
          </w:p>
        </w:tc>
        <w:tc>
          <w:tcPr>
            <w:tcW w:w="4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1,361,750</w:t>
            </w:r>
          </w:p>
        </w:tc>
        <w:tc>
          <w:tcPr>
            <w:tcW w:w="2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46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(132,500)</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160" w:type="dxa"/>
            <w:vAlign w:val="bottom"/>
            <w:gridSpan w:val="2"/>
            <w:shd w:val="clear" w:color="auto" w:fill="CFF0FC"/>
          </w:tcPr>
          <w:p>
            <w:pPr>
              <w:spacing w:after="0"/>
              <w:rPr>
                <w:sz w:val="18"/>
                <w:szCs w:val="18"/>
                <w:color w:val="auto"/>
              </w:rPr>
            </w:pPr>
          </w:p>
        </w:tc>
        <w:tc>
          <w:tcPr>
            <w:tcW w:w="2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(1,164,666)</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2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 outstanding, December 31, 2024</w:t>
            </w:r>
          </w:p>
        </w:tc>
        <w:tc>
          <w:tcPr>
            <w:tcW w:w="2160" w:type="dxa"/>
            <w:vAlign w:val="bottom"/>
            <w:tcBorders>
              <w:top w:val="single" w:sz="8" w:color="CFF0FC"/>
            </w:tcBorders>
            <w:gridSpan w:val="2"/>
          </w:tcPr>
          <w:p>
            <w:pPr>
              <w:spacing w:after="0"/>
              <w:rPr>
                <w:sz w:val="18"/>
                <w:szCs w:val="18"/>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20" w:type="dxa"/>
            <w:vAlign w:val="bottom"/>
            <w:tcBorders>
              <w:top w:val="single" w:sz="8" w:color="CFF0FC"/>
            </w:tcBorders>
          </w:tcPr>
          <w:p>
            <w:pPr>
              <w:spacing w:after="0"/>
              <w:rPr>
                <w:sz w:val="18"/>
                <w:szCs w:val="18"/>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0.50</w:t>
            </w:r>
          </w:p>
        </w:tc>
        <w:tc>
          <w:tcPr>
            <w:tcW w:w="26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4"/>
        </w:trPr>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620" w:type="dxa"/>
            <w:vAlign w:val="bottom"/>
            <w:gridSpan w:val="4"/>
          </w:tcPr>
          <w:p>
            <w:pPr>
              <w:jc w:val="right"/>
              <w:ind w:right="3140"/>
              <w:spacing w:after="0"/>
              <w:rPr>
                <w:sz w:val="20"/>
                <w:szCs w:val="20"/>
                <w:color w:val="auto"/>
              </w:rPr>
            </w:pPr>
            <w:r>
              <w:rPr>
                <w:rFonts w:ascii="Times New Roman" w:cs="Times New Roman" w:eastAsia="Times New Roman" w:hAnsi="Times New Roman"/>
                <w:sz w:val="18"/>
                <w:szCs w:val="18"/>
                <w:color w:val="auto"/>
              </w:rPr>
              <w:t>F-56</w:t>
            </w: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-1559560</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-1559560</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-993775</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-993775</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at</w:t>
            </w:r>
          </w:p>
        </w:tc>
        <w:tc>
          <w:tcPr>
            <w:tcW w:w="200" w:type="dxa"/>
            <w:vAlign w:val="bottom"/>
          </w:tcPr>
          <w:p>
            <w:pPr>
              <w:spacing w:after="0"/>
              <w:rPr>
                <w:sz w:val="12"/>
                <w:szCs w:val="12"/>
                <w:color w:val="auto"/>
              </w:rPr>
            </w:pPr>
          </w:p>
        </w:tc>
        <w:tc>
          <w:tcPr>
            <w:tcW w:w="10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Remaining life (years)</w:t>
            </w:r>
          </w:p>
        </w:tc>
        <w:tc>
          <w:tcPr>
            <w:tcW w:w="0" w:type="dxa"/>
            <w:vAlign w:val="bottom"/>
          </w:tcPr>
          <w:p>
            <w:pPr>
              <w:spacing w:after="0"/>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Liquidity Event</w:t>
            </w: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17, 2014</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27,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25, 2015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382,273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October 2, 2015</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March 21,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27, 2016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15, 2016</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15, 2017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27, 2017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28,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31, 2018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25,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30, 2019</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27, 2019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26, 2020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2020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3,572,500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February 16,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12, 2021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October 15, 2021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18, 2022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22, 2024</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2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1,324,750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CFF0FC"/>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14,725,556</w:t>
            </w:r>
          </w:p>
        </w:tc>
        <w:tc>
          <w:tcPr>
            <w:tcW w:w="2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As at December 31, 2024, the weighted average exercise price of the outstanding and exercisable options is $0.50 (2023 -$0.50). The remaining contractual lives of outstanding and exercisable options and range between 0.1 and 1.4 years (2023- 0.1 and 2.4 years). Share-based payment expense for year was $76,062 (2023 - $129,867).</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are the assumptions that were used to value the options issued during the year ended December 31, 2024:</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1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r>
      <w:tr>
        <w:trPr>
          <w:trHeight w:val="210"/>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fair value per common share</w:t>
            </w:r>
          </w:p>
        </w:tc>
        <w:tc>
          <w:tcPr>
            <w:tcW w:w="280" w:type="dxa"/>
            <w:vAlign w:val="bottom"/>
          </w:tcPr>
          <w:p>
            <w:pPr>
              <w:spacing w:after="0"/>
              <w:rPr>
                <w:sz w:val="18"/>
                <w:szCs w:val="18"/>
                <w:color w:val="auto"/>
              </w:rPr>
            </w:pPr>
          </w:p>
        </w:tc>
        <w:tc>
          <w:tcPr>
            <w:tcW w:w="1840" w:type="dxa"/>
            <w:vAlign w:val="bottom"/>
            <w:tcBorders>
              <w:top w:val="single" w:sz="8" w:color="auto"/>
            </w:tcBorders>
          </w:tcPr>
          <w:p>
            <w:pPr>
              <w:jc w:val="right"/>
              <w:ind w:right="16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0.42</w:t>
            </w:r>
          </w:p>
        </w:tc>
        <w:tc>
          <w:tcPr>
            <w:tcW w:w="22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2120" w:type="dxa"/>
            <w:vAlign w:val="bottom"/>
            <w:gridSpan w:val="2"/>
            <w:shd w:val="clear" w:color="auto" w:fill="CFF0FC"/>
          </w:tcPr>
          <w:p>
            <w:pPr>
              <w:jc w:val="right"/>
              <w:ind w:right="16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4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61.88%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60.27%</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120" w:type="dxa"/>
            <w:vAlign w:val="bottom"/>
            <w:gridSpan w:val="2"/>
            <w:shd w:val="clear" w:color="auto" w:fill="CFF0FC"/>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rPr>
              <w:t>0.8-1.6</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20" w:type="dxa"/>
            <w:vAlign w:val="bottom"/>
            <w:gridSpan w:val="2"/>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0.00%</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20" w:type="dxa"/>
            <w:vAlign w:val="bottom"/>
            <w:gridSpan w:val="2"/>
            <w:shd w:val="clear" w:color="auto" w:fill="CFF0FC"/>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2.79% - 4.39%</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center"/>
              <w:ind w:right="193"/>
              <w:spacing w:after="0"/>
              <w:rPr>
                <w:sz w:val="20"/>
                <w:szCs w:val="20"/>
                <w:color w:val="auto"/>
              </w:rPr>
            </w:pPr>
            <w:r>
              <w:rPr>
                <w:rFonts w:ascii="Times New Roman" w:cs="Times New Roman" w:eastAsia="Times New Roman" w:hAnsi="Times New Roman"/>
                <w:sz w:val="18"/>
                <w:szCs w:val="18"/>
                <w:color w:val="auto"/>
                <w:w w:val="99"/>
              </w:rPr>
              <w:t>3.56% - 4.96%</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Group's authorized capital consists of:- An unlimited number of Class A common shares in the capital of GroupBy Inc. and GroupBy International Ltd.</w:t>
      </w:r>
    </w:p>
    <w:p>
      <w:pPr>
        <w:spacing w:after="0" w:line="162" w:lineRule="exact"/>
        <w:rPr>
          <w:sz w:val="20"/>
          <w:szCs w:val="20"/>
          <w:color w:val="auto"/>
        </w:rPr>
      </w:pPr>
    </w:p>
    <w:p>
      <w:pPr>
        <w:ind w:left="5460" w:right="2580" w:hanging="4943"/>
        <w:spacing w:after="0" w:line="407" w:lineRule="auto"/>
        <w:tabs>
          <w:tab w:leader="none" w:pos="62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B common shares in the capital of GroupBy Inc. and GroupBy International Ltd. 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6" w:name="page177"/>
    <w:bookmarkEnd w:id="176"/>
    <w:p>
      <w:pPr>
        <w:ind w:left="620" w:hanging="103"/>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C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D common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620" w:hanging="103"/>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number of Class A preferred shares in the capital of GroupBy Inc. and GroupBy International Ltd.</w:t>
      </w:r>
    </w:p>
    <w:p>
      <w:pPr>
        <w:spacing w:after="0" w:line="225" w:lineRule="exact"/>
        <w:rPr>
          <w:rFonts w:ascii="Times New Roman" w:cs="Times New Roman" w:eastAsia="Times New Roman" w:hAnsi="Times New Roman"/>
          <w:sz w:val="18"/>
          <w:szCs w:val="18"/>
          <w:color w:val="auto"/>
        </w:rPr>
      </w:pPr>
    </w:p>
    <w:p>
      <w:pPr>
        <w:ind w:left="520" w:right="2380" w:hanging="3"/>
        <w:spacing w:after="0" w:line="500" w:lineRule="auto"/>
        <w:tabs>
          <w:tab w:leader="none" w:pos="62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number of Class A-1 preferred shares in the capital of GroupBy Inc. and GroupBy International Ltd. </w:t>
      </w:r>
      <w:r>
        <w:rPr>
          <w:rFonts w:ascii="Times New Roman" w:cs="Times New Roman" w:eastAsia="Times New Roman" w:hAnsi="Times New Roman"/>
          <w:sz w:val="18"/>
          <w:szCs w:val="18"/>
          <w:u w:val="single" w:color="auto"/>
          <w:color w:val="auto"/>
        </w:rPr>
        <w:t>Class A common shares</w:t>
      </w:r>
    </w:p>
    <w:p>
      <w:pPr>
        <w:spacing w:after="0" w:line="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share equally with the holders of the Class B common shares, Class C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A common shares shall be entitled to receive notice of and attend any meeting of the shareholders of the Group and shall be entitled to one vote in respect of each Class A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B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B common shares shall be entitled to share equally with the holders of the Class A common shares, Class C common shares and Class D common shares, share for share, in the remaining property of the Group upon the liquidation, dissolution or winding up of the Group, whether voluntary or involuntary.</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B common share shall be entitled to receive notice of and attend any meeting of the shareholdersof the Group and shall be entitled to 1.0000000000001 votes in respect of each Class B common share held at all meetingsof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C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C common shares shall be entitled to share equally with the holders of the Class A common shares, Class B common shares and Class D common shares, share for share, in the remaining property of the Group up on the liquidation, dissolution or winding up of the Group, whether voluntary or involuntary.</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holders of the Class C common share shall be entitled to receive notice of and attend any meeting of the shareholders of the Group and shall be entitled to 1.0000000000002 votes in respect of each Class C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D common shares</w:t>
      </w:r>
    </w:p>
    <w:p>
      <w:pPr>
        <w:spacing w:after="0" w:line="22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receive dividends, independent of the dividends paid on any other class of shares of the Group, when, as and if declared by the board of directors of the Group, out of the monies of the Group properly applicable to the payment of dividends, in such amount as the board of directors shall determine.</w:t>
      </w:r>
    </w:p>
    <w:p>
      <w:pPr>
        <w:spacing w:after="0" w:line="36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D common shares shall be entitled to share equally with the holders of the Class A common shares, Class B common shares and Class C common shares, share for share, in the remaining property of the Group up on the liquidation, dissolution or winding up of the Group, whether voluntary or involuntary.The holders of the Class D common share shall be entitled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7" w:name="page178"/>
    <w:bookmarkEnd w:id="177"/>
    <w:p>
      <w:pPr>
        <w:ind w:right="340"/>
        <w:spacing w:after="0" w:line="282" w:lineRule="auto"/>
        <w:rPr>
          <w:sz w:val="20"/>
          <w:szCs w:val="20"/>
          <w:color w:val="auto"/>
        </w:rPr>
      </w:pPr>
      <w:r>
        <w:rPr>
          <w:rFonts w:ascii="Times New Roman" w:cs="Times New Roman" w:eastAsia="Times New Roman" w:hAnsi="Times New Roman"/>
          <w:sz w:val="18"/>
          <w:szCs w:val="18"/>
          <w:color w:val="auto"/>
        </w:rPr>
        <w:t>to receive notice of and attend any meeting of the shareholders of the Group and shall be entitled to 1.0000000000003 votes in respect of each Class D common share held at all meetings of shareholders of the Group.</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Class A preferred shares and Class A-1 preferred shares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Group shall not declare, pay or set aside any dividends on shares of any other class of the Group unless the holders of the Class A and Class A-1 preferred shares then outstanding simultaneously receive, on a pro-rata basis, a dividend on each outstanding Class A and Class A-1 preferred share.In the event of any voluntary or involuntary liquidation, dissolution or winding up of the Group, the holders of Class A and Class A-1 preferred shares are entitled to be paid out of the assets of the Group available for distribution to its shareholders on a pro-rata basis with the holders of the Class A and Class A-1 preferred shares and before any payment shall be made to the holders of common shares, with the amount payable in respect of each Class A preferred shares equal to an amount per share equal to the Class A original issue price (US$1.4543 per share), plus any dividends declared but unpaid thereon.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holders of the Class A preferred shares shall be entitled to cast the number of votes equal to the number of whole common shares into which the Class A and Class A-1 preferred shares are convertible as of the record date for determining shareholders entitled to vote on such matter. Holders of Class A preferred shares shall vote together with the holders of preferred shares and the holders of common shares as a single class.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holders of Class A and A-1 preferred shares have conversion rights to convert, at the option of the holder, at any time and from time to time, and without payment of additional consideration by its holder, into such number of fully paid and nonassessable common shares as is determined by dividing the Class A original issue price by the Class A conversion price,as defined in the articles of the Group. Upon specific trigger events as specified in the articles of amendment, all outstanding Class A and Class A-1 preferred shares shall automatically be converted into common shares.</w:t>
      </w:r>
    </w:p>
    <w:p>
      <w:pPr>
        <w:spacing w:after="0" w:line="180"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Each holder of Class A and Class A-1 preferred shares shall be entitled to elect to receive distributions (including dividends)from the Group on the preferred shares as a return of stated capital upon liquidation of the Group's business. Every dollar paid as a return of stated capital shall be considered to have satisfied one dollar of the distribution entitlement of each preferred share.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Borders>
              <w:bottom w:val="single" w:sz="8" w:color="auto"/>
            </w:tcBorders>
          </w:tcPr>
          <w:p>
            <w:pPr>
              <w:spacing w:after="0"/>
              <w:rPr>
                <w:sz w:val="15"/>
                <w:szCs w:val="15"/>
                <w:color w:val="auto"/>
              </w:rPr>
            </w:pPr>
          </w:p>
        </w:tc>
        <w:tc>
          <w:tcPr>
            <w:tcW w:w="668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4"/>
                <w:szCs w:val="14"/>
                <w:b w:val="1"/>
                <w:bCs w:val="1"/>
                <w:color w:val="auto"/>
              </w:rPr>
              <w:t>Financial Asset/Liability</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6,075,633 Class A common shares (2023 - 6,075,633)</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836,742</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836,742</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28,188,792</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shares (2023 - 28,188,792)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7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4,533,882 Class D common shares (2023 - 4,533,882)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14,492,467</w:t>
            </w: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preferred shares (2023 - 14,492,467)</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13,168,946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13,168,946</w:t>
            </w:r>
          </w:p>
        </w:tc>
        <w:tc>
          <w:tcPr>
            <w:tcW w:w="100" w:type="dxa"/>
            <w:vAlign w:val="bottom"/>
          </w:tcPr>
          <w:p>
            <w:pPr>
              <w:spacing w:after="0"/>
              <w:rPr>
                <w:sz w:val="18"/>
                <w:szCs w:val="18"/>
                <w:color w:val="auto"/>
              </w:rPr>
            </w:pPr>
          </w:p>
        </w:tc>
      </w:tr>
      <w:tr>
        <w:trPr>
          <w:trHeight w:val="210"/>
        </w:trPr>
        <w:tc>
          <w:tcPr>
            <w:tcW w:w="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14,005,728</w:t>
            </w:r>
          </w:p>
        </w:tc>
        <w:tc>
          <w:tcPr>
            <w:tcW w:w="100" w:type="dxa"/>
            <w:vAlign w:val="bottom"/>
            <w:shd w:val="clear" w:color="auto" w:fill="CFF0FC"/>
          </w:tcPr>
          <w:p>
            <w:pPr>
              <w:spacing w:after="0"/>
              <w:rPr>
                <w:sz w:val="18"/>
                <w:szCs w:val="18"/>
                <w:color w:val="auto"/>
              </w:rPr>
            </w:pPr>
          </w:p>
        </w:tc>
      </w:tr>
      <w:tr>
        <w:trPr>
          <w:trHeight w:val="20"/>
        </w:trPr>
        <w:tc>
          <w:tcPr>
            <w:tcW w:w="840" w:type="dxa"/>
            <w:vAlign w:val="bottom"/>
            <w:shd w:val="clear" w:color="auto" w:fill="CFF0FC"/>
          </w:tcPr>
          <w:p>
            <w:pPr>
              <w:spacing w:after="0" w:line="20" w:lineRule="exact"/>
              <w:rPr>
                <w:sz w:val="1"/>
                <w:szCs w:val="1"/>
                <w:color w:val="auto"/>
              </w:rPr>
            </w:pPr>
          </w:p>
        </w:tc>
        <w:tc>
          <w:tcPr>
            <w:tcW w:w="66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-7620</wp:posOffset>
            </wp:positionV>
            <wp:extent cx="774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4"/>
        </w:trPr>
        <w:tc>
          <w:tcPr>
            <w:tcW w:w="3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warrants</w:t>
            </w:r>
          </w:p>
        </w:tc>
        <w:tc>
          <w:tcPr>
            <w:tcW w:w="300" w:type="dxa"/>
            <w:vAlign w:val="bottom"/>
          </w:tcPr>
          <w:p>
            <w:pPr>
              <w:spacing w:after="0"/>
              <w:rPr>
                <w:sz w:val="24"/>
                <w:szCs w:val="24"/>
                <w:color w:val="auto"/>
              </w:rPr>
            </w:pPr>
          </w:p>
        </w:tc>
        <w:tc>
          <w:tcPr>
            <w:tcW w:w="134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Weigthed Average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2022</w:t>
            </w:r>
          </w:p>
        </w:tc>
        <w:tc>
          <w:tcPr>
            <w:tcW w:w="180" w:type="dxa"/>
            <w:vAlign w:val="bottom"/>
          </w:tcPr>
          <w:p>
            <w:pPr>
              <w:spacing w:after="0"/>
              <w:rPr>
                <w:sz w:val="18"/>
                <w:szCs w:val="18"/>
                <w:color w:val="auto"/>
              </w:rPr>
            </w:pPr>
          </w:p>
        </w:tc>
        <w:tc>
          <w:tcPr>
            <w:tcW w:w="300" w:type="dxa"/>
            <w:vAlign w:val="bottom"/>
            <w:tcBorders>
              <w:top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included in equity, December 31, 2023</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11,429,093</w:t>
            </w:r>
          </w:p>
        </w:tc>
        <w:tc>
          <w:tcPr>
            <w:tcW w:w="46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4,678,728</w:t>
            </w: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Add: warrants issued</w:t>
            </w:r>
          </w:p>
        </w:tc>
        <w:tc>
          <w:tcPr>
            <w:tcW w:w="1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expired warrants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included in equity, December 31, 2024</w:t>
            </w:r>
          </w:p>
        </w:tc>
        <w:tc>
          <w:tcPr>
            <w:tcW w:w="180" w:type="dxa"/>
            <w:vAlign w:val="bottom"/>
          </w:tcPr>
          <w:p>
            <w:pPr>
              <w:spacing w:after="0"/>
              <w:rPr>
                <w:sz w:val="18"/>
                <w:szCs w:val="18"/>
                <w:color w:val="auto"/>
              </w:rPr>
            </w:pP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11,429,093</w:t>
            </w:r>
          </w:p>
        </w:tc>
        <w:tc>
          <w:tcPr>
            <w:tcW w:w="46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4,678,728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-436245</wp:posOffset>
            </wp:positionV>
            <wp:extent cx="768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-436245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-436245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-153670</wp:posOffset>
            </wp:positionV>
            <wp:extent cx="768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-153670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-153670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total warrants included in equity include 135,000 (2023 - 135,000) warrants exchangeable for one class A common share of GroupBy International Ltd. and GroupBy Inc. with an exercise price of $2.14 (2023 - $2.14) and 11,294,093 (2023 - 11,294,093) warrants exchangeable for one class A preferred share of GroupBy International Ltd. and GroupBy Inc. During the year ended December 31, 2024, 8,767,105 warrants had their expiration date extended by a year from July 2024 to July 2025, and 2,526,988 warrants had their expiration date extended by a year from September 2024 to September 2025. No remeasurement adjustments were made as a result of the extension of the expiration dates.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8" w:name="page179"/>
    <w:bookmarkEnd w:id="178"/>
    <w:p>
      <w:pPr>
        <w:ind w:left="520" w:hanging="512"/>
        <w:spacing w:after="0"/>
        <w:tabs>
          <w:tab w:leader="none" w:pos="5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Group as part of its operations carries a number of financial instruments. It is management's opinion that the Group is not exposed to significant interest, currency or credit risks arising from these financial instruments except as otherwise disclosed.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Fair value is the amount for which an asset could be exchanged, or a liability settled, between knowledgeable, willing parties in an arm’s length transaction. Cash is classified as Level 1 in the fair value hierarchy. The fair value of the Group’s cash, accounts receivable, investment tax credits receivable, bank indebtedness, accounts payable and accrued liabilities, and income taxes payable are estimated by management to approximate their carrying values due to their short-term nature. The fair value of the Group's lease liabilities and long-term debt are also fairly reflected by their carrying values as they have been financed at interest rates which are similar to current market interest rates. The fair value of the Group's warrant liability is estimated using the Black-Scholes option pricing model, as described in Note 11, and is therefore classified as Level 3 in the fair value hierarchy.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rate risk is the risk that the value of a financial instrument might be adversely affected by a change in the interest rates. Changes in market interest rates may have an effect on the cash flows associated with some financial assets and liabilities, known as cash flow risk, and on the fair value of other financial assets or liabilities, known as price risk. The Group is exposed to interest rate risk through the impact of changes in market interest rates on the fair values of its instruments.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cash flow risk on its bank indebtedness as it is subject to a floating interest rate.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 is exposed to interest rate price risk on its lease liabilities as they are subject to fixed interest rates.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Liquidity risk is the risk that the Group may not be able to generate sufficient cash resources to settle its obligations as they become due. The Group manages liquidity risk by maintaining adequate cash balances and borrowing facilities, by continuously monitoring forecast and actual cash flows, and by matching the maturity profiles of financial assets and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the Group's financial liabilities that would be settled by cash resources and contractual maturities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&lt; 1 year</w:t>
            </w:r>
          </w:p>
        </w:tc>
        <w:tc>
          <w:tcPr>
            <w:tcW w:w="26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3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&gt; 3 years</w:t>
            </w: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20,831,240</w:t>
            </w: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20,831,240</w:t>
            </w:r>
          </w:p>
        </w:tc>
        <w:tc>
          <w:tcPr>
            <w:tcW w:w="120" w:type="dxa"/>
            <w:vAlign w:val="bottom"/>
            <w:shd w:val="clear" w:color="auto" w:fill="CFF0FC"/>
          </w:tcPr>
          <w:p>
            <w:pPr>
              <w:spacing w:after="0"/>
              <w:rPr>
                <w:sz w:val="18"/>
                <w:szCs w:val="18"/>
                <w:color w:val="auto"/>
              </w:rPr>
            </w:pP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Bank indebtedness</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12,000,000</w:t>
            </w:r>
          </w:p>
        </w:tc>
        <w:tc>
          <w:tcPr>
            <w:tcW w:w="120" w:type="dxa"/>
            <w:vAlign w:val="bottom"/>
          </w:tcPr>
          <w:p>
            <w:pPr>
              <w:spacing w:after="0"/>
              <w:rPr>
                <w:sz w:val="20"/>
                <w:szCs w:val="20"/>
                <w:color w:val="auto"/>
              </w:rPr>
            </w:pPr>
          </w:p>
        </w:tc>
      </w:tr>
    </w:tbl>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 8 describes the contractual maturities of the Group's lease liabilities.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Credit risk is the risk of loss associated with a counterparty’s inability to fulfill its payment obligations. The Group’s principal financial assets that expose it to credit risk are trade receivables and the Group mitigates this risk by monitoring the credit worthiness of its customers.</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Group applies the simplified approach to provide for expected credit losses as prescribed by IFRS 9, which permits the use of the lifetime expected loss provision for all trade receivables and contract assets. The expected credit loss provision is based on the Group’s historical collections and loss experience and incorporates forward-looking factors, where appropriate. During the year, the Group recognized $nil (2023 - $103,685) of bad debt expense included in general and administrative expenses.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Lifetime</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13"/>
              <w:spacing w:after="0"/>
              <w:rPr>
                <w:sz w:val="20"/>
                <w:szCs w:val="20"/>
                <w:color w:val="auto"/>
              </w:rPr>
            </w:pPr>
            <w:r>
              <w:rPr>
                <w:rFonts w:ascii="Times New Roman" w:cs="Times New Roman" w:eastAsia="Times New Roman" w:hAnsi="Times New Roman"/>
                <w:sz w:val="14"/>
                <w:szCs w:val="14"/>
                <w:color w:val="auto"/>
              </w:rPr>
              <w:t>Lifetime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Trade receivable aging</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expected credit</w:t>
            </w:r>
          </w:p>
        </w:tc>
        <w:tc>
          <w:tcPr>
            <w:tcW w:w="200" w:type="dxa"/>
            <w:vAlign w:val="bottom"/>
            <w:vMerge w:val="restart"/>
          </w:tcPr>
          <w:p>
            <w:pPr>
              <w:spacing w:after="0"/>
              <w:rPr>
                <w:sz w:val="12"/>
                <w:szCs w:val="12"/>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color w:val="auto"/>
              </w:rPr>
              <w:t>2023</w:t>
            </w:r>
          </w:p>
        </w:tc>
        <w:tc>
          <w:tcPr>
            <w:tcW w:w="2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expected credit</w:t>
            </w:r>
          </w:p>
        </w:tc>
        <w:tc>
          <w:tcPr>
            <w:tcW w:w="220" w:type="dxa"/>
            <w:vAlign w:val="bottom"/>
            <w:vMerge w:val="restart"/>
          </w:tcPr>
          <w:p>
            <w:pPr>
              <w:spacing w:after="0"/>
              <w:rPr>
                <w:sz w:val="12"/>
                <w:szCs w:val="12"/>
                <w:color w:val="auto"/>
              </w:rPr>
            </w:pPr>
          </w:p>
        </w:tc>
        <w:tc>
          <w:tcPr>
            <w:tcW w:w="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2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loss allowance</w:t>
            </w:r>
          </w:p>
        </w:tc>
        <w:tc>
          <w:tcPr>
            <w:tcW w:w="22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0-30 days</w:t>
            </w:r>
          </w:p>
        </w:tc>
        <w:tc>
          <w:tcPr>
            <w:tcW w:w="18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921,012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172,789</w:t>
            </w: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1,397,441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217,685</w:t>
            </w: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31-60 days</w:t>
            </w:r>
          </w:p>
        </w:tc>
        <w:tc>
          <w:tcPr>
            <w:tcW w:w="18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225,992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129,560</w:t>
            </w: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w:t>
            </w: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177,415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96,525</w:t>
            </w:r>
          </w:p>
        </w:tc>
        <w:tc>
          <w:tcPr>
            <w:tcW w:w="10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61-90 days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25,800</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90 days</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921,357</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952,669</w:t>
            </w:r>
          </w:p>
        </w:tc>
        <w:tc>
          <w:tcPr>
            <w:tcW w:w="100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2,094,161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2,567,563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1,299,312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-153670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-153670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-153670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-153670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credit concentration exists relating to accounts receivable. As at December 31, 2024, three customers (2022 - four) accounted for approximately 63% (2023 - 68% ) of accounts receivable and two customers (2023 - two) accounted for 43% of revenues from operations (2023 - 33%).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Foreign currency risk is the risk that the fair value or future cash flows of a financial instrument will fluctuate because of changes in foreign exchange rates. The Group undertakes transactions denominated in foreign currencies and for which the related revenues, expenses, accounts receivable and accounts payable balances are subject to exchange rate fluctuations. Management regularly reviews the foreign exchange rates in relation to the United States dollar and the Group's foreign currency position. As at December 31, 2024, the following items are denominated in foreign currencies and are converted to the U.S. dollar equivalent: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10"/>
        </w:trPr>
        <w:tc>
          <w:tcPr>
            <w:tcW w:w="6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Canadian Dollar</w:t>
            </w:r>
          </w:p>
        </w:tc>
        <w:tc>
          <w:tcPr>
            <w:tcW w:w="280" w:type="dxa"/>
            <w:vAlign w:val="bottom"/>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296,117</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304,207</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326,459</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194,594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225,106</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393,091</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439,784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British pound sterling</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105,975</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210,264</w:t>
            </w:r>
          </w:p>
        </w:tc>
        <w:tc>
          <w:tcPr>
            <w:tcW w:w="320" w:type="dxa"/>
            <w:vAlign w:val="bottom"/>
          </w:tcPr>
          <w:p>
            <w:pPr>
              <w:spacing w:after="0"/>
              <w:rPr>
                <w:sz w:val="18"/>
                <w:szCs w:val="18"/>
                <w:color w:val="auto"/>
              </w:rPr>
            </w:pPr>
          </w:p>
        </w:tc>
      </w:tr>
      <w:tr>
        <w:trPr>
          <w:trHeight w:val="216"/>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13,052</w:t>
            </w:r>
          </w:p>
        </w:tc>
        <w:tc>
          <w:tcPr>
            <w:tcW w:w="320" w:type="dxa"/>
            <w:vAlign w:val="bottom"/>
            <w:shd w:val="clear" w:color="auto" w:fill="CFF0FC"/>
          </w:tcPr>
          <w:p>
            <w:pPr>
              <w:spacing w:after="0"/>
              <w:rPr>
                <w:sz w:val="18"/>
                <w:szCs w:val="18"/>
                <w:color w:val="auto"/>
              </w:rPr>
            </w:pPr>
          </w:p>
        </w:tc>
      </w:tr>
      <w:tr>
        <w:trPr>
          <w:trHeight w:val="238"/>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58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9,751</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3,148.00</w:t>
            </w:r>
          </w:p>
        </w:tc>
        <w:tc>
          <w:tcPr>
            <w:tcW w:w="3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 w:right="7360" w:hanging="512"/>
        <w:spacing w:after="0" w:line="503" w:lineRule="auto"/>
        <w:tabs>
          <w:tab w:leader="none" w:pos="5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and balances </w:t>
      </w:r>
      <w:r>
        <w:rPr>
          <w:rFonts w:ascii="Times New Roman" w:cs="Times New Roman" w:eastAsia="Times New Roman" w:hAnsi="Times New Roman"/>
          <w:sz w:val="18"/>
          <w:szCs w:val="18"/>
          <w:b w:val="1"/>
          <w:bCs w:val="1"/>
          <w:i w:val="1"/>
          <w:iCs w:val="1"/>
          <w:color w:val="auto"/>
        </w:rPr>
        <w:t>Key management compensation of the Group</w:t>
      </w: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Key management personnel are comprised of four (2023 - four) of the Group’s directors and executive officers. In addition to salaries and benefits, key management personnel also receive share-based payments, which are further described in Note 12, and management fees.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management personnel compensation is as follows: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580" w:type="dxa"/>
            <w:vAlign w:val="bottom"/>
            <w:gridSpan w:val="2"/>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8,421</w:t>
            </w:r>
          </w:p>
        </w:tc>
        <w:tc>
          <w:tcPr>
            <w:tcW w:w="7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18,775</w:t>
            </w:r>
          </w:p>
        </w:tc>
        <w:tc>
          <w:tcPr>
            <w:tcW w:w="32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 (included in general and administrative expenses)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375,154</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431,998</w:t>
            </w:r>
          </w:p>
        </w:tc>
        <w:tc>
          <w:tcPr>
            <w:tcW w:w="32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(included in general and administrative expenses)</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474,213</w:t>
            </w:r>
          </w:p>
        </w:tc>
        <w:tc>
          <w:tcPr>
            <w:tcW w:w="3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493,169</w:t>
            </w:r>
          </w:p>
        </w:tc>
        <w:tc>
          <w:tcPr>
            <w:tcW w:w="32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857,788</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943,942</w:t>
            </w:r>
          </w:p>
        </w:tc>
        <w:tc>
          <w:tcPr>
            <w:tcW w:w="3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-153670</wp:posOffset>
            </wp:positionV>
            <wp:extent cx="774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-153670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management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80" w:name="page181"/>
    <w:bookmarkEnd w:id="180"/>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Group's objective in managing capital is to ensure sufficient liquidity to pursue its strategy of organic growth combined with strategic acquisitions, so that it can provide above average returns for its shareholders. The Group defines capital that it manages as the aggregate of its shareholders' deficit, which consists of issued capital, warrants, and deficit.</w:t>
      </w:r>
    </w:p>
    <w:p>
      <w:pPr>
        <w:spacing w:after="0" w:line="176"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The Group manages its capital structure and makes adjustments to it in light of general economic conditions and the risk characteristics of the underlying assets and the Group's working capital requirements. In order to maintain or adjust the capital structure, the Group, upon approval from its Board of Directors, may issue shares, repurchase shares through a normal course issuer bid and pay dividends. The Board of Directors reviews and approves any material transactions not in the ordinary course of business that may include various acquisition proposals, as well as capital and operating budgets. No changes were made in the objectives, policies or processes of capital management during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reconciliation of the combined Canadian federal and provincial statutory income tax rate of 26.5% (2023- 26.5%) to the effective tax rate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jc w:val="right"/>
              <w:ind w:right="9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before recovery of income taxes</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(8,899,333)</w:t>
            </w:r>
          </w:p>
        </w:tc>
        <w:tc>
          <w:tcPr>
            <w:tcW w:w="100" w:type="dxa"/>
            <w:vAlign w:val="bottom"/>
            <w:shd w:val="clear" w:color="auto" w:fill="CFF0FC"/>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(5,377,017)</w:t>
            </w: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income tax recovery at 26.5%</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(2,358,330.00)</w:t>
            </w: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(1,424,909.00)</w:t>
            </w:r>
          </w:p>
        </w:tc>
      </w:tr>
      <w:tr>
        <w:trPr>
          <w:trHeight w:val="149"/>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Difference in tax rates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11,105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(1,355)</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adjustments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26,044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6,615</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State Tax</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FX translation</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948,432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(248,663)</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Share based compensation and non-deductible expenses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133,605</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94,328</w:t>
            </w: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Book to filing adjustment</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45,162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44,758</w:t>
            </w:r>
          </w:p>
        </w:tc>
        <w:tc>
          <w:tcPr>
            <w:tcW w:w="100" w:type="dxa"/>
            <w:vAlign w:val="bottom"/>
          </w:tcPr>
          <w:p>
            <w:pPr>
              <w:spacing w:after="0"/>
              <w:rPr>
                <w:sz w:val="12"/>
                <w:szCs w:val="12"/>
                <w:color w:val="auto"/>
              </w:rPr>
            </w:pPr>
          </w:p>
        </w:tc>
      </w:tr>
      <w:tr>
        <w:trPr>
          <w:trHeight w:val="148"/>
        </w:trPr>
        <w:tc>
          <w:tcPr>
            <w:tcW w:w="61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tax benefits not recognized</w:t>
            </w:r>
          </w:p>
        </w:tc>
        <w:tc>
          <w:tcPr>
            <w:tcW w:w="22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1,225,375</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2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1,850,140</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tax expense</w:t>
            </w: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Group's income tax is allocated as follows: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tax expense</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Pr>
          <w:p>
            <w:pPr>
              <w:spacing w:after="0"/>
              <w:rPr>
                <w:sz w:val="12"/>
                <w:szCs w:val="12"/>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tax expense</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42"/>
        </w:trPr>
        <w:tc>
          <w:tcPr>
            <w:tcW w:w="610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33,524</w:t>
            </w:r>
          </w:p>
        </w:tc>
        <w:tc>
          <w:tcPr>
            <w:tcW w:w="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320,914</w:t>
            </w:r>
          </w:p>
        </w:tc>
        <w:tc>
          <w:tcPr>
            <w:tcW w:w="100" w:type="dxa"/>
            <w:vAlign w:val="bottom"/>
            <w:tcBorders>
              <w:top w:val="single" w:sz="8" w:color="CFF0FC"/>
            </w:tcBorders>
          </w:tcPr>
          <w:p>
            <w:pPr>
              <w:spacing w:after="0"/>
              <w:rPr>
                <w:sz w:val="12"/>
                <w:szCs w:val="12"/>
                <w:color w:val="auto"/>
              </w:rPr>
            </w:pPr>
          </w:p>
        </w:tc>
      </w:tr>
      <w:tr>
        <w:trPr>
          <w:trHeight w:val="142"/>
        </w:trPr>
        <w:tc>
          <w:tcPr>
            <w:tcW w:w="6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The following table summarizes the components of deferred tax:</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Deferred Tax Assets</w:t>
            </w: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obligations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59,653</w:t>
            </w:r>
          </w:p>
        </w:tc>
        <w:tc>
          <w:tcPr>
            <w:tcW w:w="100" w:type="dxa"/>
            <w:vAlign w:val="bottom"/>
            <w:shd w:val="clear" w:color="auto" w:fill="CFF0FC"/>
          </w:tcPr>
          <w:p>
            <w:pPr>
              <w:spacing w:after="0"/>
              <w:rPr>
                <w:sz w:val="12"/>
                <w:szCs w:val="12"/>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SR&amp;ED pool from T661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47,699</w:t>
            </w:r>
          </w:p>
        </w:tc>
        <w:tc>
          <w:tcPr>
            <w:tcW w:w="100" w:type="dxa"/>
            <w:vAlign w:val="bottom"/>
          </w:tcPr>
          <w:p>
            <w:pPr>
              <w:spacing w:after="0"/>
              <w:rPr>
                <w:sz w:val="18"/>
                <w:szCs w:val="18"/>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(13,593)</w:t>
            </w: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Financing costs</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8"/>
                <w:szCs w:val="18"/>
                <w:color w:val="auto"/>
              </w:rPr>
            </w:pP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Federal ITCs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(31,510)</w:t>
            </w:r>
          </w:p>
        </w:tc>
      </w:tr>
      <w:tr>
        <w:trPr>
          <w:trHeight w:val="148"/>
        </w:trPr>
        <w:tc>
          <w:tcPr>
            <w:tcW w:w="6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 and lease receivables</w:t>
            </w: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(46,262)</w:t>
            </w:r>
          </w:p>
        </w:tc>
        <w:tc>
          <w:tcPr>
            <w:tcW w:w="220" w:type="dxa"/>
            <w:vAlign w:val="bottom"/>
            <w:shd w:val="clear" w:color="auto" w:fill="CFF0FC"/>
          </w:tcPr>
          <w:p>
            <w:pPr>
              <w:spacing w:after="0"/>
              <w:rPr>
                <w:sz w:val="12"/>
                <w:szCs w:val="12"/>
                <w:color w:val="auto"/>
              </w:rPr>
            </w:pPr>
          </w:p>
        </w:tc>
        <w:tc>
          <w:tcPr>
            <w:tcW w:w="23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(58,599.00)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12(1)(x) Inducement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(3,650.00)</w:t>
            </w:r>
          </w:p>
        </w:tc>
      </w:tr>
      <w:tr>
        <w:trPr>
          <w:trHeight w:val="142"/>
        </w:trPr>
        <w:tc>
          <w:tcPr>
            <w:tcW w:w="610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shd w:val="clear" w:color="auto" w:fill="CFF0FC"/>
          </w:tcPr>
          <w:p>
            <w:pPr>
              <w:spacing w:after="0"/>
              <w:rPr>
                <w:sz w:val="12"/>
                <w:szCs w:val="12"/>
                <w:color w:val="auto"/>
              </w:rPr>
            </w:pP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FF0FC"/>
            </w:tcBorders>
            <w:shd w:val="clear" w:color="auto" w:fill="CFF0FC"/>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-1859915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-1422400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-8255</wp:posOffset>
            </wp:positionV>
            <wp:extent cx="6858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have been offset where they relate to income taxes levied by the same taxation authority and the Group has the legal right and intent to offset. During the year, $nil (2023 - $nil) net deferred tax liabilities were recognized in net loss and $nil (2023 - $nil) net deferred tax liabilities were recognized in equity.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Unrecognized deferred tax assets:</w:t>
      </w:r>
    </w:p>
    <w:p>
      <w:pPr>
        <w:spacing w:after="0" w:line="22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Deferred taxes are provided as a result of temporary differences that arise due to the differences between the income tax values and the carrying amount of assets and liabilities. Deferred tax assets have not been recognized in respect of the following deductible temporary differences: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40" w:type="dxa"/>
            <w:vAlign w:val="bottom"/>
            <w:tcBorders>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1,084,954</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1,242,482</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16,189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reserves</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1,249,506</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1,272,731</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issuance costs - 20(1)(e)</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21,779</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Non-capital losses carried forward - Canada</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37,762,917</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Non-capital losses carried forward - Foreign</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3,235,107</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208,466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SR&amp;ED pool from T661</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1,048,835</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1,025,175</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Costs - US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118,445</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ORDTC</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35,887</w:t>
            </w:r>
          </w:p>
        </w:tc>
        <w:tc>
          <w:tcPr>
            <w:tcW w:w="32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39,043</w:t>
            </w:r>
          </w:p>
        </w:tc>
        <w:tc>
          <w:tcPr>
            <w:tcW w:w="100" w:type="dxa"/>
            <w:vAlign w:val="bottom"/>
          </w:tcPr>
          <w:p>
            <w:pPr>
              <w:spacing w:after="0"/>
              <w:rPr>
                <w:sz w:val="18"/>
                <w:szCs w:val="18"/>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Others</w:t>
            </w:r>
          </w:p>
        </w:tc>
        <w:tc>
          <w:tcPr>
            <w:tcW w:w="16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22,404</w:t>
            </w:r>
          </w:p>
        </w:tc>
        <w:tc>
          <w:tcPr>
            <w:tcW w:w="320" w:type="dxa"/>
            <w:vAlign w:val="bottom"/>
            <w:shd w:val="clear" w:color="auto" w:fill="CFF0FC"/>
          </w:tcPr>
          <w:p>
            <w:pPr>
              <w:spacing w:after="0"/>
              <w:rPr>
                <w:sz w:val="18"/>
                <w:szCs w:val="18"/>
                <w:color w:val="auto"/>
              </w:rPr>
            </w:pP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shd w:val="clear" w:color="auto" w:fill="CFF0FC"/>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Charitable donations carryforward</w:t>
            </w:r>
          </w:p>
        </w:tc>
        <w:tc>
          <w:tcPr>
            <w:tcW w:w="1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2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46,418,316</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41,731,303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Canadian non-capital loss carry forwards expire as noted in the table below. Share issue and financing costs will be fully amortized in 2024. The remaining deductible temporary differences may be carried forward indefinitely. Deferred tax assets have not been recognized in respect of these items because it is not probable that future taxable profit will be available against which the Group can utilize the benefits there from.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Group's unused Canadian non-capital income tax losses, for which no deferred tax has been recognized, expires as follows:</w:t>
      </w:r>
    </w:p>
    <w:p>
      <w:pPr>
        <w:spacing w:after="0" w:line="200" w:lineRule="exact"/>
        <w:rPr>
          <w:sz w:val="20"/>
          <w:szCs w:val="20"/>
          <w:color w:val="auto"/>
        </w:rPr>
      </w:pPr>
    </w:p>
    <w:p>
      <w:pPr>
        <w:spacing w:after="0" w:line="259"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2034</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491,819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2035</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493,259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2036</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1,275,928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2037</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3,580,452</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2038</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4,935,279</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2039</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4,948,348</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2040</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2,178,411</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2041</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3,157,169</w:t>
            </w:r>
          </w:p>
        </w:tc>
        <w:tc>
          <w:tcPr>
            <w:tcW w:w="300" w:type="dxa"/>
            <w:vAlign w:val="bottom"/>
          </w:tcPr>
          <w:p>
            <w:pPr>
              <w:spacing w:after="0"/>
              <w:rPr>
                <w:sz w:val="18"/>
                <w:szCs w:val="18"/>
                <w:color w:val="auto"/>
              </w:rPr>
            </w:pPr>
          </w:p>
        </w:tc>
      </w:tr>
      <w:tr>
        <w:trPr>
          <w:trHeight w:val="216"/>
        </w:trPr>
        <w:tc>
          <w:tcPr>
            <w:tcW w:w="4280" w:type="dxa"/>
            <w:vAlign w:val="bottom"/>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2042</w:t>
            </w:r>
          </w:p>
        </w:tc>
        <w:tc>
          <w:tcPr>
            <w:tcW w:w="146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8,197,548</w:t>
            </w:r>
          </w:p>
        </w:tc>
        <w:tc>
          <w:tcPr>
            <w:tcW w:w="300" w:type="dxa"/>
            <w:vAlign w:val="bottom"/>
            <w:shd w:val="clear" w:color="auto" w:fill="CFF0FC"/>
          </w:tcPr>
          <w:p>
            <w:pPr>
              <w:spacing w:after="0"/>
              <w:rPr>
                <w:sz w:val="18"/>
                <w:szCs w:val="18"/>
                <w:color w:val="auto"/>
              </w:rPr>
            </w:pPr>
          </w:p>
        </w:tc>
      </w:tr>
      <w:tr>
        <w:trPr>
          <w:trHeight w:val="216"/>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2043</w:t>
            </w:r>
          </w:p>
        </w:tc>
        <w:tc>
          <w:tcPr>
            <w:tcW w:w="146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5,312,888</w:t>
            </w:r>
          </w:p>
        </w:tc>
        <w:tc>
          <w:tcPr>
            <w:tcW w:w="300" w:type="dxa"/>
            <w:vAlign w:val="bottom"/>
          </w:tcPr>
          <w:p>
            <w:pPr>
              <w:spacing w:after="0"/>
              <w:rPr>
                <w:sz w:val="18"/>
                <w:szCs w:val="18"/>
                <w:color w:val="auto"/>
              </w:rPr>
            </w:pPr>
          </w:p>
        </w:tc>
      </w:tr>
      <w:tr>
        <w:trPr>
          <w:trHeight w:val="216"/>
        </w:trPr>
        <w:tc>
          <w:tcPr>
            <w:tcW w:w="4280" w:type="dxa"/>
            <w:vAlign w:val="bottom"/>
            <w:tcBorders>
              <w:bottom w:val="single" w:sz="8" w:color="CFF0FC"/>
            </w:tcBorders>
            <w:shd w:val="clear" w:color="auto" w:fill="CFF0FC"/>
          </w:tcPr>
          <w:p>
            <w:pPr>
              <w:jc w:val="center"/>
              <w:ind w:left="1150"/>
              <w:spacing w:after="0"/>
              <w:rPr>
                <w:sz w:val="20"/>
                <w:szCs w:val="20"/>
                <w:color w:val="auto"/>
              </w:rPr>
            </w:pPr>
            <w:r>
              <w:rPr>
                <w:rFonts w:ascii="Times New Roman" w:cs="Times New Roman" w:eastAsia="Times New Roman" w:hAnsi="Times New Roman"/>
                <w:sz w:val="18"/>
                <w:szCs w:val="18"/>
                <w:color w:val="auto"/>
                <w:w w:val="99"/>
              </w:rPr>
              <w:t>2044</w:t>
            </w:r>
          </w:p>
        </w:tc>
        <w:tc>
          <w:tcPr>
            <w:tcW w:w="1460" w:type="dxa"/>
            <w:vAlign w:val="bottom"/>
            <w:tcBorders>
              <w:bottom w:val="single" w:sz="8" w:color="CFF0FC"/>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5,014,108</w:t>
            </w:r>
          </w:p>
        </w:tc>
        <w:tc>
          <w:tcPr>
            <w:tcW w:w="300" w:type="dxa"/>
            <w:vAlign w:val="bottom"/>
            <w:tcBorders>
              <w:bottom w:val="single" w:sz="8" w:color="CFF0FC"/>
            </w:tcBorders>
            <w:shd w:val="clear" w:color="auto" w:fill="CFF0FC"/>
          </w:tcPr>
          <w:p>
            <w:pPr>
              <w:spacing w:after="0"/>
              <w:rPr>
                <w:sz w:val="18"/>
                <w:szCs w:val="18"/>
                <w:color w:val="auto"/>
              </w:rPr>
            </w:pPr>
          </w:p>
        </w:tc>
      </w:tr>
      <w:tr>
        <w:trPr>
          <w:trHeight w:val="210"/>
        </w:trPr>
        <w:tc>
          <w:tcPr>
            <w:tcW w:w="42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39,585,210</w:t>
            </w:r>
          </w:p>
        </w:tc>
        <w:tc>
          <w:tcPr>
            <w:tcW w:w="3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4318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Revenue is disaggregated primarily by geographical market. The Group has one reportable segment (cloud-based services). Contract liabilities include deferred revenue which represents cash received in advance of service being provided.Contract costs include prepaid commissions which are paid in advance and deferred over the life of the contract. These prepaid commissions are included in prepaid expenses and deposits.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by geography</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270,805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301,842</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8,361,218</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11,763,759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5,722,919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4,915,000</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1,223,946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783,420</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3,003,926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1,780,000</w:t>
            </w:r>
          </w:p>
        </w:tc>
        <w:tc>
          <w:tcPr>
            <w:tcW w:w="100" w:type="dxa"/>
            <w:vAlign w:val="bottom"/>
          </w:tcPr>
          <w:p>
            <w:pPr>
              <w:spacing w:after="0"/>
              <w:rPr>
                <w:sz w:val="18"/>
                <w:szCs w:val="18"/>
                <w:color w:val="auto"/>
              </w:rPr>
            </w:pPr>
          </w:p>
        </w:tc>
      </w:tr>
      <w:tr>
        <w:trPr>
          <w:trHeight w:val="216"/>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Japan</w:t>
            </w:r>
          </w:p>
        </w:tc>
        <w:tc>
          <w:tcPr>
            <w:tcW w:w="166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308,120</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18,890,934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19,848,821</w:t>
            </w:r>
          </w:p>
        </w:tc>
        <w:tc>
          <w:tcPr>
            <w:tcW w:w="100" w:type="dxa"/>
            <w:vAlign w:val="bottom"/>
          </w:tcPr>
          <w:p>
            <w:pPr>
              <w:spacing w:after="0"/>
              <w:rPr>
                <w:sz w:val="18"/>
                <w:szCs w:val="18"/>
                <w:color w:val="auto"/>
              </w:rPr>
            </w:pPr>
          </w:p>
        </w:tc>
      </w:tr>
      <w:tr>
        <w:trPr>
          <w:trHeight w:val="209"/>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 costs (included in prepaid expenses and deposits)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561,085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422,123</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679,520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831,259</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(included in sales and marketing expenses)</w:t>
            </w:r>
          </w:p>
        </w:tc>
        <w:tc>
          <w:tcPr>
            <w:tcW w:w="166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(573,611)</w:t>
            </w:r>
          </w:p>
        </w:tc>
        <w:tc>
          <w:tcPr>
            <w:tcW w:w="14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(692,297)</w:t>
            </w:r>
          </w:p>
        </w:tc>
      </w:tr>
      <w:tr>
        <w:trPr>
          <w:trHeight w:val="209"/>
        </w:trPr>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666,994</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561,085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8,118,419</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4,854,243</w:t>
            </w:r>
          </w:p>
        </w:tc>
        <w:tc>
          <w:tcPr>
            <w:tcW w:w="100" w:type="dxa"/>
            <w:vAlign w:val="bottom"/>
            <w:shd w:val="clear" w:color="auto" w:fill="CFF0FC"/>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19,785,348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22,719,505</w:t>
            </w:r>
          </w:p>
        </w:tc>
        <w:tc>
          <w:tcPr>
            <w:tcW w:w="100" w:type="dxa"/>
            <w:vAlign w:val="bottom"/>
          </w:tcPr>
          <w:p>
            <w:pPr>
              <w:spacing w:after="0"/>
              <w:rPr>
                <w:sz w:val="18"/>
                <w:szCs w:val="18"/>
                <w:color w:val="auto"/>
              </w:rPr>
            </w:pPr>
          </w:p>
        </w:tc>
      </w:tr>
      <w:tr>
        <w:trPr>
          <w:trHeight w:val="216"/>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recognized to revenue</w:t>
            </w:r>
          </w:p>
        </w:tc>
        <w:tc>
          <w:tcPr>
            <w:tcW w:w="16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(18,552,081)</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(19,455,329)</w:t>
            </w:r>
          </w:p>
        </w:tc>
      </w:tr>
      <w:tr>
        <w:trPr>
          <w:trHeight w:val="209"/>
        </w:trPr>
        <w:tc>
          <w:tcPr>
            <w:tcW w:w="6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9,351,686</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8,118,419</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-1559560</wp:posOffset>
            </wp:positionV>
            <wp:extent cx="6858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-710565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-153670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w:t>
            </w:r>
          </w:p>
        </w:tc>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Contributed surplus</w:t>
            </w: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3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r>
      <w:tr>
        <w:trPr>
          <w:trHeight w:val="210"/>
        </w:trPr>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6,215,028</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6,085,161</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payments (Note 12)</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76,052</w:t>
            </w:r>
          </w:p>
        </w:tc>
        <w:tc>
          <w:tcPr>
            <w:tcW w:w="2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129,867</w:t>
            </w:r>
          </w:p>
        </w:tc>
        <w:tc>
          <w:tcPr>
            <w:tcW w:w="100" w:type="dxa"/>
            <w:vAlign w:val="bottom"/>
          </w:tcPr>
          <w:p>
            <w:pPr>
              <w:spacing w:after="0"/>
              <w:rPr>
                <w:sz w:val="18"/>
                <w:szCs w:val="18"/>
                <w:color w:val="auto"/>
              </w:rPr>
            </w:pPr>
          </w:p>
        </w:tc>
      </w:tr>
      <w:tr>
        <w:trPr>
          <w:trHeight w:val="210"/>
        </w:trPr>
        <w:tc>
          <w:tcPr>
            <w:tcW w:w="4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27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6,291,080</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6,215,028</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Group is subject to various claims in the normal course of operations. Litigation is subject to many uncertainties, and the outcome of individual matters is not predictable with assurance. In the opinion of management, based on the advice and information provided by the Group's legal counsel, final determination of these other litigations will not materially affect the Group's financial position or results of operations.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July 27, 2021</w:t>
      </w:r>
    </w:p>
    <w:p>
      <w:pPr>
        <w:spacing w:after="0" w:line="227"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On July 27, 2021, the Group filed a claim against Wondr Gaming Corp (the "Defendant"), alleging breach of contract and unjust enrichment and seeking $4,136,807 plus interest and costs. The Defendant is contesting the claim.</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September 7, 2021, the Defendant filed a Statement of Defence and Counterclaim in the Ontario Superior Court of Justice against GroupBy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Defendant claims, among other things, the Group's failure to perform the services and misrepresentation and seeks dismissal of the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counterclaiming seeking damages of $400,000 plus costs for breach of contract and negligent misrepresentation.</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Statement of claim - May 16, 2024</w:t>
      </w:r>
    </w:p>
    <w:p>
      <w:pPr>
        <w:spacing w:after="0" w:line="22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16, 2024, the Group was named as a defendant in a case to recover a payment of $2,500,000 made by Bed Bath &amp; Beyond Inc. ("BBB") to the Company on February 20, 2023.</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83" w:name="page184"/>
    <w:bookmarkEnd w:id="183"/>
    <w:p>
      <w:pPr>
        <w:ind w:firstLine="509"/>
        <w:spacing w:after="0" w:line="266" w:lineRule="auto"/>
        <w:rPr>
          <w:sz w:val="20"/>
          <w:szCs w:val="20"/>
          <w:color w:val="auto"/>
        </w:rPr>
      </w:pPr>
      <w:r>
        <w:rPr>
          <w:rFonts w:ascii="Times New Roman" w:cs="Times New Roman" w:eastAsia="Times New Roman" w:hAnsi="Times New Roman"/>
          <w:sz w:val="18"/>
          <w:szCs w:val="18"/>
          <w:color w:val="auto"/>
        </w:rPr>
        <w:t>As litigation is subject to many uncertainties, it is not possible to predict the ultimate outcome of this claim or to estimate the loss, if any, which may result. Accordingly, the outcome of the claim is not yet determinable, and the extent to which an outflow of funds may be required to settle this possible obligation cannot be reliably measured.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Subsequent to year end, Rezolve AI plc ("Rezolve") acquired all issued and outstanding shares of the Group in exchange for 3,999,902 shares in Rezolve. Upon acquisition of the shares, the Group entered into a novation agreement to novate its rights, benefits, obligations, and liabilities under the bank indebtedness to Rezolve. The options outstanding as of the closing date were deemed to be underwater and cancelled on the closing date, in accordance with the terms of the option plan and existing option agreements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jc w:val="both"/>
        <w:ind w:firstLine="576"/>
        <w:spacing w:after="0" w:line="261" w:lineRule="auto"/>
        <w:rPr>
          <w:sz w:val="20"/>
          <w:szCs w:val="20"/>
          <w:color w:val="auto"/>
        </w:rPr>
      </w:pPr>
      <w:r>
        <w:rPr>
          <w:rFonts w:ascii="Times New Roman" w:cs="Times New Roman" w:eastAsia="Times New Roman" w:hAnsi="Times New Roman"/>
          <w:sz w:val="18"/>
          <w:szCs w:val="18"/>
          <w:color w:val="auto"/>
        </w:rPr>
        <w:t>Rezolve’s articles of association provide that, to the extent permitted by the U.K. Companies Act, Rezolve may indemnify its directors against and every other officer of the company against any liability incurred by such director or officer for any negligence, default, breach of duty or breach of trust or otherwise in relation to the affairs or activities of Rezolve or any associated company. In addition, Rezolve will from Closing maintain directors’ and officers’ insurance to insure such persons against certain liabilities.</w:t>
      </w:r>
    </w:p>
    <w:p>
      <w:pPr>
        <w:spacing w:after="0" w:line="180"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our board, executive officers or persons controlling us pursuant to the foregoing provisions, we have been advised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Recent Sales of Unregistered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all securities sold or granted by us within the past three years that were not registered under the Securities Act and the consideration, if any, received by us for such securities: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Rezolve Limited issued Convertible Notes in the aggregate principal amount of up to $49,892,080 pursuant to a Convertible Note instrument originally made by Rezolve Limited and dated December 16, 2021, as amended and restated on November 21, 2022 and May 23, 2023 and as amended on December 18, 2023, December 29 2023 and as further amended and restated on January 26, 2024, and novated from Rezolve Limited to the Company at time of the Pre-Closing Demerger by a deed of novation dated July 4, 2024. The Convertible Notes were not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Closing, the Company issued a total of 569,982 private warrants to holders of Promissory Notes pursuant to the Company's obligations under the subscription agreements entered into between the Company, Rezolve Limited and the holders of Promissory Notes in February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 and Financial Statements</w:t>
      </w:r>
    </w:p>
    <w:p>
      <w:pPr>
        <w:spacing w:after="0" w:line="1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(a)Exhibits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top w:val="single" w:sz="8" w:color="auto"/>
            </w:tcBorders>
          </w:tcPr>
          <w:p>
            <w:pPr>
              <w:spacing w:after="0"/>
              <w:rPr>
                <w:sz w:val="18"/>
                <w:szCs w:val="18"/>
                <w:color w:val="auto"/>
              </w:rPr>
            </w:pPr>
          </w:p>
        </w:tc>
        <w:tc>
          <w:tcPr>
            <w:tcW w:w="9820" w:type="dxa"/>
            <w:vAlign w:val="bottom"/>
            <w:tcBorders>
              <w:top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5"/>
        </w:trPr>
        <w:tc>
          <w:tcPr>
            <w:tcW w:w="13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Borders>
              <w:bottom w:val="single" w:sz="8" w:color="auto"/>
            </w:tcBorders>
          </w:tcPr>
          <w:p>
            <w:pPr>
              <w:spacing w:after="0"/>
              <w:rPr>
                <w:sz w:val="22"/>
                <w:szCs w:val="22"/>
                <w:color w:val="auto"/>
              </w:rPr>
            </w:pPr>
          </w:p>
        </w:tc>
        <w:tc>
          <w:tcPr>
            <w:tcW w:w="3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r>
      <w:tr>
        <w:trPr>
          <w:trHeight w:val="152"/>
        </w:trPr>
        <w:tc>
          <w:tcPr>
            <w:tcW w:w="1320" w:type="dxa"/>
            <w:vAlign w:val="bottom"/>
            <w:tcBorders>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3"/>
                <w:szCs w:val="13"/>
                <w:color w:val="auto"/>
              </w:rPr>
            </w:pPr>
          </w:p>
        </w:tc>
        <w:tc>
          <w:tcPr>
            <w:tcW w:w="9700" w:type="dxa"/>
            <w:vAlign w:val="bottom"/>
            <w:tcBorders>
              <w:bottom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614">
              <w:r>
                <w:rPr>
                  <w:rFonts w:ascii="Times New Roman" w:cs="Times New Roman" w:eastAsia="Times New Roman" w:hAnsi="Times New Roman"/>
                  <w:sz w:val="17"/>
                  <w:szCs w:val="17"/>
                  <w:color w:val="0000FF"/>
                </w:rPr>
                <w:t>Business Combination Agreement, dated December 17, 2021, as amended on November 10, 2022 and as further amended and restated</w:t>
              </w:r>
            </w:hyperlink>
          </w:p>
        </w:tc>
        <w:tc>
          <w:tcPr>
            <w:tcW w:w="120" w:type="dxa"/>
            <w:vAlign w:val="bottom"/>
            <w:tcBorders>
              <w:right w:val="single" w:sz="8" w:color="auto"/>
            </w:tcBorders>
          </w:tcPr>
          <w:p>
            <w:pPr>
              <w:spacing w:after="0"/>
              <w:rPr>
                <w:sz w:val="13"/>
                <w:szCs w:val="13"/>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3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on June 16, 2023, as amended on August 4, 2023 (incorporated by reference to Exhibit 2.1 of Rezolve AI Limited’s Registration</w:t>
              </w:r>
            </w:hyperlink>
          </w:p>
        </w:tc>
        <w:tc>
          <w:tcPr>
            <w:tcW w:w="520" w:type="dxa"/>
            <w:vAlign w:val="bottom"/>
            <w:tcBorders>
              <w:right w:val="single" w:sz="8" w:color="auto"/>
            </w:tcBorders>
            <w:gridSpan w:val="6"/>
          </w:tcPr>
          <w:p>
            <w:pPr>
              <w:spacing w:after="0"/>
              <w:rPr>
                <w:sz w:val="17"/>
                <w:szCs w:val="17"/>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Statement on Form F-4, Amendment No. 2, filed with the SEC on September 25, 2023).</w:t>
              </w:r>
            </w:hyperlink>
          </w:p>
        </w:tc>
      </w:tr>
      <w:tr>
        <w:trPr>
          <w:trHeight w:val="21"/>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top w:val="single" w:sz="8" w:color="0000FF"/>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4"/>
                <w:szCs w:val="14"/>
                <w:color w:val="auto"/>
              </w:rPr>
            </w:pPr>
          </w:p>
        </w:tc>
        <w:tc>
          <w:tcPr>
            <w:tcW w:w="932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First Amendment to the Business Combination Agreement, dated as of August 4, 2023, by and among Armada Rezolve Limited,</w:t>
              </w:r>
            </w:hyperlink>
          </w:p>
        </w:tc>
        <w:tc>
          <w:tcPr>
            <w:tcW w:w="500" w:type="dxa"/>
            <w:vAlign w:val="bottom"/>
            <w:tcBorders>
              <w:right w:val="single" w:sz="8" w:color="auto"/>
            </w:tcBorders>
            <w:gridSpan w:val="5"/>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Rezolve and Rezolve Merger Sub (incorporated by reference to Exhibit 2.2 of Rezolve AI Limited’s Registration Statement on Form</w:t>
              </w:r>
            </w:hyperlink>
          </w:p>
        </w:tc>
        <w:tc>
          <w:tcPr>
            <w:tcW w:w="220" w:type="dxa"/>
            <w:vAlign w:val="bottom"/>
            <w:tcBorders>
              <w:right w:val="single" w:sz="8" w:color="auto"/>
            </w:tcBorders>
            <w:gridSpan w:val="3"/>
          </w:tcPr>
          <w:p>
            <w:pPr>
              <w:spacing w:after="0"/>
              <w:rPr>
                <w:sz w:val="17"/>
                <w:szCs w:val="17"/>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F-4, Amendment No. 2, filed with the SEC on September 25, 2023).</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66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Amended and Restated Memorandum and Articles of Association of Rezolve (incorporated by reference to Exhibit 3.1 of Rezolve AI</w:t>
              </w:r>
            </w:hyperlink>
          </w:p>
        </w:tc>
        <w:tc>
          <w:tcPr>
            <w:tcW w:w="160" w:type="dxa"/>
            <w:vAlign w:val="bottom"/>
            <w:tcBorders>
              <w:right w:val="single" w:sz="8" w:color="auto"/>
            </w:tcBorders>
            <w:gridSpan w:val="2"/>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Limited’s Shell Company Report on Form 20-F, filed with the SEC on April 24, 2025).</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960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Specimen of Ordinary Share Certificate (incorporated by reference to Exhibit 2.1 of Rezolve AI Limited’s Shell Company Report on</w:t>
              </w:r>
            </w:hyperlink>
          </w:p>
        </w:tc>
        <w:tc>
          <w:tcPr>
            <w:tcW w:w="220" w:type="dxa"/>
            <w:vAlign w:val="bottom"/>
            <w:tcBorders>
              <w:right w:val="single" w:sz="8" w:color="auto"/>
            </w:tcBorders>
            <w:gridSpan w:val="3"/>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Form 20-F, filed with the SEC on August 22, 2024).</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3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4"/>
                <w:szCs w:val="14"/>
                <w:color w:val="auto"/>
              </w:rPr>
            </w:pPr>
          </w:p>
        </w:tc>
        <w:tc>
          <w:tcPr>
            <w:tcW w:w="954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Specimen Rezolve Warrant Certificate (incorporated by reference to Exhibit 2.2 of Rezolve AI Limited’s Shell Company Report on</w:t>
              </w:r>
            </w:hyperlink>
          </w:p>
        </w:tc>
        <w:tc>
          <w:tcPr>
            <w:tcW w:w="280" w:type="dxa"/>
            <w:vAlign w:val="bottom"/>
            <w:tcBorders>
              <w:right w:val="single" w:sz="8" w:color="auto"/>
            </w:tcBorders>
            <w:gridSpan w:val="4"/>
          </w:tcPr>
          <w:p>
            <w:pPr>
              <w:spacing w:after="0"/>
              <w:rPr>
                <w:sz w:val="14"/>
                <w:szCs w:val="14"/>
                <w:color w:val="auto"/>
              </w:rPr>
            </w:pPr>
          </w:p>
        </w:tc>
      </w:tr>
      <w:tr>
        <w:trPr>
          <w:trHeight w:val="196"/>
        </w:trPr>
        <w:tc>
          <w:tcPr>
            <w:tcW w:w="1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right w:val="single" w:sz="8" w:color="auto"/>
            </w:tcBorders>
            <w:gridSpan w:val="10"/>
          </w:tcPr>
          <w:p>
            <w:pPr>
              <w:spacing w:after="0" w:line="196"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Form 20-F, filed with the SEC on August 22, 2024).</w:t>
              </w:r>
            </w:hyperlink>
          </w:p>
        </w:tc>
      </w:tr>
      <w:tr>
        <w:trPr>
          <w:trHeight w:val="20"/>
        </w:trPr>
        <w:tc>
          <w:tcPr>
            <w:tcW w:w="13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760" w:type="dxa"/>
            <w:vAlign w:val="bottom"/>
            <w:tcBorders>
              <w:top w:val="single" w:sz="8" w:color="0000FF"/>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II-1</w:t>
            </w: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1"/>
        </w:trPr>
        <w:tc>
          <w:tcPr>
            <w:tcW w:w="1320" w:type="dxa"/>
            <w:vAlign w:val="bottom"/>
            <w:tcBorders>
              <w:bottom w:val="single" w:sz="8" w:color="A0A0A0"/>
            </w:tcBorders>
          </w:tcPr>
          <w:p>
            <w:pPr>
              <w:spacing w:after="0"/>
              <w:rPr>
                <w:sz w:val="18"/>
                <w:szCs w:val="18"/>
                <w:color w:val="auto"/>
              </w:rPr>
            </w:pPr>
          </w:p>
        </w:tc>
        <w:tc>
          <w:tcPr>
            <w:tcW w:w="100" w:type="dxa"/>
            <w:vAlign w:val="bottom"/>
            <w:tcBorders>
              <w:bottom w:val="single" w:sz="8" w:color="A0A0A0"/>
            </w:tcBorders>
          </w:tcPr>
          <w:p>
            <w:pPr>
              <w:spacing w:after="0"/>
              <w:rPr>
                <w:sz w:val="18"/>
                <w:szCs w:val="18"/>
                <w:color w:val="auto"/>
              </w:rPr>
            </w:pPr>
          </w:p>
        </w:tc>
        <w:tc>
          <w:tcPr>
            <w:tcW w:w="3760" w:type="dxa"/>
            <w:vAlign w:val="bottom"/>
            <w:tcBorders>
              <w:bottom w:val="single" w:sz="8" w:color="A0A0A0"/>
            </w:tcBorders>
          </w:tcPr>
          <w:p>
            <w:pPr>
              <w:spacing w:after="0"/>
              <w:rPr>
                <w:sz w:val="18"/>
                <w:szCs w:val="18"/>
                <w:color w:val="auto"/>
              </w:rPr>
            </w:pPr>
          </w:p>
        </w:tc>
        <w:tc>
          <w:tcPr>
            <w:tcW w:w="1160" w:type="dxa"/>
            <w:vAlign w:val="bottom"/>
            <w:tcBorders>
              <w:bottom w:val="single" w:sz="8" w:color="A0A0A0"/>
            </w:tcBorders>
          </w:tcPr>
          <w:p>
            <w:pPr>
              <w:spacing w:after="0"/>
              <w:rPr>
                <w:sz w:val="18"/>
                <w:szCs w:val="18"/>
                <w:color w:val="auto"/>
              </w:rPr>
            </w:pPr>
          </w:p>
        </w:tc>
        <w:tc>
          <w:tcPr>
            <w:tcW w:w="1420" w:type="dxa"/>
            <w:vAlign w:val="bottom"/>
            <w:tcBorders>
              <w:bottom w:val="single" w:sz="8" w:color="A0A0A0"/>
            </w:tcBorders>
          </w:tcPr>
          <w:p>
            <w:pPr>
              <w:spacing w:after="0"/>
              <w:rPr>
                <w:sz w:val="18"/>
                <w:szCs w:val="18"/>
                <w:color w:val="auto"/>
              </w:rPr>
            </w:pPr>
          </w:p>
        </w:tc>
        <w:tc>
          <w:tcPr>
            <w:tcW w:w="2960" w:type="dxa"/>
            <w:vAlign w:val="bottom"/>
            <w:tcBorders>
              <w:bottom w:val="single" w:sz="8" w:color="A0A0A0"/>
            </w:tcBorders>
          </w:tcPr>
          <w:p>
            <w:pPr>
              <w:spacing w:after="0"/>
              <w:rPr>
                <w:sz w:val="18"/>
                <w:szCs w:val="18"/>
                <w:color w:val="auto"/>
              </w:rPr>
            </w:pPr>
          </w:p>
        </w:tc>
        <w:tc>
          <w:tcPr>
            <w:tcW w:w="20" w:type="dxa"/>
            <w:vAlign w:val="bottom"/>
            <w:tcBorders>
              <w:bottom w:val="single" w:sz="8" w:color="A0A0A0"/>
            </w:tcBorders>
          </w:tcPr>
          <w:p>
            <w:pPr>
              <w:spacing w:after="0"/>
              <w:rPr>
                <w:sz w:val="18"/>
                <w:szCs w:val="18"/>
                <w:color w:val="auto"/>
              </w:rPr>
            </w:pPr>
          </w:p>
        </w:tc>
        <w:tc>
          <w:tcPr>
            <w:tcW w:w="22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60" w:type="dxa"/>
            <w:vAlign w:val="bottom"/>
            <w:tcBorders>
              <w:bottom w:val="single" w:sz="8" w:color="A0A0A0"/>
            </w:tcBorders>
          </w:tcPr>
          <w:p>
            <w:pPr>
              <w:spacing w:after="0"/>
              <w:rPr>
                <w:sz w:val="18"/>
                <w:szCs w:val="18"/>
                <w:color w:val="auto"/>
              </w:rPr>
            </w:pPr>
          </w:p>
        </w:tc>
        <w:tc>
          <w:tcPr>
            <w:tcW w:w="40" w:type="dxa"/>
            <w:vAlign w:val="bottom"/>
            <w:tcBorders>
              <w:bottom w:val="single" w:sz="8" w:color="A0A0A0"/>
            </w:tcBorders>
          </w:tcPr>
          <w:p>
            <w:pPr>
              <w:spacing w:after="0"/>
              <w:rPr>
                <w:sz w:val="18"/>
                <w:szCs w:val="18"/>
                <w:color w:val="auto"/>
              </w:rPr>
            </w:pPr>
          </w:p>
        </w:tc>
        <w:tc>
          <w:tcPr>
            <w:tcW w:w="120" w:type="dxa"/>
            <w:vAlign w:val="bottom"/>
            <w:tcBorders>
              <w:bottom w:val="single" w:sz="8" w:color="A0A0A0"/>
            </w:tcBorders>
          </w:tcPr>
          <w:p>
            <w:pPr>
              <w:spacing w:after="0"/>
              <w:rPr>
                <w:sz w:val="18"/>
                <w:szCs w:val="18"/>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7"/>
                <w:szCs w:val="17"/>
                <w:color w:val="auto"/>
              </w:rPr>
            </w:pPr>
          </w:p>
        </w:tc>
        <w:tc>
          <w:tcPr>
            <w:tcW w:w="98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Warrant Agreement, dated August 15, 2024, by and among Rezolve AI Limited and Computershare Inc. and its affiliate, Computershare</w:t>
              </w:r>
            </w:hyperlink>
          </w:p>
        </w:tc>
        <w:tc>
          <w:tcPr>
            <w:tcW w:w="340" w:type="dxa"/>
            <w:vAlign w:val="bottom"/>
            <w:tcBorders>
              <w:right w:val="single" w:sz="8" w:color="auto"/>
            </w:tcBorders>
            <w:gridSpan w:val="10"/>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9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Trust Company, N.A. (incorporated by reference to Exhibit 4.3 of Rezolve AI Limited’s Shell Company Report on Form 20-F, filed with</w:t>
              </w:r>
            </w:hyperlink>
          </w:p>
        </w:tc>
        <w:tc>
          <w:tcPr>
            <w:tcW w:w="280" w:type="dxa"/>
            <w:vAlign w:val="bottom"/>
            <w:tcBorders>
              <w:right w:val="single" w:sz="8" w:color="auto"/>
            </w:tcBorders>
            <w:gridSpan w:val="8"/>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0">
              <w:r>
                <w:rPr>
                  <w:rFonts w:ascii="Times New Roman" w:cs="Times New Roman" w:eastAsia="Times New Roman" w:hAnsi="Times New Roman"/>
                  <w:sz w:val="18"/>
                  <w:szCs w:val="18"/>
                  <w:color w:val="0000FF"/>
                </w:rPr>
                <w:t>the SEC on August 22,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4"/>
                <w:szCs w:val="14"/>
                <w:color w:val="auto"/>
              </w:rPr>
            </w:pPr>
          </w:p>
        </w:tc>
        <w:tc>
          <w:tcPr>
            <w:tcW w:w="920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Warrant Assignment, Assumption and Amendment Agreement, dated August 15, 2024, by and among Rezolve AI Limited and</w:t>
              </w:r>
            </w:hyperlink>
          </w:p>
        </w:tc>
        <w:tc>
          <w:tcPr>
            <w:tcW w:w="1020" w:type="dxa"/>
            <w:vAlign w:val="bottom"/>
            <w:tcBorders>
              <w:right w:val="single" w:sz="8" w:color="auto"/>
            </w:tcBorders>
            <w:gridSpan w:val="22"/>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Computershare Inc. and its affiliate, Computershare Trust Company, N.A. (incorporated by reference to Exhibit 4.4 of Rezolve AI</w:t>
              </w:r>
            </w:hyperlink>
          </w:p>
        </w:tc>
        <w:tc>
          <w:tcPr>
            <w:tcW w:w="780" w:type="dxa"/>
            <w:vAlign w:val="bottom"/>
            <w:tcBorders>
              <w:right w:val="single" w:sz="8" w:color="auto"/>
            </w:tcBorders>
            <w:gridSpan w:val="20"/>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Limited’s Shell Company Report on Form 20-F, filed with the SEC on August 22,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4"/>
                <w:szCs w:val="14"/>
                <w:color w:val="auto"/>
              </w:rPr>
            </w:pPr>
          </w:p>
        </w:tc>
        <w:tc>
          <w:tcPr>
            <w:tcW w:w="9660" w:type="dxa"/>
            <w:vAlign w:val="bottom"/>
            <w:tcBorders>
              <w:bottom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Investor Rights Agreement, dated August 15, 2024, by and among Rezolve AI Limited and the holders party thereto (incorporated by</w:t>
              </w:r>
            </w:hyperlink>
          </w:p>
        </w:tc>
        <w:tc>
          <w:tcPr>
            <w:tcW w:w="560" w:type="dxa"/>
            <w:vAlign w:val="bottom"/>
            <w:tcBorders>
              <w:right w:val="single" w:sz="8" w:color="auto"/>
            </w:tcBorders>
            <w:gridSpan w:val="17"/>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reference to Exhibit 4.6 of Rezolve AI Limited’s Shell Company Report on Form 20-F, filed with the SEC on August 22,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4"/>
                <w:szCs w:val="14"/>
                <w:color w:val="auto"/>
              </w:rPr>
            </w:pPr>
          </w:p>
        </w:tc>
        <w:tc>
          <w:tcPr>
            <w:tcW w:w="9760" w:type="dxa"/>
            <w:vAlign w:val="bottom"/>
            <w:tcBorders>
              <w:bottom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Form of Lock-In Agreement, dated August 15, 2024, by and among Rezolve AI Limited and the holders party thereto (incorporated by</w:t>
              </w:r>
            </w:hyperlink>
          </w:p>
        </w:tc>
        <w:tc>
          <w:tcPr>
            <w:tcW w:w="460" w:type="dxa"/>
            <w:vAlign w:val="bottom"/>
            <w:tcBorders>
              <w:right w:val="single" w:sz="8" w:color="auto"/>
            </w:tcBorders>
            <w:gridSpan w:val="14"/>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reference to Exhibit 4.7 of Rezolve AI Limited’s Shell Company Report on Form 20-F, filed with the SEC on August 22,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4"/>
                <w:szCs w:val="14"/>
                <w:color w:val="auto"/>
              </w:rPr>
            </w:pPr>
          </w:p>
        </w:tc>
        <w:tc>
          <w:tcPr>
            <w:tcW w:w="1012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Opinion of Taylor Wessing LLP. (incorporated by reference to Exhibit 5.1 of Rezolve AI Limited's Amendment 1 to Registration Statement</w:t>
              </w:r>
            </w:hyperlink>
          </w:p>
        </w:tc>
        <w:tc>
          <w:tcPr>
            <w:tcW w:w="100" w:type="dxa"/>
            <w:vAlign w:val="bottom"/>
            <w:tcBorders>
              <w:right w:val="single" w:sz="8" w:color="auto"/>
            </w:tcBorders>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on Form F-1, filed with the SEC on January 29, 2025).</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4"/>
                <w:szCs w:val="14"/>
                <w:color w:val="auto"/>
              </w:rPr>
            </w:pPr>
          </w:p>
        </w:tc>
        <w:tc>
          <w:tcPr>
            <w:tcW w:w="998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Loan Note Instrument dated December 16, 2021, as amended and restated on November 21, 2022, and as further amended and restated on</w:t>
              </w:r>
            </w:hyperlink>
          </w:p>
        </w:tc>
        <w:tc>
          <w:tcPr>
            <w:tcW w:w="240" w:type="dxa"/>
            <w:vAlign w:val="bottom"/>
            <w:tcBorders>
              <w:right w:val="single" w:sz="8" w:color="auto"/>
            </w:tcBorders>
            <w:gridSpan w:val="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May 23, 2023 (incorporated by reference to Exhibit 10.17 of Rezolve AI Limited’s Registration Statement on Form F-4, Amendment No. 6,</w:t>
              </w:r>
            </w:hyperlink>
          </w:p>
        </w:tc>
        <w:tc>
          <w:tcPr>
            <w:tcW w:w="100" w:type="dxa"/>
            <w:vAlign w:val="bottom"/>
            <w:tcBorders>
              <w:right w:val="single" w:sz="8" w:color="auto"/>
            </w:tcBorders>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filed with the SEC on June 11,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Binding Term Sheet, dated August 30, 2021, by and among Rezolve, Radio Group and the other parties thereto (incorporated by reference</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to Exhibit 10.18 of Rezolve AI Limited’s Registration Statement on Form F-4, Amendment No. 5, filed with the SEC on May 20,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Amendment to Binding Term Sheet, dated May 24, 2023, by and among Rezolve, Radio Group and the other parties thereto (incorporated</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6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by reference to Exhibit 10.19 of Rezolve AI Limited’s Registration Statement on Form F-4, Amendment No. 5, filed with the SEC on May</w:t>
              </w:r>
            </w:hyperlink>
          </w:p>
        </w:tc>
        <w:tc>
          <w:tcPr>
            <w:tcW w:w="160" w:type="dxa"/>
            <w:vAlign w:val="bottom"/>
            <w:tcBorders>
              <w:right w:val="single" w:sz="8" w:color="auto"/>
            </w:tcBorders>
            <w:gridSpan w:val="4"/>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560" w:type="dxa"/>
            <w:vAlign w:val="bottom"/>
            <w:gridSpan w:val="4"/>
          </w:tcPr>
          <w:p>
            <w:pPr>
              <w:ind w:left="80"/>
              <w:spacing w:after="0" w:line="196" w:lineRule="exact"/>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20, 2024).</w:t>
              </w:r>
            </w:hyperlink>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4"/>
                <w:szCs w:val="14"/>
                <w:color w:val="auto"/>
              </w:rPr>
            </w:pPr>
          </w:p>
        </w:tc>
        <w:tc>
          <w:tcPr>
            <w:tcW w:w="996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Agreement in Context of the Binding Term Sheet, dated May 24, 2023, by and among Rezolve, Radio Group and the other parties thereto</w:t>
              </w:r>
            </w:hyperlink>
          </w:p>
        </w:tc>
        <w:tc>
          <w:tcPr>
            <w:tcW w:w="260" w:type="dxa"/>
            <w:vAlign w:val="bottom"/>
            <w:tcBorders>
              <w:right w:val="single" w:sz="8" w:color="auto"/>
            </w:tcBorders>
            <w:gridSpan w:val="7"/>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0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(incorporated by reference to Exhibit 10.20 of Rezolve AI Limited’s Registration Statement on Form F-4, Amendment No. 6, filed with the</w:t>
              </w:r>
            </w:hyperlink>
          </w:p>
        </w:tc>
        <w:tc>
          <w:tcPr>
            <w:tcW w:w="120" w:type="dxa"/>
            <w:vAlign w:val="bottom"/>
            <w:tcBorders>
              <w:right w:val="single" w:sz="8" w:color="auto"/>
            </w:tcBorders>
            <w:gridSpan w:val="2"/>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SEC on June 11,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4"/>
                <w:szCs w:val="14"/>
                <w:color w:val="auto"/>
              </w:rPr>
            </w:pPr>
          </w:p>
        </w:tc>
        <w:tc>
          <w:tcPr>
            <w:tcW w:w="95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Contractual Agreement, dated August 30, 2021, by and among Rezolve, Radio Group and the other parties thereto (incorporated by</w:t>
              </w:r>
            </w:hyperlink>
          </w:p>
        </w:tc>
        <w:tc>
          <w:tcPr>
            <w:tcW w:w="700" w:type="dxa"/>
            <w:vAlign w:val="bottom"/>
            <w:tcBorders>
              <w:right w:val="single" w:sz="8" w:color="auto"/>
            </w:tcBorders>
            <w:gridSpan w:val="19"/>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12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reference to Exhibit 10.21 of Rezolve AI Limited’s Registration Statement on Form F-4, Amendment No. 6, filed with the SEC on June 11,</w:t>
              </w:r>
            </w:hyperlink>
          </w:p>
        </w:tc>
        <w:tc>
          <w:tcPr>
            <w:tcW w:w="100" w:type="dxa"/>
            <w:vAlign w:val="bottom"/>
            <w:tcBorders>
              <w:right w:val="single" w:sz="8" w:color="auto"/>
            </w:tcBorders>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20" w:type="dxa"/>
            <w:vAlign w:val="bottom"/>
            <w:gridSpan w:val="3"/>
          </w:tcPr>
          <w:p>
            <w:pPr>
              <w:ind w:left="80"/>
              <w:spacing w:after="0" w:line="196" w:lineRule="exact"/>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2024).</w:t>
              </w:r>
            </w:hyperlink>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4"/>
                <w:szCs w:val="14"/>
                <w:color w:val="auto"/>
              </w:rPr>
            </w:pPr>
          </w:p>
        </w:tc>
        <w:tc>
          <w:tcPr>
            <w:tcW w:w="10080" w:type="dxa"/>
            <w:vAlign w:val="bottom"/>
            <w:tcBorders>
              <w:bottom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Contractual Relationship, dated April 30, 2023 (incorporated by reference to Exhibit 10.22 of Rezolve AI Limited’s Registration Statement</w:t>
              </w:r>
            </w:hyperlink>
          </w:p>
        </w:tc>
        <w:tc>
          <w:tcPr>
            <w:tcW w:w="140" w:type="dxa"/>
            <w:vAlign w:val="bottom"/>
            <w:tcBorders>
              <w:right w:val="single" w:sz="8" w:color="auto"/>
            </w:tcBorders>
            <w:gridSpan w:val="3"/>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0">
              <w:r>
                <w:rPr>
                  <w:rFonts w:ascii="Times New Roman" w:cs="Times New Roman" w:eastAsia="Times New Roman" w:hAnsi="Times New Roman"/>
                  <w:sz w:val="18"/>
                  <w:szCs w:val="18"/>
                  <w:color w:val="0000FF"/>
                </w:rPr>
                <w:t>on Form F-4, Amendment No. 5,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4"/>
                <w:szCs w:val="14"/>
                <w:color w:val="auto"/>
              </w:rPr>
            </w:pPr>
          </w:p>
        </w:tc>
        <w:tc>
          <w:tcPr>
            <w:tcW w:w="10120" w:type="dxa"/>
            <w:vAlign w:val="bottom"/>
            <w:tcBorders>
              <w:bottom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Power of Disposal over ANY Lifestyle Marketing GmbH, dated November 17, 2023 (incorporated by reference to Exhibit 10.23 of Rezolve</w:t>
              </w:r>
            </w:hyperlink>
          </w:p>
        </w:tc>
        <w:tc>
          <w:tcPr>
            <w:tcW w:w="100" w:type="dxa"/>
            <w:vAlign w:val="bottom"/>
            <w:tcBorders>
              <w:right w:val="single" w:sz="8" w:color="auto"/>
            </w:tcBorders>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4"/>
                <w:szCs w:val="14"/>
                <w:color w:val="auto"/>
              </w:rPr>
            </w:pPr>
          </w:p>
        </w:tc>
        <w:tc>
          <w:tcPr>
            <w:tcW w:w="10000" w:type="dxa"/>
            <w:vAlign w:val="bottom"/>
            <w:tcBorders>
              <w:bottom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Loan Agreement, dated September 28, 2023, by and among Rezolve, Radio Group and the other parties thereto (incorporated by reference</w:t>
              </w:r>
            </w:hyperlink>
          </w:p>
        </w:tc>
        <w:tc>
          <w:tcPr>
            <w:tcW w:w="220" w:type="dxa"/>
            <w:vAlign w:val="bottom"/>
            <w:tcBorders>
              <w:right w:val="single" w:sz="8" w:color="auto"/>
            </w:tcBorders>
            <w:gridSpan w:val="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2">
              <w:r>
                <w:rPr>
                  <w:rFonts w:ascii="Times New Roman" w:cs="Times New Roman" w:eastAsia="Times New Roman" w:hAnsi="Times New Roman"/>
                  <w:sz w:val="18"/>
                  <w:szCs w:val="18"/>
                  <w:color w:val="0000FF"/>
                </w:rPr>
                <w:t>to Exhibit 10.24 of Rezolve AI Limited’s Registration Statement on Form F-4, filed with the SEC on May 20,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4"/>
                <w:szCs w:val="14"/>
                <w:color w:val="auto"/>
              </w:rPr>
            </w:pPr>
          </w:p>
        </w:tc>
        <w:tc>
          <w:tcPr>
            <w:tcW w:w="958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Amended and Restated Standby Equity Purchase Agreement, dated as of February 2, 2024, by and between YA II PN, Ltd., Armada</w:t>
              </w:r>
            </w:hyperlink>
          </w:p>
        </w:tc>
        <w:tc>
          <w:tcPr>
            <w:tcW w:w="640" w:type="dxa"/>
            <w:vAlign w:val="bottom"/>
            <w:tcBorders>
              <w:right w:val="single" w:sz="8" w:color="auto"/>
            </w:tcBorders>
            <w:gridSpan w:val="18"/>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8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Acquisition Corp. I, Rezolve Limited and Rezolve AI Limited (incorporated by reference to Exhibit 2.1 of Aramada's Current Report on</w:t>
              </w:r>
            </w:hyperlink>
          </w:p>
        </w:tc>
        <w:tc>
          <w:tcPr>
            <w:tcW w:w="360" w:type="dxa"/>
            <w:vAlign w:val="bottom"/>
            <w:tcBorders>
              <w:right w:val="single" w:sz="8" w:color="auto"/>
            </w:tcBorders>
            <w:gridSpan w:val="11"/>
          </w:tcPr>
          <w:p>
            <w:pPr>
              <w:spacing w:after="0"/>
              <w:rPr>
                <w:sz w:val="17"/>
                <w:szCs w:val="17"/>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3">
              <w:r>
                <w:rPr>
                  <w:rFonts w:ascii="Times New Roman" w:cs="Times New Roman" w:eastAsia="Times New Roman" w:hAnsi="Times New Roman"/>
                  <w:sz w:val="18"/>
                  <w:szCs w:val="18"/>
                  <w:color w:val="0000FF"/>
                </w:rPr>
                <w:t>Form 8-K, filed with the SEC on February 9,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4"/>
                <w:szCs w:val="14"/>
                <w:color w:val="auto"/>
              </w:rPr>
            </w:pPr>
          </w:p>
        </w:tc>
        <w:tc>
          <w:tcPr>
            <w:tcW w:w="9920" w:type="dxa"/>
            <w:vAlign w:val="bottom"/>
            <w:tcBorders>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Second Amended and Restated Standby Equity Purchase Agreement, dated as of September 6, 2024, by and between YA II PN, Ltd. and</w:t>
              </w:r>
            </w:hyperlink>
          </w:p>
        </w:tc>
        <w:tc>
          <w:tcPr>
            <w:tcW w:w="300" w:type="dxa"/>
            <w:vAlign w:val="bottom"/>
            <w:tcBorders>
              <w:right w:val="single" w:sz="8" w:color="auto"/>
            </w:tcBorders>
            <w:gridSpan w:val="9"/>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4">
              <w:r>
                <w:rPr>
                  <w:rFonts w:ascii="Times New Roman" w:cs="Times New Roman" w:eastAsia="Times New Roman" w:hAnsi="Times New Roman"/>
                  <w:sz w:val="18"/>
                  <w:szCs w:val="18"/>
                  <w:color w:val="0000FF"/>
                </w:rPr>
                <w:t>Rezolve AI Limited.</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4"/>
                <w:szCs w:val="14"/>
                <w:color w:val="auto"/>
              </w:rPr>
            </w:pPr>
          </w:p>
        </w:tc>
        <w:tc>
          <w:tcPr>
            <w:tcW w:w="970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Promissory Note, dated as of September 9, 2024, by and among YA II PN, Ltd. and Rezolve AI Limited (incorporated by reference to</w:t>
              </w:r>
            </w:hyperlink>
          </w:p>
        </w:tc>
        <w:tc>
          <w:tcPr>
            <w:tcW w:w="520" w:type="dxa"/>
            <w:vAlign w:val="bottom"/>
            <w:tcBorders>
              <w:right w:val="single" w:sz="8" w:color="auto"/>
            </w:tcBorders>
            <w:gridSpan w:val="16"/>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5">
              <w:r>
                <w:rPr>
                  <w:rFonts w:ascii="Times New Roman" w:cs="Times New Roman" w:eastAsia="Times New Roman" w:hAnsi="Times New Roman"/>
                  <w:sz w:val="18"/>
                  <w:szCs w:val="18"/>
                  <w:color w:val="0000FF"/>
                </w:rPr>
                <w:t>Exhibit 99.2 of Rezolve’s Report on Form 6-K, filed with the SEC on September 13, 2024).</w:t>
              </w:r>
            </w:hyperlink>
          </w:p>
        </w:tc>
      </w:tr>
      <w:tr>
        <w:trPr>
          <w:trHeight w:val="21"/>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4"/>
                <w:szCs w:val="14"/>
                <w:color w:val="auto"/>
              </w:rPr>
            </w:pPr>
          </w:p>
        </w:tc>
        <w:tc>
          <w:tcPr>
            <w:tcW w:w="978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Promissory Note, dated as of November 29, 2024, by and among YA II PN, Ltd. and Rezolve AI Limited (incorporated by reference to</w:t>
              </w:r>
            </w:hyperlink>
          </w:p>
        </w:tc>
        <w:tc>
          <w:tcPr>
            <w:tcW w:w="440" w:type="dxa"/>
            <w:vAlign w:val="bottom"/>
            <w:tcBorders>
              <w:right w:val="single" w:sz="8" w:color="auto"/>
            </w:tcBorders>
            <w:gridSpan w:val="13"/>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6">
              <w:r>
                <w:rPr>
                  <w:rFonts w:ascii="Times New Roman" w:cs="Times New Roman" w:eastAsia="Times New Roman" w:hAnsi="Times New Roman"/>
                  <w:sz w:val="18"/>
                  <w:szCs w:val="18"/>
                  <w:color w:val="0000FF"/>
                </w:rPr>
                <w:t>Exhibit 99.1 of Rezolve's Report on Form 6-K, filed December 5,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40" w:type="dxa"/>
            <w:vAlign w:val="bottom"/>
            <w:tcBorders>
              <w:left w:val="single" w:sz="8" w:color="auto"/>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4"/>
                <w:szCs w:val="14"/>
                <w:color w:val="auto"/>
              </w:rPr>
            </w:pPr>
          </w:p>
        </w:tc>
        <w:tc>
          <w:tcPr>
            <w:tcW w:w="974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Letter Agreement, dated as of December 17, 2024, by and among the Company, Apeiron Investment Group Ltd. and Bradley Wickens</w:t>
              </w:r>
            </w:hyperlink>
          </w:p>
        </w:tc>
        <w:tc>
          <w:tcPr>
            <w:tcW w:w="480" w:type="dxa"/>
            <w:vAlign w:val="bottom"/>
            <w:tcBorders>
              <w:right w:val="single" w:sz="8" w:color="auto"/>
            </w:tcBorders>
            <w:gridSpan w:val="15"/>
          </w:tcPr>
          <w:p>
            <w:pPr>
              <w:spacing w:after="0"/>
              <w:rPr>
                <w:sz w:val="14"/>
                <w:szCs w:val="14"/>
                <w:color w:val="auto"/>
              </w:rPr>
            </w:pPr>
          </w:p>
        </w:tc>
      </w:tr>
      <w:tr>
        <w:trPr>
          <w:trHeight w:val="196"/>
        </w:trPr>
        <w:tc>
          <w:tcPr>
            <w:tcW w:w="940" w:type="dxa"/>
            <w:vAlign w:val="bottom"/>
            <w:tcBorders>
              <w:left w:val="single" w:sz="8" w:color="auto"/>
              <w:right w:val="single" w:sz="8" w:color="auto"/>
            </w:tcBorders>
          </w:tcPr>
          <w:p>
            <w:pPr>
              <w:spacing w:after="0"/>
              <w:rPr>
                <w:sz w:val="17"/>
                <w:szCs w:val="17"/>
                <w:color w:val="auto"/>
              </w:rPr>
            </w:pPr>
          </w:p>
        </w:tc>
        <w:tc>
          <w:tcPr>
            <w:tcW w:w="10300" w:type="dxa"/>
            <w:vAlign w:val="bottom"/>
            <w:tcBorders>
              <w:right w:val="single" w:sz="8" w:color="auto"/>
            </w:tcBorders>
            <w:gridSpan w:val="39"/>
          </w:tcPr>
          <w:p>
            <w:pPr>
              <w:ind w:left="80"/>
              <w:spacing w:after="0" w:line="196" w:lineRule="exact"/>
              <w:rPr>
                <w:rFonts w:ascii="Times New Roman" w:cs="Times New Roman" w:eastAsia="Times New Roman" w:hAnsi="Times New Roman"/>
                <w:sz w:val="18"/>
                <w:szCs w:val="18"/>
                <w:color w:val="0000FF"/>
              </w:rPr>
            </w:pPr>
            <w:hyperlink r:id="rId637">
              <w:r>
                <w:rPr>
                  <w:rFonts w:ascii="Times New Roman" w:cs="Times New Roman" w:eastAsia="Times New Roman" w:hAnsi="Times New Roman"/>
                  <w:sz w:val="18"/>
                  <w:szCs w:val="18"/>
                  <w:color w:val="0000FF"/>
                </w:rPr>
                <w:t>(incorporated by reference to Exhibit 10.2 of Rezolve's Report on Form 6-K, filed December 18, 2024).</w:t>
              </w:r>
            </w:hyperlink>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7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8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14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top w:val="single" w:sz="8" w:color="0000FF"/>
              <w:bottom w:val="single" w:sz="8" w:color="auto"/>
            </w:tcBorders>
          </w:tcPr>
          <w:p>
            <w:pPr>
              <w:spacing w:after="0" w:line="20" w:lineRule="exact"/>
              <w:rPr>
                <w:sz w:val="1"/>
                <w:szCs w:val="1"/>
                <w:color w:val="auto"/>
              </w:rPr>
            </w:pPr>
          </w:p>
        </w:tc>
        <w:tc>
          <w:tcPr>
            <w:tcW w:w="11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r>
      <w:tr>
        <w:trPr>
          <w:trHeight w:val="560"/>
        </w:trPr>
        <w:tc>
          <w:tcPr>
            <w:tcW w:w="940" w:type="dxa"/>
            <w:vAlign w:val="bottom"/>
          </w:tcPr>
          <w:p>
            <w:pPr>
              <w:spacing w:after="0"/>
              <w:rPr>
                <w:sz w:val="24"/>
                <w:szCs w:val="24"/>
                <w:color w:val="auto"/>
              </w:rPr>
            </w:pPr>
          </w:p>
        </w:tc>
        <w:tc>
          <w:tcPr>
            <w:tcW w:w="5220" w:type="dxa"/>
            <w:vAlign w:val="bottom"/>
            <w:gridSpan w:val="10"/>
          </w:tcPr>
          <w:p>
            <w:pPr>
              <w:jc w:val="right"/>
              <w:ind w:right="40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tbl>
      <w:tblPr>
        <w:tblLayout w:type="fixed"/>
        <w:tblInd w:w="10" w:type="dxa"/>
        <w:tblCellMar>
          <w:top w:w="0" w:type="dxa"/>
          <w:left w:w="0" w:type="dxa"/>
          <w:bottom w:w="0" w:type="dxa"/>
          <w:right w:w="0" w:type="dxa"/>
        </w:tblCellMar>
      </w:tblPr>
      <w:tr>
        <w:trPr>
          <w:trHeight w:val="192"/>
        </w:trPr>
        <w:tc>
          <w:tcPr>
            <w:tcW w:w="920" w:type="dxa"/>
            <w:vAlign w:val="bottom"/>
            <w:tcBorders>
              <w:top w:val="single" w:sz="8" w:color="auto"/>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18"/>
                <w:szCs w:val="18"/>
                <w:color w:val="auto"/>
              </w:rPr>
              <w:t>10.14*</w:t>
            </w:r>
          </w:p>
        </w:tc>
        <w:tc>
          <w:tcPr>
            <w:tcW w:w="10320" w:type="dxa"/>
            <w:vAlign w:val="bottom"/>
            <w:tcBorders>
              <w:top w:val="single" w:sz="8" w:color="auto"/>
              <w:right w:val="single" w:sz="8" w:color="auto"/>
            </w:tcBorders>
            <w:gridSpan w:val="22"/>
          </w:tcPr>
          <w:p>
            <w:pPr>
              <w:ind w:left="100"/>
              <w:spacing w:after="0" w:line="192" w:lineRule="exact"/>
              <w:rPr>
                <w:rFonts w:ascii="Times New Roman" w:cs="Times New Roman" w:eastAsia="Times New Roman" w:hAnsi="Times New Roman"/>
                <w:sz w:val="18"/>
                <w:szCs w:val="18"/>
                <w:color w:val="0000FF"/>
              </w:rPr>
            </w:pPr>
            <w:hyperlink r:id="rId640">
              <w:r>
                <w:rPr>
                  <w:rFonts w:ascii="Times New Roman" w:cs="Times New Roman" w:eastAsia="Times New Roman" w:hAnsi="Times New Roman"/>
                  <w:sz w:val="18"/>
                  <w:szCs w:val="18"/>
                  <w:color w:val="0000FF"/>
                </w:rPr>
                <w:t>Form of Deed of Amendment (incorporated by reference to Exhibit 10.3 of Rezolve's Report on Form 6-K, filed December 18, 2024).</w:t>
              </w:r>
            </w:hyperlink>
          </w:p>
        </w:tc>
      </w:tr>
      <w:tr>
        <w:trPr>
          <w:trHeight w:val="60"/>
        </w:trPr>
        <w:tc>
          <w:tcPr>
            <w:tcW w:w="920" w:type="dxa"/>
            <w:vAlign w:val="bottom"/>
            <w:tcBorders>
              <w:left w:val="single" w:sz="8" w:color="auto"/>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top w:val="single" w:sz="8" w:color="0000EE"/>
              <w:bottom w:val="single" w:sz="8" w:color="0000EE"/>
            </w:tcBorders>
          </w:tcPr>
          <w:p>
            <w:pPr>
              <w:spacing w:after="0"/>
              <w:rPr>
                <w:sz w:val="5"/>
                <w:szCs w:val="5"/>
                <w:color w:val="auto"/>
              </w:rPr>
            </w:pPr>
          </w:p>
        </w:tc>
        <w:tc>
          <w:tcPr>
            <w:tcW w:w="100" w:type="dxa"/>
            <w:vAlign w:val="bottom"/>
            <w:tcBorders>
              <w:top w:val="single" w:sz="8" w:color="0000EE"/>
              <w:bottom w:val="single" w:sz="8" w:color="0000EE"/>
            </w:tcBorders>
          </w:tcPr>
          <w:p>
            <w:pPr>
              <w:spacing w:after="0"/>
              <w:rPr>
                <w:sz w:val="5"/>
                <w:szCs w:val="5"/>
                <w:color w:val="auto"/>
              </w:rPr>
            </w:pPr>
          </w:p>
        </w:tc>
        <w:tc>
          <w:tcPr>
            <w:tcW w:w="240" w:type="dxa"/>
            <w:vAlign w:val="bottom"/>
            <w:tcBorders>
              <w:top w:val="single" w:sz="8" w:color="0000EE"/>
              <w:bottom w:val="single" w:sz="8" w:color="0000EE"/>
            </w:tcBorders>
          </w:tcPr>
          <w:p>
            <w:pPr>
              <w:spacing w:after="0"/>
              <w:rPr>
                <w:sz w:val="5"/>
                <w:szCs w:val="5"/>
                <w:color w:val="auto"/>
              </w:rPr>
            </w:pPr>
          </w:p>
        </w:tc>
        <w:tc>
          <w:tcPr>
            <w:tcW w:w="1120" w:type="dxa"/>
            <w:vAlign w:val="bottom"/>
            <w:tcBorders>
              <w:top w:val="single" w:sz="8" w:color="0000EE"/>
              <w:bottom w:val="single" w:sz="8" w:color="0000EE"/>
            </w:tcBorders>
          </w:tcPr>
          <w:p>
            <w:pPr>
              <w:spacing w:after="0"/>
              <w:rPr>
                <w:sz w:val="5"/>
                <w:szCs w:val="5"/>
                <w:color w:val="auto"/>
              </w:rPr>
            </w:pPr>
          </w:p>
        </w:tc>
        <w:tc>
          <w:tcPr>
            <w:tcW w:w="220" w:type="dxa"/>
            <w:vAlign w:val="bottom"/>
            <w:tcBorders>
              <w:top w:val="single" w:sz="8" w:color="0000EE"/>
              <w:bottom w:val="single" w:sz="8" w:color="0000EE"/>
            </w:tcBorders>
          </w:tcPr>
          <w:p>
            <w:pPr>
              <w:spacing w:after="0"/>
              <w:rPr>
                <w:sz w:val="5"/>
                <w:szCs w:val="5"/>
                <w:color w:val="auto"/>
              </w:rPr>
            </w:pPr>
          </w:p>
        </w:tc>
        <w:tc>
          <w:tcPr>
            <w:tcW w:w="240" w:type="dxa"/>
            <w:vAlign w:val="bottom"/>
            <w:tcBorders>
              <w:top w:val="single" w:sz="8" w:color="0000EE"/>
              <w:bottom w:val="single" w:sz="8" w:color="0000EE"/>
            </w:tcBorders>
          </w:tcPr>
          <w:p>
            <w:pPr>
              <w:spacing w:after="0"/>
              <w:rPr>
                <w:sz w:val="5"/>
                <w:szCs w:val="5"/>
                <w:color w:val="auto"/>
              </w:rPr>
            </w:pPr>
          </w:p>
        </w:tc>
        <w:tc>
          <w:tcPr>
            <w:tcW w:w="600" w:type="dxa"/>
            <w:vAlign w:val="bottom"/>
            <w:tcBorders>
              <w:top w:val="single" w:sz="8" w:color="0000EE"/>
              <w:bottom w:val="single" w:sz="8" w:color="0000EE"/>
            </w:tcBorders>
          </w:tcPr>
          <w:p>
            <w:pPr>
              <w:spacing w:after="0"/>
              <w:rPr>
                <w:sz w:val="5"/>
                <w:szCs w:val="5"/>
                <w:color w:val="auto"/>
              </w:rPr>
            </w:pPr>
          </w:p>
        </w:tc>
        <w:tc>
          <w:tcPr>
            <w:tcW w:w="1780" w:type="dxa"/>
            <w:vAlign w:val="bottom"/>
            <w:tcBorders>
              <w:top w:val="single" w:sz="8" w:color="0000EE"/>
              <w:bottom w:val="single" w:sz="8" w:color="0000EE"/>
            </w:tcBorders>
          </w:tcPr>
          <w:p>
            <w:pPr>
              <w:spacing w:after="0"/>
              <w:rPr>
                <w:sz w:val="5"/>
                <w:szCs w:val="5"/>
                <w:color w:val="auto"/>
              </w:rPr>
            </w:pPr>
          </w:p>
        </w:tc>
        <w:tc>
          <w:tcPr>
            <w:tcW w:w="720" w:type="dxa"/>
            <w:vAlign w:val="bottom"/>
            <w:tcBorders>
              <w:top w:val="single" w:sz="8" w:color="0000EE"/>
              <w:bottom w:val="single" w:sz="8" w:color="0000EE"/>
            </w:tcBorders>
          </w:tcPr>
          <w:p>
            <w:pPr>
              <w:spacing w:after="0"/>
              <w:rPr>
                <w:sz w:val="5"/>
                <w:szCs w:val="5"/>
                <w:color w:val="auto"/>
              </w:rPr>
            </w:pPr>
          </w:p>
        </w:tc>
        <w:tc>
          <w:tcPr>
            <w:tcW w:w="2080" w:type="dxa"/>
            <w:vAlign w:val="bottom"/>
            <w:tcBorders>
              <w:top w:val="single" w:sz="8" w:color="0000EE"/>
              <w:bottom w:val="single" w:sz="8" w:color="0000EE"/>
            </w:tcBorders>
          </w:tcPr>
          <w:p>
            <w:pPr>
              <w:spacing w:after="0"/>
              <w:rPr>
                <w:sz w:val="5"/>
                <w:szCs w:val="5"/>
                <w:color w:val="auto"/>
              </w:rPr>
            </w:pPr>
          </w:p>
        </w:tc>
        <w:tc>
          <w:tcPr>
            <w:tcW w:w="2080" w:type="dxa"/>
            <w:vAlign w:val="bottom"/>
            <w:tcBorders>
              <w:top w:val="single" w:sz="8" w:color="0000EE"/>
              <w:bottom w:val="single" w:sz="8" w:color="0000EE"/>
            </w:tcBorders>
          </w:tcPr>
          <w:p>
            <w:pPr>
              <w:spacing w:after="0"/>
              <w:rPr>
                <w:sz w:val="5"/>
                <w:szCs w:val="5"/>
                <w:color w:val="auto"/>
              </w:rPr>
            </w:pPr>
          </w:p>
        </w:tc>
        <w:tc>
          <w:tcPr>
            <w:tcW w:w="160" w:type="dxa"/>
            <w:vAlign w:val="bottom"/>
            <w:tcBorders>
              <w:top w:val="single" w:sz="8" w:color="0000EE"/>
              <w:bottom w:val="single" w:sz="8" w:color="0000EE"/>
            </w:tcBorders>
          </w:tcPr>
          <w:p>
            <w:pPr>
              <w:spacing w:after="0"/>
              <w:rPr>
                <w:sz w:val="5"/>
                <w:szCs w:val="5"/>
                <w:color w:val="auto"/>
              </w:rPr>
            </w:pPr>
          </w:p>
        </w:tc>
        <w:tc>
          <w:tcPr>
            <w:tcW w:w="20" w:type="dxa"/>
            <w:vAlign w:val="bottom"/>
            <w:tcBorders>
              <w:top w:val="single" w:sz="8" w:color="0000EE"/>
              <w:bottom w:val="single" w:sz="8" w:color="0000EE"/>
            </w:tcBorders>
          </w:tcPr>
          <w:p>
            <w:pPr>
              <w:spacing w:after="0"/>
              <w:rPr>
                <w:sz w:val="5"/>
                <w:szCs w:val="5"/>
                <w:color w:val="auto"/>
              </w:rPr>
            </w:pPr>
          </w:p>
        </w:tc>
        <w:tc>
          <w:tcPr>
            <w:tcW w:w="40" w:type="dxa"/>
            <w:vAlign w:val="bottom"/>
            <w:tcBorders>
              <w:top w:val="single" w:sz="8" w:color="0000EE"/>
              <w:bottom w:val="single" w:sz="8" w:color="0000EE"/>
            </w:tcBorders>
          </w:tcPr>
          <w:p>
            <w:pPr>
              <w:spacing w:after="0"/>
              <w:rPr>
                <w:sz w:val="5"/>
                <w:szCs w:val="5"/>
                <w:color w:val="auto"/>
              </w:rPr>
            </w:pPr>
          </w:p>
        </w:tc>
        <w:tc>
          <w:tcPr>
            <w:tcW w:w="180" w:type="dxa"/>
            <w:vAlign w:val="bottom"/>
            <w:tcBorders>
              <w:top w:val="single" w:sz="8" w:color="0000EE"/>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29"/>
        </w:trPr>
        <w:tc>
          <w:tcPr>
            <w:tcW w:w="920" w:type="dxa"/>
            <w:vAlign w:val="bottom"/>
            <w:tcBorders>
              <w:top w:val="single" w:sz="8" w:color="auto"/>
              <w:right w:val="single" w:sz="8" w:color="auto"/>
            </w:tcBorders>
          </w:tcPr>
          <w:p>
            <w:pPr>
              <w:ind w:left="120"/>
              <w:spacing w:after="0" w:line="130" w:lineRule="exact"/>
              <w:rPr>
                <w:sz w:val="20"/>
                <w:szCs w:val="20"/>
                <w:color w:val="auto"/>
              </w:rPr>
            </w:pPr>
            <w:r>
              <w:rPr>
                <w:rFonts w:ascii="Times New Roman" w:cs="Times New Roman" w:eastAsia="Times New Roman" w:hAnsi="Times New Roman"/>
                <w:sz w:val="15"/>
                <w:szCs w:val="15"/>
                <w:color w:val="auto"/>
              </w:rPr>
              <w:t>10.15*</w:t>
            </w:r>
          </w:p>
        </w:tc>
        <w:tc>
          <w:tcPr>
            <w:tcW w:w="100" w:type="dxa"/>
            <w:vAlign w:val="bottom"/>
            <w:tcBorders>
              <w:top w:val="single" w:sz="8" w:color="auto"/>
            </w:tcBorders>
          </w:tcPr>
          <w:p>
            <w:pPr>
              <w:spacing w:after="0"/>
              <w:rPr>
                <w:sz w:val="11"/>
                <w:szCs w:val="11"/>
                <w:color w:val="auto"/>
              </w:rPr>
            </w:pPr>
          </w:p>
        </w:tc>
        <w:tc>
          <w:tcPr>
            <w:tcW w:w="9920" w:type="dxa"/>
            <w:vAlign w:val="bottom"/>
            <w:tcBorders>
              <w:top w:val="single" w:sz="8" w:color="auto"/>
              <w:bottom w:val="single" w:sz="8" w:color="0000FF"/>
            </w:tcBorders>
            <w:gridSpan w:val="17"/>
          </w:tcPr>
          <w:p>
            <w:pPr>
              <w:spacing w:after="0" w:line="130" w:lineRule="exact"/>
              <w:rPr>
                <w:rFonts w:ascii="Times New Roman" w:cs="Times New Roman" w:eastAsia="Times New Roman" w:hAnsi="Times New Roman"/>
                <w:sz w:val="15"/>
                <w:szCs w:val="15"/>
                <w:color w:val="0000FF"/>
              </w:rPr>
            </w:pPr>
            <w:hyperlink r:id="rId641">
              <w:r>
                <w:rPr>
                  <w:rFonts w:ascii="Times New Roman" w:cs="Times New Roman" w:eastAsia="Times New Roman" w:hAnsi="Times New Roman"/>
                  <w:sz w:val="15"/>
                  <w:szCs w:val="15"/>
                  <w:color w:val="0000FF"/>
                </w:rPr>
                <w:t>Form of Securities Purchase Agreement (incorporated by reference to Exhibit 10.1 of Rezolve's Report on Form 6-K, filed December 23,</w:t>
              </w:r>
            </w:hyperlink>
          </w:p>
        </w:tc>
        <w:tc>
          <w:tcPr>
            <w:tcW w:w="300" w:type="dxa"/>
            <w:vAlign w:val="bottom"/>
            <w:tcBorders>
              <w:top w:val="single" w:sz="8" w:color="auto"/>
              <w:right w:val="single" w:sz="8" w:color="auto"/>
            </w:tcBorders>
            <w:gridSpan w:val="4"/>
          </w:tcPr>
          <w:p>
            <w:pPr>
              <w:spacing w:after="0"/>
              <w:rPr>
                <w:sz w:val="11"/>
                <w:szCs w:val="11"/>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680" w:type="dxa"/>
            <w:vAlign w:val="bottom"/>
            <w:gridSpan w:val="5"/>
          </w:tcPr>
          <w:p>
            <w:pPr>
              <w:ind w:left="100"/>
              <w:spacing w:after="0" w:line="196" w:lineRule="exact"/>
              <w:rPr>
                <w:rFonts w:ascii="Times New Roman" w:cs="Times New Roman" w:eastAsia="Times New Roman" w:hAnsi="Times New Roman"/>
                <w:sz w:val="18"/>
                <w:szCs w:val="18"/>
                <w:color w:val="0000FF"/>
              </w:rPr>
            </w:pPr>
            <w:hyperlink r:id="rId641">
              <w:r>
                <w:rPr>
                  <w:rFonts w:ascii="Times New Roman" w:cs="Times New Roman" w:eastAsia="Times New Roman" w:hAnsi="Times New Roman"/>
                  <w:sz w:val="18"/>
                  <w:szCs w:val="18"/>
                  <w:color w:val="0000FF"/>
                </w:rPr>
                <w:t>2024).</w:t>
              </w:r>
            </w:hyperlink>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4"/>
                <w:szCs w:val="14"/>
                <w:color w:val="auto"/>
              </w:rPr>
            </w:pPr>
          </w:p>
        </w:tc>
        <w:tc>
          <w:tcPr>
            <w:tcW w:w="952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642">
              <w:r>
                <w:rPr>
                  <w:rFonts w:ascii="Times New Roman" w:cs="Times New Roman" w:eastAsia="Times New Roman" w:hAnsi="Times New Roman"/>
                  <w:sz w:val="18"/>
                  <w:szCs w:val="18"/>
                  <w:color w:val="0000FF"/>
                </w:rPr>
                <w:t>Loan Agreement, dated January 23, 2025, between Rezolve AI Ltd., as borrower, and Joh. Berenberg, Gossler &amp; Co. KG, as lender</w:t>
              </w:r>
            </w:hyperlink>
          </w:p>
        </w:tc>
        <w:tc>
          <w:tcPr>
            <w:tcW w:w="700" w:type="dxa"/>
            <w:vAlign w:val="bottom"/>
            <w:tcBorders>
              <w:right w:val="single" w:sz="8" w:color="auto"/>
            </w:tcBorders>
            <w:gridSpan w:val="7"/>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2"/>
          </w:tcPr>
          <w:p>
            <w:pPr>
              <w:ind w:left="100"/>
              <w:spacing w:after="0" w:line="196" w:lineRule="exact"/>
              <w:rPr>
                <w:rFonts w:ascii="Times New Roman" w:cs="Times New Roman" w:eastAsia="Times New Roman" w:hAnsi="Times New Roman"/>
                <w:sz w:val="18"/>
                <w:szCs w:val="18"/>
                <w:color w:val="0000FF"/>
              </w:rPr>
            </w:pPr>
            <w:hyperlink r:id="rId642">
              <w:r>
                <w:rPr>
                  <w:rFonts w:ascii="Times New Roman" w:cs="Times New Roman" w:eastAsia="Times New Roman" w:hAnsi="Times New Roman"/>
                  <w:sz w:val="18"/>
                  <w:szCs w:val="18"/>
                  <w:color w:val="0000FF"/>
                </w:rPr>
                <w:t>(incorporated by reference to Exhibit 10.1 of Rezolve's Report on Form 6-K, filed January 29,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4"/>
                <w:szCs w:val="14"/>
                <w:color w:val="auto"/>
              </w:rPr>
            </w:pPr>
          </w:p>
        </w:tc>
        <w:tc>
          <w:tcPr>
            <w:tcW w:w="9980" w:type="dxa"/>
            <w:vAlign w:val="bottom"/>
            <w:tcBorders>
              <w:bottom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643">
              <w:r>
                <w:rPr>
                  <w:rFonts w:ascii="Times New Roman" w:cs="Times New Roman" w:eastAsia="Times New Roman" w:hAnsi="Times New Roman"/>
                  <w:sz w:val="18"/>
                  <w:szCs w:val="18"/>
                  <w:color w:val="0000FF"/>
                </w:rPr>
                <w:t>Purchase Agreement, dated February 4, 2025, by and between Rezolve AI Limited and DBLP Sea Cow Ltd. (incorporated by reference to</w:t>
              </w:r>
            </w:hyperlink>
          </w:p>
        </w:tc>
        <w:tc>
          <w:tcPr>
            <w:tcW w:w="240" w:type="dxa"/>
            <w:vAlign w:val="bottom"/>
            <w:tcBorders>
              <w:right w:val="single" w:sz="8" w:color="auto"/>
            </w:tcBorders>
            <w:gridSpan w:val="3"/>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2"/>
          </w:tcPr>
          <w:p>
            <w:pPr>
              <w:ind w:left="100"/>
              <w:spacing w:after="0" w:line="196" w:lineRule="exact"/>
              <w:rPr>
                <w:rFonts w:ascii="Times New Roman" w:cs="Times New Roman" w:eastAsia="Times New Roman" w:hAnsi="Times New Roman"/>
                <w:sz w:val="18"/>
                <w:szCs w:val="18"/>
                <w:color w:val="0000FF"/>
              </w:rPr>
            </w:pPr>
            <w:hyperlink r:id="rId643">
              <w:r>
                <w:rPr>
                  <w:rFonts w:ascii="Times New Roman" w:cs="Times New Roman" w:eastAsia="Times New Roman" w:hAnsi="Times New Roman"/>
                  <w:sz w:val="18"/>
                  <w:szCs w:val="18"/>
                  <w:color w:val="0000FF"/>
                </w:rPr>
                <w:t>Exhibit 10.1 of Rezolve's Report on Form 6-K, filed February 7,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4"/>
                <w:szCs w:val="14"/>
                <w:color w:val="auto"/>
              </w:rPr>
            </w:pPr>
          </w:p>
        </w:tc>
        <w:tc>
          <w:tcPr>
            <w:tcW w:w="9860" w:type="dxa"/>
            <w:vAlign w:val="bottom"/>
            <w:tcBorders>
              <w:bottom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Purchase Agreement, dated February 11, 2025, by and among Rezolve AI Limited, GroupBy Inc, GroupBy International Ltd. and Fortis</w:t>
              </w:r>
            </w:hyperlink>
          </w:p>
        </w:tc>
        <w:tc>
          <w:tcPr>
            <w:tcW w:w="360" w:type="dxa"/>
            <w:vAlign w:val="bottom"/>
            <w:tcBorders>
              <w:right w:val="single" w:sz="8" w:color="auto"/>
            </w:tcBorders>
            <w:gridSpan w:val="5"/>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Advisors LLC, as representative of the sellers party thereto (incorporated by reference to Exhibit 10.1 of Rezolve's Report on Form 6-K,</w:t>
              </w:r>
            </w:hyperlink>
          </w:p>
        </w:tc>
        <w:tc>
          <w:tcPr>
            <w:tcW w:w="360" w:type="dxa"/>
            <w:vAlign w:val="bottom"/>
            <w:tcBorders>
              <w:right w:val="single" w:sz="8" w:color="auto"/>
            </w:tcBorders>
            <w:gridSpan w:val="5"/>
          </w:tcPr>
          <w:p>
            <w:pPr>
              <w:spacing w:after="0"/>
              <w:rPr>
                <w:sz w:val="17"/>
                <w:szCs w:val="17"/>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2"/>
          </w:tcPr>
          <w:p>
            <w:pPr>
              <w:ind w:left="100"/>
              <w:spacing w:after="0" w:line="196" w:lineRule="exact"/>
              <w:rPr>
                <w:rFonts w:ascii="Times New Roman" w:cs="Times New Roman" w:eastAsia="Times New Roman" w:hAnsi="Times New Roman"/>
                <w:sz w:val="18"/>
                <w:szCs w:val="18"/>
                <w:color w:val="0000FF"/>
              </w:rPr>
            </w:pPr>
            <w:hyperlink r:id="rId644">
              <w:r>
                <w:rPr>
                  <w:rFonts w:ascii="Times New Roman" w:cs="Times New Roman" w:eastAsia="Times New Roman" w:hAnsi="Times New Roman"/>
                  <w:sz w:val="18"/>
                  <w:szCs w:val="18"/>
                  <w:color w:val="0000FF"/>
                </w:rPr>
                <w:t>filed February 11,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14"/>
                <w:szCs w:val="14"/>
                <w:color w:val="auto"/>
              </w:rPr>
            </w:pPr>
          </w:p>
        </w:tc>
        <w:tc>
          <w:tcPr>
            <w:tcW w:w="9480" w:type="dxa"/>
            <w:vAlign w:val="bottom"/>
            <w:tcBorders>
              <w:bottom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Form of Securities Purchase Agreement, dated February 21, 2025, between Rezolve AI Ltd., and each of the investors listed on the</w:t>
              </w:r>
            </w:hyperlink>
          </w:p>
        </w:tc>
        <w:tc>
          <w:tcPr>
            <w:tcW w:w="740" w:type="dxa"/>
            <w:vAlign w:val="bottom"/>
            <w:tcBorders>
              <w:right w:val="single" w:sz="8" w:color="auto"/>
            </w:tcBorders>
            <w:gridSpan w:val="8"/>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2"/>
          </w:tcPr>
          <w:p>
            <w:pPr>
              <w:ind w:left="100"/>
              <w:spacing w:after="0" w:line="196" w:lineRule="exact"/>
              <w:rPr>
                <w:rFonts w:ascii="Times New Roman" w:cs="Times New Roman" w:eastAsia="Times New Roman" w:hAnsi="Times New Roman"/>
                <w:sz w:val="18"/>
                <w:szCs w:val="18"/>
                <w:color w:val="0000FF"/>
              </w:rPr>
            </w:pPr>
            <w:hyperlink r:id="rId645">
              <w:r>
                <w:rPr>
                  <w:rFonts w:ascii="Times New Roman" w:cs="Times New Roman" w:eastAsia="Times New Roman" w:hAnsi="Times New Roman"/>
                  <w:sz w:val="18"/>
                  <w:szCs w:val="18"/>
                  <w:color w:val="0000FF"/>
                </w:rPr>
                <w:t>Schedule of Buyers attached thereto (incorporated by reference to Exhibit 10.1 of Rezolve's Report on Form 6-K, filed February 25,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10.20</w:t>
            </w:r>
          </w:p>
        </w:tc>
        <w:tc>
          <w:tcPr>
            <w:tcW w:w="10320" w:type="dxa"/>
            <w:vAlign w:val="bottom"/>
            <w:tcBorders>
              <w:right w:val="single" w:sz="8" w:color="auto"/>
            </w:tcBorders>
            <w:gridSpan w:val="22"/>
          </w:tcPr>
          <w:p>
            <w:pPr>
              <w:ind w:left="100"/>
              <w:spacing w:after="0" w:line="169" w:lineRule="exact"/>
              <w:rPr>
                <w:rFonts w:ascii="Times New Roman" w:cs="Times New Roman" w:eastAsia="Times New Roman" w:hAnsi="Times New Roman"/>
                <w:sz w:val="18"/>
                <w:szCs w:val="18"/>
                <w:color w:val="0000FF"/>
              </w:rPr>
            </w:pPr>
            <w:hyperlink r:id="rId646">
              <w:r>
                <w:rPr>
                  <w:rFonts w:ascii="Times New Roman" w:cs="Times New Roman" w:eastAsia="Times New Roman" w:hAnsi="Times New Roman"/>
                  <w:sz w:val="18"/>
                  <w:szCs w:val="18"/>
                  <w:color w:val="0000FF"/>
                </w:rPr>
                <w:t>Form of Convertible Note (incorporated by reference to Exhibit 10.2 of Rezolve's Report on Form 6-K, filed February 25, 2025).</w:t>
              </w:r>
            </w:hyperlink>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14"/>
                <w:szCs w:val="14"/>
                <w:color w:val="auto"/>
              </w:rPr>
            </w:pPr>
          </w:p>
        </w:tc>
        <w:tc>
          <w:tcPr>
            <w:tcW w:w="946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Amendment to the Purchase Agreement, dated February 28, 2025, by and among Rezolve AI Limited and Fortis Advisors LLC, as</w:t>
              </w:r>
            </w:hyperlink>
          </w:p>
        </w:tc>
        <w:tc>
          <w:tcPr>
            <w:tcW w:w="760" w:type="dxa"/>
            <w:vAlign w:val="bottom"/>
            <w:tcBorders>
              <w:right w:val="single" w:sz="8" w:color="auto"/>
            </w:tcBorders>
            <w:gridSpan w:val="9"/>
          </w:tcPr>
          <w:p>
            <w:pPr>
              <w:spacing w:after="0"/>
              <w:rPr>
                <w:sz w:val="14"/>
                <w:szCs w:val="14"/>
                <w:color w:val="auto"/>
              </w:rPr>
            </w:pPr>
          </w:p>
        </w:tc>
      </w:tr>
      <w:tr>
        <w:trPr>
          <w:trHeight w:val="196"/>
        </w:trPr>
        <w:tc>
          <w:tcPr>
            <w:tcW w:w="920" w:type="dxa"/>
            <w:vAlign w:val="bottom"/>
            <w:tcBorders>
              <w:right w:val="single" w:sz="8" w:color="auto"/>
            </w:tcBorders>
          </w:tcPr>
          <w:p>
            <w:pPr>
              <w:spacing w:after="0"/>
              <w:rPr>
                <w:sz w:val="17"/>
                <w:szCs w:val="17"/>
                <w:color w:val="auto"/>
              </w:rPr>
            </w:pPr>
          </w:p>
        </w:tc>
        <w:tc>
          <w:tcPr>
            <w:tcW w:w="10320" w:type="dxa"/>
            <w:vAlign w:val="bottom"/>
            <w:tcBorders>
              <w:right w:val="single" w:sz="8" w:color="auto"/>
            </w:tcBorders>
            <w:gridSpan w:val="22"/>
          </w:tcPr>
          <w:p>
            <w:pPr>
              <w:ind w:left="100"/>
              <w:spacing w:after="0" w:line="196" w:lineRule="exact"/>
              <w:rPr>
                <w:rFonts w:ascii="Times New Roman" w:cs="Times New Roman" w:eastAsia="Times New Roman" w:hAnsi="Times New Roman"/>
                <w:sz w:val="18"/>
                <w:szCs w:val="18"/>
                <w:color w:val="0000FF"/>
              </w:rPr>
            </w:pPr>
            <w:hyperlink r:id="rId647">
              <w:r>
                <w:rPr>
                  <w:rFonts w:ascii="Times New Roman" w:cs="Times New Roman" w:eastAsia="Times New Roman" w:hAnsi="Times New Roman"/>
                  <w:sz w:val="18"/>
                  <w:szCs w:val="18"/>
                  <w:color w:val="0000FF"/>
                </w:rPr>
                <w:t>representative of the sellers party thereto (incorporated by reference to Exhibit 10.1 of Rezolve's Report on Form 6-K, filed March 6, 2025).</w:t>
              </w:r>
            </w:hyperlink>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top w:val="single" w:sz="8" w:color="0000FF"/>
              <w:bottom w:val="single" w:sz="8" w:color="auto"/>
            </w:tcBorders>
          </w:tcPr>
          <w:p>
            <w:pPr>
              <w:spacing w:after="0" w:line="20" w:lineRule="exact"/>
              <w:rPr>
                <w:sz w:val="1"/>
                <w:szCs w:val="1"/>
                <w:color w:val="auto"/>
              </w:rPr>
            </w:pPr>
          </w:p>
        </w:tc>
        <w:tc>
          <w:tcPr>
            <w:tcW w:w="72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20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23.1</w:t>
            </w:r>
          </w:p>
        </w:tc>
        <w:tc>
          <w:tcPr>
            <w:tcW w:w="10320" w:type="dxa"/>
            <w:vAlign w:val="bottom"/>
            <w:tcBorders>
              <w:right w:val="single" w:sz="8" w:color="auto"/>
            </w:tcBorders>
            <w:gridSpan w:val="22"/>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Grassi &amp; Co., CPAs, PC.</w:t>
            </w:r>
          </w:p>
        </w:tc>
      </w:tr>
      <w:tr>
        <w:trPr>
          <w:trHeight w:val="21"/>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top w:val="single" w:sz="8" w:color="0000FF"/>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9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23.2</w:t>
            </w:r>
          </w:p>
        </w:tc>
        <w:tc>
          <w:tcPr>
            <w:tcW w:w="10320" w:type="dxa"/>
            <w:vAlign w:val="bottom"/>
            <w:tcBorders>
              <w:right w:val="single" w:sz="8" w:color="auto"/>
            </w:tcBorders>
            <w:gridSpan w:val="22"/>
          </w:tcPr>
          <w:p>
            <w:pPr>
              <w:ind w:left="100"/>
              <w:spacing w:after="0" w:line="169" w:lineRule="exact"/>
              <w:rPr>
                <w:sz w:val="20"/>
                <w:szCs w:val="20"/>
                <w:color w:val="auto"/>
              </w:rPr>
            </w:pPr>
            <w:r>
              <w:rPr>
                <w:rFonts w:ascii="Times New Roman" w:cs="Times New Roman" w:eastAsia="Times New Roman" w:hAnsi="Times New Roman"/>
                <w:sz w:val="18"/>
                <w:szCs w:val="18"/>
                <w:color w:val="0000FF"/>
              </w:rPr>
              <w:t>Consent of MNP LLP</w:t>
            </w:r>
            <w:r>
              <w:rPr>
                <w:rFonts w:ascii="Times New Roman" w:cs="Times New Roman" w:eastAsia="Times New Roman" w:hAnsi="Times New Roman"/>
                <w:sz w:val="18"/>
                <w:szCs w:val="18"/>
                <w:color w:val="000000"/>
              </w:rPr>
              <w:t>.</w:t>
            </w:r>
          </w:p>
        </w:tc>
      </w:tr>
      <w:tr>
        <w:trPr>
          <w:trHeight w:val="20"/>
        </w:trPr>
        <w:tc>
          <w:tcPr>
            <w:tcW w:w="9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II-2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8"/>
        </w:trPr>
        <w:tc>
          <w:tcPr>
            <w:tcW w:w="9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120" w:type="dxa"/>
            <w:vAlign w:val="bottom"/>
            <w:tcBorders>
              <w:bottom w:val="single" w:sz="8" w:color="A0A0A0"/>
            </w:tcBorders>
          </w:tcPr>
          <w:p>
            <w:pPr>
              <w:spacing w:after="0"/>
              <w:rPr>
                <w:sz w:val="17"/>
                <w:szCs w:val="17"/>
                <w:color w:val="auto"/>
              </w:rPr>
            </w:pPr>
          </w:p>
        </w:tc>
        <w:tc>
          <w:tcPr>
            <w:tcW w:w="100" w:type="dxa"/>
            <w:vAlign w:val="bottom"/>
            <w:tcBorders>
              <w:bottom w:val="single" w:sz="8" w:color="A0A0A0"/>
            </w:tcBorders>
          </w:tcPr>
          <w:p>
            <w:pPr>
              <w:spacing w:after="0"/>
              <w:rPr>
                <w:sz w:val="17"/>
                <w:szCs w:val="17"/>
                <w:color w:val="auto"/>
              </w:rPr>
            </w:pPr>
          </w:p>
        </w:tc>
        <w:tc>
          <w:tcPr>
            <w:tcW w:w="240" w:type="dxa"/>
            <w:vAlign w:val="bottom"/>
            <w:tcBorders>
              <w:bottom w:val="single" w:sz="8" w:color="A0A0A0"/>
            </w:tcBorders>
          </w:tcPr>
          <w:p>
            <w:pPr>
              <w:spacing w:after="0"/>
              <w:rPr>
                <w:sz w:val="17"/>
                <w:szCs w:val="17"/>
                <w:color w:val="auto"/>
              </w:rPr>
            </w:pPr>
          </w:p>
        </w:tc>
        <w:tc>
          <w:tcPr>
            <w:tcW w:w="1120" w:type="dxa"/>
            <w:vAlign w:val="bottom"/>
            <w:tcBorders>
              <w:bottom w:val="single" w:sz="8" w:color="A0A0A0"/>
            </w:tcBorders>
          </w:tcPr>
          <w:p>
            <w:pPr>
              <w:spacing w:after="0"/>
              <w:rPr>
                <w:sz w:val="17"/>
                <w:szCs w:val="17"/>
                <w:color w:val="auto"/>
              </w:rPr>
            </w:pPr>
          </w:p>
        </w:tc>
        <w:tc>
          <w:tcPr>
            <w:tcW w:w="220" w:type="dxa"/>
            <w:vAlign w:val="bottom"/>
            <w:tcBorders>
              <w:bottom w:val="single" w:sz="8" w:color="A0A0A0"/>
            </w:tcBorders>
          </w:tcPr>
          <w:p>
            <w:pPr>
              <w:spacing w:after="0"/>
              <w:rPr>
                <w:sz w:val="17"/>
                <w:szCs w:val="17"/>
                <w:color w:val="auto"/>
              </w:rPr>
            </w:pPr>
          </w:p>
        </w:tc>
        <w:tc>
          <w:tcPr>
            <w:tcW w:w="240" w:type="dxa"/>
            <w:vAlign w:val="bottom"/>
            <w:tcBorders>
              <w:bottom w:val="single" w:sz="8" w:color="A0A0A0"/>
            </w:tcBorders>
          </w:tcPr>
          <w:p>
            <w:pPr>
              <w:spacing w:after="0"/>
              <w:rPr>
                <w:sz w:val="17"/>
                <w:szCs w:val="17"/>
                <w:color w:val="auto"/>
              </w:rPr>
            </w:pPr>
          </w:p>
        </w:tc>
        <w:tc>
          <w:tcPr>
            <w:tcW w:w="600" w:type="dxa"/>
            <w:vAlign w:val="bottom"/>
            <w:tcBorders>
              <w:bottom w:val="single" w:sz="8" w:color="A0A0A0"/>
            </w:tcBorders>
          </w:tcPr>
          <w:p>
            <w:pPr>
              <w:spacing w:after="0"/>
              <w:rPr>
                <w:sz w:val="17"/>
                <w:szCs w:val="17"/>
                <w:color w:val="auto"/>
              </w:rPr>
            </w:pPr>
          </w:p>
        </w:tc>
        <w:tc>
          <w:tcPr>
            <w:tcW w:w="1780" w:type="dxa"/>
            <w:vAlign w:val="bottom"/>
            <w:tcBorders>
              <w:bottom w:val="single" w:sz="8" w:color="A0A0A0"/>
            </w:tcBorders>
          </w:tcPr>
          <w:p>
            <w:pPr>
              <w:spacing w:after="0"/>
              <w:rPr>
                <w:sz w:val="17"/>
                <w:szCs w:val="17"/>
                <w:color w:val="auto"/>
              </w:rPr>
            </w:pPr>
          </w:p>
        </w:tc>
        <w:tc>
          <w:tcPr>
            <w:tcW w:w="720" w:type="dxa"/>
            <w:vAlign w:val="bottom"/>
            <w:tcBorders>
              <w:bottom w:val="single" w:sz="8" w:color="A0A0A0"/>
            </w:tcBorders>
          </w:tcPr>
          <w:p>
            <w:pPr>
              <w:spacing w:after="0"/>
              <w:rPr>
                <w:sz w:val="17"/>
                <w:szCs w:val="17"/>
                <w:color w:val="auto"/>
              </w:rPr>
            </w:pPr>
          </w:p>
        </w:tc>
        <w:tc>
          <w:tcPr>
            <w:tcW w:w="2080" w:type="dxa"/>
            <w:vAlign w:val="bottom"/>
            <w:tcBorders>
              <w:bottom w:val="single" w:sz="8" w:color="A0A0A0"/>
            </w:tcBorders>
          </w:tcPr>
          <w:p>
            <w:pPr>
              <w:spacing w:after="0"/>
              <w:rPr>
                <w:sz w:val="17"/>
                <w:szCs w:val="17"/>
                <w:color w:val="auto"/>
              </w:rPr>
            </w:pPr>
          </w:p>
        </w:tc>
        <w:tc>
          <w:tcPr>
            <w:tcW w:w="2080" w:type="dxa"/>
            <w:vAlign w:val="bottom"/>
            <w:tcBorders>
              <w:bottom w:val="single" w:sz="8" w:color="A0A0A0"/>
            </w:tcBorders>
          </w:tcPr>
          <w:p>
            <w:pPr>
              <w:spacing w:after="0"/>
              <w:rPr>
                <w:sz w:val="17"/>
                <w:szCs w:val="17"/>
                <w:color w:val="auto"/>
              </w:rPr>
            </w:pPr>
          </w:p>
        </w:tc>
        <w:tc>
          <w:tcPr>
            <w:tcW w:w="160" w:type="dxa"/>
            <w:vAlign w:val="bottom"/>
            <w:tcBorders>
              <w:bottom w:val="single" w:sz="8" w:color="A0A0A0"/>
            </w:tcBorders>
          </w:tcPr>
          <w:p>
            <w:pPr>
              <w:spacing w:after="0"/>
              <w:rPr>
                <w:sz w:val="17"/>
                <w:szCs w:val="17"/>
                <w:color w:val="auto"/>
              </w:rPr>
            </w:pPr>
          </w:p>
        </w:tc>
        <w:tc>
          <w:tcPr>
            <w:tcW w:w="2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180" w:type="dxa"/>
            <w:vAlign w:val="bottom"/>
            <w:tcBorders>
              <w:bottom w:val="single" w:sz="8" w:color="A0A0A0"/>
            </w:tcBorders>
          </w:tcPr>
          <w:p>
            <w:pPr>
              <w:spacing w:after="0"/>
              <w:rPr>
                <w:sz w:val="17"/>
                <w:szCs w:val="17"/>
                <w:color w:val="auto"/>
              </w:rPr>
            </w:pPr>
          </w:p>
        </w:tc>
        <w:tc>
          <w:tcPr>
            <w:tcW w:w="16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40" w:type="dxa"/>
            <w:vAlign w:val="bottom"/>
            <w:tcBorders>
              <w:bottom w:val="single" w:sz="8" w:color="A0A0A0"/>
            </w:tcBorders>
          </w:tcPr>
          <w:p>
            <w:pPr>
              <w:spacing w:after="0"/>
              <w:rPr>
                <w:sz w:val="17"/>
                <w:szCs w:val="17"/>
                <w:color w:val="auto"/>
              </w:rPr>
            </w:pPr>
          </w:p>
        </w:tc>
        <w:tc>
          <w:tcPr>
            <w:tcW w:w="60" w:type="dxa"/>
            <w:vAlign w:val="bottom"/>
            <w:tcBorders>
              <w:bottom w:val="single" w:sz="8" w:color="A0A0A0"/>
            </w:tcBorders>
          </w:tcPr>
          <w:p>
            <w:pPr>
              <w:spacing w:after="0"/>
              <w:rPr>
                <w:sz w:val="17"/>
                <w:szCs w:val="17"/>
                <w:color w:val="auto"/>
              </w:rPr>
            </w:pPr>
          </w:p>
        </w:tc>
        <w:tc>
          <w:tcPr>
            <w:tcW w:w="140" w:type="dxa"/>
            <w:vAlign w:val="bottom"/>
            <w:tcBorders>
              <w:bottom w:val="single" w:sz="8" w:color="A0A0A0"/>
            </w:tcBorders>
          </w:tcPr>
          <w:p>
            <w:pPr>
              <w:spacing w:after="0"/>
              <w:rPr>
                <w:sz w:val="17"/>
                <w:szCs w:val="17"/>
                <w:color w:val="auto"/>
              </w:rPr>
            </w:pPr>
          </w:p>
        </w:tc>
      </w:tr>
      <w:tr>
        <w:trPr>
          <w:trHeight w:val="462"/>
        </w:trPr>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32"/>
        </w:trPr>
        <w:tc>
          <w:tcPr>
            <w:tcW w:w="920" w:type="dxa"/>
            <w:vAlign w:val="bottom"/>
            <w:tcBorders>
              <w:left w:val="single" w:sz="8" w:color="auto"/>
            </w:tcBorders>
          </w:tcPr>
          <w:p>
            <w:pPr>
              <w:ind w:left="120"/>
              <w:spacing w:after="0" w:line="133" w:lineRule="exact"/>
              <w:rPr>
                <w:sz w:val="20"/>
                <w:szCs w:val="20"/>
                <w:color w:val="auto"/>
              </w:rPr>
            </w:pPr>
            <w:r>
              <w:rPr>
                <w:rFonts w:ascii="Times New Roman" w:cs="Times New Roman" w:eastAsia="Times New Roman" w:hAnsi="Times New Roman"/>
                <w:sz w:val="15"/>
                <w:szCs w:val="15"/>
                <w:color w:val="auto"/>
              </w:rPr>
              <w:t>23.3*</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100" w:type="dxa"/>
            <w:vAlign w:val="bottom"/>
            <w:tcBorders>
              <w:right w:val="single" w:sz="8" w:color="auto"/>
            </w:tcBorders>
            <w:gridSpan w:val="20"/>
          </w:tcPr>
          <w:p>
            <w:pPr>
              <w:ind w:left="100"/>
              <w:spacing w:after="0" w:line="133" w:lineRule="exact"/>
              <w:rPr>
                <w:rFonts w:ascii="Times New Roman" w:cs="Times New Roman" w:eastAsia="Times New Roman" w:hAnsi="Times New Roman"/>
                <w:sz w:val="15"/>
                <w:szCs w:val="15"/>
                <w:color w:val="0000FF"/>
              </w:rPr>
            </w:pPr>
            <w:hyperlink r:id="rId624">
              <w:r>
                <w:rPr>
                  <w:rFonts w:ascii="Times New Roman" w:cs="Times New Roman" w:eastAsia="Times New Roman" w:hAnsi="Times New Roman"/>
                  <w:sz w:val="15"/>
                  <w:szCs w:val="15"/>
                  <w:color w:val="0000FF"/>
                </w:rPr>
                <w:t>Consent of Taylor Wessing LLP (included in Exhibit 5.1).</w:t>
              </w:r>
            </w:hyperlink>
          </w:p>
        </w:tc>
      </w:tr>
      <w:tr>
        <w:trPr>
          <w:trHeight w:val="60"/>
        </w:trPr>
        <w:tc>
          <w:tcPr>
            <w:tcW w:w="920" w:type="dxa"/>
            <w:vAlign w:val="bottom"/>
            <w:tcBorders>
              <w:left w:val="single" w:sz="8" w:color="auto"/>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1120" w:type="dxa"/>
            <w:vAlign w:val="bottom"/>
            <w:tcBorders>
              <w:top w:val="single" w:sz="8" w:color="0000FF"/>
              <w:bottom w:val="single" w:sz="8" w:color="0000FF"/>
            </w:tcBorders>
          </w:tcPr>
          <w:p>
            <w:pPr>
              <w:spacing w:after="0"/>
              <w:rPr>
                <w:sz w:val="5"/>
                <w:szCs w:val="5"/>
                <w:color w:val="auto"/>
              </w:rPr>
            </w:pPr>
          </w:p>
        </w:tc>
        <w:tc>
          <w:tcPr>
            <w:tcW w:w="220" w:type="dxa"/>
            <w:vAlign w:val="bottom"/>
            <w:tcBorders>
              <w:top w:val="single" w:sz="8" w:color="0000FF"/>
              <w:bottom w:val="single" w:sz="8" w:color="0000FF"/>
            </w:tcBorders>
          </w:tcPr>
          <w:p>
            <w:pPr>
              <w:spacing w:after="0"/>
              <w:rPr>
                <w:sz w:val="5"/>
                <w:szCs w:val="5"/>
                <w:color w:val="auto"/>
              </w:rPr>
            </w:pPr>
          </w:p>
        </w:tc>
        <w:tc>
          <w:tcPr>
            <w:tcW w:w="240" w:type="dxa"/>
            <w:vAlign w:val="bottom"/>
            <w:tcBorders>
              <w:top w:val="single" w:sz="8" w:color="0000FF"/>
              <w:bottom w:val="single" w:sz="8" w:color="0000FF"/>
            </w:tcBorders>
          </w:tcPr>
          <w:p>
            <w:pPr>
              <w:spacing w:after="0"/>
              <w:rPr>
                <w:sz w:val="5"/>
                <w:szCs w:val="5"/>
                <w:color w:val="auto"/>
              </w:rPr>
            </w:pPr>
          </w:p>
        </w:tc>
        <w:tc>
          <w:tcPr>
            <w:tcW w:w="600" w:type="dxa"/>
            <w:vAlign w:val="bottom"/>
            <w:tcBorders>
              <w:top w:val="single" w:sz="8" w:color="0000FF"/>
              <w:bottom w:val="single" w:sz="8" w:color="0000FF"/>
            </w:tcBorders>
          </w:tcPr>
          <w:p>
            <w:pPr>
              <w:spacing w:after="0"/>
              <w:rPr>
                <w:sz w:val="5"/>
                <w:szCs w:val="5"/>
                <w:color w:val="auto"/>
              </w:rPr>
            </w:pPr>
          </w:p>
        </w:tc>
        <w:tc>
          <w:tcPr>
            <w:tcW w:w="1780" w:type="dxa"/>
            <w:vAlign w:val="bottom"/>
            <w:tcBorders>
              <w:top w:val="single" w:sz="8" w:color="0000FF"/>
              <w:bottom w:val="single" w:sz="8" w:color="0000FF"/>
            </w:tcBorders>
          </w:tcPr>
          <w:p>
            <w:pPr>
              <w:spacing w:after="0"/>
              <w:rPr>
                <w:sz w:val="5"/>
                <w:szCs w:val="5"/>
                <w:color w:val="auto"/>
              </w:rPr>
            </w:pPr>
          </w:p>
        </w:tc>
        <w:tc>
          <w:tcPr>
            <w:tcW w:w="7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r>
      <w:tr>
        <w:trPr>
          <w:trHeight w:val="152"/>
        </w:trPr>
        <w:tc>
          <w:tcPr>
            <w:tcW w:w="920" w:type="dxa"/>
            <w:vAlign w:val="bottom"/>
            <w:tcBorders>
              <w:top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101.INS</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right w:val="single" w:sz="8" w:color="auto"/>
            </w:tcBorders>
          </w:tcPr>
          <w:p>
            <w:pPr>
              <w:spacing w:after="0"/>
              <w:rPr>
                <w:sz w:val="13"/>
                <w:szCs w:val="13"/>
                <w:color w:val="auto"/>
              </w:rPr>
            </w:pPr>
          </w:p>
        </w:tc>
        <w:tc>
          <w:tcPr>
            <w:tcW w:w="10100" w:type="dxa"/>
            <w:vAlign w:val="bottom"/>
            <w:tcBorders>
              <w:top w:val="single" w:sz="8" w:color="auto"/>
              <w:right w:val="single" w:sz="8" w:color="auto"/>
            </w:tcBorders>
            <w:gridSpan w:val="20"/>
          </w:tcPr>
          <w:p>
            <w:pPr>
              <w:ind w:left="100"/>
              <w:spacing w:after="0" w:line="152"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w:t>
            </w:r>
          </w:p>
        </w:tc>
      </w:tr>
      <w:tr>
        <w:trPr>
          <w:trHeight w:val="234"/>
        </w:trPr>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0100" w:type="dxa"/>
            <w:vAlign w:val="bottom"/>
            <w:tcBorders>
              <w:bottom w:val="single" w:sz="8" w:color="auto"/>
              <w:right w:val="single" w:sz="8" w:color="auto"/>
            </w:tcBorders>
            <w:gridSpan w:val="20"/>
          </w:tcPr>
          <w:p>
            <w:pPr>
              <w:ind w:left="1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09"/>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20"/>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10"/>
        </w:trPr>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100" w:type="dxa"/>
            <w:vAlign w:val="bottom"/>
            <w:tcBorders>
              <w:bottom w:val="single" w:sz="8" w:color="auto"/>
              <w:right w:val="single" w:sz="8" w:color="auto"/>
            </w:tcBorders>
            <w:gridSpan w:val="20"/>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9"/>
        </w:trPr>
        <w:tc>
          <w:tcPr>
            <w:tcW w:w="92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100" w:type="dxa"/>
            <w:vAlign w:val="bottom"/>
            <w:tcBorders>
              <w:right w:val="single" w:sz="8" w:color="auto"/>
            </w:tcBorders>
            <w:gridSpan w:val="20"/>
          </w:tcPr>
          <w:p>
            <w:pPr>
              <w:ind w:left="100"/>
              <w:spacing w:after="0" w:line="169" w:lineRule="exact"/>
              <w:rPr>
                <w:rFonts w:ascii="Times New Roman" w:cs="Times New Roman" w:eastAsia="Times New Roman" w:hAnsi="Times New Roman"/>
                <w:sz w:val="18"/>
                <w:szCs w:val="18"/>
                <w:color w:val="0000FF"/>
              </w:rPr>
            </w:pPr>
            <w:hyperlink r:id="rId648">
              <w:r>
                <w:rPr>
                  <w:rFonts w:ascii="Times New Roman" w:cs="Times New Roman" w:eastAsia="Times New Roman" w:hAnsi="Times New Roman"/>
                  <w:sz w:val="18"/>
                  <w:szCs w:val="18"/>
                  <w:color w:val="0000FF"/>
                </w:rPr>
                <w:t>Calculation of Fee Table.</w:t>
              </w:r>
            </w:hyperlink>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previously filed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(1)To file, during any period in which offers or sales are being made, a post-effective amendment to this registration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(i)To include any prospectus required by Section 10(a)(3) of the Securities Act of 1933, as amended;</w:t>
      </w:r>
    </w:p>
    <w:p>
      <w:pPr>
        <w:spacing w:after="0" w:line="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(iii)To include any material information with respect to the plan of distribution not previously disclosed in the registration statement or any material change to such information in the registration statement.</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7" w:name="page188"/>
    <w:bookmarkEnd w:id="187"/>
    <w:p>
      <w:pPr>
        <w:ind w:right="260"/>
        <w:spacing w:after="0" w:line="261" w:lineRule="auto"/>
        <w:rPr>
          <w:sz w:val="20"/>
          <w:szCs w:val="20"/>
          <w:color w:val="auto"/>
        </w:rPr>
      </w:pPr>
      <w:r>
        <w:rPr>
          <w:rFonts w:ascii="Times New Roman" w:cs="Times New Roman" w:eastAsia="Times New Roman" w:hAnsi="Times New Roman"/>
          <w:sz w:val="18"/>
          <w:szCs w:val="18"/>
          <w:color w:val="auto"/>
        </w:rPr>
        <w:t>(3)To remove from registration by means of a post-effective amendment any of the securities being registered which remain unsold at the termination of the offering.</w:t>
      </w:r>
    </w:p>
    <w:p>
      <w:pPr>
        <w:ind w:right="40"/>
        <w:spacing w:after="0" w:line="250" w:lineRule="auto"/>
        <w:rPr>
          <w:sz w:val="20"/>
          <w:szCs w:val="20"/>
          <w:color w:val="auto"/>
        </w:rPr>
      </w:pPr>
      <w:r>
        <w:rPr>
          <w:rFonts w:ascii="Times New Roman" w:cs="Times New Roman" w:eastAsia="Times New Roman" w:hAnsi="Times New Roman"/>
          <w:sz w:val="18"/>
          <w:szCs w:val="18"/>
          <w:color w:val="auto"/>
        </w:rPr>
        <w:t>(4)That,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(5)To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w:t>
      </w:r>
    </w:p>
    <w:p>
      <w:pPr>
        <w:spacing w:after="0" w:line="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(6)That,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(i)Any preliminary prospectus or prospectus of the undersigned registrant relating to the offering required to be filed pursuant to Rule 424;</w:t>
      </w:r>
    </w:p>
    <w:p>
      <w:pPr>
        <w:spacing w:after="0" w:line="2"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(ii)Any free writing prospectus relating to the offering prepared by or on behalf of the undersigned registrant or used or referred to by the undersigned registrant;</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(iii)The portion of any other free writing prospectus relating to the offering containing material information about the undersigned registrant or its securities provided by or on behalf of the undersigned registrant;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(iv)Any other communication that is an offer in the offering made by the undersigned registrant to the purchaser.</w:t>
      </w:r>
    </w:p>
    <w:p>
      <w:pPr>
        <w:spacing w:after="0" w:line="207"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both"/>
        <w:ind w:firstLine="57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Post-Effective Amendment No. 1 to the Registration Statement on Form F-1 to be signed on its behalf by the undersigned, thereunto duly authorized, in the city of London, United Kingdom, on the 6th day of May, 2025.</w:t>
      </w:r>
    </w:p>
    <w:p>
      <w:pPr>
        <w:spacing w:after="0" w:line="3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5715</wp:posOffset>
            </wp:positionV>
            <wp:extent cx="18516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ind w:left="2400"/>
        <w:spacing w:after="0"/>
        <w:rPr>
          <w:sz w:val="20"/>
          <w:szCs w:val="20"/>
          <w:color w:val="auto"/>
        </w:rPr>
      </w:pPr>
      <w:r>
        <w:rPr>
          <w:rFonts w:ascii="Times New Roman" w:cs="Times New Roman" w:eastAsia="Times New Roman" w:hAnsi="Times New Roman"/>
          <w:sz w:val="18"/>
          <w:szCs w:val="18"/>
          <w:color w:val="auto"/>
        </w:rPr>
        <w:t>Daniel Wagner</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1 to the Registration Statement on Form F-1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6"/>
                <w:szCs w:val="16"/>
                <w:color w:val="auto"/>
              </w:rPr>
            </w:pPr>
          </w:p>
        </w:tc>
        <w:tc>
          <w:tcPr>
            <w:tcW w:w="6100" w:type="dxa"/>
            <w:vAlign w:val="bottom"/>
            <w:tcBorders>
              <w:bottom w:val="single" w:sz="8" w:color="auto"/>
            </w:tcBorders>
          </w:tcPr>
          <w:p>
            <w:pPr>
              <w:ind w:left="2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Daniel Wagner</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Daniel Wagner</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 Richard Burchill</w:t>
            </w:r>
          </w:p>
        </w:tc>
        <w:tc>
          <w:tcPr>
            <w:tcW w:w="120" w:type="dxa"/>
            <w:vAlign w:val="bottom"/>
          </w:tcPr>
          <w:p>
            <w:pPr>
              <w:spacing w:after="0"/>
              <w:rPr>
                <w:sz w:val="24"/>
                <w:szCs w:val="24"/>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Richard Burchill</w:t>
            </w:r>
          </w:p>
        </w:tc>
        <w:tc>
          <w:tcPr>
            <w:tcW w:w="120" w:type="dxa"/>
            <w:vAlign w:val="bottom"/>
          </w:tcPr>
          <w:p>
            <w:pPr>
              <w:spacing w:after="0"/>
              <w:rPr>
                <w:sz w:val="7"/>
                <w:szCs w:val="7"/>
                <w:color w:val="auto"/>
              </w:rPr>
            </w:pPr>
          </w:p>
        </w:tc>
        <w:tc>
          <w:tcPr>
            <w:tcW w:w="6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 Anthony Sharp</w:t>
            </w: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Anthony Sharp</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Sir David Wright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Sir David Wright</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Perry</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Perry</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24"/>
                <w:szCs w:val="24"/>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Wagner</w:t>
            </w:r>
          </w:p>
        </w:tc>
        <w:tc>
          <w:tcPr>
            <w:tcW w:w="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Derek Smith</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Derek Smith</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/s/ Stephen Herbert</w:t>
            </w: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20" w:type="dxa"/>
            <w:vAlign w:val="bottom"/>
          </w:tcPr>
          <w:p>
            <w:pPr>
              <w:spacing w:after="0"/>
              <w:rPr>
                <w:sz w:val="9"/>
                <w:szCs w:val="9"/>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6, 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Stephen Herbert</w:t>
            </w:r>
          </w:p>
        </w:tc>
        <w:tc>
          <w:tcPr>
            <w:tcW w:w="12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Post-Effective Amendment No. 1 to the Registration Statement on Form F-1 to be signed on its behalf by the undersigned, thereunto duly authorized, in the city of New York, New York, on the 6th of May, 2025.</w:t>
      </w:r>
    </w:p>
    <w:p>
      <w:pPr>
        <w:spacing w:after="0" w:line="3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 Colleen A. DeVries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17145</wp:posOffset>
            </wp:positionV>
            <wp:extent cx="567499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3">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Colleen A. DeVries</w:t>
      </w:r>
    </w:p>
    <w:p>
      <w:pPr>
        <w:spacing w:after="0" w:line="2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Senior Vice-President on behalf of Cogency Global Inc</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28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We hereby consent to the inclusion in this Registration Statement No. 333-284240 on Form F-1 of our report dated April 23, 2025, relating to the consolidated financial statements of Rezolve AI plc and Subsidiaries as of and for the years ended December 31, 2024 and 2023. We also consent to the reference to our firm under the heading “Experts” appearing therein.</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color w:val="auto"/>
        </w:rPr>
        <w:t>/s/ Grassi &amp; Co., CPAs, P.C.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Grassi &amp; Co., CPAs, P.C.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Jericho, New York</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23.2</w:t>
      </w:r>
    </w:p>
    <w:p>
      <w:pPr>
        <w:spacing w:after="0" w:line="383" w:lineRule="exact"/>
        <w:rPr>
          <w:sz w:val="20"/>
          <w:szCs w:val="20"/>
          <w:color w:val="auto"/>
        </w:rPr>
      </w:pPr>
    </w:p>
    <w:p>
      <w:pPr>
        <w:ind w:left="1040"/>
        <w:spacing w:after="0"/>
        <w:rPr>
          <w:sz w:val="20"/>
          <w:szCs w:val="20"/>
          <w:color w:val="auto"/>
        </w:rPr>
      </w:pPr>
      <w:r>
        <w:rPr>
          <w:rFonts w:ascii="Arial" w:cs="Arial" w:eastAsia="Arial" w:hAnsi="Arial"/>
          <w:sz w:val="20"/>
          <w:szCs w:val="20"/>
          <w:u w:val="single" w:color="auto"/>
          <w:color w:val="auto"/>
        </w:rPr>
        <w:t>INDEPENDENT REGISTERED PUBLIC ACCOUNTING FIRM’S CONSENT</w:t>
      </w:r>
    </w:p>
    <w:p>
      <w:pPr>
        <w:spacing w:after="0" w:line="200" w:lineRule="exact"/>
        <w:rPr>
          <w:sz w:val="20"/>
          <w:szCs w:val="20"/>
          <w:color w:val="auto"/>
        </w:rPr>
      </w:pPr>
    </w:p>
    <w:p>
      <w:pPr>
        <w:spacing w:after="0" w:line="326" w:lineRule="exact"/>
        <w:rPr>
          <w:sz w:val="20"/>
          <w:szCs w:val="20"/>
          <w:color w:val="auto"/>
        </w:rPr>
      </w:pPr>
    </w:p>
    <w:p>
      <w:pPr>
        <w:jc w:val="both"/>
        <w:ind w:left="20" w:right="100"/>
        <w:spacing w:after="0" w:line="248" w:lineRule="auto"/>
        <w:rPr>
          <w:sz w:val="20"/>
          <w:szCs w:val="20"/>
          <w:color w:val="auto"/>
        </w:rPr>
      </w:pPr>
      <w:r>
        <w:rPr>
          <w:rFonts w:ascii="Arial" w:cs="Arial" w:eastAsia="Arial" w:hAnsi="Arial"/>
          <w:sz w:val="18"/>
          <w:szCs w:val="18"/>
          <w:color w:val="auto"/>
        </w:rPr>
        <w:t>We consent to the inclusion Registration Statement No. 333-</w:t>
      </w:r>
      <w:r>
        <w:rPr>
          <w:rFonts w:ascii="Arial" w:cs="Arial" w:eastAsia="Arial" w:hAnsi="Arial"/>
          <w:sz w:val="19"/>
          <w:szCs w:val="19"/>
          <w:color w:val="auto"/>
        </w:rPr>
        <w:t>284240</w:t>
      </w:r>
      <w:r>
        <w:rPr>
          <w:rFonts w:ascii="Arial" w:cs="Arial" w:eastAsia="Arial" w:hAnsi="Arial"/>
          <w:sz w:val="18"/>
          <w:szCs w:val="18"/>
          <w:color w:val="auto"/>
        </w:rPr>
        <w:t xml:space="preserve"> on form F-1 of our auditor’s report dated April 14, 2025, with respect to the combined consolidated financial statements of GroupBy Group of Companies as at December 31, 2024 and 2023 and for each of the years then ended, as filed with the United States Securities and Exchange Commission. We also consent to the reference to our firm under the heading “Experts” in such registration statement.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 MNP LLP</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0"/>
          <w:szCs w:val="20"/>
          <w:color w:val="auto"/>
        </w:rPr>
        <w:t>Chartered Professional Accountants Licensed Public</w:t>
      </w:r>
    </w:p>
    <w:p>
      <w:pPr>
        <w:ind w:left="20"/>
        <w:spacing w:after="0" w:line="229" w:lineRule="auto"/>
        <w:rPr>
          <w:sz w:val="20"/>
          <w:szCs w:val="20"/>
          <w:color w:val="auto"/>
        </w:rPr>
      </w:pPr>
      <w:r>
        <w:rPr>
          <w:rFonts w:ascii="Arial" w:cs="Arial" w:eastAsia="Arial" w:hAnsi="Arial"/>
          <w:sz w:val="20"/>
          <w:szCs w:val="20"/>
          <w:color w:val="auto"/>
        </w:rPr>
        <w:t>Accountants Toronto, Canada</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color w:val="auto"/>
        </w:rPr>
        <w:t>May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212090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92" w:name="page193"/>
    <w:bookmarkEnd w:id="1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lowerRoman"/>
      <w:start w:val="2"/>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1"/>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1."/>
      <w:numFmt w:val="upperLetter"/>
      <w:start w:val="1"/>
    </w:lvl>
  </w:abstractNum>
  <w:abstractNum w:abstractNumId="10">
    <w:nsid w:val="11447B73"/>
    <w:multiLevelType w:val="hybridMultilevel"/>
    <w:lvl w:ilvl="0">
      <w:lvlJc w:val="left"/>
      <w:lvlText w:val="%1."/>
      <w:numFmt w:val="upperLetter"/>
      <w:start w:val="1"/>
    </w:lvl>
  </w:abstractNum>
  <w:abstractNum w:abstractNumId="11">
    <w:nsid w:val="42963E5A"/>
    <w:multiLevelType w:val="hybridMultilevel"/>
    <w:lvl w:ilvl="0">
      <w:lvlJc w:val="left"/>
      <w:lvlText w:val="%1."/>
      <w:numFmt w:val="upperLetter"/>
      <w:start w:val="7"/>
    </w:lvl>
  </w:abstractNum>
  <w:abstractNum w:abstractNumId="12">
    <w:nsid w:val="A0382C5"/>
    <w:multiLevelType w:val="hybridMultilevel"/>
    <w:lvl w:ilvl="0">
      <w:lvlJc w:val="left"/>
      <w:lvlText w:val="%1."/>
      <w:numFmt w:val="decimal"/>
      <w:start w:val="1"/>
    </w:lvl>
  </w:abstractNum>
  <w:abstractNum w:abstractNumId="13">
    <w:nsid w:val="8F2B15E"/>
    <w:multiLevelType w:val="hybridMultilevel"/>
    <w:lvl w:ilvl="0">
      <w:lvlJc w:val="left"/>
      <w:lvlText w:val="%1."/>
      <w:numFmt w:val="decimal"/>
      <w:start w:val="1"/>
    </w:lvl>
  </w:abstractNum>
  <w:abstractNum w:abstractNumId="14">
    <w:nsid w:val="1A32234B"/>
    <w:multiLevelType w:val="hybridMultilevel"/>
    <w:lvl w:ilvl="0">
      <w:lvlJc w:val="left"/>
      <w:lvlText w:val="(%1)"/>
      <w:numFmt w:val="lowerLetter"/>
      <w:start w:val="1"/>
    </w:lvl>
  </w:abstractNum>
  <w:abstractNum w:abstractNumId="15">
    <w:nsid w:val="3B0FD379"/>
    <w:multiLevelType w:val="hybridMultilevel"/>
    <w:lvl w:ilvl="0">
      <w:lvlJc w:val="left"/>
      <w:lvlText w:val="(%1)"/>
      <w:numFmt w:val="lowerLetter"/>
      <w:start w:val="5"/>
    </w:lvl>
  </w:abstractNum>
  <w:abstractNum w:abstractNumId="16">
    <w:nsid w:val="68EB2F63"/>
    <w:multiLevelType w:val="hybridMultilevel"/>
    <w:lvl w:ilvl="0">
      <w:lvlJc w:val="left"/>
      <w:lvlText w:val="%1."/>
      <w:numFmt w:val="decimal"/>
      <w:start w:val="1"/>
    </w:lvl>
  </w:abstractNum>
  <w:abstractNum w:abstractNumId="17">
    <w:nsid w:val="4962813B"/>
    <w:multiLevelType w:val="hybridMultilevel"/>
    <w:lvl w:ilvl="0">
      <w:lvlJc w:val="left"/>
      <w:lvlText w:val="(%1)"/>
      <w:numFmt w:val="lowerRoman"/>
      <w:start w:val="1"/>
    </w:lvl>
  </w:abstractNum>
  <w:abstractNum w:abstractNumId="18">
    <w:nsid w:val="60B6DF70"/>
    <w:multiLevelType w:val="hybridMultilevel"/>
    <w:lvl w:ilvl="0">
      <w:lvlJc w:val="left"/>
      <w:lvlText w:val="%1."/>
      <w:numFmt w:val="decimal"/>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1)"/>
      <w:numFmt w:val="lowerLetter"/>
      <w:start w:val="1"/>
    </w:lvl>
  </w:abstractNum>
  <w:abstractNum w:abstractNumId="21">
    <w:nsid w:val="7FFFCA11"/>
    <w:multiLevelType w:val="hybridMultilevel"/>
    <w:lvl w:ilvl="0">
      <w:lvlJc w:val="left"/>
      <w:lvlText w:val="(%1)"/>
      <w:numFmt w:val="lowerLetter"/>
      <w:start w:val="4"/>
    </w:lvl>
  </w:abstractNum>
  <w:abstractNum w:abstractNumId="22">
    <w:nsid w:val="1A27709E"/>
    <w:multiLevelType w:val="hybridMultilevel"/>
    <w:lvl w:ilvl="0">
      <w:lvlJc w:val="left"/>
      <w:lvlText w:val="(%1)"/>
      <w:numFmt w:val="lowerLetter"/>
      <w:start w:val="18"/>
    </w:lvl>
  </w:abstractNum>
  <w:abstractNum w:abstractNumId="23">
    <w:nsid w:val="71EA1109"/>
    <w:multiLevelType w:val="hybridMultilevel"/>
    <w:lvl w:ilvl="0">
      <w:lvlJc w:val="left"/>
      <w:lvlText w:val="(%1)"/>
      <w:numFmt w:val="lowerLetter"/>
      <w:start w:val="20"/>
    </w:lvl>
  </w:abstractNum>
  <w:abstractNum w:abstractNumId="24">
    <w:nsid w:val="100F59DC"/>
    <w:multiLevelType w:val="hybridMultilevel"/>
    <w:lvl w:ilvl="0">
      <w:lvlJc w:val="left"/>
      <w:lvlText w:val="(%1)"/>
      <w:numFmt w:val="lowerLetter"/>
      <w:start w:val="27"/>
    </w:lvl>
  </w:abstractNum>
  <w:abstractNum w:abstractNumId="25">
    <w:nsid w:val="7FB7E0AA"/>
    <w:multiLevelType w:val="hybridMultilevel"/>
    <w:lvl w:ilvl="0">
      <w:lvlJc w:val="left"/>
      <w:lvlText w:val="2"/>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1"/>
      <w:numFmt w:val="bullet"/>
      <w:start w:val="1"/>
    </w:lvl>
  </w:abstractNum>
  <w:abstractNum w:abstractNumId="34">
    <w:nsid w:val="3222E7CD"/>
    <w:multiLevelType w:val="hybridMultilevel"/>
    <w:lvl w:ilvl="0">
      <w:lvlJc w:val="left"/>
      <w:lvlText w:val="2"/>
      <w:numFmt w:val="bullet"/>
      <w:start w:val="1"/>
    </w:lvl>
  </w:abstractNum>
  <w:abstractNum w:abstractNumId="35">
    <w:nsid w:val="74DE0EE3"/>
    <w:multiLevelType w:val="hybridMultilevel"/>
    <w:lvl w:ilvl="0">
      <w:lvlJc w:val="left"/>
      <w:lvlText w:val="3"/>
      <w:numFmt w:val="bullet"/>
      <w:start w:val="1"/>
    </w:lvl>
  </w:abstractNum>
  <w:abstractNum w:abstractNumId="36">
    <w:nsid w:val="68EBC550"/>
    <w:multiLevelType w:val="hybridMultilevel"/>
    <w:lvl w:ilvl="0">
      <w:lvlJc w:val="left"/>
      <w:lvlText w:val="7"/>
      <w:numFmt w:val="bullet"/>
      <w:start w:val="1"/>
    </w:lvl>
    <w:lvl w:ilvl="1">
      <w:lvlJc w:val="left"/>
      <w:lvlText w:val="%2."/>
      <w:numFmt w:val="upperLetter"/>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1"/>
      <w:numFmt w:val="bullet"/>
      <w:start w:val="1"/>
    </w:lvl>
  </w:abstractNum>
  <w:abstractNum w:abstractNumId="39">
    <w:nsid w:val="4A2AC315"/>
    <w:multiLevelType w:val="hybridMultilevel"/>
    <w:lvl w:ilvl="0">
      <w:lvlJc w:val="left"/>
      <w:lvlText w:val="1"/>
      <w:numFmt w:val="bullet"/>
      <w:start w:val="1"/>
    </w:lvl>
  </w:abstractNum>
  <w:abstractNum w:abstractNumId="40">
    <w:nsid w:val="39EE015C"/>
    <w:multiLevelType w:val="hybridMultilevel"/>
    <w:lvl w:ilvl="0">
      <w:lvlJc w:val="left"/>
      <w:lvlText w:val="2"/>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1)"/>
      <w:numFmt w:val="lowerRoman"/>
      <w:start w:val="2"/>
    </w:lvl>
  </w:abstractNum>
  <w:abstractNum w:abstractNumId="43">
    <w:nsid w:val="43F18422"/>
    <w:multiLevelType w:val="hybridMultilevel"/>
    <w:lvl w:ilvl="0">
      <w:lvlJc w:val="left"/>
      <w:lvlText w:val="(%1)"/>
      <w:numFmt w:val="decimal"/>
      <w:start w:val="1"/>
    </w:lvl>
  </w:abstractNum>
  <w:abstractNum w:abstractNumId="44">
    <w:nsid w:val="60EF0119"/>
    <w:multiLevelType w:val="hybridMultilevel"/>
    <w:lvl w:ilvl="0">
      <w:lvlJc w:val="left"/>
      <w:lvlText w:val="%1."/>
      <w:numFmt w:val="decimal"/>
      <w:start w:val="1"/>
    </w:lvl>
  </w:abstractNum>
  <w:abstractNum w:abstractNumId="45">
    <w:nsid w:val="26F324BA"/>
    <w:multiLevelType w:val="hybridMultilevel"/>
    <w:lvl w:ilvl="0">
      <w:lvlJc w:val="left"/>
      <w:lvlText w:val="(%1)"/>
      <w:numFmt w:val="lowerLetter"/>
      <w:start w:val="1"/>
    </w:lvl>
  </w:abstractNum>
  <w:abstractNum w:abstractNumId="46">
    <w:nsid w:val="7F01579B"/>
    <w:multiLevelType w:val="hybridMultilevel"/>
    <w:lvl w:ilvl="0">
      <w:lvlJc w:val="left"/>
      <w:lvlText w:val="%1."/>
      <w:numFmt w:val="upperLetter"/>
      <w:start w:val="3"/>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1."/>
      <w:numFmt w:val="upperLetter"/>
      <w:start w:val="5"/>
    </w:lvl>
  </w:abstractNum>
  <w:abstractNum w:abstractNumId="49">
    <w:nsid w:val="5FB8370B"/>
    <w:multiLevelType w:val="hybridMultilevel"/>
    <w:lvl w:ilvl="0">
      <w:lvlJc w:val="left"/>
      <w:lvlText w:val="%1."/>
      <w:numFmt w:val="decimal"/>
      <w:start w:val="1"/>
    </w:lvl>
  </w:abstractNum>
  <w:abstractNum w:abstractNumId="50">
    <w:nsid w:val="50801EE1"/>
    <w:multiLevelType w:val="hybridMultilevel"/>
    <w:lvl w:ilvl="0">
      <w:lvlJc w:val="left"/>
      <w:lvlText w:val="%1."/>
      <w:numFmt w:val="decimal"/>
      <w:start w:val="1"/>
    </w:lvl>
  </w:abstractNum>
  <w:abstractNum w:abstractNumId="51">
    <w:nsid w:val="488AC1A"/>
    <w:multiLevelType w:val="hybridMultilevel"/>
    <w:lvl w:ilvl="0">
      <w:lvlJc w:val="left"/>
      <w:lvlText w:val="%1."/>
      <w:numFmt w:val="decimal"/>
      <w:start w:val="8"/>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1."/>
      <w:numFmt w:val="upperLetter"/>
      <w:start w:val="1"/>
    </w:lvl>
  </w:abstractNum>
  <w:abstractNum w:abstractNumId="54">
    <w:nsid w:val="7672BD23"/>
    <w:multiLevelType w:val="hybridMultilevel"/>
    <w:lvl w:ilvl="0">
      <w:lvlJc w:val="left"/>
      <w:lvlText w:val="%1."/>
      <w:numFmt w:val="decimal"/>
      <w:start w:val="1"/>
    </w:lvl>
  </w:abstractNum>
  <w:abstractNum w:abstractNumId="55">
    <w:nsid w:val="6FC75AF8"/>
    <w:multiLevelType w:val="hybridMultilevel"/>
    <w:lvl w:ilvl="0">
      <w:lvlJc w:val="left"/>
      <w:lvlText w:val="%1."/>
      <w:numFmt w:val="decimal"/>
      <w:start w:val="1"/>
    </w:lvl>
  </w:abstractNum>
  <w:abstractNum w:abstractNumId="56">
    <w:nsid w:val="6A5F7029"/>
    <w:multiLevelType w:val="hybridMultilevel"/>
    <w:lvl w:ilvl="0">
      <w:lvlJc w:val="left"/>
      <w:lvlText w:val="%1."/>
      <w:numFmt w:val="decimal"/>
      <w:start w:val="2"/>
    </w:lvl>
  </w:abstractNum>
  <w:abstractNum w:abstractNumId="57">
    <w:nsid w:val="7D5E18F8"/>
    <w:multiLevelType w:val="hybridMultilevel"/>
    <w:lvl w:ilvl="0">
      <w:lvlJc w:val="left"/>
      <w:lvlText w:val="%1."/>
      <w:numFmt w:val="decimal"/>
      <w:start w:val="1"/>
    </w:lvl>
  </w:abstractNum>
  <w:abstractNum w:abstractNumId="58">
    <w:nsid w:val="5F3534A4"/>
    <w:multiLevelType w:val="hybridMultilevel"/>
    <w:lvl w:ilvl="0">
      <w:lvlJc w:val="left"/>
      <w:lvlText w:val="%1."/>
      <w:numFmt w:val="decimal"/>
      <w:start w:val="1"/>
    </w:lvl>
  </w:abstractNum>
  <w:abstractNum w:abstractNumId="59">
    <w:nsid w:val="73A1821B"/>
    <w:multiLevelType w:val="hybridMultilevel"/>
    <w:lvl w:ilvl="0">
      <w:lvlJc w:val="left"/>
      <w:lvlText w:val="(%1)"/>
      <w:numFmt w:val="decimal"/>
      <w:start w:val="1"/>
    </w:lvl>
  </w:abstractNum>
  <w:abstractNum w:abstractNumId="60">
    <w:nsid w:val="7DE67713"/>
    <w:multiLevelType w:val="hybridMultilevel"/>
    <w:lvl w:ilvl="0">
      <w:lvlJc w:val="left"/>
      <w:lvlText w:val="(%1)"/>
      <w:numFmt w:val="decimal"/>
      <w:start w:val="11"/>
    </w:lvl>
  </w:abstractNum>
  <w:abstractNum w:abstractNumId="61">
    <w:nsid w:val="555C55B5"/>
    <w:multiLevelType w:val="hybridMultilevel"/>
    <w:lvl w:ilvl="0">
      <w:lvlJc w:val="left"/>
      <w:lvlText w:val="(%1)"/>
      <w:numFmt w:val="lowerRoman"/>
      <w:start w:val="1"/>
    </w:lvl>
  </w:abstractNum>
  <w:abstractNum w:abstractNumId="62">
    <w:nsid w:val="3FA62ACA"/>
    <w:multiLevelType w:val="hybridMultilevel"/>
    <w:lvl w:ilvl="0">
      <w:lvlJc w:val="left"/>
      <w:lvlText w:val="(%1)"/>
      <w:numFmt w:val="decimal"/>
      <w:start w:val="2"/>
    </w:lvl>
  </w:abstractNum>
  <w:abstractNum w:abstractNumId="63">
    <w:nsid w:val="14FCE74E"/>
    <w:multiLevelType w:val="hybridMultilevel"/>
    <w:lvl w:ilvl="0">
      <w:lvlJc w:val="left"/>
      <w:lvlText w:val="(%1)"/>
      <w:numFmt w:val="decimal"/>
      <w:start w:val="3"/>
    </w:lvl>
  </w:abstractNum>
  <w:abstractNum w:abstractNumId="64">
    <w:nsid w:val="6A3DD3E8"/>
    <w:multiLevelType w:val="hybridMultilevel"/>
    <w:lvl w:ilvl="0">
      <w:lvlJc w:val="left"/>
      <w:lvlText w:val="(%1)"/>
      <w:numFmt w:val="upperLetter"/>
      <w:start w:val="1"/>
    </w:lvl>
  </w:abstractNum>
  <w:abstractNum w:abstractNumId="65">
    <w:nsid w:val="71C91298"/>
    <w:multiLevelType w:val="hybridMultilevel"/>
    <w:lvl w:ilvl="0">
      <w:lvlJc w:val="left"/>
      <w:lvlText w:val="•"/>
      <w:numFmt w:val="bullet"/>
      <w:start w:val="1"/>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1."/>
      <w:numFmt w:val="decimal"/>
      <w:start w:val="1"/>
    </w:lvl>
  </w:abstractNum>
  <w:abstractNum w:abstractNumId="70">
    <w:nsid w:val="1D545C4D"/>
    <w:multiLevelType w:val="hybridMultilevel"/>
    <w:lvl w:ilvl="0">
      <w:lvlJc w:val="left"/>
      <w:lvlText w:val="%1."/>
      <w:numFmt w:val="decimal"/>
      <w:start w:val="3"/>
    </w:lvl>
  </w:abstractNum>
  <w:abstractNum w:abstractNumId="71">
    <w:nsid w:val="59ADEA3D"/>
    <w:multiLevelType w:val="hybridMultilevel"/>
    <w:lvl w:ilvl="0">
      <w:lvlJc w:val="left"/>
      <w:lvlText w:val="(%1)"/>
      <w:numFmt w:val="decimal"/>
      <w:start w:val="1"/>
    </w:lvl>
  </w:abstractNum>
  <w:abstractNum w:abstractNumId="72">
    <w:nsid w:val="288F1A34"/>
    <w:multiLevelType w:val="hybridMultilevel"/>
    <w:lvl w:ilvl="0">
      <w:lvlJc w:val="left"/>
      <w:lvlText w:val="(%1)"/>
      <w:numFmt w:val="decimal"/>
      <w:start w:val="6"/>
    </w:lvl>
  </w:abstractNum>
  <w:abstractNum w:abstractNumId="73">
    <w:nsid w:val="2A155DBC"/>
    <w:multiLevelType w:val="hybridMultilevel"/>
    <w:lvl w:ilvl="0">
      <w:lvlJc w:val="left"/>
      <w:lvlText w:val="(%1)"/>
      <w:numFmt w:val="decimal"/>
      <w:start w:val="16"/>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1)"/>
      <w:numFmt w:val="lowerRoman"/>
      <w:start w:val="3"/>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1."/>
      <w:numFmt w:val="decimal"/>
      <w:start w:val="1"/>
    </w:lvl>
  </w:abstractNum>
  <w:abstractNum w:abstractNumId="89">
    <w:nsid w:val="2B0D8DBE"/>
    <w:multiLevelType w:val="hybridMultilevel"/>
    <w:lvl w:ilvl="0">
      <w:lvlJc w:val="left"/>
      <w:lvlText w:val="2"/>
      <w:numFmt w:val="bullet"/>
      <w:start w:val="1"/>
    </w:lvl>
  </w:abstractNum>
  <w:abstractNum w:abstractNumId="90">
    <w:nsid w:val="6C80EC70"/>
    <w:multiLevelType w:val="hybridMultilevel"/>
    <w:lvl w:ilvl="0">
      <w:lvlJc w:val="left"/>
      <w:lvlText w:val="•"/>
      <w:numFmt w:val="bullet"/>
      <w:start w:val="1"/>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1)"/>
      <w:numFmt w:val="decimal"/>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1."/>
      <w:numFmt w:val="decimal"/>
      <w:start w:val="3"/>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
      <w:numFmt w:val="bullet"/>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1)"/>
      <w:numFmt w:val="lowerRoman"/>
      <w:start w:val="2"/>
    </w:lvl>
  </w:abstractNum>
  <w:abstractNum w:abstractNumId="105">
    <w:nsid w:val="34FD6B4F"/>
    <w:multiLevelType w:val="hybridMultilevel"/>
    <w:lvl w:ilvl="0">
      <w:lvlJc w:val="left"/>
      <w:lvlText w:val="%1."/>
      <w:numFmt w:val="decimal"/>
      <w:start w:val="8"/>
    </w:lvl>
  </w:abstractNum>
  <w:abstractNum w:abstractNumId="106">
    <w:nsid w:val="5915FF32"/>
    <w:multiLevelType w:val="hybridMultilevel"/>
    <w:lvl w:ilvl="0">
      <w:lvlJc w:val="left"/>
      <w:lvlText w:val="%1."/>
      <w:numFmt w:val="decimal"/>
      <w:start w:val="9"/>
    </w:lvl>
  </w:abstractNum>
  <w:abstractNum w:abstractNumId="107">
    <w:nsid w:val="56438D15"/>
    <w:multiLevelType w:val="hybridMultilevel"/>
    <w:lvl w:ilvl="0">
      <w:lvlJc w:val="left"/>
      <w:lvlText w:val="%1."/>
      <w:numFmt w:val="decimal"/>
      <w:start w:val="10"/>
    </w:lvl>
  </w:abstractNum>
  <w:abstractNum w:abstractNumId="108">
    <w:nsid w:val="519E3149"/>
    <w:multiLevelType w:val="hybridMultilevel"/>
    <w:lvl w:ilvl="0">
      <w:lvlJc w:val="left"/>
      <w:lvlText w:val="%1."/>
      <w:numFmt w:val="decimal"/>
      <w:start w:val="1"/>
    </w:lvl>
  </w:abstractNum>
  <w:abstractNum w:abstractNumId="109">
    <w:nsid w:val="2C6E4AFD"/>
    <w:multiLevelType w:val="hybridMultilevel"/>
    <w:lvl w:ilvl="0">
      <w:lvlJc w:val="left"/>
      <w:lvlText w:val="%1."/>
      <w:numFmt w:val="decimal"/>
      <w:start w:val="1"/>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1."/>
      <w:numFmt w:val="decimal"/>
      <w:start w:val="11"/>
    </w:lvl>
  </w:abstractNum>
  <w:abstractNum w:abstractNumId="112">
    <w:nsid w:val="5046B5A9"/>
    <w:multiLevelType w:val="hybridMultilevel"/>
    <w:lvl w:ilvl="0">
      <w:lvlJc w:val="left"/>
      <w:lvlText w:val="%1."/>
      <w:numFmt w:val="decimal"/>
      <w:start w:val="12"/>
    </w:lvl>
  </w:abstractNum>
  <w:abstractNum w:abstractNumId="113">
    <w:nsid w:val="5D888A08"/>
    <w:multiLevelType w:val="hybridMultilevel"/>
    <w:lvl w:ilvl="0">
      <w:lvlJc w:val="left"/>
      <w:lvlText w:val="%1."/>
      <w:numFmt w:val="decimal"/>
      <w:start w:val="1"/>
    </w:lvl>
  </w:abstractNum>
  <w:abstractNum w:abstractNumId="114">
    <w:nsid w:val="2A082C70"/>
    <w:multiLevelType w:val="hybridMultilevel"/>
    <w:lvl w:ilvl="0">
      <w:lvlJc w:val="left"/>
      <w:lvlText w:val="%1"/>
      <w:numFmt w:val="decimal"/>
      <w:start w:val="1"/>
    </w:lvl>
    <w:lvl w:ilvl="1">
      <w:lvlJc w:val="left"/>
      <w:lvlText w:val="%2."/>
      <w:numFmt w:val="decimal"/>
      <w:start w:val="2"/>
    </w:lvl>
  </w:abstractNum>
  <w:abstractNum w:abstractNumId="115">
    <w:nsid w:val="5EC6AFD4"/>
    <w:multiLevelType w:val="hybridMultilevel"/>
    <w:lvl w:ilvl="0">
      <w:lvlJc w:val="left"/>
      <w:lvlText w:val="%1."/>
      <w:numFmt w:val="decimal"/>
      <w:start w:val="14"/>
    </w:lvl>
    <w:lvl w:ilvl="1">
      <w:lvlJc w:val="left"/>
      <w:lvlText w:val="%2"/>
      <w:numFmt w:val="decimal"/>
      <w:start w:val="1"/>
    </w:lvl>
  </w:abstractNum>
  <w:abstractNum w:abstractNumId="116">
    <w:nsid w:val="19E21BB2"/>
    <w:multiLevelType w:val="hybridMultilevel"/>
    <w:lvl w:ilvl="0">
      <w:lvlJc w:val="left"/>
      <w:lvlText w:val="%1."/>
      <w:numFmt w:val="decimal"/>
      <w:start w:val="15"/>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decimal"/>
      <w:start w:val="1"/>
    </w:lvl>
  </w:abstractNum>
  <w:abstractNum w:abstractNumId="119">
    <w:nsid w:val="5399C654"/>
    <w:multiLevelType w:val="hybridMultilevel"/>
    <w:lvl w:ilvl="0">
      <w:lvlJc w:val="left"/>
      <w:lvlText w:val="%1"/>
      <w:numFmt w:val="decimal"/>
      <w:start w:val="1"/>
    </w:lvl>
    <w:lvl w:ilvl="1">
      <w:lvlJc w:val="left"/>
      <w:lvlText w:val="(%2)"/>
      <w:numFmt w:val="lowerLetter"/>
      <w:start w:val="1"/>
    </w:lvl>
  </w:abstractNum>
  <w:abstractNum w:abstractNumId="120">
    <w:nsid w:val="20EE1348"/>
    <w:multiLevelType w:val="hybridMultilevel"/>
    <w:lvl w:ilvl="0">
      <w:lvlJc w:val="left"/>
      <w:lvlText w:val="%1."/>
      <w:numFmt w:val="decimal"/>
      <w:start w:val="17"/>
    </w:lvl>
    <w:lvl w:ilvl="1">
      <w:lvlJc w:val="left"/>
      <w:lvlText w:val="%2"/>
      <w:numFmt w:val="lowerLetter"/>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1."/>
      <w:numFmt w:val="decimal"/>
      <w:start w:val="1"/>
    </w:lvl>
  </w:abstractNum>
  <w:abstractNum w:abstractNumId="124">
    <w:nsid w:val="704E1DD5"/>
    <w:multiLevelType w:val="hybridMultilevel"/>
    <w:lvl w:ilvl="0">
      <w:lvlJc w:val="left"/>
      <w:lvlText w:val="%1."/>
      <w:numFmt w:val="decimal"/>
      <w:start w:val="2"/>
    </w:lvl>
  </w:abstractNum>
  <w:abstractNum w:abstractNumId="125">
    <w:nsid w:val="57D2F10E"/>
    <w:multiLevelType w:val="hybridMultilevel"/>
    <w:lvl w:ilvl="0">
      <w:lvlJc w:val="left"/>
      <w:lvlText w:val="%1."/>
      <w:numFmt w:val="decimal"/>
      <w:start w:val="3"/>
    </w:lvl>
  </w:abstractNum>
  <w:abstractNum w:abstractNumId="126">
    <w:nsid w:val="BFFAE18"/>
    <w:multiLevelType w:val="hybridMultilevel"/>
    <w:lvl w:ilvl="0">
      <w:lvlJc w:val="left"/>
      <w:lvlText w:val=")"/>
      <w:numFmt w:val="bullet"/>
      <w:start w:val="1"/>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5"/>
    </w:lvl>
  </w:abstractNum>
  <w:abstractNum w:abstractNumId="129">
    <w:nsid w:val="49D0FEAC"/>
    <w:multiLevelType w:val="hybridMultilevel"/>
    <w:lvl w:ilvl="0">
      <w:lvlJc w:val="left"/>
      <w:lvlText w:val="%1."/>
      <w:numFmt w:val="decimal"/>
      <w:start w:val="6"/>
    </w:lvl>
  </w:abstractNum>
  <w:abstractNum w:abstractNumId="130">
    <w:nsid w:val="4BEE5A5B"/>
    <w:multiLevelType w:val="hybridMultilevel"/>
    <w:lvl w:ilvl="0">
      <w:lvlJc w:val="left"/>
      <w:lvlText w:val="%1."/>
      <w:numFmt w:val="decimal"/>
      <w:start w:val="7"/>
    </w:lvl>
  </w:abstractNum>
  <w:abstractNum w:abstractNumId="131">
    <w:nsid w:val="5551B9F3"/>
    <w:multiLevelType w:val="hybridMultilevel"/>
    <w:lvl w:ilvl="0">
      <w:lvlJc w:val="left"/>
      <w:lvlText w:val="%1."/>
      <w:numFmt w:val="decimal"/>
      <w:start w:val="8"/>
    </w:lvl>
  </w:abstractNum>
  <w:abstractNum w:abstractNumId="132">
    <w:nsid w:val="24F6AB8E"/>
    <w:multiLevelType w:val="hybridMultilevel"/>
    <w:lvl w:ilvl="0">
      <w:lvlJc w:val="left"/>
      <w:lvlText w:val="%1."/>
      <w:numFmt w:val="decimal"/>
      <w:start w:val="9"/>
    </w:lvl>
  </w:abstractNum>
  <w:abstractNum w:abstractNumId="133">
    <w:nsid w:val="634C574C"/>
    <w:multiLevelType w:val="hybridMultilevel"/>
    <w:lvl w:ilvl="0">
      <w:lvlJc w:val="left"/>
      <w:lvlText w:val="%1."/>
      <w:numFmt w:val="decimal"/>
      <w:start w:val="10"/>
    </w:lvl>
  </w:abstractNum>
  <w:abstractNum w:abstractNumId="134">
    <w:nsid w:val="24E99DD7"/>
    <w:multiLevelType w:val="hybridMultilevel"/>
    <w:lvl w:ilvl="0">
      <w:lvlJc w:val="left"/>
      <w:lvlText w:val="%1."/>
      <w:numFmt w:val="decimal"/>
      <w:start w:val="11"/>
    </w:lvl>
  </w:abstractNum>
  <w:abstractNum w:abstractNumId="135">
    <w:nsid w:val="2A31B62D"/>
    <w:multiLevelType w:val="hybridMultilevel"/>
    <w:lvl w:ilvl="0">
      <w:lvlJc w:val="left"/>
      <w:lvlText w:val="%1."/>
      <w:numFmt w:val="decimal"/>
      <w:start w:val="13"/>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decimal"/>
      <w:start w:val="15"/>
    </w:lvl>
  </w:abstractNum>
  <w:abstractNum w:abstractNumId="139">
    <w:nsid w:val="69E7F3E5"/>
    <w:multiLevelType w:val="hybridMultilevel"/>
    <w:lvl w:ilvl="0">
      <w:lvlJc w:val="left"/>
      <w:lvlText w:val="%1."/>
      <w:numFmt w:val="decimal"/>
      <w:start w:val="16"/>
    </w:lvl>
  </w:abstractNum>
  <w:abstractNum w:abstractNumId="140">
    <w:nsid w:val="2A6DE806"/>
    <w:multiLevelType w:val="hybridMultilevel"/>
    <w:lvl w:ilvl="0">
      <w:lvlJc w:val="left"/>
      <w:lvlText w:val="%1."/>
      <w:numFmt w:val="decimal"/>
      <w:start w:val="17"/>
    </w:lvl>
  </w:abstractNum>
  <w:abstractNum w:abstractNumId="141">
    <w:nsid w:val="1816F8C4"/>
    <w:multiLevelType w:val="hybridMultilevel"/>
    <w:lvl w:ilvl="0">
      <w:lvlJc w:val="left"/>
      <w:lvlText w:val="%1."/>
      <w:numFmt w:val="decimal"/>
      <w:start w:val="18"/>
    </w:lvl>
  </w:abstractNum>
  <w:abstractNum w:abstractNumId="142">
    <w:nsid w:val="37DF2233"/>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9" Type="http://schemas.openxmlformats.org/officeDocument/2006/relationships/image" Target="media/image607.png"/><Relationship Id="rId638" Type="http://schemas.openxmlformats.org/officeDocument/2006/relationships/image" Target="media/image608.png"/><Relationship Id="rId639" Type="http://schemas.openxmlformats.org/officeDocument/2006/relationships/image" Target="media/image609.png"/><Relationship Id="rId649" Type="http://schemas.openxmlformats.org/officeDocument/2006/relationships/image" Target="media/image610.png"/><Relationship Id="rId650" Type="http://schemas.openxmlformats.org/officeDocument/2006/relationships/image" Target="media/image611.png"/><Relationship Id="rId651" Type="http://schemas.openxmlformats.org/officeDocument/2006/relationships/image" Target="media/image612.png"/><Relationship Id="rId652" Type="http://schemas.openxmlformats.org/officeDocument/2006/relationships/image" Target="media/image613.png"/><Relationship Id="rId653" Type="http://schemas.openxmlformats.org/officeDocument/2006/relationships/image" Target="media/image614.png"/><Relationship Id="rId654" Type="http://schemas.openxmlformats.org/officeDocument/2006/relationships/image" Target="media/image615.png"/><Relationship Id="rId655" Type="http://schemas.openxmlformats.org/officeDocument/2006/relationships/image" Target="media/image616.png"/><Relationship Id="rId656" Type="http://schemas.openxmlformats.org/officeDocument/2006/relationships/image" Target="media/image617.png"/><Relationship Id="rId614" Type="http://schemas.openxmlformats.org/officeDocument/2006/relationships/hyperlink" Target="https://www.sec.gov/Archives/edgar/data/1920294/000119312523240685/d309194df4a.htm#anxacov" TargetMode="External"/><Relationship Id="rId615" Type="http://schemas.openxmlformats.org/officeDocument/2006/relationships/hyperlink" Target="https://www.sec.gov/Archives/edgar/data/1920294/000119312523240685/d309194df4a.htm#anxaa" TargetMode="External"/><Relationship Id="rId616" Type="http://schemas.openxmlformats.org/officeDocument/2006/relationships/hyperlink" Target="https://www.sec.gov/ix?doc=/Archives/edgar/data/0001920294/000095017025057622/rzlv-20241231.htm" TargetMode="External"/><Relationship Id="rId617" Type="http://schemas.openxmlformats.org/officeDocument/2006/relationships/hyperlink" Target="https://www.sec.gov/Archives/edgar/data/1920294/000119312524204510/d885107dex21.htm" TargetMode="External"/><Relationship Id="rId618" Type="http://schemas.openxmlformats.org/officeDocument/2006/relationships/hyperlink" Target="https://www.sec.gov/Archives/edgar/data/1920294/000119312524204510/d885107dex22.htm" TargetMode="External"/><Relationship Id="rId620" Type="http://schemas.openxmlformats.org/officeDocument/2006/relationships/hyperlink" Target="https://www.sec.gov/Archives/edgar/data/1920294/000119312524204510/d885107dex43.htm" TargetMode="External"/><Relationship Id="rId621" Type="http://schemas.openxmlformats.org/officeDocument/2006/relationships/hyperlink" Target="https://www.sec.gov/Archives/edgar/data/1920294/000119312524204510/d885107dex44.htm" TargetMode="External"/><Relationship Id="rId622" Type="http://schemas.openxmlformats.org/officeDocument/2006/relationships/hyperlink" Target="https://www.sec.gov/Archives/edgar/data/1920294/000119312524204510/d885107dex46.htm" TargetMode="External"/><Relationship Id="rId623" Type="http://schemas.openxmlformats.org/officeDocument/2006/relationships/hyperlink" Target="https://www.sec.gov/Archives/edgar/data/1920294/000119312524204510/d885107dex47.htm" TargetMode="External"/><Relationship Id="rId624" Type="http://schemas.openxmlformats.org/officeDocument/2006/relationships/hyperlink" Target="https://www.sec.gov/Archives/edgar/data/1920294/000095017025004476/rzlv-ex5_1.htm" TargetMode="External"/><Relationship Id="rId625" Type="http://schemas.openxmlformats.org/officeDocument/2006/relationships/hyperlink" Target="https://www.sec.gov/Archives/edgar/data/1920294/000119312524159410/d309194dex1017.htm" TargetMode="External"/><Relationship Id="rId626" Type="http://schemas.openxmlformats.org/officeDocument/2006/relationships/hyperlink" Target="https://www.sec.gov/Archives/edgar/data/1920294/000119312524143103/d309194dex1018.htm" TargetMode="External"/><Relationship Id="rId627" Type="http://schemas.openxmlformats.org/officeDocument/2006/relationships/hyperlink" Target="https://www.sec.gov/Archives/edgar/data/1920294/000119312524143103/d309194dex1019.htm" TargetMode="External"/><Relationship Id="rId628" Type="http://schemas.openxmlformats.org/officeDocument/2006/relationships/hyperlink" Target="https://www.sec.gov/Archives/edgar/data/1920294/000119312524143103/d309194dex1020.htm" TargetMode="External"/><Relationship Id="rId629" Type="http://schemas.openxmlformats.org/officeDocument/2006/relationships/hyperlink" Target="https://www.sec.gov/Archives/edgar/data/1920294/000119312524143103/d309194dex1021.htm" TargetMode="External"/><Relationship Id="rId630" Type="http://schemas.openxmlformats.org/officeDocument/2006/relationships/hyperlink" Target="https://www.sec.gov/Archives/edgar/data/1920294/000119312524143103/d309194dex1022.htm" TargetMode="External"/><Relationship Id="rId631" Type="http://schemas.openxmlformats.org/officeDocument/2006/relationships/hyperlink" Target="https://www.sec.gov/Archives/edgar/data/1920294/000119312524143103/d309194dex1023.htm" TargetMode="External"/><Relationship Id="rId632" Type="http://schemas.openxmlformats.org/officeDocument/2006/relationships/hyperlink" Target="https://www.sec.gov/Archives/edgar/data/1920294/000119312524143103/d309194dex1024.htm" TargetMode="External"/><Relationship Id="rId633" Type="http://schemas.openxmlformats.org/officeDocument/2006/relationships/hyperlink" Target="https://www.sec.gov/Archives/edgar/data/1844817/000119312524028592/d701134dex21.htm" TargetMode="External"/><Relationship Id="rId634" Type="http://schemas.openxmlformats.org/officeDocument/2006/relationships/hyperlink" Target="https://www.sec.gov/Archives/edgar/data/1920294/000095017024104513/rzlv-ex10_13.htm" TargetMode="External"/><Relationship Id="rId635" Type="http://schemas.openxmlformats.org/officeDocument/2006/relationships/hyperlink" Target="https://www.sec.gov/Archives/edgar/data/1920294/000095017024106474/rzlv-ex99_2.htm" TargetMode="External"/><Relationship Id="rId636" Type="http://schemas.openxmlformats.org/officeDocument/2006/relationships/hyperlink" Target="https://www.sec.gov/Archives/edgar/data/1920294/000095017024133740/rzlv-ex99_1.htm" TargetMode="External"/><Relationship Id="rId637" Type="http://schemas.openxmlformats.org/officeDocument/2006/relationships/hyperlink" Target="https://www.sec.gov/Archives/edgar/data/1920294/000095017024137626/rzlv-ex10_2.htm" TargetMode="External"/><Relationship Id="rId640" Type="http://schemas.openxmlformats.org/officeDocument/2006/relationships/hyperlink" Target="https://www.sec.gov/Archives/edgar/data/1920294/000095017024137626/rzlv-ex10_3.htm" TargetMode="External"/><Relationship Id="rId641" Type="http://schemas.openxmlformats.org/officeDocument/2006/relationships/hyperlink" Target="https://www.sec.gov/Archives/edgar/data/1920294/000095017024139714/rzlv-ex10_1.htm" TargetMode="External"/><Relationship Id="rId642" Type="http://schemas.openxmlformats.org/officeDocument/2006/relationships/hyperlink" Target="https://www.sec.gov/Archives/edgar/data/1920294/000095017025010226/rzlv-ex10_1.htm" TargetMode="External"/><Relationship Id="rId643" Type="http://schemas.openxmlformats.org/officeDocument/2006/relationships/hyperlink" Target="https://www.sec.gov/Archives/edgar/data/1920294/000095017025016341/rzlv-ex10_1.htm" TargetMode="External"/><Relationship Id="rId644" Type="http://schemas.openxmlformats.org/officeDocument/2006/relationships/hyperlink" Target="https://www.sec.gov/Archives/edgar/data/1920294/000095017025024898/rzlv-ex10_1.htm" TargetMode="External"/><Relationship Id="rId645" Type="http://schemas.openxmlformats.org/officeDocument/2006/relationships/hyperlink" Target="https://www.sec.gov/Archives/edgar/data/1920294/000095017025026125/rzlv-ex10_1.htm" TargetMode="External"/><Relationship Id="rId646" Type="http://schemas.openxmlformats.org/officeDocument/2006/relationships/hyperlink" Target="https://www.sec.gov/Archives/edgar/data/1920294/000095017025026125/rzlv-ex10_2.htm" TargetMode="External"/><Relationship Id="rId647" Type="http://schemas.openxmlformats.org/officeDocument/2006/relationships/hyperlink" Target="https://www.sec.gov/Archives/edgar/data/1920294/000095017025034867/rzlv-ex10_1.htm" TargetMode="External"/><Relationship Id="rId648" Type="http://schemas.openxmlformats.org/officeDocument/2006/relationships/hyperlink" Target="https://www.sec.gov/Archives/edgar/data/1920294/000095017025004476/rzlv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2025-05-06T16:16:12Z</dcterms:created>
  <dcterms:modified xsi:type="dcterms:W3CDTF">2025-05-06T16:16:12Z</dcterms:modified>
</cp:coreProperties>
</file>