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1357630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January 2026</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2104390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650875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20, 2026, Rezolve AI plc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the purchasers named therein (together,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providing for the issuance and sale by the Company of an aggregate of 62,500,000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ordinary shares, nominal value £0.0001 par value per share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The Shares were offered and sold for a purchase price of $4.00 per Share, for gross proceeds of $250.0 million, before deducting placement agent fees and other offering expenses.</w:t>
      </w:r>
    </w:p>
    <w:p>
      <w:pPr>
        <w:spacing w:after="0" w:line="176"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color w:val="auto"/>
        </w:rPr>
        <w:t>The Shares were offered and sold pursuant to an effective registration statement on Form F-3 (Registration No. 333-291842) (the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Statement</w:t>
      </w:r>
      <w:r>
        <w:rPr>
          <w:rFonts w:ascii="Times New Roman" w:cs="Times New Roman" w:eastAsia="Times New Roman" w:hAnsi="Times New Roman"/>
          <w:sz w:val="18"/>
          <w:szCs w:val="18"/>
          <w:color w:val="auto"/>
        </w:rPr>
        <w:t>”) filed with the U.S. Securities and Exchange Commission and a related prospectus supplement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accelerated investment into its sale organization, potential accretive M&amp;A opportunities and general corporate and working capital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January 21, 2026, subject to the satisfaction of customary closing conditions.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has agreed not to issue, enter into any agreement to issue, or announce the issuance or proposed issuance of any Ordinary Shares or Ordinary Share equivalents, or file any registration statement or any amendment or supplement thereto, for a period of 30 days after the closing of the Offering, subject to certain exceptions.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also engaged Cantor Fitzgerald &amp; Co., Roth Capital Partners and Northland Capital Markets as financial advisors in connection with the Offering.</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Agent Agreement</w:t>
      </w:r>
    </w:p>
    <w:p>
      <w:pPr>
        <w:spacing w:after="0" w:line="22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Company also entered into a Placement Agent Agreement (the "</w:t>
      </w:r>
      <w:r>
        <w:rPr>
          <w:rFonts w:ascii="Times New Roman" w:cs="Times New Roman" w:eastAsia="Times New Roman" w:hAnsi="Times New Roman"/>
          <w:sz w:val="18"/>
          <w:szCs w:val="18"/>
          <w:b w:val="1"/>
          <w:bCs w:val="1"/>
          <w:i w:val="1"/>
          <w:iCs w:val="1"/>
          <w:color w:val="auto"/>
        </w:rPr>
        <w:t>Placement Agent Agreement</w:t>
      </w:r>
      <w:r>
        <w:rPr>
          <w:rFonts w:ascii="Times New Roman" w:cs="Times New Roman" w:eastAsia="Times New Roman" w:hAnsi="Times New Roman"/>
          <w:sz w:val="18"/>
          <w:szCs w:val="18"/>
          <w:color w:val="auto"/>
        </w:rPr>
        <w:t>") on January 20, 2026, with A.G.P./Alliance Global Partners (the “</w:t>
      </w:r>
      <w:r>
        <w:rPr>
          <w:rFonts w:ascii="Times New Roman" w:cs="Times New Roman" w:eastAsia="Times New Roman" w:hAnsi="Times New Roman"/>
          <w:sz w:val="18"/>
          <w:szCs w:val="18"/>
          <w:b w:val="1"/>
          <w:bCs w:val="1"/>
          <w:i w:val="1"/>
          <w:iCs w:val="1"/>
          <w:color w:val="auto"/>
        </w:rPr>
        <w:t>Lead Placement Agent</w:t>
      </w:r>
      <w:r>
        <w:rPr>
          <w:rFonts w:ascii="Times New Roman" w:cs="Times New Roman" w:eastAsia="Times New Roman" w:hAnsi="Times New Roman"/>
          <w:sz w:val="18"/>
          <w:szCs w:val="18"/>
          <w:color w:val="auto"/>
        </w:rPr>
        <w:t>”) and Titan Partners Group LLC, a division of American Capital Partners, LLC ("</w:t>
      </w:r>
      <w:r>
        <w:rPr>
          <w:rFonts w:ascii="Times New Roman" w:cs="Times New Roman" w:eastAsia="Times New Roman" w:hAnsi="Times New Roman"/>
          <w:sz w:val="18"/>
          <w:szCs w:val="18"/>
          <w:b w:val="1"/>
          <w:bCs w:val="1"/>
          <w:i w:val="1"/>
          <w:iCs w:val="1"/>
          <w:color w:val="auto"/>
        </w:rPr>
        <w:t>Titan</w:t>
      </w:r>
      <w:r>
        <w:rPr>
          <w:rFonts w:ascii="Times New Roman" w:cs="Times New Roman" w:eastAsia="Times New Roman" w:hAnsi="Times New Roman"/>
          <w:sz w:val="18"/>
          <w:szCs w:val="18"/>
          <w:color w:val="auto"/>
        </w:rPr>
        <w:t>" and, together with the Lead Placement Agent, the "</w:t>
      </w:r>
      <w:r>
        <w:rPr>
          <w:rFonts w:ascii="Times New Roman" w:cs="Times New Roman" w:eastAsia="Times New Roman" w:hAnsi="Times New Roman"/>
          <w:sz w:val="18"/>
          <w:szCs w:val="18"/>
          <w:b w:val="1"/>
          <w:bCs w:val="1"/>
          <w:i w:val="1"/>
          <w:iCs w:val="1"/>
          <w:color w:val="auto"/>
        </w:rPr>
        <w:t>Placement Agents</w:t>
      </w:r>
      <w:r>
        <w:rPr>
          <w:rFonts w:ascii="Times New Roman" w:cs="Times New Roman" w:eastAsia="Times New Roman" w:hAnsi="Times New Roman"/>
          <w:sz w:val="18"/>
          <w:szCs w:val="18"/>
          <w:color w:val="auto"/>
        </w:rPr>
        <w:t>"), pursuant to which the Placement Agents served as the exclusive placement agents in connection with the Offering. The Company agreed to pay the Placement Agents a fee in cash equal to 5.0% of the aggregate gross proceeds from the sale of the Shares. The Company also agreed to reimburse the Lead Placement Agent for out-of-pocket expenses, including the reasonable fees of legal counsel not to exceed $120,000 as well as non-accountable expenses not to exceed $10,000.</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 and the Placement Agent Agreement contain customary representations, warranties, and agreements by the Company, customary conditions to closing, indemnification obligations of the Company, other obligations of the parties, and termination provisions. The representations, warranties and covenants contained therein were made only for purposes of such agreements and as of specific dates, were solely for the benefit of the parties thereto, and may be subject to limitations agreed upon by the contracting parties.</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Purchase Agreement do not purport to be complete and are qualified in their entirety by reference to the full text thereof, which are included as Exhibits 10.1 and 10.2 hereto, respectively, to this Report of Foreign Private Issuer on Form 6-K (this "</w:t>
      </w:r>
      <w:r>
        <w:rPr>
          <w:rFonts w:ascii="Times New Roman" w:cs="Times New Roman" w:eastAsia="Times New Roman" w:hAnsi="Times New Roman"/>
          <w:sz w:val="18"/>
          <w:szCs w:val="18"/>
          <w:b w:val="1"/>
          <w:bCs w:val="1"/>
          <w:i w:val="1"/>
          <w:iCs w:val="1"/>
          <w:color w:val="auto"/>
        </w:rPr>
        <w:t>Form 6-K</w:t>
      </w:r>
      <w:r>
        <w:rPr>
          <w:rFonts w:ascii="Times New Roman" w:cs="Times New Roman" w:eastAsia="Times New Roman" w:hAnsi="Times New Roman"/>
          <w:sz w:val="18"/>
          <w:szCs w:val="18"/>
          <w:color w:val="auto"/>
        </w:rPr>
        <w:t>")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260"/>
        <w:spacing w:after="0" w:line="282" w:lineRule="auto"/>
        <w:rPr>
          <w:sz w:val="20"/>
          <w:szCs w:val="20"/>
          <w:color w:val="auto"/>
        </w:rPr>
      </w:pPr>
      <w:r>
        <w:rPr>
          <w:rFonts w:ascii="Times New Roman" w:cs="Times New Roman" w:eastAsia="Times New Roman" w:hAnsi="Times New Roman"/>
          <w:sz w:val="18"/>
          <w:szCs w:val="18"/>
          <w:color w:val="auto"/>
        </w:rPr>
        <w:t>A copy of the legal opinion of Taylor Wessing LLP relating to the validity of the issuance and sale of the Shares in the Offering is filed as Exhibit 5.1 to this Form 6-K and is filed with reference to, and is hereby incorporated by reference into, the Registration Statement.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Press Release</w:t>
      </w:r>
    </w:p>
    <w:p>
      <w:pPr>
        <w:spacing w:after="0" w:line="2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On January 20, 2026, the "Company" issued a press release regarding its entry into the Purchase Agreement with the Purchasers named therein providing for the issuance and sale by the Company of an aggregate of 62,500,000 shares. A copy of the press release is furnished as Exhibit 99.1 to this Form 6-K and is incorporated herein by reference.</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Form 6-K under the captions "</w:t>
      </w:r>
      <w:r>
        <w:rPr>
          <w:rFonts w:ascii="Times New Roman" w:cs="Times New Roman" w:eastAsia="Times New Roman" w:hAnsi="Times New Roman"/>
          <w:sz w:val="18"/>
          <w:szCs w:val="18"/>
          <w:i w:val="1"/>
          <w:iCs w:val="1"/>
          <w:color w:val="auto"/>
        </w:rPr>
        <w:t>Securities Purchase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Placement Agent Agreement</w:t>
      </w:r>
      <w:r>
        <w:rPr>
          <w:rFonts w:ascii="Times New Roman" w:cs="Times New Roman" w:eastAsia="Times New Roman" w:hAnsi="Times New Roman"/>
          <w:sz w:val="18"/>
          <w:szCs w:val="18"/>
          <w:color w:val="auto"/>
        </w:rPr>
        <w:t>" (including Exhibits 10.1, 10.2 and 5.1) are hereby incorporated by reference into the Company’s Registration Statements on Forms F-3 (File Nos. 333-290523, File No. 333-290639, and File No. 333-291842) and Form S-8 (File No. 333-284174 and File No. 333-292308</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 (including any prospectuses forming a part of such registration statements) and to be a part thereof from the date on which this Form 6-K is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5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520" w:type="dxa"/>
            <w:vAlign w:val="bottom"/>
            <w:gridSpan w:val="6"/>
          </w:tcPr>
          <w:p>
            <w:pPr>
              <w:spacing w:after="0"/>
              <w:rPr>
                <w:sz w:val="17"/>
                <w:szCs w:val="17"/>
                <w:color w:val="auto"/>
              </w:rPr>
            </w:pPr>
          </w:p>
        </w:tc>
      </w:tr>
      <w:tr>
        <w:trPr>
          <w:trHeight w:val="412"/>
        </w:trPr>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9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Opinion of Taylor Wessing</w:t>
            </w:r>
          </w:p>
        </w:tc>
      </w:tr>
      <w:tr>
        <w:trPr>
          <w:trHeight w:val="20"/>
        </w:trPr>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30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520" w:type="dxa"/>
            <w:vAlign w:val="bottom"/>
          </w:tcPr>
          <w:p>
            <w:pPr>
              <w:spacing w:after="0"/>
              <w:rPr>
                <w:sz w:val="17"/>
                <w:szCs w:val="17"/>
                <w:color w:val="auto"/>
              </w:rPr>
            </w:pPr>
          </w:p>
        </w:tc>
        <w:tc>
          <w:tcPr>
            <w:tcW w:w="9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Form of Securities Purchase Agreement</w:t>
            </w:r>
          </w:p>
        </w:tc>
      </w:tr>
      <w:tr>
        <w:trPr>
          <w:trHeight w:val="20"/>
        </w:trPr>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30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7"/>
                <w:szCs w:val="17"/>
                <w:color w:val="auto"/>
              </w:rPr>
            </w:pPr>
          </w:p>
        </w:tc>
        <w:tc>
          <w:tcPr>
            <w:tcW w:w="88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Placement Agent Agreement, dated January 20, 2026, between Rezolve AI plc, A.G.P/Alliance Global Partners and Titan</w:t>
            </w:r>
          </w:p>
        </w:tc>
        <w:tc>
          <w:tcPr>
            <w:tcW w:w="62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Partners Group LLC</w:t>
            </w:r>
          </w:p>
        </w:tc>
      </w:tr>
      <w:tr>
        <w:trPr>
          <w:trHeight w:val="20"/>
        </w:trPr>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720" w:type="dxa"/>
            <w:vAlign w:val="bottom"/>
            <w:gridSpan w:val="3"/>
          </w:tcPr>
          <w:p>
            <w:pPr>
              <w:spacing w:after="0" w:line="20" w:lineRule="exact"/>
              <w:rPr>
                <w:sz w:val="1"/>
                <w:szCs w:val="1"/>
                <w:color w:val="auto"/>
              </w:rPr>
            </w:pPr>
          </w:p>
        </w:tc>
      </w:tr>
      <w:tr>
        <w:trPr>
          <w:trHeight w:val="196"/>
        </w:trPr>
        <w:tc>
          <w:tcPr>
            <w:tcW w:w="130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17"/>
                <w:szCs w:val="17"/>
                <w:color w:val="auto"/>
              </w:rPr>
            </w:pPr>
          </w:p>
        </w:tc>
        <w:tc>
          <w:tcPr>
            <w:tcW w:w="9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January 20, 2026</w:t>
            </w:r>
          </w:p>
        </w:tc>
      </w:tr>
      <w:tr>
        <w:trPr>
          <w:trHeight w:val="1222"/>
        </w:trPr>
        <w:tc>
          <w:tcPr>
            <w:tcW w:w="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900" w:type="dxa"/>
            <w:vAlign w:val="bottom"/>
            <w:tcBorders>
              <w:top w:val="single" w:sz="8" w:color="0000FF"/>
              <w:bottom w:val="single" w:sz="8" w:color="808080"/>
            </w:tcBorders>
          </w:tcPr>
          <w:p>
            <w:pPr>
              <w:spacing w:after="0"/>
              <w:rPr>
                <w:sz w:val="24"/>
                <w:szCs w:val="24"/>
                <w:color w:val="auto"/>
              </w:rPr>
            </w:pPr>
          </w:p>
        </w:tc>
        <w:tc>
          <w:tcPr>
            <w:tcW w:w="580" w:type="dxa"/>
            <w:vAlign w:val="bottom"/>
            <w:tcBorders>
              <w:top w:val="single" w:sz="8" w:color="0000FF"/>
              <w:bottom w:val="single" w:sz="8" w:color="808080"/>
            </w:tcBorders>
          </w:tcPr>
          <w:p>
            <w:pPr>
              <w:spacing w:after="0"/>
              <w:rPr>
                <w:sz w:val="24"/>
                <w:szCs w:val="24"/>
                <w:color w:val="auto"/>
              </w:rPr>
            </w:pPr>
          </w:p>
        </w:tc>
        <w:tc>
          <w:tcPr>
            <w:tcW w:w="540" w:type="dxa"/>
            <w:vAlign w:val="bottom"/>
            <w:tcBorders>
              <w:top w:val="single" w:sz="8" w:color="0000FF"/>
              <w:bottom w:val="single" w:sz="8" w:color="808080"/>
            </w:tcBorders>
          </w:tcPr>
          <w:p>
            <w:pPr>
              <w:spacing w:after="0"/>
              <w:rPr>
                <w:sz w:val="24"/>
                <w:szCs w:val="24"/>
                <w:color w:val="auto"/>
              </w:rPr>
            </w:pPr>
          </w:p>
        </w:tc>
        <w:tc>
          <w:tcPr>
            <w:tcW w:w="680" w:type="dxa"/>
            <w:vAlign w:val="bottom"/>
            <w:tcBorders>
              <w:top w:val="single" w:sz="8" w:color="0000FF"/>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9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r>
      <w:tr>
        <w:trPr>
          <w:trHeight w:val="1647"/>
        </w:trPr>
        <w:tc>
          <w:tcPr>
            <w:tcW w:w="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2026</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0" w:type="dxa"/>
            <w:vAlign w:val="bottom"/>
          </w:tcPr>
          <w:p>
            <w:pPr>
              <w:spacing w:after="0"/>
              <w:rPr>
                <w:sz w:val="1"/>
                <w:szCs w:val="1"/>
                <w:color w:val="auto"/>
              </w:rPr>
            </w:pPr>
          </w:p>
        </w:tc>
      </w:tr>
      <w:tr>
        <w:trPr>
          <w:trHeight w:val="675"/>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4" w:lineRule="exact"/>
        <w:rPr>
          <w:sz w:val="20"/>
          <w:szCs w:val="20"/>
          <w:color w:val="auto"/>
        </w:rPr>
      </w:pPr>
    </w:p>
    <w:p>
      <w:pPr>
        <w:ind w:left="7372"/>
        <w:spacing w:after="0"/>
        <w:rPr>
          <w:sz w:val="20"/>
          <w:szCs w:val="20"/>
          <w:color w:val="auto"/>
        </w:rPr>
      </w:pPr>
      <w:r>
        <w:rPr>
          <w:rFonts w:ascii="Arial" w:cs="Arial" w:eastAsia="Arial" w:hAnsi="Arial"/>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144145</wp:posOffset>
            </wp:positionV>
            <wp:extent cx="1534160" cy="2317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23177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12"/>
        <w:spacing w:after="0"/>
        <w:rPr>
          <w:sz w:val="20"/>
          <w:szCs w:val="20"/>
          <w:color w:val="auto"/>
        </w:rPr>
      </w:pPr>
      <w:r>
        <w:rPr>
          <w:rFonts w:ascii="Arial" w:cs="Arial" w:eastAsia="Arial" w:hAnsi="Arial"/>
          <w:sz w:val="19"/>
          <w:szCs w:val="19"/>
          <w:color w:val="auto"/>
        </w:rPr>
        <w:t>20 January 2026</w:t>
      </w:r>
    </w:p>
    <w:p>
      <w:pPr>
        <w:spacing w:after="0" w:line="27" w:lineRule="exact"/>
        <w:rPr>
          <w:sz w:val="20"/>
          <w:szCs w:val="20"/>
          <w:color w:val="auto"/>
        </w:rPr>
      </w:pPr>
    </w:p>
    <w:p>
      <w:pPr>
        <w:ind w:left="12"/>
        <w:spacing w:after="0"/>
        <w:rPr>
          <w:sz w:val="20"/>
          <w:szCs w:val="20"/>
          <w:color w:val="auto"/>
        </w:rPr>
      </w:pPr>
      <w:r>
        <w:rPr>
          <w:rFonts w:ascii="Arial" w:cs="Arial" w:eastAsia="Arial" w:hAnsi="Arial"/>
          <w:sz w:val="19"/>
          <w:szCs w:val="19"/>
          <w:color w:val="auto"/>
        </w:rPr>
        <w:t>Rezolve AI PLC</w:t>
      </w:r>
    </w:p>
    <w:p>
      <w:pPr>
        <w:ind w:left="12"/>
        <w:spacing w:after="0"/>
        <w:rPr>
          <w:sz w:val="20"/>
          <w:szCs w:val="20"/>
          <w:color w:val="auto"/>
        </w:rPr>
      </w:pPr>
      <w:r>
        <w:rPr>
          <w:rFonts w:ascii="Arial" w:cs="Arial" w:eastAsia="Arial" w:hAnsi="Arial"/>
          <w:sz w:val="19"/>
          <w:szCs w:val="19"/>
          <w:color w:val="auto"/>
        </w:rPr>
        <w:t>21 Sackville Street London W1S 3DN</w:t>
      </w:r>
    </w:p>
    <w:p>
      <w:pPr>
        <w:spacing w:after="0" w:line="11" w:lineRule="exact"/>
        <w:rPr>
          <w:sz w:val="20"/>
          <w:szCs w:val="20"/>
          <w:color w:val="auto"/>
        </w:rPr>
      </w:pPr>
    </w:p>
    <w:p>
      <w:pPr>
        <w:ind w:left="12"/>
        <w:spacing w:after="0"/>
        <w:rPr>
          <w:sz w:val="20"/>
          <w:szCs w:val="20"/>
          <w:color w:val="auto"/>
        </w:rPr>
      </w:pPr>
      <w:r>
        <w:rPr>
          <w:rFonts w:ascii="Arial" w:cs="Arial" w:eastAsia="Arial" w:hAnsi="Arial"/>
          <w:sz w:val="19"/>
          <w:szCs w:val="19"/>
          <w:color w:val="auto"/>
        </w:rPr>
        <w:t>United Kingdom</w:t>
      </w:r>
    </w:p>
    <w:p>
      <w:pPr>
        <w:spacing w:after="0" w:line="200" w:lineRule="exact"/>
        <w:rPr>
          <w:sz w:val="20"/>
          <w:szCs w:val="20"/>
          <w:color w:val="auto"/>
        </w:rPr>
      </w:pPr>
    </w:p>
    <w:p>
      <w:pPr>
        <w:spacing w:after="0" w:line="212"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auto"/>
        </w:rPr>
        <w:t>Re: Rezolve AI PLC</w:t>
      </w:r>
    </w:p>
    <w:p>
      <w:pPr>
        <w:spacing w:after="0" w:line="200" w:lineRule="exact"/>
        <w:rPr>
          <w:sz w:val="20"/>
          <w:szCs w:val="20"/>
          <w:color w:val="auto"/>
        </w:rPr>
      </w:pPr>
    </w:p>
    <w:p>
      <w:pPr>
        <w:spacing w:after="0" w:line="230" w:lineRule="exact"/>
        <w:rPr>
          <w:sz w:val="20"/>
          <w:szCs w:val="20"/>
          <w:color w:val="auto"/>
        </w:rPr>
      </w:pPr>
    </w:p>
    <w:p>
      <w:pPr>
        <w:ind w:left="12"/>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752" w:hanging="752"/>
        <w:spacing w:after="0"/>
        <w:tabs>
          <w:tab w:leader="none" w:pos="752"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672" w:right="19" w:hanging="672"/>
        <w:spacing w:after="0"/>
        <w:tabs>
          <w:tab w:leader="none" w:pos="652"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have acted as English legal advisers to Rezolve AI PLC (the “</w:t>
      </w:r>
      <w:r>
        <w:rPr>
          <w:rFonts w:ascii="Arial" w:cs="Arial" w:eastAsia="Arial" w:hAnsi="Arial"/>
          <w:sz w:val="19"/>
          <w:szCs w:val="19"/>
          <w:b w:val="1"/>
          <w:bCs w:val="1"/>
          <w:color w:val="auto"/>
        </w:rPr>
        <w:t>Company</w:t>
      </w:r>
      <w:r>
        <w:rPr>
          <w:rFonts w:ascii="Arial" w:cs="Arial" w:eastAsia="Arial" w:hAnsi="Arial"/>
          <w:sz w:val="19"/>
          <w:szCs w:val="19"/>
          <w:color w:val="auto"/>
        </w:rPr>
        <w:t>”), a public limited company incorporated in England and Wales with company number 14573691 and with its registered office at 21 Sackville Street, London, United Kingdom, W1S 3DN (the “</w:t>
      </w:r>
      <w:r>
        <w:rPr>
          <w:rFonts w:ascii="Arial" w:cs="Arial" w:eastAsia="Arial" w:hAnsi="Arial"/>
          <w:sz w:val="19"/>
          <w:szCs w:val="19"/>
          <w:b w:val="1"/>
          <w:bCs w:val="1"/>
          <w:color w:val="auto"/>
        </w:rPr>
        <w:t>Company</w:t>
      </w:r>
      <w:r>
        <w:rPr>
          <w:rFonts w:ascii="Arial" w:cs="Arial" w:eastAsia="Arial" w:hAnsi="Arial"/>
          <w:sz w:val="19"/>
          <w:szCs w:val="19"/>
          <w:color w:val="auto"/>
        </w:rPr>
        <w:t>”), in relation to matters of English law only, pursuant to that Securities Purchase Agreement entered into by the Company and the purchasers signatories thereto (the "</w:t>
      </w:r>
      <w:r>
        <w:rPr>
          <w:rFonts w:ascii="Arial" w:cs="Arial" w:eastAsia="Arial" w:hAnsi="Arial"/>
          <w:sz w:val="19"/>
          <w:szCs w:val="19"/>
          <w:b w:val="1"/>
          <w:bCs w:val="1"/>
          <w:color w:val="auto"/>
        </w:rPr>
        <w:t>Purchasers</w:t>
      </w:r>
      <w:r>
        <w:rPr>
          <w:rFonts w:ascii="Arial" w:cs="Arial" w:eastAsia="Arial" w:hAnsi="Arial"/>
          <w:sz w:val="19"/>
          <w:szCs w:val="19"/>
          <w:color w:val="auto"/>
        </w:rPr>
        <w:t>") on 20 January 2026 (the "</w:t>
      </w:r>
      <w:r>
        <w:rPr>
          <w:rFonts w:ascii="Arial" w:cs="Arial" w:eastAsia="Arial" w:hAnsi="Arial"/>
          <w:sz w:val="19"/>
          <w:szCs w:val="19"/>
          <w:b w:val="1"/>
          <w:bCs w:val="1"/>
          <w:color w:val="auto"/>
        </w:rPr>
        <w:t>Securities Purchase Agreement</w:t>
      </w:r>
      <w:r>
        <w:rPr>
          <w:rFonts w:ascii="Arial" w:cs="Arial" w:eastAsia="Arial" w:hAnsi="Arial"/>
          <w:sz w:val="19"/>
          <w:szCs w:val="19"/>
          <w:color w:val="auto"/>
        </w:rPr>
        <w:t>") and the Placement Agent Agreement entered into by the Company and A.G.P./Alliance Global Partners and Titan Partners Group LLC, (a division of American Capital Partners LLC) (the "</w:t>
      </w:r>
      <w:r>
        <w:rPr>
          <w:rFonts w:ascii="Arial" w:cs="Arial" w:eastAsia="Arial" w:hAnsi="Arial"/>
          <w:sz w:val="19"/>
          <w:szCs w:val="19"/>
          <w:b w:val="1"/>
          <w:bCs w:val="1"/>
          <w:color w:val="auto"/>
        </w:rPr>
        <w:t>Placement Agents</w:t>
      </w:r>
      <w:r>
        <w:rPr>
          <w:rFonts w:ascii="Arial" w:cs="Arial" w:eastAsia="Arial" w:hAnsi="Arial"/>
          <w:sz w:val="19"/>
          <w:szCs w:val="19"/>
          <w:color w:val="auto"/>
        </w:rPr>
        <w:t>") on 20 January 2026 (the "</w:t>
      </w:r>
      <w:r>
        <w:rPr>
          <w:rFonts w:ascii="Arial" w:cs="Arial" w:eastAsia="Arial" w:hAnsi="Arial"/>
          <w:sz w:val="19"/>
          <w:szCs w:val="19"/>
          <w:b w:val="1"/>
          <w:bCs w:val="1"/>
          <w:color w:val="auto"/>
        </w:rPr>
        <w:t>Placement Agent Agreement</w:t>
      </w:r>
      <w:r>
        <w:rPr>
          <w:rFonts w:ascii="Arial" w:cs="Arial" w:eastAsia="Arial" w:hAnsi="Arial"/>
          <w:sz w:val="19"/>
          <w:szCs w:val="19"/>
          <w:color w:val="auto"/>
        </w:rPr>
        <w:t>", and together with the Securities Purchase Agreement, the "</w:t>
      </w:r>
      <w:r>
        <w:rPr>
          <w:rFonts w:ascii="Arial" w:cs="Arial" w:eastAsia="Arial" w:hAnsi="Arial"/>
          <w:sz w:val="19"/>
          <w:szCs w:val="19"/>
          <w:b w:val="1"/>
          <w:bCs w:val="1"/>
          <w:color w:val="auto"/>
        </w:rPr>
        <w:t>Transaction Documents</w:t>
      </w:r>
      <w:r>
        <w:rPr>
          <w:rFonts w:ascii="Arial" w:cs="Arial" w:eastAsia="Arial" w:hAnsi="Arial"/>
          <w:sz w:val="19"/>
          <w:szCs w:val="19"/>
          <w:color w:val="auto"/>
        </w:rPr>
        <w:t>") in connection with the Company’s registered direct offering (the “Offering”) of 62,500,000 of the Company’s ordinary shares of £0.0001 nominal value each (the “</w:t>
      </w:r>
      <w:r>
        <w:rPr>
          <w:rFonts w:ascii="Arial" w:cs="Arial" w:eastAsia="Arial" w:hAnsi="Arial"/>
          <w:sz w:val="19"/>
          <w:szCs w:val="19"/>
          <w:b w:val="1"/>
          <w:bCs w:val="1"/>
          <w:color w:val="auto"/>
        </w:rPr>
        <w:t>Ordinary Shares</w:t>
      </w:r>
      <w:r>
        <w:rPr>
          <w:rFonts w:ascii="Arial" w:cs="Arial" w:eastAsia="Arial" w:hAnsi="Arial"/>
          <w:sz w:val="19"/>
          <w:szCs w:val="19"/>
          <w:color w:val="auto"/>
        </w:rPr>
        <w:t>”). Except as otherwise defined herein, capitalized terms used have the respective meanings given to them in the Securities Purchase Agreement. Terms used herein but not defined herein shall have the meanings ascribed to such terms in the Securities Purchase Agreement.</w:t>
      </w:r>
    </w:p>
    <w:p>
      <w:pPr>
        <w:spacing w:after="0" w:line="184" w:lineRule="exact"/>
        <w:rPr>
          <w:sz w:val="20"/>
          <w:szCs w:val="20"/>
          <w:color w:val="auto"/>
        </w:rPr>
      </w:pPr>
    </w:p>
    <w:p>
      <w:pPr>
        <w:jc w:val="both"/>
        <w:ind w:left="752" w:right="19"/>
        <w:spacing w:after="0" w:line="242" w:lineRule="auto"/>
        <w:rPr>
          <w:sz w:val="20"/>
          <w:szCs w:val="20"/>
          <w:color w:val="auto"/>
        </w:rPr>
      </w:pPr>
      <w:r>
        <w:rPr>
          <w:rFonts w:ascii="Arial" w:cs="Arial" w:eastAsia="Arial" w:hAnsi="Arial"/>
          <w:sz w:val="19"/>
          <w:szCs w:val="19"/>
          <w:color w:val="auto"/>
        </w:rPr>
        <w:t>In connection with the Offering, the Company has filed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under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 prospectus supplement, dated on or about 20 January 2026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relating to a Registration Statement on Form F-3 (File No. 333-291842) filed with the Commission on November 28, 2025, under the Securities Act and declared effective by the Commission on December 19, 2025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and has issued or is to issue a Form 6-K (the "</w:t>
      </w:r>
      <w:r>
        <w:rPr>
          <w:rFonts w:ascii="Arial" w:cs="Arial" w:eastAsia="Arial" w:hAnsi="Arial"/>
          <w:sz w:val="19"/>
          <w:szCs w:val="19"/>
          <w:b w:val="1"/>
          <w:bCs w:val="1"/>
          <w:color w:val="auto"/>
        </w:rPr>
        <w:t>Form 6-K</w:t>
      </w:r>
      <w:r>
        <w:rPr>
          <w:rFonts w:ascii="Arial" w:cs="Arial" w:eastAsia="Arial" w:hAnsi="Arial"/>
          <w:sz w:val="19"/>
          <w:szCs w:val="19"/>
          <w:color w:val="auto"/>
        </w:rPr>
        <w:t>") on or about the date hereof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Transaction and the Prospectus Supplement.</w:t>
      </w:r>
    </w:p>
    <w:p>
      <w:pPr>
        <w:spacing w:after="0" w:line="186" w:lineRule="exact"/>
        <w:rPr>
          <w:sz w:val="20"/>
          <w:szCs w:val="20"/>
          <w:color w:val="auto"/>
        </w:rPr>
      </w:pPr>
    </w:p>
    <w:p>
      <w:pPr>
        <w:jc w:val="both"/>
        <w:ind w:left="672" w:right="39" w:hanging="672"/>
        <w:spacing w:after="0" w:line="259" w:lineRule="auto"/>
        <w:tabs>
          <w:tab w:leader="none" w:pos="652"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Pursuant to the terms of the Securities Purchase Agreement, the Company has agreed to issue, and the Purchasers, severally and not jointly, have agreed to purchase, an aggregate of 62,500,000 Ordinary Shares in the capital of the Company (the "</w:t>
      </w:r>
      <w:r>
        <w:rPr>
          <w:rFonts w:ascii="Arial" w:cs="Arial" w:eastAsia="Arial" w:hAnsi="Arial"/>
          <w:sz w:val="19"/>
          <w:szCs w:val="19"/>
          <w:b w:val="1"/>
          <w:bCs w:val="1"/>
          <w:color w:val="auto"/>
        </w:rPr>
        <w:t>Relevant Shares</w:t>
      </w:r>
      <w:r>
        <w:rPr>
          <w:rFonts w:ascii="Arial" w:cs="Arial" w:eastAsia="Arial" w:hAnsi="Arial"/>
          <w:sz w:val="19"/>
          <w:szCs w:val="19"/>
          <w:color w:val="auto"/>
        </w:rPr>
        <w:t>") (the "</w:t>
      </w:r>
      <w:r>
        <w:rPr>
          <w:rFonts w:ascii="Arial" w:cs="Arial" w:eastAsia="Arial" w:hAnsi="Arial"/>
          <w:sz w:val="19"/>
          <w:szCs w:val="19"/>
          <w:b w:val="1"/>
          <w:bCs w:val="1"/>
          <w:color w:val="auto"/>
        </w:rPr>
        <w:t>Transaction</w:t>
      </w:r>
      <w:r>
        <w:rPr>
          <w:rFonts w:ascii="Arial" w:cs="Arial" w:eastAsia="Arial" w:hAnsi="Arial"/>
          <w:sz w:val="19"/>
          <w:szCs w:val="19"/>
          <w:color w:val="auto"/>
        </w:rPr>
        <w:t>").</w:t>
      </w:r>
    </w:p>
    <w:p>
      <w:pPr>
        <w:spacing w:after="0" w:line="157" w:lineRule="exact"/>
        <w:rPr>
          <w:sz w:val="20"/>
          <w:szCs w:val="20"/>
          <w:color w:val="auto"/>
        </w:rPr>
      </w:pPr>
    </w:p>
    <w:p>
      <w:pPr>
        <w:ind w:left="752" w:hanging="752"/>
        <w:spacing w:after="0"/>
        <w:tabs>
          <w:tab w:leader="none" w:pos="752"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00" w:lineRule="exact"/>
        <w:rPr>
          <w:sz w:val="20"/>
          <w:szCs w:val="20"/>
          <w:color w:val="auto"/>
        </w:rPr>
      </w:pPr>
    </w:p>
    <w:p>
      <w:pPr>
        <w:jc w:val="both"/>
        <w:ind w:left="672" w:right="19" w:hanging="672"/>
        <w:spacing w:after="0" w:line="254" w:lineRule="auto"/>
        <w:tabs>
          <w:tab w:leader="none" w:pos="652"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Prospectus Supplement relating to the Registration Statement to be filed with the Commission on the date hereof under the Securities Act and the Rules. We have taken instruction in this regard solely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575310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5" w:name="page6"/>
    <w:bookmarkEnd w:id="5"/>
    <w:p>
      <w:pPr>
        <w:spacing w:after="0" w:line="144" w:lineRule="exact"/>
        <w:rPr>
          <w:sz w:val="20"/>
          <w:szCs w:val="20"/>
          <w:color w:val="auto"/>
        </w:rPr>
      </w:pPr>
    </w:p>
    <w:p>
      <w:pPr>
        <w:jc w:val="both"/>
        <w:ind w:left="680" w:right="39" w:hanging="671"/>
        <w:spacing w:after="0" w:line="254" w:lineRule="auto"/>
        <w:tabs>
          <w:tab w:leader="none" w:pos="66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Prospectus Supplement or the Registration Statement.</w:t>
      </w:r>
    </w:p>
    <w:p>
      <w:pPr>
        <w:spacing w:after="0" w:line="170"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156"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For the purposes of issuing this opinion, we have received a draft copy of the Prospectus Supplement and examined the following documents:</w:t>
      </w:r>
    </w:p>
    <w:p>
      <w:pPr>
        <w:spacing w:after="0" w:line="156" w:lineRule="exact"/>
        <w:rPr>
          <w:sz w:val="20"/>
          <w:szCs w:val="20"/>
          <w:color w:val="auto"/>
        </w:rPr>
      </w:pPr>
    </w:p>
    <w:p>
      <w:pPr>
        <w:ind w:left="1500" w:hanging="744"/>
        <w:spacing w:after="0"/>
        <w:tabs>
          <w:tab w:leader="none" w:pos="150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Securities Purchase Agreement;</w:t>
      </w:r>
    </w:p>
    <w:p>
      <w:pPr>
        <w:spacing w:after="0" w:line="213" w:lineRule="exact"/>
        <w:rPr>
          <w:rFonts w:ascii="Arial" w:cs="Arial" w:eastAsia="Arial" w:hAnsi="Arial"/>
          <w:sz w:val="19"/>
          <w:szCs w:val="19"/>
          <w:color w:val="auto"/>
        </w:rPr>
      </w:pPr>
    </w:p>
    <w:p>
      <w:pPr>
        <w:ind w:left="1420" w:hanging="664"/>
        <w:spacing w:after="0"/>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Placement Agent Agreement;</w:t>
      </w:r>
    </w:p>
    <w:p>
      <w:pPr>
        <w:spacing w:after="0" w:line="213" w:lineRule="exact"/>
        <w:rPr>
          <w:rFonts w:ascii="Arial" w:cs="Arial" w:eastAsia="Arial" w:hAnsi="Arial"/>
          <w:sz w:val="19"/>
          <w:szCs w:val="19"/>
          <w:color w:val="auto"/>
        </w:rPr>
      </w:pPr>
    </w:p>
    <w:p>
      <w:pPr>
        <w:ind w:left="1420" w:hanging="664"/>
        <w:spacing w:after="0"/>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Registration Statement;</w:t>
      </w:r>
    </w:p>
    <w:p>
      <w:pPr>
        <w:spacing w:after="0" w:line="213" w:lineRule="exact"/>
        <w:rPr>
          <w:rFonts w:ascii="Arial" w:cs="Arial" w:eastAsia="Arial" w:hAnsi="Arial"/>
          <w:sz w:val="19"/>
          <w:szCs w:val="19"/>
          <w:color w:val="auto"/>
        </w:rPr>
      </w:pPr>
    </w:p>
    <w:p>
      <w:pPr>
        <w:ind w:left="1420" w:hanging="664"/>
        <w:spacing w:after="0"/>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base prospectus, dated November 28, 2025, included as part of the Registration Statement,</w:t>
      </w:r>
    </w:p>
    <w:p>
      <w:pPr>
        <w:spacing w:after="0" w:line="213" w:lineRule="exact"/>
        <w:rPr>
          <w:rFonts w:ascii="Arial" w:cs="Arial" w:eastAsia="Arial" w:hAnsi="Arial"/>
          <w:sz w:val="19"/>
          <w:szCs w:val="19"/>
          <w:color w:val="auto"/>
        </w:rPr>
      </w:pPr>
    </w:p>
    <w:p>
      <w:pPr>
        <w:ind w:left="1420" w:hanging="664"/>
        <w:spacing w:after="0"/>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Prospectus Supplement;</w:t>
      </w:r>
    </w:p>
    <w:p>
      <w:pPr>
        <w:spacing w:after="0" w:line="213" w:lineRule="exact"/>
        <w:rPr>
          <w:rFonts w:ascii="Arial" w:cs="Arial" w:eastAsia="Arial" w:hAnsi="Arial"/>
          <w:sz w:val="19"/>
          <w:szCs w:val="19"/>
          <w:color w:val="auto"/>
        </w:rPr>
      </w:pPr>
    </w:p>
    <w:p>
      <w:pPr>
        <w:ind w:left="1420" w:hanging="664"/>
        <w:spacing w:after="0"/>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Form 6-K;</w:t>
      </w:r>
    </w:p>
    <w:p>
      <w:pPr>
        <w:spacing w:after="0" w:line="213" w:lineRule="exact"/>
        <w:rPr>
          <w:rFonts w:ascii="Arial" w:cs="Arial" w:eastAsia="Arial" w:hAnsi="Arial"/>
          <w:sz w:val="19"/>
          <w:szCs w:val="19"/>
          <w:color w:val="auto"/>
        </w:rPr>
      </w:pPr>
    </w:p>
    <w:p>
      <w:pPr>
        <w:jc w:val="both"/>
        <w:ind w:left="1420" w:right="39" w:hanging="664"/>
        <w:spacing w:after="0" w:line="259" w:lineRule="auto"/>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articles of association of the Company that were adopted and effective from the date of the re-registration of the Company from a private limited company to a public limited company on 28 March 2025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420" w:right="39" w:hanging="664"/>
        <w:spacing w:after="0" w:line="245" w:lineRule="auto"/>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xml:space="preserve">") passed on 19 January 2026 approving the entering into, </w:t>
      </w:r>
      <w:r>
        <w:rPr>
          <w:rFonts w:ascii="Arial" w:cs="Arial" w:eastAsia="Arial" w:hAnsi="Arial"/>
          <w:sz w:val="19"/>
          <w:szCs w:val="19"/>
          <w:i w:val="1"/>
          <w:iCs w:val="1"/>
          <w:color w:val="auto"/>
        </w:rPr>
        <w:t>inter alia</w:t>
      </w:r>
      <w:r>
        <w:rPr>
          <w:rFonts w:ascii="Arial" w:cs="Arial" w:eastAsia="Arial" w:hAnsi="Arial"/>
          <w:sz w:val="19"/>
          <w:szCs w:val="19"/>
          <w:color w:val="auto"/>
        </w:rPr>
        <w:t>, of the Securities Purchase Agreement and the issue and allotment of the Relevant Shares in accordance with the terms of the Securities Purchase Agreement (the "</w:t>
      </w:r>
      <w:r>
        <w:rPr>
          <w:rFonts w:ascii="Arial" w:cs="Arial" w:eastAsia="Arial" w:hAnsi="Arial"/>
          <w:sz w:val="19"/>
          <w:szCs w:val="19"/>
          <w:b w:val="1"/>
          <w:bCs w:val="1"/>
          <w:color w:val="auto"/>
        </w:rPr>
        <w:t>Board Resolutions</w:t>
      </w:r>
      <w:r>
        <w:rPr>
          <w:rFonts w:ascii="Arial" w:cs="Arial" w:eastAsia="Arial" w:hAnsi="Arial"/>
          <w:sz w:val="19"/>
          <w:szCs w:val="19"/>
          <w:color w:val="auto"/>
        </w:rPr>
        <w:t>") and for the purpose of this opinion we assume that all the resolutions in the Board Resolutions have been duly and validly passed; and</w:t>
      </w:r>
    </w:p>
    <w:p>
      <w:pPr>
        <w:spacing w:after="0" w:line="180" w:lineRule="exact"/>
        <w:rPr>
          <w:rFonts w:ascii="Arial" w:cs="Arial" w:eastAsia="Arial" w:hAnsi="Arial"/>
          <w:sz w:val="19"/>
          <w:szCs w:val="19"/>
          <w:color w:val="auto"/>
        </w:rPr>
      </w:pPr>
    </w:p>
    <w:p>
      <w:pPr>
        <w:jc w:val="both"/>
        <w:ind w:left="1420" w:right="59" w:hanging="664"/>
        <w:spacing w:after="0" w:line="246" w:lineRule="auto"/>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shareholder resolutions of the Company dated 13 January 2026 approving, inter alia, the authorisation (the "</w:t>
      </w:r>
      <w:r>
        <w:rPr>
          <w:rFonts w:ascii="Arial" w:cs="Arial" w:eastAsia="Arial" w:hAnsi="Arial"/>
          <w:sz w:val="19"/>
          <w:szCs w:val="19"/>
          <w:b w:val="1"/>
          <w:bCs w:val="1"/>
          <w:color w:val="auto"/>
        </w:rPr>
        <w:t>Authorisation</w:t>
      </w:r>
      <w:r>
        <w:rPr>
          <w:rFonts w:ascii="Arial" w:cs="Arial" w:eastAsia="Arial" w:hAnsi="Arial"/>
          <w:sz w:val="19"/>
          <w:szCs w:val="19"/>
          <w:color w:val="auto"/>
        </w:rPr>
        <w:t>") for the directors of the Company to allot fully paid ordinary shares of £0.0001 each in the capital of the Company ("</w:t>
      </w:r>
      <w:r>
        <w:rPr>
          <w:rFonts w:ascii="Arial" w:cs="Arial" w:eastAsia="Arial" w:hAnsi="Arial"/>
          <w:sz w:val="19"/>
          <w:szCs w:val="19"/>
          <w:b w:val="1"/>
          <w:bCs w:val="1"/>
          <w:color w:val="auto"/>
        </w:rPr>
        <w:t>Ordinary Shares</w:t>
      </w:r>
      <w:r>
        <w:rPr>
          <w:rFonts w:ascii="Arial" w:cs="Arial" w:eastAsia="Arial" w:hAnsi="Arial"/>
          <w:sz w:val="19"/>
          <w:szCs w:val="19"/>
          <w:color w:val="auto"/>
        </w:rPr>
        <w:t>") (or to grant rights to subscribe for or to convert any security into Ordinary Shares), and the disapplication of pre-emptive rights for such allotment, in relation to additional shares having an aggregate nominal amount of up to £200,000 (the "</w:t>
      </w:r>
      <w:r>
        <w:rPr>
          <w:rFonts w:ascii="Arial" w:cs="Arial" w:eastAsia="Arial" w:hAnsi="Arial"/>
          <w:sz w:val="19"/>
          <w:szCs w:val="19"/>
          <w:b w:val="1"/>
          <w:bCs w:val="1"/>
          <w:color w:val="auto"/>
        </w:rPr>
        <w:t>Shareholder Resolutions</w:t>
      </w:r>
      <w:r>
        <w:rPr>
          <w:rFonts w:ascii="Arial" w:cs="Arial" w:eastAsia="Arial" w:hAnsi="Arial"/>
          <w:sz w:val="19"/>
          <w:szCs w:val="19"/>
          <w:color w:val="auto"/>
        </w:rPr>
        <w: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Shareholder Resolutions, together with the Board Resolutions,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349"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420" w:right="39" w:hanging="664"/>
        <w:spacing w:after="0" w:line="270" w:lineRule="auto"/>
        <w:tabs>
          <w:tab w:leader="none" w:pos="1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20 January 2026 at 10:29 a.m. (London time); and</w:t>
      </w:r>
    </w:p>
    <w:p>
      <w:pPr>
        <w:spacing w:after="0" w:line="156" w:lineRule="exact"/>
        <w:rPr>
          <w:rFonts w:ascii="Arial" w:cs="Arial" w:eastAsia="Arial" w:hAnsi="Arial"/>
          <w:sz w:val="19"/>
          <w:szCs w:val="19"/>
          <w:color w:val="auto"/>
        </w:rPr>
      </w:pPr>
    </w:p>
    <w:p>
      <w:pPr>
        <w:jc w:val="both"/>
        <w:ind w:left="1420" w:right="19" w:hanging="664"/>
        <w:spacing w:after="0" w:line="254" w:lineRule="auto"/>
        <w:tabs>
          <w:tab w:leader="none" w:pos="1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20 January 2026 at 10:38 a.m. (London time) which revealed that as at that date no petition has been lodged for the winding-up of the Company.</w:t>
      </w:r>
    </w:p>
    <w:p>
      <w:pPr>
        <w:spacing w:after="0" w:line="170" w:lineRule="exact"/>
        <w:rPr>
          <w:sz w:val="20"/>
          <w:szCs w:val="20"/>
          <w:color w:val="auto"/>
        </w:rPr>
      </w:pPr>
    </w:p>
    <w:p>
      <w:pPr>
        <w:jc w:val="both"/>
        <w:ind w:left="760" w:right="39"/>
        <w:spacing w:after="0" w:line="254"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6" w:name="page7"/>
    <w:bookmarkEnd w:id="6"/>
    <w:p>
      <w:pPr>
        <w:jc w:val="both"/>
        <w:ind w:left="680" w:right="520" w:hanging="672"/>
        <w:spacing w:after="0" w:line="245" w:lineRule="auto"/>
        <w:tabs>
          <w:tab w:leader="none" w:pos="66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9"/>
          <w:szCs w:val="19"/>
          <w:color w:val="auto"/>
        </w:rPr>
        <w:t>In relation to insolvency proceedings, the search and enquiry referred to in paragraph 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1" w:lineRule="exact"/>
        <w:rPr>
          <w:sz w:val="20"/>
          <w:szCs w:val="20"/>
          <w:color w:val="auto"/>
        </w:rPr>
      </w:pPr>
    </w:p>
    <w:p>
      <w:pPr>
        <w:jc w:val="both"/>
        <w:ind w:left="680" w:right="520" w:hanging="672"/>
        <w:spacing w:after="0" w:line="243" w:lineRule="auto"/>
        <w:tabs>
          <w:tab w:leader="none" w:pos="66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200" w:lineRule="exact"/>
        <w:rPr>
          <w:sz w:val="20"/>
          <w:szCs w:val="20"/>
          <w:color w:val="auto"/>
        </w:rPr>
      </w:pPr>
    </w:p>
    <w:p>
      <w:pPr>
        <w:spacing w:after="0" w:line="201" w:lineRule="exact"/>
        <w:rPr>
          <w:sz w:val="20"/>
          <w:szCs w:val="20"/>
          <w:color w:val="auto"/>
        </w:rPr>
      </w:pPr>
    </w:p>
    <w:p>
      <w:pPr>
        <w:ind w:left="760" w:hanging="752"/>
        <w:spacing w:after="0"/>
        <w:tabs>
          <w:tab w:leader="none" w:pos="76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680" w:right="540" w:hanging="671"/>
        <w:spacing w:after="0" w:line="270" w:lineRule="auto"/>
        <w:tabs>
          <w:tab w:leader="none" w:pos="6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jc w:val="both"/>
        <w:ind w:left="680" w:right="540" w:hanging="671"/>
        <w:spacing w:after="0" w:line="270" w:lineRule="auto"/>
        <w:tabs>
          <w:tab w:leader="none" w:pos="6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680" w:right="540" w:hanging="671"/>
        <w:spacing w:after="0" w:line="270" w:lineRule="auto"/>
        <w:tabs>
          <w:tab w:leader="none" w:pos="6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680" w:right="540" w:hanging="671"/>
        <w:spacing w:after="0" w:line="270" w:lineRule="auto"/>
        <w:tabs>
          <w:tab w:leader="none" w:pos="6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680" w:right="540" w:hanging="671"/>
        <w:spacing w:after="0" w:line="248" w:lineRule="auto"/>
        <w:tabs>
          <w:tab w:leader="none" w:pos="6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Transaction, the Transaction Documents the Registration Statement, the Supplemental Prospectus, the Company, any document or any other matter contemplated by any document would or might affect this letter and/or the opinions given in it.</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14" w:lineRule="exact"/>
        <w:rPr>
          <w:sz w:val="20"/>
          <w:szCs w:val="20"/>
          <w:color w:val="auto"/>
        </w:rPr>
      </w:pPr>
    </w:p>
    <w:p>
      <w:pPr>
        <w:ind w:left="1420" w:right="540" w:hanging="664"/>
        <w:spacing w:after="0" w:line="270" w:lineRule="auto"/>
        <w:tabs>
          <w:tab w:leader="none" w:pos="1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7" w:lineRule="exact"/>
        <w:rPr>
          <w:rFonts w:ascii="Arial" w:cs="Arial" w:eastAsia="Arial" w:hAnsi="Arial"/>
          <w:sz w:val="19"/>
          <w:szCs w:val="19"/>
          <w:color w:val="auto"/>
        </w:rPr>
      </w:pPr>
    </w:p>
    <w:p>
      <w:pPr>
        <w:ind w:left="1420" w:right="520" w:hanging="664"/>
        <w:spacing w:after="0" w:line="270" w:lineRule="auto"/>
        <w:tabs>
          <w:tab w:leader="none" w:pos="1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60"/>
        <w:spacing w:after="0" w:line="270" w:lineRule="auto"/>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420" w:right="540" w:hanging="664"/>
        <w:spacing w:after="0" w:line="270"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Registration Statement, as amended and supplemented (including by the Supplemental Prospectus), being or becoming effective under the Securities Act and continuing to be effective;</w:t>
      </w:r>
    </w:p>
    <w:p>
      <w:pPr>
        <w:spacing w:after="0" w:line="156" w:lineRule="exact"/>
        <w:rPr>
          <w:rFonts w:ascii="Arial" w:cs="Arial" w:eastAsia="Arial" w:hAnsi="Arial"/>
          <w:sz w:val="19"/>
          <w:szCs w:val="19"/>
          <w:color w:val="auto"/>
        </w:rPr>
      </w:pPr>
    </w:p>
    <w:p>
      <w:pPr>
        <w:jc w:val="both"/>
        <w:ind w:left="1420" w:right="540" w:hanging="664"/>
        <w:spacing w:after="0" w:line="248"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aggregate nominal value of Ordinary Shares allotted and issued or agreed to be allotted and issued under the Authorisation granted pursuant to the Shareholder Resolutions together with those to be allotted and issued as contemplated by the Securities Purchase Agreement and as referred to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570865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440" w:top="1368" w:right="939" w:bottom="1440" w:gutter="0" w:footer="0" w:header="0"/>
        </w:sectPr>
      </w:pPr>
    </w:p>
    <w:bookmarkStart w:id="7" w:name="page8"/>
    <w:bookmarkEnd w:id="7"/>
    <w:p>
      <w:pPr>
        <w:spacing w:after="0" w:line="144" w:lineRule="exact"/>
        <w:rPr>
          <w:sz w:val="20"/>
          <w:szCs w:val="20"/>
          <w:color w:val="auto"/>
        </w:rPr>
      </w:pPr>
    </w:p>
    <w:p>
      <w:pPr>
        <w:jc w:val="both"/>
        <w:ind w:left="664" w:right="39"/>
        <w:spacing w:after="0" w:line="254" w:lineRule="auto"/>
        <w:rPr>
          <w:sz w:val="20"/>
          <w:szCs w:val="20"/>
          <w:color w:val="auto"/>
        </w:rPr>
      </w:pPr>
      <w:r>
        <w:rPr>
          <w:rFonts w:ascii="Arial" w:cs="Arial" w:eastAsia="Arial" w:hAnsi="Arial"/>
          <w:sz w:val="19"/>
          <w:szCs w:val="19"/>
          <w:color w:val="auto"/>
        </w:rPr>
        <w:t>Registration Statement as supplemented by the Supplemental Prospectus and those shares already allotted or agreed to be allotted pursuant to the Corporate Approvals not being greater than the aggregate nominal value of £200,000 specified in the Authorisation in the Shareholder Resolutions;</w:t>
      </w:r>
    </w:p>
    <w:p>
      <w:pPr>
        <w:spacing w:after="0" w:line="170" w:lineRule="exact"/>
        <w:rPr>
          <w:sz w:val="20"/>
          <w:szCs w:val="20"/>
          <w:color w:val="auto"/>
        </w:rPr>
      </w:pPr>
    </w:p>
    <w:p>
      <w:pPr>
        <w:jc w:val="both"/>
        <w:ind w:left="664" w:right="39" w:hanging="664"/>
        <w:spacing w:after="0" w:line="245"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80" w:lineRule="exact"/>
        <w:rPr>
          <w:rFonts w:ascii="Arial" w:cs="Arial" w:eastAsia="Arial" w:hAnsi="Arial"/>
          <w:sz w:val="19"/>
          <w:szCs w:val="19"/>
          <w:color w:val="auto"/>
        </w:rPr>
      </w:pPr>
    </w:p>
    <w:p>
      <w:pPr>
        <w:jc w:val="both"/>
        <w:ind w:left="664" w:right="39" w:hanging="664"/>
        <w:spacing w:after="0" w:line="254"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Transaction Documents and the transactions contemplated thereby have been effected in accordance with all requirements of and the Company has complied with the requirements of NASDAQ, the Commission and DTC;</w:t>
      </w:r>
    </w:p>
    <w:p>
      <w:pPr>
        <w:spacing w:after="0" w:line="170" w:lineRule="exact"/>
        <w:rPr>
          <w:rFonts w:ascii="Arial" w:cs="Arial" w:eastAsia="Arial" w:hAnsi="Arial"/>
          <w:sz w:val="19"/>
          <w:szCs w:val="19"/>
          <w:color w:val="auto"/>
        </w:rPr>
      </w:pPr>
    </w:p>
    <w:p>
      <w:pPr>
        <w:jc w:val="both"/>
        <w:ind w:left="664" w:right="19" w:hanging="664"/>
        <w:spacing w:after="0" w:line="254"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receipt in full of payment for the Relevant Shares of not less than the aggregate nominal value plus the applicable premium for such Relevant Shares and the agreement by the allottees to become members of the Company;</w:t>
      </w:r>
    </w:p>
    <w:p>
      <w:pPr>
        <w:spacing w:after="0" w:line="170" w:lineRule="exact"/>
        <w:rPr>
          <w:rFonts w:ascii="Arial" w:cs="Arial" w:eastAsia="Arial" w:hAnsi="Arial"/>
          <w:sz w:val="19"/>
          <w:szCs w:val="19"/>
          <w:color w:val="auto"/>
        </w:rPr>
      </w:pPr>
    </w:p>
    <w:p>
      <w:pPr>
        <w:jc w:val="both"/>
        <w:ind w:left="664" w:right="19" w:hanging="664"/>
        <w:spacing w:after="0"/>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or any other applicable law and/or the articles of the Company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any such meeting and voted or vote in favour of the resolutions; and that in relation to each meeting of the Board, each provision contained in the Companies Act or the articles of the Company (as in force from time to time) relating to the declaration of the directors’ interests or the power of the interested directors to vote and to count in the quorum was or will be duly observed;</w:t>
      </w:r>
    </w:p>
    <w:p>
      <w:pPr>
        <w:spacing w:after="0" w:line="191" w:lineRule="exact"/>
        <w:rPr>
          <w:rFonts w:ascii="Arial" w:cs="Arial" w:eastAsia="Arial" w:hAnsi="Arial"/>
          <w:sz w:val="19"/>
          <w:szCs w:val="19"/>
          <w:color w:val="auto"/>
        </w:rPr>
      </w:pPr>
    </w:p>
    <w:p>
      <w:pPr>
        <w:ind w:left="664" w:right="39" w:hanging="664"/>
        <w:spacing w:after="0" w:line="270"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valid entries have been or will be made in relation to the allotment and issue of the Relevant Shares in the books and registers of the Company;</w:t>
      </w:r>
    </w:p>
    <w:p>
      <w:pPr>
        <w:spacing w:after="0" w:line="156" w:lineRule="exact"/>
        <w:rPr>
          <w:rFonts w:ascii="Arial" w:cs="Arial" w:eastAsia="Arial" w:hAnsi="Arial"/>
          <w:sz w:val="19"/>
          <w:szCs w:val="19"/>
          <w:color w:val="auto"/>
        </w:rPr>
      </w:pPr>
    </w:p>
    <w:p>
      <w:pPr>
        <w:ind w:left="664" w:right="19" w:hanging="664"/>
        <w:spacing w:after="0" w:line="270"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all representations and warranties in the Transaction Documents are true, accurate and complete in all respects;</w:t>
      </w:r>
    </w:p>
    <w:p>
      <w:pPr>
        <w:spacing w:after="0" w:line="156" w:lineRule="exact"/>
        <w:rPr>
          <w:rFonts w:ascii="Arial" w:cs="Arial" w:eastAsia="Arial" w:hAnsi="Arial"/>
          <w:sz w:val="19"/>
          <w:szCs w:val="19"/>
          <w:color w:val="auto"/>
        </w:rPr>
      </w:pPr>
    </w:p>
    <w:p>
      <w:pPr>
        <w:jc w:val="both"/>
        <w:ind w:left="664" w:right="19" w:hanging="664"/>
        <w:spacing w:after="0" w:line="254"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that the Company holds a fully executed and dated version of the document (or alternatively the Company holds all counterpart execution versions of the document);</w:t>
      </w:r>
    </w:p>
    <w:p>
      <w:pPr>
        <w:spacing w:after="0" w:line="21" w:lineRule="exact"/>
        <w:rPr>
          <w:rFonts w:ascii="Arial" w:cs="Arial" w:eastAsia="Arial" w:hAnsi="Arial"/>
          <w:sz w:val="19"/>
          <w:szCs w:val="19"/>
          <w:color w:val="auto"/>
        </w:rPr>
      </w:pPr>
    </w:p>
    <w:p>
      <w:pPr>
        <w:ind w:left="664" w:right="19" w:hanging="664"/>
        <w:spacing w:after="0" w:line="270"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156" w:lineRule="exact"/>
        <w:rPr>
          <w:rFonts w:ascii="Arial" w:cs="Arial" w:eastAsia="Arial" w:hAnsi="Arial"/>
          <w:sz w:val="19"/>
          <w:szCs w:val="19"/>
          <w:color w:val="auto"/>
        </w:rPr>
      </w:pPr>
    </w:p>
    <w:p>
      <w:pPr>
        <w:jc w:val="both"/>
        <w:ind w:left="664" w:right="39" w:hanging="664"/>
        <w:spacing w:after="0" w:line="259"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prior to the date of allotment and issue of the Relevant Shares (the “</w:t>
      </w:r>
      <w:r>
        <w:rPr>
          <w:rFonts w:ascii="Arial" w:cs="Arial" w:eastAsia="Arial" w:hAnsi="Arial"/>
          <w:sz w:val="19"/>
          <w:szCs w:val="19"/>
          <w:b w:val="1"/>
          <w:bCs w:val="1"/>
          <w:color w:val="auto"/>
        </w:rPr>
        <w:t>Allotment</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664" w:right="39" w:hanging="664"/>
        <w:spacing w:after="0" w:line="248"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on the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176" w:lineRule="exact"/>
        <w:rPr>
          <w:rFonts w:ascii="Arial" w:cs="Arial" w:eastAsia="Arial" w:hAnsi="Arial"/>
          <w:sz w:val="19"/>
          <w:szCs w:val="19"/>
          <w:color w:val="auto"/>
        </w:rPr>
      </w:pPr>
    </w:p>
    <w:p>
      <w:pPr>
        <w:ind w:left="664" w:right="39" w:hanging="664"/>
        <w:spacing w:after="0" w:line="270"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Board Resolutions provided to us in connection with the giving of the opinions in this letter reflect a true record of the proceedings described in them in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566420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8" w:name="page9"/>
    <w:bookmarkEnd w:id="8"/>
    <w:p>
      <w:pPr>
        <w:spacing w:after="0" w:line="144" w:lineRule="exact"/>
        <w:rPr>
          <w:sz w:val="20"/>
          <w:szCs w:val="20"/>
          <w:color w:val="auto"/>
        </w:rPr>
      </w:pPr>
    </w:p>
    <w:p>
      <w:pPr>
        <w:jc w:val="both"/>
        <w:ind w:left="664" w:right="39"/>
        <w:spacing w:after="0" w:line="248" w:lineRule="auto"/>
        <w:rPr>
          <w:sz w:val="20"/>
          <w:szCs w:val="20"/>
          <w:color w:val="auto"/>
        </w:rPr>
      </w:pPr>
      <w:r>
        <w:rPr>
          <w:rFonts w:ascii="Arial" w:cs="Arial" w:eastAsia="Arial" w:hAnsi="Arial"/>
          <w:sz w:val="19"/>
          <w:szCs w:val="19"/>
          <w:color w:val="auto"/>
        </w:rPr>
        <w:t>convened, constituted and quorate meetings in which all constitutional, statutory and other formalities were or will be duly observed, and the resolutions set out in the minutes were or will be validly passed and have not been and will not be revoked or varied and remain in full force and effect and will remain so as at the Allotment Date;</w:t>
      </w:r>
    </w:p>
    <w:p>
      <w:pPr>
        <w:spacing w:after="0" w:line="177" w:lineRule="exact"/>
        <w:rPr>
          <w:sz w:val="20"/>
          <w:szCs w:val="20"/>
          <w:color w:val="auto"/>
        </w:rPr>
      </w:pPr>
    </w:p>
    <w:p>
      <w:pPr>
        <w:jc w:val="both"/>
        <w:ind w:left="664" w:right="19" w:hanging="664"/>
        <w:spacing w:after="0" w:line="242"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respect of the Board Resolutions (i) in passing such resolution the directors of the Company were or will be acting in good faith, (ii) the transactions and other matters referred to in the Board Resolutions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81" w:lineRule="exact"/>
        <w:rPr>
          <w:rFonts w:ascii="Arial" w:cs="Arial" w:eastAsia="Arial" w:hAnsi="Arial"/>
          <w:sz w:val="19"/>
          <w:szCs w:val="19"/>
          <w:color w:val="auto"/>
        </w:rPr>
      </w:pPr>
    </w:p>
    <w:p>
      <w:pPr>
        <w:jc w:val="both"/>
        <w:ind w:left="664" w:right="19" w:hanging="664"/>
        <w:spacing w:after="0" w:line="245"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at a later date to, inter alia, validly authorise the issuance of all Relevant Shares were or will be validly passed and have not been and will not be revoked or varied and remain in full force and effect and will remain so as at the Allotment Date;</w:t>
      </w:r>
    </w:p>
    <w:p>
      <w:pPr>
        <w:spacing w:after="0" w:line="180" w:lineRule="exact"/>
        <w:rPr>
          <w:rFonts w:ascii="Arial" w:cs="Arial" w:eastAsia="Arial" w:hAnsi="Arial"/>
          <w:sz w:val="19"/>
          <w:szCs w:val="19"/>
          <w:color w:val="auto"/>
        </w:rPr>
      </w:pPr>
    </w:p>
    <w:p>
      <w:pPr>
        <w:jc w:val="both"/>
        <w:ind w:left="664" w:right="19" w:hanging="664"/>
        <w:spacing w:after="0" w:line="241"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as at the Allotment Date, the directors of the Company had or shall have sufficient powers conferred on them to allot the Relevant Shares and to grant rights to subscribe for Relevant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 other limitation on their powers to issue shares or grant rights;</w:t>
      </w:r>
    </w:p>
    <w:p>
      <w:pPr>
        <w:spacing w:after="0" w:line="185" w:lineRule="exact"/>
        <w:rPr>
          <w:rFonts w:ascii="Arial" w:cs="Arial" w:eastAsia="Arial" w:hAnsi="Arial"/>
          <w:sz w:val="19"/>
          <w:szCs w:val="19"/>
          <w:color w:val="auto"/>
        </w:rPr>
      </w:pPr>
    </w:p>
    <w:p>
      <w:pPr>
        <w:jc w:val="both"/>
        <w:ind w:left="664" w:right="39" w:hanging="664"/>
        <w:spacing w:after="0" w:line="243"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relation to the allotment and issue of the Relevant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4" w:lineRule="exact"/>
        <w:rPr>
          <w:rFonts w:ascii="Arial" w:cs="Arial" w:eastAsia="Arial" w:hAnsi="Arial"/>
          <w:sz w:val="19"/>
          <w:szCs w:val="19"/>
          <w:color w:val="auto"/>
        </w:rPr>
      </w:pPr>
    </w:p>
    <w:p>
      <w:pPr>
        <w:jc w:val="both"/>
        <w:ind w:left="664" w:right="19" w:hanging="664"/>
        <w:spacing w:after="0" w:line="254"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as at the Allotment Date, any authority granted pursuant to the articles (in force from time to time) or the Shareholder Resolutions or otherwise by the Company’s shareholders remained or will remain unutilised to the extent necessary to permit the allotment and issue of the Relevant Shares;</w:t>
      </w:r>
    </w:p>
    <w:p>
      <w:pPr>
        <w:spacing w:after="0" w:line="170" w:lineRule="exact"/>
        <w:rPr>
          <w:rFonts w:ascii="Arial" w:cs="Arial" w:eastAsia="Arial" w:hAnsi="Arial"/>
          <w:sz w:val="19"/>
          <w:szCs w:val="19"/>
          <w:color w:val="auto"/>
        </w:rPr>
      </w:pPr>
    </w:p>
    <w:p>
      <w:pPr>
        <w:jc w:val="both"/>
        <w:ind w:left="664" w:right="39" w:hanging="664"/>
        <w:spacing w:after="0" w:line="274"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55" w:lineRule="exact"/>
        <w:rPr>
          <w:rFonts w:ascii="Arial" w:cs="Arial" w:eastAsia="Arial" w:hAnsi="Arial"/>
          <w:sz w:val="18"/>
          <w:szCs w:val="18"/>
          <w:color w:val="auto"/>
        </w:rPr>
      </w:pPr>
    </w:p>
    <w:p>
      <w:pPr>
        <w:jc w:val="both"/>
        <w:ind w:left="664" w:right="39" w:hanging="664"/>
        <w:spacing w:after="0" w:line="254"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170" w:lineRule="exact"/>
        <w:rPr>
          <w:rFonts w:ascii="Arial" w:cs="Arial" w:eastAsia="Arial" w:hAnsi="Arial"/>
          <w:sz w:val="19"/>
          <w:szCs w:val="19"/>
          <w:color w:val="auto"/>
        </w:rPr>
      </w:pPr>
    </w:p>
    <w:p>
      <w:pPr>
        <w:ind w:left="664" w:right="59" w:hanging="664"/>
        <w:spacing w:after="0" w:line="270"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558165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9" w:name="page10"/>
    <w:bookmarkEnd w:id="9"/>
    <w:p>
      <w:pPr>
        <w:spacing w:after="0" w:line="144" w:lineRule="exact"/>
        <w:rPr>
          <w:sz w:val="20"/>
          <w:szCs w:val="20"/>
          <w:color w:val="auto"/>
        </w:rPr>
      </w:pPr>
    </w:p>
    <w:p>
      <w:pPr>
        <w:ind w:left="664" w:hanging="664"/>
        <w:spacing w:after="0"/>
        <w:tabs>
          <w:tab w:leader="none" w:pos="664"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664" w:right="19" w:hanging="664"/>
        <w:spacing w:after="0" w:line="270" w:lineRule="auto"/>
        <w:tabs>
          <w:tab w:leader="none" w:pos="664"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sz w:val="20"/>
          <w:szCs w:val="20"/>
          <w:color w:val="auto"/>
        </w:rPr>
      </w:pPr>
    </w:p>
    <w:p>
      <w:pPr>
        <w:jc w:val="both"/>
        <w:ind w:left="1404" w:right="39" w:hanging="409"/>
        <w:spacing w:after="0" w:line="254" w:lineRule="auto"/>
        <w:tabs>
          <w:tab w:leader="none" w:pos="1404" w:val="left"/>
        </w:tabs>
        <w:numPr>
          <w:ilvl w:val="0"/>
          <w:numId w:val="11"/>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70" w:lineRule="exact"/>
        <w:rPr>
          <w:sz w:val="20"/>
          <w:szCs w:val="20"/>
          <w:color w:val="auto"/>
        </w:rPr>
      </w:pPr>
    </w:p>
    <w:p>
      <w:pPr>
        <w:ind w:left="1404" w:right="19" w:hanging="429"/>
        <w:spacing w:after="0" w:line="270" w:lineRule="auto"/>
        <w:tabs>
          <w:tab w:leader="none" w:pos="1404"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156" w:lineRule="exact"/>
        <w:rPr>
          <w:sz w:val="20"/>
          <w:szCs w:val="20"/>
          <w:color w:val="auto"/>
        </w:rPr>
      </w:pPr>
    </w:p>
    <w:p>
      <w:pPr>
        <w:jc w:val="both"/>
        <w:ind w:left="1404" w:right="19" w:hanging="450"/>
        <w:spacing w:after="0" w:line="254" w:lineRule="auto"/>
        <w:tabs>
          <w:tab w:leader="none" w:pos="1404"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1404" w:right="39" w:hanging="456"/>
        <w:spacing w:after="0" w:line="248" w:lineRule="auto"/>
        <w:tabs>
          <w:tab w:leader="none" w:pos="1404" w:val="left"/>
        </w:tabs>
        <w:numPr>
          <w:ilvl w:val="0"/>
          <w:numId w:val="13"/>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177" w:lineRule="exact"/>
        <w:rPr>
          <w:sz w:val="20"/>
          <w:szCs w:val="20"/>
          <w:color w:val="auto"/>
        </w:rPr>
      </w:pPr>
    </w:p>
    <w:p>
      <w:pPr>
        <w:jc w:val="both"/>
        <w:ind w:left="1404" w:right="39" w:hanging="435"/>
        <w:spacing w:after="0" w:line="254" w:lineRule="auto"/>
        <w:tabs>
          <w:tab w:leader="none" w:pos="1404" w:val="left"/>
        </w:tabs>
        <w:numPr>
          <w:ilvl w:val="0"/>
          <w:numId w:val="14"/>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sz w:val="20"/>
          <w:szCs w:val="20"/>
          <w:color w:val="auto"/>
        </w:rPr>
      </w:pPr>
    </w:p>
    <w:p>
      <w:pPr>
        <w:ind w:left="1404" w:right="39" w:hanging="456"/>
        <w:spacing w:after="0" w:line="270" w:lineRule="auto"/>
        <w:tabs>
          <w:tab w:leader="none" w:pos="1404"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 and</w:t>
      </w:r>
    </w:p>
    <w:p>
      <w:pPr>
        <w:spacing w:after="0" w:line="156" w:lineRule="exact"/>
        <w:rPr>
          <w:sz w:val="20"/>
          <w:szCs w:val="20"/>
          <w:color w:val="auto"/>
        </w:rPr>
      </w:pPr>
    </w:p>
    <w:p>
      <w:pPr>
        <w:ind w:left="1404" w:right="39" w:hanging="477"/>
        <w:spacing w:after="0" w:line="270" w:lineRule="auto"/>
        <w:tabs>
          <w:tab w:leader="none" w:pos="1404" w:val="left"/>
        </w:tabs>
        <w:numPr>
          <w:ilvl w:val="1"/>
          <w:numId w:val="16"/>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48" w:lineRule="exact"/>
        <w:rPr>
          <w:rFonts w:ascii="Arial" w:cs="Arial" w:eastAsia="Arial" w:hAnsi="Arial"/>
          <w:sz w:val="19"/>
          <w:szCs w:val="19"/>
          <w:color w:val="auto"/>
        </w:rPr>
      </w:pPr>
    </w:p>
    <w:p>
      <w:pPr>
        <w:jc w:val="both"/>
        <w:ind w:left="664" w:right="39" w:hanging="664"/>
        <w:spacing w:after="0" w:line="241" w:lineRule="auto"/>
        <w:tabs>
          <w:tab w:leader="none" w:pos="664" w:val="left"/>
        </w:tabs>
        <w:numPr>
          <w:ilvl w:val="0"/>
          <w:numId w:val="17"/>
        </w:numPr>
        <w:rPr>
          <w:rFonts w:ascii="Arial" w:cs="Arial" w:eastAsia="Arial" w:hAnsi="Arial"/>
          <w:sz w:val="19"/>
          <w:szCs w:val="19"/>
          <w:color w:val="auto"/>
        </w:rPr>
      </w:pPr>
      <w:r>
        <w:rPr>
          <w:rFonts w:ascii="Arial" w:cs="Arial" w:eastAsia="Arial" w:hAnsi="Arial"/>
          <w:sz w:val="19"/>
          <w:szCs w:val="19"/>
          <w:color w:val="auto"/>
        </w:rPr>
        <w:t>as at the Allotment Date, the Company has not taken nor will take any corporate or other action nor have any steps been taken or legal proceedings been started 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185" w:lineRule="exact"/>
        <w:rPr>
          <w:rFonts w:ascii="Arial" w:cs="Arial" w:eastAsia="Arial" w:hAnsi="Arial"/>
          <w:sz w:val="19"/>
          <w:szCs w:val="19"/>
          <w:color w:val="auto"/>
        </w:rPr>
      </w:pPr>
    </w:p>
    <w:p>
      <w:pPr>
        <w:jc w:val="both"/>
        <w:ind w:left="664" w:right="19" w:hanging="664"/>
        <w:spacing w:after="0" w:line="242" w:lineRule="auto"/>
        <w:tabs>
          <w:tab w:leader="none" w:pos="664" w:val="left"/>
        </w:tabs>
        <w:numPr>
          <w:ilvl w:val="0"/>
          <w:numId w:val="17"/>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the Allotment Date;</w:t>
      </w:r>
    </w:p>
    <w:p>
      <w:pPr>
        <w:spacing w:after="0" w:line="185" w:lineRule="exact"/>
        <w:rPr>
          <w:rFonts w:ascii="Arial" w:cs="Arial" w:eastAsia="Arial" w:hAnsi="Arial"/>
          <w:sz w:val="19"/>
          <w:szCs w:val="19"/>
          <w:color w:val="auto"/>
        </w:rPr>
      </w:pPr>
    </w:p>
    <w:p>
      <w:pPr>
        <w:ind w:left="664" w:hanging="664"/>
        <w:spacing w:after="0"/>
        <w:tabs>
          <w:tab w:leader="none" w:pos="664"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that each of the Transaction Documents and the transactions to be effected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594360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10" w:name="page11"/>
    <w:bookmarkEnd w:id="10"/>
    <w:p>
      <w:pPr>
        <w:spacing w:after="0" w:line="144" w:lineRule="exact"/>
        <w:rPr>
          <w:sz w:val="20"/>
          <w:szCs w:val="20"/>
          <w:color w:val="auto"/>
        </w:rPr>
      </w:pPr>
    </w:p>
    <w:p>
      <w:pPr>
        <w:jc w:val="both"/>
        <w:ind w:left="1412" w:right="400"/>
        <w:spacing w:after="0" w:line="242" w:lineRule="auto"/>
        <w:rPr>
          <w:sz w:val="20"/>
          <w:szCs w:val="20"/>
          <w:color w:val="auto"/>
        </w:rPr>
      </w:pPr>
      <w:r>
        <w:rPr>
          <w:rFonts w:ascii="Arial" w:cs="Arial" w:eastAsia="Arial" w:hAnsi="Arial"/>
          <w:sz w:val="19"/>
          <w:szCs w:val="19"/>
          <w:color w:val="auto"/>
        </w:rPr>
        <w:t>pursuant to them (and any other documents related thereto) (including the Transaction) constitute legal, valid, binding and enforceable obligations of each of the parties thereto under all applicable laws and that there are no provisions of the laws of any jurisdiction outside England which would be contravened by the execution or delivery of the documents in paragraph 2.4 and that insofar as any obligation under any such documents falls to be performed or any action falls to be taken in any jurisdiction outside England, the performance of that obligation or taking of that action will not be unlawful by virtue of the laws of that jurisdiction;</w:t>
      </w:r>
    </w:p>
    <w:p>
      <w:pPr>
        <w:spacing w:after="0" w:line="186" w:lineRule="exact"/>
        <w:rPr>
          <w:sz w:val="20"/>
          <w:szCs w:val="20"/>
          <w:color w:val="auto"/>
        </w:rPr>
      </w:pPr>
    </w:p>
    <w:p>
      <w:pPr>
        <w:jc w:val="both"/>
        <w:ind w:left="1492" w:right="420" w:hanging="740"/>
        <w:spacing w:after="0" w:line="254" w:lineRule="auto"/>
        <w:tabs>
          <w:tab w:leader="none" w:pos="158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3.8(w) or any other insolvency procedure has occurred in respect of the Company in a country other than England and that no steps have been taken to subject either of them to such a procedure;</w:t>
      </w:r>
    </w:p>
    <w:p>
      <w:pPr>
        <w:spacing w:after="0" w:line="386" w:lineRule="exact"/>
        <w:rPr>
          <w:rFonts w:ascii="Arial" w:cs="Arial" w:eastAsia="Arial" w:hAnsi="Arial"/>
          <w:sz w:val="19"/>
          <w:szCs w:val="19"/>
          <w:color w:val="auto"/>
        </w:rPr>
      </w:pPr>
    </w:p>
    <w:p>
      <w:pPr>
        <w:ind w:left="1492" w:right="420" w:hanging="740"/>
        <w:spacing w:after="0" w:line="254" w:lineRule="auto"/>
        <w:tabs>
          <w:tab w:leader="none" w:pos="1164"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none of the activities of the Company are such that the Transaction or the performance of any of the obligations under the Transaction Documents would amount to a "notifiable acquisition" for the purpose of the UK National Security and Investment Act 2021;</w:t>
      </w:r>
    </w:p>
    <w:p>
      <w:pPr>
        <w:spacing w:after="0" w:line="170" w:lineRule="exact"/>
        <w:rPr>
          <w:rFonts w:ascii="Arial" w:cs="Arial" w:eastAsia="Arial" w:hAnsi="Arial"/>
          <w:sz w:val="19"/>
          <w:szCs w:val="19"/>
          <w:color w:val="auto"/>
        </w:rPr>
      </w:pPr>
    </w:p>
    <w:p>
      <w:pPr>
        <w:ind w:left="1492" w:right="420" w:hanging="740"/>
        <w:spacing w:after="0" w:line="248" w:lineRule="auto"/>
        <w:tabs>
          <w:tab w:leader="none" w:pos="116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to extent that the entry into of a document in paragraph 2.4 by the Company constitutes or constituted a regulated activity for the purposes of the Financial Services and Markets Act 2000 the Company was at the relevant time and will be at all relevant times in compliance with all applicable requirements of that Act and any regulations or rules made under that Act;</w:t>
      </w:r>
    </w:p>
    <w:p>
      <w:pPr>
        <w:spacing w:after="0" w:line="176" w:lineRule="exact"/>
        <w:rPr>
          <w:rFonts w:ascii="Arial" w:cs="Arial" w:eastAsia="Arial" w:hAnsi="Arial"/>
          <w:sz w:val="19"/>
          <w:szCs w:val="19"/>
          <w:color w:val="auto"/>
        </w:rPr>
      </w:pPr>
    </w:p>
    <w:p>
      <w:pPr>
        <w:ind w:left="1492" w:right="60" w:hanging="740"/>
        <w:spacing w:after="0" w:line="270" w:lineRule="auto"/>
        <w:tabs>
          <w:tab w:leader="none" w:pos="158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are or were no written or oral representations made in connection with the documents in paragraph 2.4 which have not been disclosed to us;</w:t>
      </w:r>
    </w:p>
    <w:p>
      <w:pPr>
        <w:spacing w:after="0" w:line="156" w:lineRule="exact"/>
        <w:rPr>
          <w:rFonts w:ascii="Arial" w:cs="Arial" w:eastAsia="Arial" w:hAnsi="Arial"/>
          <w:sz w:val="19"/>
          <w:szCs w:val="19"/>
          <w:color w:val="auto"/>
        </w:rPr>
      </w:pPr>
    </w:p>
    <w:p>
      <w:pPr>
        <w:ind w:left="1492" w:right="20" w:hanging="740"/>
        <w:spacing w:after="0" w:line="270" w:lineRule="auto"/>
        <w:tabs>
          <w:tab w:leader="none" w:pos="158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are or were no written or oral agreements modifying the terms of the documents in paragraph 2.4 which have not been disclosed to us;</w:t>
      </w:r>
    </w:p>
    <w:p>
      <w:pPr>
        <w:spacing w:after="0" w:line="156" w:lineRule="exact"/>
        <w:rPr>
          <w:rFonts w:ascii="Arial" w:cs="Arial" w:eastAsia="Arial" w:hAnsi="Arial"/>
          <w:sz w:val="19"/>
          <w:szCs w:val="19"/>
          <w:color w:val="auto"/>
        </w:rPr>
      </w:pPr>
    </w:p>
    <w:p>
      <w:pPr>
        <w:ind w:left="1492" w:hanging="740"/>
        <w:spacing w:after="0" w:line="270" w:lineRule="auto"/>
        <w:tabs>
          <w:tab w:leader="none" w:pos="1584"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592" w:hanging="840"/>
        <w:spacing w:after="0"/>
        <w:tabs>
          <w:tab w:leader="none" w:pos="1592"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w:t>
      </w:r>
    </w:p>
    <w:p>
      <w:pPr>
        <w:spacing w:after="0" w:line="16" w:lineRule="exact"/>
        <w:rPr>
          <w:sz w:val="20"/>
          <w:szCs w:val="20"/>
          <w:color w:val="auto"/>
        </w:rPr>
      </w:pPr>
    </w:p>
    <w:p>
      <w:pPr>
        <w:ind w:left="1492"/>
        <w:spacing w:after="0"/>
        <w:rPr>
          <w:sz w:val="20"/>
          <w:szCs w:val="20"/>
          <w:color w:val="auto"/>
        </w:rPr>
      </w:pPr>
      <w:r>
        <w:rPr>
          <w:rFonts w:ascii="Arial" w:cs="Arial" w:eastAsia="Arial" w:hAnsi="Arial"/>
          <w:sz w:val="19"/>
          <w:szCs w:val="19"/>
          <w:color w:val="auto"/>
        </w:rPr>
        <w:t>to in paragraph 2.5 since we made them.</w:t>
      </w:r>
    </w:p>
    <w:p>
      <w:pPr>
        <w:spacing w:after="0" w:line="200" w:lineRule="exact"/>
        <w:rPr>
          <w:sz w:val="20"/>
          <w:szCs w:val="20"/>
          <w:color w:val="auto"/>
        </w:rPr>
      </w:pPr>
    </w:p>
    <w:p>
      <w:pPr>
        <w:spacing w:after="0" w:line="212" w:lineRule="exact"/>
        <w:rPr>
          <w:sz w:val="20"/>
          <w:szCs w:val="20"/>
          <w:color w:val="auto"/>
        </w:rPr>
      </w:pPr>
    </w:p>
    <w:p>
      <w:pPr>
        <w:ind w:left="752" w:hanging="752"/>
        <w:spacing w:after="0"/>
        <w:tabs>
          <w:tab w:leader="none" w:pos="752"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jc w:val="both"/>
        <w:ind w:left="672" w:right="400" w:hanging="672"/>
        <w:spacing w:after="0" w:line="241" w:lineRule="auto"/>
        <w:tabs>
          <w:tab w:leader="none" w:pos="652"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the time the Relevant Shares are registered in the name of the relevant recipient in accordance with the terms of the Securities Purchase Agreement, the Relevant Shares will have been duly and validly authorized and issued, fully paid or credited as fully paid and be non-assessable. The term “non-assessable”, which has no recognised meaning in English law, for the purposes of this opinion means that, under the Companies Act 2006, the Articles and any resolution of the Company or its board of directors (or any committee thereof) approving the issue of such Relevant Shares, no present or future holder of such Relevant Shares will be subject to personal liability, by reason of being such a holder, for additional payments or calls for further funds by the Company or any other person..</w:t>
      </w:r>
    </w:p>
    <w:p>
      <w:pPr>
        <w:spacing w:after="0" w:line="185" w:lineRule="exact"/>
        <w:rPr>
          <w:sz w:val="20"/>
          <w:szCs w:val="20"/>
          <w:color w:val="auto"/>
        </w:rPr>
      </w:pPr>
    </w:p>
    <w:p>
      <w:pPr>
        <w:ind w:left="752" w:hanging="752"/>
        <w:spacing w:after="0"/>
        <w:tabs>
          <w:tab w:leader="none" w:pos="752"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672" w:right="400" w:hanging="672"/>
        <w:spacing w:after="0" w:line="254" w:lineRule="auto"/>
        <w:tabs>
          <w:tab w:leader="none" w:pos="652"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567055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2"/>
          </w:cols>
          <w:pgMar w:left="448" w:top="1440" w:right="1059" w:bottom="1440" w:gutter="0" w:footer="0" w:header="0"/>
        </w:sectPr>
      </w:pPr>
    </w:p>
    <w:bookmarkStart w:id="11" w:name="page12"/>
    <w:bookmarkEnd w:id="11"/>
    <w:p>
      <w:pPr>
        <w:spacing w:after="0" w:line="144" w:lineRule="exact"/>
        <w:rPr>
          <w:sz w:val="20"/>
          <w:szCs w:val="20"/>
          <w:color w:val="auto"/>
        </w:rPr>
      </w:pPr>
    </w:p>
    <w:p>
      <w:pPr>
        <w:ind w:left="672"/>
        <w:spacing w:after="0"/>
        <w:rPr>
          <w:sz w:val="20"/>
          <w:szCs w:val="20"/>
          <w:color w:val="auto"/>
        </w:rPr>
      </w:pPr>
      <w:r>
        <w:rPr>
          <w:rFonts w:ascii="Arial" w:cs="Arial" w:eastAsia="Arial" w:hAnsi="Arial"/>
          <w:sz w:val="19"/>
          <w:szCs w:val="19"/>
          <w:color w:val="auto"/>
        </w:rPr>
        <w:t>Documents or the Registration Statement as supplemented by the Supplemental Prospectus or the Form 6-K.</w:t>
      </w:r>
    </w:p>
    <w:p>
      <w:pPr>
        <w:spacing w:after="0" w:line="214" w:lineRule="exact"/>
        <w:rPr>
          <w:sz w:val="20"/>
          <w:szCs w:val="20"/>
          <w:color w:val="auto"/>
        </w:rPr>
      </w:pPr>
    </w:p>
    <w:p>
      <w:pPr>
        <w:jc w:val="both"/>
        <w:ind w:left="672" w:right="19" w:hanging="672"/>
        <w:spacing w:after="0" w:line="243" w:lineRule="auto"/>
        <w:tabs>
          <w:tab w:leader="none" w:pos="652"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 Our liability under this opinion is limited to $25m. This opinion and any non-contractual obligations arising out of or in relation to this opinion are governed by English law.</w:t>
      </w:r>
    </w:p>
    <w:p>
      <w:pPr>
        <w:spacing w:after="0" w:line="200" w:lineRule="exact"/>
        <w:rPr>
          <w:sz w:val="20"/>
          <w:szCs w:val="20"/>
          <w:color w:val="auto"/>
        </w:rPr>
      </w:pPr>
    </w:p>
    <w:p>
      <w:pPr>
        <w:spacing w:after="0" w:line="201" w:lineRule="exact"/>
        <w:rPr>
          <w:sz w:val="20"/>
          <w:szCs w:val="20"/>
          <w:color w:val="auto"/>
        </w:rPr>
      </w:pPr>
    </w:p>
    <w:p>
      <w:pPr>
        <w:ind w:left="752" w:hanging="752"/>
        <w:spacing w:after="0"/>
        <w:tabs>
          <w:tab w:leader="none" w:pos="752"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672" w:right="19" w:hanging="672"/>
        <w:spacing w:after="0" w:line="243" w:lineRule="auto"/>
        <w:tabs>
          <w:tab w:leader="none" w:pos="652"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This letter is rendered to you for your benefit in connection with the Transaction Documents and the Registration Statement as supplemented by the Supplemental Prospectus. We consent to the filing of this letter as an exhibit to the Supplemental Prospectus and the Form 6-K.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85" w:lineRule="exact"/>
        <w:rPr>
          <w:sz w:val="20"/>
          <w:szCs w:val="20"/>
          <w:color w:val="auto"/>
        </w:rPr>
      </w:pPr>
    </w:p>
    <w:p>
      <w:pPr>
        <w:jc w:val="both"/>
        <w:ind w:left="672" w:right="39" w:hanging="671"/>
        <w:spacing w:after="0" w:line="270" w:lineRule="auto"/>
        <w:tabs>
          <w:tab w:leader="none" w:pos="652"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ind w:left="12"/>
        <w:spacing w:after="0"/>
        <w:rPr>
          <w:sz w:val="20"/>
          <w:szCs w:val="20"/>
          <w:color w:val="auto"/>
        </w:rPr>
      </w:pPr>
      <w:r>
        <w:rPr>
          <w:rFonts w:ascii="Arial" w:cs="Arial" w:eastAsia="Arial" w:hAnsi="Arial"/>
          <w:sz w:val="19"/>
          <w:szCs w:val="19"/>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221996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199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594360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January 20, 2026, between Rezolve AI plc, a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prospectus included in the Registration Statement at the time it became effective, including the documents incorporated therein by reference.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Trading Day following the date hereof.</w:t>
      </w:r>
    </w:p>
    <w:p>
      <w:pPr>
        <w:spacing w:after="0" w:line="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UK Counsel</w:t>
      </w:r>
      <w:r>
        <w:rPr>
          <w:rFonts w:ascii="Times New Roman" w:cs="Times New Roman" w:eastAsia="Times New Roman" w:hAnsi="Times New Roman"/>
          <w:sz w:val="18"/>
          <w:szCs w:val="18"/>
          <w:color w:val="auto"/>
        </w:rPr>
        <w:t>” means Taylor Wessing LLP, with offices located at 5 New Street Square, London EC4A 3TW, UK.</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US Counsel</w:t>
      </w:r>
      <w:r>
        <w:rPr>
          <w:rFonts w:ascii="Times New Roman" w:cs="Times New Roman" w:eastAsia="Times New Roman" w:hAnsi="Times New Roman"/>
          <w:sz w:val="18"/>
          <w:szCs w:val="18"/>
          <w:color w:val="auto"/>
        </w:rPr>
        <w:t>” means DLA Piper LLP (US), with offices located at 1201 W Peachtree St NE #2800, Atlanta, GA 30309, USA.</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time) on the Trading Day immediately following the date hereof, unless otherwise instructed as to an earlier time by the Placement Agents, and (ii) if this Agreement is signed between midnight (New York City time) and 9:00 a.m. (New York City time) on any Trading Day, no later than 9:01 a.m. (New York City time) on the date hereof, unless otherwise instructed as to an earlier time by the Placement Agents.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Company’s Ordinary Shares, £0.0001 nominal value per share, and any other class of securities into which such securities may hereafter be reclassified or changed.</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shares, right, option, warrant or other instrument that is at any time convertible into or exercisable or exchangeable for, or otherwise entitles the holder thereof to receive, Ordinary Shares.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$4.00, subject to adjustment for reverse and forward share splits, share dividends, share combinations and other similar transactions of the Ordinary Shares that occur after the date of this Agreement and before the Closing Date.</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Agency Agreement</w:t>
      </w:r>
      <w:r>
        <w:rPr>
          <w:rFonts w:ascii="Times New Roman" w:cs="Times New Roman" w:eastAsia="Times New Roman" w:hAnsi="Times New Roman"/>
          <w:sz w:val="18"/>
          <w:szCs w:val="18"/>
          <w:color w:val="auto"/>
        </w:rPr>
        <w:t>” means that certain Placement Agency Agreement by and between the Company and the Placement Agents, dated January 20, 2026.</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means A.G.P./Alliance Global Partners and Titan Partners Group LLC.</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F-3 with Commission File No. 333-291842 which registers the sale of the Shares to the purchasers and includes any Rule 462(b) Registration Statement.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“Rule 462(b) Registration Statement” means any registration statement prepared by the Company registering additional Securities, which was filed with the Commission on or prior to the date hereof and became automatically effective pursuant to Rule 462(b) promulgated by the Commission pursuant to the Securities Act.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issued or issuable for the benefit of each Purchaser pursuant to this Agreement.</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the New York Stock Exchange, OTCQB or OTCQX (or any successors to any of the foregoing).</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Inc., and any successor transfer agent of the Company.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issue, and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the Purchasers, severally and not jointly, agree to purchase, the number of Shares set forth under the heading “Subscription Amount” on the Purchaser’s signature page hereto at the Per Share Purchase Price. Each Purchaser shall deliver to the Company, via wire transfer, immediately available funds equal to such Purchaser’s Subscription Amount as set forth on the signature page hereto executed by such Purchaser, and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Agents or such other location as the parties shall mutually agree. In the event that the Closing does not occur within five (5) Business Days after the date hereof, upon the request of one or more Purchasers, the Company shall promptly (but not later than two (2) Business Days thereafter) return the previously wired amount to such respective Purchaser by wire transfer of United States dollars in immediately available funds to the account specified by such Purchaser, and any book entries for the Shares contemplated to be issued to such Purchaser shall be deemed cancelled. Each Purchaser’s Subscription Amount as set forth on the signature page hereto executed by such Purchaser shall be made available for “Delivery Versus Payment” settlement with the Company or its designee.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Unless otherwise directed by the Placement Agents,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Agents identified by each Purchaser; upon receipt of such Shares, the Placement Agents shall promptly electronically deliver such Shares to the applicable Purchaser, and payment therefor shall be made by the Placement Agents (or their clearing firms) by wire transfer to the Company).</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0" w:hanging="24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980" w:hanging="223"/>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sz w:val="20"/>
          <w:szCs w:val="20"/>
          <w:color w:val="auto"/>
        </w:rPr>
      </w:pPr>
    </w:p>
    <w:p>
      <w:pPr>
        <w:ind w:firstLine="757"/>
        <w:spacing w:after="0" w:line="282" w:lineRule="auto"/>
        <w:tabs>
          <w:tab w:leader="none" w:pos="103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of Company US Counsel and Company UK Counsel, directed to the Placement Agents and the Purchasers, each in a form reasonably acceptable to the Placement Agents and the Purchasers;</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via The Depositary Trust Company or Withdrawal at Custodian system (“DWAC”)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Chief Executive Officer or Chief Financial Officer; and</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(which may be delivered in accordance with Rule 172 under the Securities Act).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 On or prior to the Closing Date, each Purchaser shall deliver or cause to be delivered to the Company the following:</w:t>
      </w:r>
    </w:p>
    <w:p>
      <w:pPr>
        <w:spacing w:after="0" w:line="225" w:lineRule="exact"/>
        <w:rPr>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38" w:lineRule="exact"/>
        <w:rPr>
          <w:rFonts w:ascii="Times New Roman" w:cs="Times New Roman" w:eastAsia="Times New Roman" w:hAnsi="Times New Roman"/>
          <w:sz w:val="18"/>
          <w:szCs w:val="18"/>
          <w:color w:val="auto"/>
        </w:rPr>
      </w:pPr>
    </w:p>
    <w:p>
      <w:pPr>
        <w:ind w:left="760" w:right="2720" w:hanging="3"/>
        <w:spacing w:after="0" w:line="500" w:lineRule="auto"/>
        <w:tabs>
          <w:tab w:leader="none" w:pos="15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Purchaser’s Subscription Amount by wire transfer to the account specified by the Company. 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both"/>
        <w:ind w:firstLine="757"/>
        <w:spacing w:after="0" w:line="266" w:lineRule="auto"/>
        <w:tabs>
          <w:tab w:leader="none" w:pos="9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0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1080" w:hanging="323"/>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 The respective obligations of the Purchasers hereunder in connection with the Closing are subject to the following conditions being met:</w:t>
      </w:r>
    </w:p>
    <w:p>
      <w:pPr>
        <w:spacing w:after="0" w:line="225" w:lineRule="exact"/>
        <w:rPr>
          <w:sz w:val="20"/>
          <w:szCs w:val="20"/>
          <w:color w:val="auto"/>
        </w:rPr>
      </w:pPr>
    </w:p>
    <w:p>
      <w:pPr>
        <w:jc w:val="both"/>
        <w:ind w:firstLine="757"/>
        <w:spacing w:after="0" w:line="261" w:lineRule="auto"/>
        <w:tabs>
          <w:tab w:leader="none" w:pos="96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060" w:hanging="303"/>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w:t>
      </w:r>
    </w:p>
    <w:p>
      <w:pPr>
        <w:spacing w:after="0" w:line="206"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38"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issuance of the Securities pursuant to this Agreement, on the Closing Date, no fewer than 398,827,587 shares of Common Stock of the Company will have been issued and outstanding, and all such issued and outstanding shares of Common Stock shall have been issued prior to or contemporaneously with the issuance of the Securities to the Purchasers; and</w:t>
      </w:r>
    </w:p>
    <w:p>
      <w:pPr>
        <w:spacing w:after="0" w:line="175" w:lineRule="exact"/>
        <w:rPr>
          <w:rFonts w:ascii="Times New Roman" w:cs="Times New Roman" w:eastAsia="Times New Roman" w:hAnsi="Times New Roman"/>
          <w:sz w:val="18"/>
          <w:szCs w:val="18"/>
          <w:color w:val="auto"/>
        </w:rPr>
      </w:pPr>
    </w:p>
    <w:p>
      <w:pPr>
        <w:jc w:val="both"/>
        <w:ind w:firstLine="757"/>
        <w:spacing w:after="0" w:line="255" w:lineRule="auto"/>
        <w:tabs>
          <w:tab w:leader="none" w:pos="10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Ordinary Shares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firstLine="757"/>
        <w:spacing w:after="0" w:line="261" w:lineRule="auto"/>
        <w:tabs>
          <w:tab w:leader="none" w:pos="10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its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both"/>
        <w:ind w:firstLine="757"/>
        <w:spacing w:after="0" w:line="253" w:lineRule="auto"/>
        <w:tabs>
          <w:tab w:leader="none" w:pos="10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1" w:lineRule="exact"/>
        <w:rPr>
          <w:rFonts w:ascii="Times New Roman" w:cs="Times New Roman" w:eastAsia="Times New Roman" w:hAnsi="Times New Roman"/>
          <w:sz w:val="18"/>
          <w:szCs w:val="18"/>
          <w:color w:val="auto"/>
        </w:rPr>
      </w:pPr>
    </w:p>
    <w:p>
      <w:pPr>
        <w:jc w:val="both"/>
        <w:ind w:firstLine="757"/>
        <w:spacing w:after="0" w:line="253" w:lineRule="auto"/>
        <w:tabs>
          <w:tab w:leader="none" w:pos="9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757"/>
        <w:spacing w:after="0" w:line="253" w:lineRule="auto"/>
        <w:tabs>
          <w:tab w:leader="none" w:pos="100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757"/>
        <w:spacing w:after="0" w:line="255" w:lineRule="auto"/>
        <w:tabs>
          <w:tab w:leader="none" w:pos="9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and (iii) the notice and/or additional listing application(s) to each applicable Trading Market for the listing of the Shares for trading thereon in the time and manner required thereby; and (iv) post-Closing filings with UK Companies House notifying the issuance of the Shares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For greater certainty, the Company is not required to submit an original listing application to its Trading Market in connection with the offer and sale of the Securities.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spacing w:after="0" w:line="194" w:lineRule="exact"/>
        <w:rPr>
          <w:sz w:val="20"/>
          <w:szCs w:val="20"/>
          <w:color w:val="auto"/>
        </w:rPr>
      </w:pPr>
    </w:p>
    <w:p>
      <w:pPr>
        <w:jc w:val="both"/>
        <w:ind w:firstLine="757"/>
        <w:spacing w:after="0" w:line="252" w:lineRule="auto"/>
        <w:tabs>
          <w:tab w:leader="none" w:pos="97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prepared and filed the Registration Statement in conformity with the requirements of the Securities Act, which became effective on December 19, 2025 (the “Effective Date”), including the Base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F-3 under the Securities Act and it meets the transaction requirements with respect to the aggregate market value of securities being sold pursuant to this offering.</w:t>
      </w:r>
    </w:p>
    <w:p>
      <w:pPr>
        <w:spacing w:after="0" w:line="193" w:lineRule="exact"/>
        <w:rPr>
          <w:rFonts w:ascii="Times New Roman" w:cs="Times New Roman" w:eastAsia="Times New Roman" w:hAnsi="Times New Roman"/>
          <w:sz w:val="18"/>
          <w:szCs w:val="18"/>
          <w:color w:val="auto"/>
        </w:rPr>
      </w:pPr>
    </w:p>
    <w:p>
      <w:pPr>
        <w:jc w:val="both"/>
        <w:ind w:firstLine="757"/>
        <w:spacing w:after="0" w:line="251" w:lineRule="auto"/>
        <w:tabs>
          <w:tab w:leader="none" w:pos="10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as of the date hereof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shall also include the number of Ordinary Shares owned beneficially, and of record, by Affiliates of the Company as of the date hereof.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and as disclosed in the SEC Reports, the Company has not issued any capital stock since its most recently filed periodic report under the Exchange Act, other than pursuant to the exercise of employee stock options under the Company’s stock option plans, the issuance of Ordinary Shares to employees pursuant to the Company’s employee stock purchase plans and pursuant to the conversion and/or exercise of Ordinary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or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the capital stock of any Subsidiary, or contracts, commitments, understandings or arrangements by which the Company or any Subsidiary is or may become bound to issue additional Ordinary Shares or Ordinary Share Equivalents or capital stock of any Subsidiary.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ind w:firstLine="757"/>
        <w:spacing w:after="0" w:line="282" w:lineRule="auto"/>
        <w:tabs>
          <w:tab w:leader="none" w:pos="10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Except as set forth on Schedule 3.1(h), the Company has filed all reports, schedules, forms, statements and other documents required to be filed by the Company under the Securities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87" w:lineRule="exact"/>
        <w:rPr>
          <w:sz w:val="20"/>
          <w:szCs w:val="20"/>
          <w:color w:val="auto"/>
        </w:rPr>
      </w:pPr>
    </w:p>
    <w:p>
      <w:pPr>
        <w:jc w:val="both"/>
        <w:ind w:firstLine="757"/>
        <w:spacing w:after="0" w:line="253" w:lineRule="auto"/>
        <w:tabs>
          <w:tab w:leader="none" w:pos="9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757"/>
        <w:spacing w:after="0" w:line="253" w:lineRule="auto"/>
        <w:tabs>
          <w:tab w:leader="none" w:pos="9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89" w:lineRule="exact"/>
        <w:rPr>
          <w:sz w:val="20"/>
          <w:szCs w:val="20"/>
          <w:color w:val="auto"/>
        </w:rPr>
      </w:pPr>
    </w:p>
    <w:p>
      <w:pPr>
        <w:jc w:val="both"/>
        <w:ind w:firstLine="757"/>
        <w:spacing w:after="0" w:line="254" w:lineRule="auto"/>
        <w:tabs>
          <w:tab w:leader="none" w:pos="9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6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757"/>
        <w:spacing w:after="0" w:line="261" w:lineRule="auto"/>
        <w:tabs>
          <w:tab w:leader="none" w:pos="10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757"/>
        <w:spacing w:after="0" w:line="255" w:lineRule="auto"/>
        <w:tabs>
          <w:tab w:leader="none" w:pos="10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8" w:lineRule="exact"/>
        <w:rPr>
          <w:rFonts w:ascii="Times New Roman" w:cs="Times New Roman" w:eastAsia="Times New Roman" w:hAnsi="Times New Roman"/>
          <w:sz w:val="18"/>
          <w:szCs w:val="18"/>
          <w:color w:val="auto"/>
        </w:rPr>
      </w:pPr>
    </w:p>
    <w:p>
      <w:pPr>
        <w:jc w:val="both"/>
        <w:ind w:firstLine="757"/>
        <w:spacing w:after="0" w:line="258" w:lineRule="auto"/>
        <w:tabs>
          <w:tab w:leader="none" w:pos="10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sz w:val="20"/>
          <w:szCs w:val="20"/>
          <w:color w:val="auto"/>
        </w:rPr>
      </w:pPr>
    </w:p>
    <w:p>
      <w:pPr>
        <w:jc w:val="both"/>
        <w:ind w:firstLine="757"/>
        <w:spacing w:after="0" w:line="254" w:lineRule="auto"/>
        <w:tabs>
          <w:tab w:leader="none" w:pos="10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 w:lineRule="exact"/>
        <w:rPr>
          <w:rFonts w:ascii="Times New Roman" w:cs="Times New Roman" w:eastAsia="Times New Roman" w:hAnsi="Times New Roman"/>
          <w:sz w:val="18"/>
          <w:szCs w:val="18"/>
          <w:color w:val="auto"/>
        </w:rPr>
      </w:pPr>
    </w:p>
    <w:p>
      <w:pPr>
        <w:jc w:val="both"/>
        <w:ind w:firstLine="757"/>
        <w:spacing w:after="0" w:line="251" w:lineRule="auto"/>
        <w:tabs>
          <w:tab w:leader="none" w:pos="9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3.1(r)</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3" w:lineRule="exact"/>
        <w:rPr>
          <w:rFonts w:ascii="Times New Roman" w:cs="Times New Roman" w:eastAsia="Times New Roman" w:hAnsi="Times New Roman"/>
          <w:sz w:val="18"/>
          <w:szCs w:val="18"/>
          <w:color w:val="auto"/>
        </w:rPr>
      </w:pPr>
    </w:p>
    <w:p>
      <w:pPr>
        <w:jc w:val="both"/>
        <w:ind w:firstLine="757"/>
        <w:spacing w:after="0" w:line="252" w:lineRule="auto"/>
        <w:tabs>
          <w:tab w:leader="none" w:pos="10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4" w:lineRule="exact"/>
        <w:rPr>
          <w:rFonts w:ascii="Times New Roman" w:cs="Times New Roman" w:eastAsia="Times New Roman" w:hAnsi="Times New Roman"/>
          <w:sz w:val="18"/>
          <w:szCs w:val="18"/>
          <w:color w:val="auto"/>
        </w:rPr>
      </w:pPr>
    </w:p>
    <w:p>
      <w:pPr>
        <w:jc w:val="both"/>
        <w:ind w:firstLine="757"/>
        <w:spacing w:after="0" w:line="261" w:lineRule="auto"/>
        <w:tabs>
          <w:tab w:leader="none" w:pos="9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the fees and expenses of the Placement Agents,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made by or on behalf of other Persons for fees of a type contemplated in this Section that may be due in connection with the transactions contemplated by the Transaction Documents.</w:t>
      </w:r>
    </w:p>
    <w:p>
      <w:pPr>
        <w:spacing w:after="0" w:line="162"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03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and application of the proceeds as set forth under Section 4.7,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firstLine="757"/>
        <w:spacing w:after="0" w:line="282" w:lineRule="auto"/>
        <w:tabs>
          <w:tab w:leader="none" w:pos="10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disclosed in the SEC Reports, the Company has not, in the 12 months preceding the date hereof, received notice from any Trading Market on which the Ordinary Shares are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Ordinary Shares are of a class of Shares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firstLine="757"/>
        <w:spacing w:after="0" w:line="253" w:lineRule="auto"/>
        <w:tabs>
          <w:tab w:leader="none" w:pos="9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and the representations made in Section 3.1(i),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0" w:lineRule="exact"/>
        <w:rPr>
          <w:sz w:val="20"/>
          <w:szCs w:val="20"/>
          <w:color w:val="auto"/>
        </w:rPr>
      </w:pPr>
    </w:p>
    <w:p>
      <w:pPr>
        <w:jc w:val="both"/>
        <w:ind w:firstLine="757"/>
        <w:spacing w:after="0" w:line="261" w:lineRule="auto"/>
        <w:tabs>
          <w:tab w:leader="none" w:pos="11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Act, or (ii) any applicable shareholder approval provisions of any Trading Market on which any of the securities of the Company are listed or designated.</w:t>
      </w:r>
    </w:p>
    <w:p>
      <w:pPr>
        <w:spacing w:after="0" w:line="225" w:lineRule="exact"/>
        <w:rPr>
          <w:sz w:val="20"/>
          <w:szCs w:val="20"/>
          <w:color w:val="auto"/>
        </w:rPr>
      </w:pPr>
    </w:p>
    <w:p>
      <w:pPr>
        <w:jc w:val="both"/>
        <w:ind w:firstLine="757"/>
        <w:spacing w:after="0" w:line="255" w:lineRule="auto"/>
        <w:tabs>
          <w:tab w:leader="none" w:pos="10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3.1(bb)</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or accrued payroll liabilities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firstLine="757"/>
        <w:spacing w:after="0" w:line="256" w:lineRule="auto"/>
        <w:tabs>
          <w:tab w:leader="none" w:pos="10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The Company and its Subsidiaries each (i) has made or filed all material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7" w:lineRule="exact"/>
        <w:rPr>
          <w:rFonts w:ascii="Times New Roman" w:cs="Times New Roman" w:eastAsia="Times New Roman" w:hAnsi="Times New Roman"/>
          <w:sz w:val="18"/>
          <w:szCs w:val="18"/>
          <w:color w:val="auto"/>
        </w:rPr>
      </w:pPr>
    </w:p>
    <w:p>
      <w:pPr>
        <w:ind w:left="1100" w:hanging="343"/>
        <w:spacing w:after="0"/>
        <w:tabs>
          <w:tab w:leader="none" w:pos="11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757"/>
        <w:spacing w:after="0" w:line="253" w:lineRule="auto"/>
        <w:tabs>
          <w:tab w:leader="none" w:pos="10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5" w:lineRule="exact"/>
        <w:rPr>
          <w:rFonts w:ascii="Times New Roman" w:cs="Times New Roman" w:eastAsia="Times New Roman" w:hAnsi="Times New Roman"/>
          <w:sz w:val="18"/>
          <w:szCs w:val="18"/>
          <w:color w:val="auto"/>
        </w:rPr>
      </w:pPr>
    </w:p>
    <w:p>
      <w:pPr>
        <w:jc w:val="both"/>
        <w:ind w:firstLine="757"/>
        <w:spacing w:after="0" w:line="255" w:lineRule="auto"/>
        <w:tabs>
          <w:tab w:leader="none" w:pos="10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2025.</w:t>
      </w:r>
    </w:p>
    <w:p>
      <w:pPr>
        <w:spacing w:after="0" w:line="185" w:lineRule="exact"/>
        <w:rPr>
          <w:rFonts w:ascii="Times New Roman" w:cs="Times New Roman" w:eastAsia="Times New Roman" w:hAnsi="Times New Roman"/>
          <w:sz w:val="18"/>
          <w:szCs w:val="18"/>
          <w:color w:val="auto"/>
        </w:rPr>
      </w:pPr>
    </w:p>
    <w:p>
      <w:pPr>
        <w:jc w:val="both"/>
        <w:ind w:firstLine="757"/>
        <w:spacing w:after="0" w:line="261" w:lineRule="auto"/>
        <w:tabs>
          <w:tab w:leader="none" w:pos="10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9" w:lineRule="exact"/>
        <w:rPr>
          <w:rFonts w:ascii="Times New Roman" w:cs="Times New Roman" w:eastAsia="Times New Roman" w:hAnsi="Times New Roman"/>
          <w:sz w:val="18"/>
          <w:szCs w:val="18"/>
          <w:color w:val="auto"/>
        </w:rPr>
      </w:pPr>
    </w:p>
    <w:p>
      <w:pPr>
        <w:jc w:val="both"/>
        <w:ind w:firstLine="757"/>
        <w:spacing w:after="0" w:line="254" w:lineRule="auto"/>
        <w:tabs>
          <w:tab w:leader="none" w:pos="10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to its knowledge, each of the Purchasers is acting solely in the capacity of an arm’s length purchaser with respect to the Transaction Documents and the transactions contemplated thereby. The Company further acknowledges that, to its knowledge,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both"/>
        <w:ind w:firstLine="757"/>
        <w:spacing w:after="0" w:line="253" w:lineRule="auto"/>
        <w:tabs>
          <w:tab w:leader="none" w:pos="101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2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sz w:val="20"/>
          <w:szCs w:val="20"/>
          <w:color w:val="auto"/>
        </w:rPr>
      </w:pPr>
    </w:p>
    <w:p>
      <w:pPr>
        <w:jc w:val="both"/>
        <w:ind w:firstLine="757"/>
        <w:spacing w:after="0" w:line="258" w:lineRule="auto"/>
        <w:tabs>
          <w:tab w:leader="none" w:pos="101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Agents pursuant to the Placement Agency Agreement.</w:t>
      </w:r>
    </w:p>
    <w:p>
      <w:pPr>
        <w:spacing w:after="0" w:line="183" w:lineRule="exact"/>
        <w:rPr>
          <w:rFonts w:ascii="Times New Roman" w:cs="Times New Roman" w:eastAsia="Times New Roman" w:hAnsi="Times New Roman"/>
          <w:sz w:val="18"/>
          <w:szCs w:val="18"/>
          <w:color w:val="auto"/>
        </w:rPr>
      </w:pPr>
    </w:p>
    <w:p>
      <w:pPr>
        <w:jc w:val="both"/>
        <w:ind w:firstLine="757"/>
        <w:spacing w:after="0" w:line="253" w:lineRule="auto"/>
        <w:tabs>
          <w:tab w:leader="none" w:pos="109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To the Company’s knowledge, there has been no material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“IT Systems and Data”)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a commercially reasonable backup and disaster recovery technology.</w:t>
      </w:r>
    </w:p>
    <w:p>
      <w:pPr>
        <w:spacing w:after="0" w:line="191" w:lineRule="exact"/>
        <w:rPr>
          <w:rFonts w:ascii="Times New Roman" w:cs="Times New Roman" w:eastAsia="Times New Roman" w:hAnsi="Times New Roman"/>
          <w:sz w:val="18"/>
          <w:szCs w:val="18"/>
          <w:color w:val="auto"/>
        </w:rPr>
      </w:pPr>
    </w:p>
    <w:p>
      <w:pPr>
        <w:jc w:val="both"/>
        <w:ind w:firstLine="757"/>
        <w:spacing w:after="0" w:line="252" w:lineRule="auto"/>
        <w:tabs>
          <w:tab w:leader="none" w:pos="102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(“GDPR”) (EU 2016/679) (collectively, “Privacy Laws”);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“Policies”);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83" w:lineRule="exact"/>
        <w:rPr>
          <w:sz w:val="20"/>
          <w:szCs w:val="20"/>
          <w:color w:val="auto"/>
        </w:rPr>
      </w:pPr>
    </w:p>
    <w:p>
      <w:pPr>
        <w:jc w:val="both"/>
        <w:ind w:firstLine="757"/>
        <w:spacing w:after="0" w:line="256" w:lineRule="auto"/>
        <w:tabs>
          <w:tab w:leader="none" w:pos="11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Ordinary Shares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jc w:val="both"/>
        <w:ind w:firstLine="757"/>
        <w:spacing w:after="0" w:line="266"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757"/>
        <w:spacing w:after="0" w:line="282" w:lineRule="auto"/>
        <w:tabs>
          <w:tab w:leader="none" w:pos="11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1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757"/>
        <w:spacing w:after="0" w:line="266" w:lineRule="auto"/>
        <w:tabs>
          <w:tab w:leader="none" w:pos="10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Agents and a fee that may be payable in connection with purchases by certain parties referenced in the Placement Agency Agreement, the Company is not aware of any person that has been or will be paid (directly or indirectly) remuneration for solicitation of purchasers in connection with the sale of any Securities.</w:t>
      </w:r>
    </w:p>
    <w:p>
      <w:pPr>
        <w:spacing w:after="0" w:line="17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ind w:firstLine="757"/>
        <w:spacing w:after="0" w:line="282" w:lineRule="auto"/>
        <w:tabs>
          <w:tab w:leader="none" w:pos="1021"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8" w:lineRule="exact"/>
        <w:rPr>
          <w:sz w:val="20"/>
          <w:szCs w:val="20"/>
          <w:color w:val="auto"/>
        </w:rPr>
      </w:pPr>
    </w:p>
    <w:p>
      <w:pPr>
        <w:jc w:val="both"/>
        <w:ind w:firstLine="757"/>
        <w:spacing w:after="0" w:line="261" w:lineRule="auto"/>
        <w:tabs>
          <w:tab w:leader="none" w:pos="10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jc w:val="both"/>
        <w:ind w:firstLine="757"/>
        <w:spacing w:after="0" w:line="266" w:lineRule="auto"/>
        <w:tabs>
          <w:tab w:leader="none" w:pos="10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(i) a “qualified institutional buyer” as defined in Rule 144A under the Securities Act or (ii) an “accredited investor” as defined in Rule 501(a)(1), (a)(2), (a)(3), a(7), a(8), (a)(9), (a) (12), or (a)(13) under the Securities Act.</w:t>
      </w:r>
    </w:p>
    <w:p>
      <w:pPr>
        <w:spacing w:after="0" w:line="175"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and is making its investment in the Securities with a full understanding of all of the terms, conditions and risks associated with such investment and willingly assumes those terms, conditions and risks. Such Purchaser is able to bear the economic risk of an investment in the Securities and, at the present time, is able to afford a complete loss of such investment.</w:t>
      </w:r>
    </w:p>
    <w:p>
      <w:pPr>
        <w:spacing w:after="0" w:line="183" w:lineRule="exact"/>
        <w:rPr>
          <w:rFonts w:ascii="Times New Roman" w:cs="Times New Roman" w:eastAsia="Times New Roman" w:hAnsi="Times New Roman"/>
          <w:sz w:val="18"/>
          <w:szCs w:val="18"/>
          <w:color w:val="auto"/>
        </w:rPr>
      </w:pPr>
    </w:p>
    <w:p>
      <w:pPr>
        <w:ind w:left="1000" w:hanging="24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757"/>
        <w:spacing w:after="0" w:line="253" w:lineRule="auto"/>
        <w:tabs>
          <w:tab w:leader="none" w:pos="9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the SEC Reports and such other information that it and its advisers deem necessary to make its decision to invest in the Securities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Agents nor any of its Affiliates has provided such Purchaser with any information or advice with respect to the Securities nor is such information or advice necessary or desired. Neither the Placement Agents nor any of its Affiliates has made or makes any representation as to the Company or the quality of the Securities. The Placement Agents and its Affiliates may have acquired non-public information with respect to the Company which such Purchaser agrees need not be provided to it. In connection with the issuance of the Securities to such Purchaser, neither the Placement Agents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jc w:val="both"/>
        <w:ind w:firstLine="757"/>
        <w:spacing w:after="0" w:line="258" w:lineRule="auto"/>
        <w:tabs>
          <w:tab w:leader="none" w:pos="10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while in possession of material non-public information during the period commencing as of the time that such Purchaser first received a term sheet (written or oral) from the Company or any other Person representing the Company setting forth the material terms of the transactions contemplated hereunder and ending immediately prior to</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Shares shall be issued free of legends.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57"/>
        <w:spacing w:after="0" w:line="261" w:lineRule="auto"/>
        <w:tabs>
          <w:tab w:leader="none" w:pos="99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at least two years after the Closing Date, the Company covenants to maintain the registration of the Ordinary Shares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Report of Foreign Private Issuer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Agents, on the one hand, and any of the Purchasers or any of their Affiliates on the other hand, shall terminate.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press release or filing with the Commission or any regulatory agency or Trading Market, without the prior written consent of such Purchaser, except (a) as required by federal securities law in connection with (i) any registration statement contemplated by this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Report of Foreign Private Issuer on Form 6-K.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accelerated investment into their sales organization, potential accretive M&amp;A opportunities and general corporate and working capital purposes and shall not use such proceeds: (a) for the redemption of any Ordinary Shares or Ordinary Share Equivalents, (b) for the settlement of any outstanding litigation or (c) in violation of FCPA or OFAC regulations. Notwithstanding the foregoing, clause (a) of this Section 4.7 shall not limit or restrict the Company from making or accepting any transfer of Ordinary Shares to cover the applicable exercise price or tax withholding obligations, including estimated taxes, for any equity award granted pursuant to the terms of the Company’s stock option/incentive plans, such as upon exercise, vesting, lapse of substantial risk of forfeiture, or upon the exercise of warrants to purchase Ordinary Shares, or other similar taxable event, in each case on a “cashless” or “net exercise” basis.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Ordinary Shares for the purpose of enabling the Company to issue Shares pursuant to this Agreement.</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Ordinary Shares</w:t>
      </w:r>
      <w:r>
        <w:rPr>
          <w:rFonts w:ascii="Times New Roman" w:cs="Times New Roman" w:eastAsia="Times New Roman" w:hAnsi="Times New Roman"/>
          <w:sz w:val="18"/>
          <w:szCs w:val="18"/>
          <w:color w:val="auto"/>
        </w:rPr>
        <w:t>. The Company hereby agrees to use its best efforts to maintain the listing or quotation of the Ordinary Shares on the Trading Market on which it is currently listed, and the Company shall apply to list or quote all of the Shares on such Trading Market prior to the Closing and promptly secure the listing of all of the Shares on such Trading Market prior to Closing provided that such Shares are eligible for listing on such Trading Market at the relevant time. The Company further agrees, if the Company applies to have the Ordinary Shares traded on any other Trading Market, it will then include in such application all of the Shares and will take such other action as is necessary to cause all of the Shares to be listed or quoted on such other Trading Market as promptly as possible and provided that such Shares are eligible for listing on such other Trading Market at the relevant time. The Company will then take all action reasonably necessary to maintain the listing and trading of its Ordinary Shares on a Trading Market and will comply in all respects with the Company’s reporting, filing and other obligations under the bylaws or rules of the Trading Market. The Company agrees to maintain the eligibility of the Ordinary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4.11 [Reserved]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thirty (30) days after the Effective Date, neither the Company nor any Subsidiary shall</w:t>
      </w:r>
    </w:p>
    <w:p>
      <w:pPr>
        <w:spacing w:after="0" w:line="27" w:lineRule="exact"/>
        <w:rPr>
          <w:sz w:val="20"/>
          <w:szCs w:val="20"/>
          <w:color w:val="auto"/>
        </w:rPr>
      </w:pPr>
    </w:p>
    <w:p>
      <w:pPr>
        <w:ind w:left="220" w:hanging="212"/>
        <w:spacing w:after="0"/>
        <w:tabs>
          <w:tab w:leader="none" w:pos="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enter into any agreement to issue or announce the issuance or proposed issuance of any Ordinary Shares or Ordinary Share Equivalents, other than</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issuance of Ordinary Shares pursuant to such an agreement already in existence at the date of this Agreement and described on Schedule 3.1(g) or Schedule 3.1(bb) or pursuant to a shareholder approved equity incentive plan, and (B) the issuance of Ordinary Shares in connection with strategic acquisitions, joint ventures, or other similar strategic transactions, or (ii) file any registration statement or any amendment or supplement thereto, other than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registration statement on Form S-8 with respect to a shareholder approved equity incentive plan, (B) any post-effective amendment to an existing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registration statement on Form F-1 or any post-effective amendment to Form F-1 on Form F-3 for the purpose of converting any existing registration statement on Form F-1 to Form F-3; and (C) any registration statement on Form F-1 or Form F-3 with respect to the resale of any Ordinary Shares issued or issuable in connection with strategic acquisitions, joint ventures, or other similar strategic transactions.</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(A)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 and (B) in the case of a Purchaser that has implemented internal information barriers pursuant to an information controls policy to ‘wall off’ certain trading personnel, this Section 4.14 shall apply only with respect to activities of such walled-off trading personnel.</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4.15 [Reserved].</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Ordinary Shares,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4.17 [Reserved].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u w:val="single" w:color="auto"/>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19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5"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p.m. (New York City time) on any Trading Day, (c) the second (2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file such notice with the Commission pursuant to a Report of Foreign Private Issuer on Form 6-K.</w:t>
      </w:r>
    </w:p>
    <w:p>
      <w:pPr>
        <w:spacing w:after="0" w:line="19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Date,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provided that such transferee agrees in writing to be bound, with respect to the transferred Securities, by the provisions of the Transaction Documents that apply to the “Purchasers” (other than in respect of a transfer pursuant to an effective registration statement).</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The Placement Agents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DocuSign, such signature shall create a valid and binding obligation of the party executing (or on whose behalf such signature is executed) with the same force and effect as if such facsimile or “.pdf” or DocuSign signature page were an original thereof.</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upon written notice to the Company, any relevant notice, demand or election in whole or in part without prejudice to its future actions and rights.</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and receipt of a duly executed indemnity for lost share certificate reasonably satisfactory to the Company. The applicant for a new certificate or instrument under such circumstances shall also pay any reasonable third-party costs (including customary indemnity) associated with the issuance of such replacement Securities.</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to the Placement Agents. The legal counsel of the Placement Agents does not represent any of the Purchasers and only represents the Placement Agents.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stock splits, stock dividends, stock combinations and other similar transactions of the Ordinary Shares that occur after the date of this Agreement.</w:t>
      </w:r>
    </w:p>
    <w:p>
      <w:pPr>
        <w:spacing w:after="0" w:line="17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669925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line="1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Rezolve AI plc</w:t>
            </w:r>
          </w:p>
        </w:tc>
        <w:tc>
          <w:tcPr>
            <w:tcW w:w="0" w:type="dxa"/>
            <w:vAlign w:val="bottom"/>
          </w:tcPr>
          <w:p>
            <w:pPr>
              <w:spacing w:after="0"/>
              <w:rPr>
                <w:sz w:val="1"/>
                <w:szCs w:val="1"/>
                <w:color w:val="auto"/>
              </w:rPr>
            </w:pPr>
          </w:p>
        </w:tc>
      </w:tr>
      <w:tr>
        <w:trPr>
          <w:trHeight w:val="22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Borders>
              <w:bottom w:val="single" w:sz="8" w:color="auto"/>
            </w:tcBorders>
          </w:tcPr>
          <w:p>
            <w:pPr>
              <w:spacing w:after="0"/>
              <w:rPr>
                <w:sz w:val="19"/>
                <w:szCs w:val="19"/>
                <w:color w:val="auto"/>
              </w:rPr>
            </w:pPr>
          </w:p>
        </w:tc>
        <w:tc>
          <w:tcPr>
            <w:tcW w:w="364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21 Sackville Street</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3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Daniel M. Wagner</w:t>
            </w:r>
          </w:p>
        </w:tc>
        <w:tc>
          <w:tcPr>
            <w:tcW w:w="3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 Chief Executive Officer &amp; Director</w:t>
            </w: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w w:val="98"/>
              </w:rPr>
              <w:t>London, W1S 3DN</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6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64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[PURCHASER SIGNATURE PAGES TO RVLZ SECURITIES PURCHASE AGREEMENT]</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10160</wp:posOffset>
            </wp:positionV>
            <wp:extent cx="42773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8890</wp:posOffset>
            </wp:positionV>
            <wp:extent cx="42773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(in USD): $_________________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Wagner:</w:t>
      </w:r>
    </w:p>
    <w:p>
      <w:pPr>
        <w:spacing w:after="0" w:line="22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between A.G.P./Alliance Global Partners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Rezolve AI plc, a limited company incorporated under the laws of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that the Placement Agent shall serve as the exclusive placement agent for the Company, on a “reasonable best efforts” basis, in connection with the proposed placement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ordinary shares, £0.0001 nominal value per share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if applicable, pre-funded warrants to purchase Ordinary Shares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Ordinary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actually placed by the Placement Agent are referred to herein as the “</w:t>
      </w:r>
      <w:r>
        <w:rPr>
          <w:rFonts w:ascii="Times New Roman" w:cs="Times New Roman" w:eastAsia="Times New Roman" w:hAnsi="Times New Roman"/>
          <w:sz w:val="18"/>
          <w:szCs w:val="18"/>
          <w:b w:val="1"/>
          <w:bCs w:val="1"/>
          <w:color w:val="auto"/>
        </w:rPr>
        <w:t>Placement Agent Securities</w:t>
      </w:r>
      <w:r>
        <w:rPr>
          <w:rFonts w:ascii="Times New Roman" w:cs="Times New Roman" w:eastAsia="Times New Roman" w:hAnsi="Times New Roman"/>
          <w:sz w:val="18"/>
          <w:szCs w:val="18"/>
          <w:color w:val="auto"/>
        </w:rPr>
        <w:t>.” The terms of the Placement shall be mutually agreed upon by the Company and the purchaser of the Securities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nothing herein constitutes that the Placement Agent would have the power or authority to bind the Company or the Purchaser, or an obligation for the Company to issue any Securities or complete the Placement. The Company expressly acknowledges and agrees that the Placement Agent’s obligations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The Placement Agent may retain other brokers or dealers to act as sub-agents or selected-dealers on its behalf in connection with the Placement. Certain affiliates of the Placement Agent may participate in the Placement by purchasing some of the Placement Agent Securities. The sale of Placement Agent Securities to the Purchaser will be evidenced by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reasonably acceptable to the Company and the Purchaser. Capitalized terms that are not otherwise defined herein have the meanings given to such terms in the Purchase Agreement. Prior to the signing of any Purchase Agreement, officers of the Company will be available to answer inquiries from the prospective Purchaser.</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AND WARRANTIES OF THE COMPANY; COVENANTS OF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497"/>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With respect to the Placement Agent Securities, each of the representations and warranties (together with any related disclosure schedules thereto) and covenants made by the Company to the Purchaser in the Purchase Agreement in connection with the Placement, are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 there are no affiliations with any FINRA (as defined below) member firm among the Company’s officers, directors or, to the knowledge of the Company, any five percent (5.0%) or greater securityholder of the Company, except as set forth in the Purchase Agreement.</w:t>
      </w:r>
    </w:p>
    <w:p>
      <w:pPr>
        <w:spacing w:after="0" w:line="19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to continue to retain (i) a firm of independent PCAOB registered public accountants for a period of at least two (2) years after the Closing Date and (ii) a competent transfer agent with respect to the Ordinary Shares for a period of five (5) years after the Closing Date. From the date hereof until sixty (60) days after the Effective Date, neither the Company nor any Subsidiary shall (i) issue, enter into any agreement to issue or announce the issuance or proposed issuance of any Ordinary Shares or Ordinary Share Equivalents, other than</w:t>
      </w:r>
    </w:p>
    <w:p>
      <w:pPr>
        <w:spacing w:after="0" w:line="3" w:lineRule="exact"/>
        <w:rPr>
          <w:sz w:val="20"/>
          <w:szCs w:val="20"/>
          <w:color w:val="auto"/>
        </w:rPr>
      </w:pPr>
    </w:p>
    <w:p>
      <w:pPr>
        <w:jc w:val="both"/>
        <w:ind w:firstLine="8"/>
        <w:spacing w:after="0" w:line="253" w:lineRule="auto"/>
        <w:tabs>
          <w:tab w:leader="none" w:pos="2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Ordinary Shares pursuant to such an agreement already in existence at the date of this Agreement and described on Schedule 3.1(bb) or pursuant to a shareholder approved equity incentive plan, (B) the issuance of Ordinary Shares in connection with strategic acquisitions, joint ventures, or other similar strategic transactions, and (C) the entry into an at-the-market facility (the “</w:t>
      </w:r>
      <w:r>
        <w:rPr>
          <w:rFonts w:ascii="Times New Roman" w:cs="Times New Roman" w:eastAsia="Times New Roman" w:hAnsi="Times New Roman"/>
          <w:sz w:val="18"/>
          <w:szCs w:val="18"/>
          <w:u w:val="single" w:color="auto"/>
          <w:color w:val="auto"/>
        </w:rPr>
        <w:t>ATM</w:t>
      </w:r>
      <w:r>
        <w:rPr>
          <w:rFonts w:ascii="Times New Roman" w:cs="Times New Roman" w:eastAsia="Times New Roman" w:hAnsi="Times New Roman"/>
          <w:sz w:val="18"/>
          <w:szCs w:val="18"/>
          <w:color w:val="auto"/>
        </w:rPr>
        <w:t>”) with the Placement Agent and/or such other sales agents as the Company may designate providing for the sale of Ordinary Shares in one or more “at-the-market” offerings, block trades, or similar primary offering transactions, or (ii) file any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statement or any amendment or supplement thereto, other than (A) a registration statement on Form S-8 with respect to a shareholder approved equity incentive plan, (B) the registration statement described in the Registration Rights Agreement, (C) any post-effective amendment to an existing registration statement on Form F-1, or (D) a universal shelf registration statement on Form F-3, including, without limitation, with respect to an ATM or the resale of Ordinary Shares issued or issuable in connection with strategic acquisitions, joint ventures, or other similar strategic transactions. Notwithstanding anything contained in herein to the contrary, ten (10) days after the Effective Date, the Company shall be permitted to conduct sales of up to 48,034,860 of its Ordinary Shares pursuant to the ATM.</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FINRA, (ii) is registered as a broker/dealer under the Exchange Act, (iii) is licensed as a broker/dealer under the laws of the United States of America, applicable to the offers and sales of the Placement Agent Securities by the Placement Agent, (iv) is and will be a corporate body validly existing under the laws of its place of incorporation, and (v) has full power and authority to enter into and perform its obligations under this Agreement. The Placement Agent will immediately notify the Company in writing of any change in its status with respect to subsections (i) through (v) above. The Placement Agent covenants that it will use its reasonable best efforts to conduct the Placement hereunder in compliance with the provisions of this Agreement and the requirements of applicable law. The Placement Agent represents and warrants that, to its knowledge after reasonable investigation, each of the Purchasers is a “qualified purchaser” within the meaning of the Securities Act, and that the Placement Agent has not engaged in any marketing or sales activity that constitutes a “general solicitation” or “general advertising” within the meaning of Rule 502(c) under the Securities Act</w:t>
      </w:r>
    </w:p>
    <w:p>
      <w:pPr>
        <w:spacing w:after="0" w:line="18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 consideration of the services to be provided for hereunder, the Company shall pay to the Placement Agent and/or its respective designees a cash fee of 6.0% of the aggregate gross proceeds raised from the sale of the Placement Agent Securities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A credit will be applied to the Company on the Closing Date equal to $3,000,000.00. The Cash Fee shall be paid on the Closing Date. Concurrently out of the proceeds of the closing the Company also agrees to reimburse A.G.P for accountable legal fees and other out-of-pocket expenses incurred by A.G.P in connection with the transaction in an amount not to exceed $120,000, as well as non-accountable expenses (the “</w:t>
      </w:r>
      <w:r>
        <w:rPr>
          <w:rFonts w:ascii="Times New Roman" w:cs="Times New Roman" w:eastAsia="Times New Roman" w:hAnsi="Times New Roman"/>
          <w:sz w:val="18"/>
          <w:szCs w:val="18"/>
          <w:b w:val="1"/>
          <w:bCs w:val="1"/>
          <w:color w:val="auto"/>
        </w:rPr>
        <w:t>NAE</w:t>
      </w:r>
      <w:r>
        <w:rPr>
          <w:rFonts w:ascii="Times New Roman" w:cs="Times New Roman" w:eastAsia="Times New Roman" w:hAnsi="Times New Roman"/>
          <w:sz w:val="18"/>
          <w:szCs w:val="18"/>
          <w:color w:val="auto"/>
        </w:rPr>
        <w:t>”) including, but not limited to, IPREO software related expenses, background check(s), marketing related expenses; i.e. roadshow, travel, et al. and any other expenses incurred by A.G.P. in connection with the transaction, (provided, however, that such reimbursement amount in no way limits or impairs the indemnification and contribution provisions of this Agreement). The total NAE allowances shall not exceed $10,000. A.G.P will provide an accounting of legal and out-of-pocket expenses and NAE prior to payment. The Placement Agent reserves the right to reduce any item of compensation, including the reimbursement of expenses, or adjust the terms thereof as specified herein in the event that a determination shall be made by FINRA to the effect that the Placement Agent’s aggregate compensation is in excess of FINRA Rules or that the terms thereof require adjustment.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 To the extent permitted by law, with respect to the Placement Agent Securities, the Company will indemnify the Placement Agent and its affiliates, stockholders, directors, officers, employees, members and controlling persons (within the meaning of Section 15 of the Securities Act or Section 20 of the Exchange Act) against all losses, claims, damages, expenses and liabilities, as the same are incurred (including the reasonable fees and expenses of counsel), relating to or arising out of its activities hereunder or pursuant to this Agreement, except to the extent that any losses, claims, damages, expenses or liabilities (or actions in respect thereof) are found in a final judgment (not subject to appeal) by a court of law to have resulted primarily and directly from the Placement Agent’s fraud, willful misconduct or gross negligence in performing the services described herein.</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B. Promptly after receipt by the Placement Agent of notice of any claim or the commencement of any action or proceeding with respect to which the Placement Agent is entitled to indemnity hereunder, the Placement Agent will notify the Company in writing of such claim or of the commencement of such action or proceeding, but failure to so notify the Company shall not relieve the Company from any obligation it may have hereunder, except and only to the extent such failure results in the forfeiture by the Company of substantial rights and defenses. If the Company so elects or is requested by the Placement Agent, the Company will assume the defense of such action or proceeding and will employ counsel reasonably satisfactory to the Placement Agent and will pay the fees and expenses of such counsel. Notwithstanding the preceding sentence, the Placement Agent will be entitled to employ counsel separate from counsel for the Company and from any other party in such action if counsel for the Placement Agent reasonably determines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that it would be inappropriate under the applicable rules of professional responsibility for the same counsel to represent both the Company and the Placement Agent. In such event, the reasonable fees and disbursements of no more than one (1) such separate counsel will be paid by the Company, in addition to fees of local counsel. The Company will have the right to settle the claim or proceeding provided that the Company will not settle any such claim, action or proceeding without the prior written consent of the Placement Agent, which will not be unreasonably withheld. The Company shall not be liable for any settlement of any action effected without its written consent, which will not be unreasonably withheld.</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C. The Company agrees to notify the Placement Agent promptly of the assertion against it or any other person of any claim or the commencement of any action or proceeding relating to a transaction contemplated by this Agreement.</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D. If for any reason the foregoing indemnity is unavailable to the Placement Agent or insufficient to hold the Placement Agent harmless, then the Company shall contribute to the amount paid or payable by the Placement Agent as a result of such losses, claims, damages or liabilities in such proportion as is appropriate to reflect not only the relative benefits received by the Company on the one hand and the Placement Agent on the other, but also the relative fault of the Company on the one hand and the Placement Agent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Placement Agent’s share of the liability hereunder shall not be in excess of the amount of fees actually received, or to be received, by the Placement Agent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 These indemnification provisions shall remain in full force and effect whether or not the transaction contemplated by this Agreement is completed and shall survive the termination of this Agreement, and shall be in addition to any liability that the Company might otherwise have to any indemnified party under this Agreement or otherwise.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will commence on the date hereof and continue through the Closing Date. The date of termination of this Agreement is referred to herein as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In the event, however, in the course of the Placement Agent’s performance of due diligence it deems it necessary to terminate the engagement, the Placement Agent may do so prior to the Termination Date. The Company may elect to terminate the engagement hereunder for any reason prior to the Termination Date but will remain responsible for fees and expenses pursuant to Section 3 hereof and fees and expenses with respect to the Placement Agent Securities, if sold in the Placement. Notwithstanding anything to the contrary contained herein, the provisions concerning the Company’s obligation to pay any fees or expenses actually earned pursuant to Section 3 hereof and the provisions concerning confidentiality, indemnification and contribution contained herein will survive any expiration or termination of this Agreement. If this Agreement is terminated prior to the completion of the Placement, all fees or expenses due to the Placement Agent shall be paid by the Company to the Placement Agent on or before the Termination Date (in the event such fees or expenses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9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AGENT INFORMATION</w:t>
      </w:r>
      <w:r>
        <w:rPr>
          <w:rFonts w:ascii="Times New Roman" w:cs="Times New Roman" w:eastAsia="Times New Roman" w:hAnsi="Times New Roman"/>
          <w:sz w:val="18"/>
          <w:szCs w:val="18"/>
          <w:color w:val="auto"/>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This Agreement does not create, and shall not be construed as creating rights enforceable by any person or entity not a party hereto, except those entitled hereto by virtue of the indemnification provisions hereof. The Company acknowledges and agrees that the Placement Agent is not and shall not be construed as a fiduciary of the Company and shall have no duties or liabilities to the equity holders or the creditors of the Company or any other person by virtue of this Agreement or the retention of the Placement Agent hereunder, all of which are hereby expressly waived.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jc w:val="both"/>
        <w:ind w:firstLine="749"/>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Placement Agent Securities hereunder are subject to the accuracy, when made and on the Closing Date, of the representations and warranties on the part of the Company contained herein and in the Purchase Agreement, to the performance by the Company of its obligations hereunder and in the Purchase Agreement, and to each of the following additional terms and conditions, except as otherwise disclosed to and acknowledged and waived by the Placement Agent:</w:t>
      </w:r>
    </w:p>
    <w:p>
      <w:pPr>
        <w:spacing w:after="0" w:line="180"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A. All corporate proceedings and other legal matters incident to the authorization, form, execution, delivery and validity of each of this Agreement, the Placement Agent Securities, and all other legal matters relating to this Agreement and the transactions contemplated hereby with respect to the Placement Agent Securities shall be reasonably satisfactory in all material respects to the Placement Agent.</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B. The Placement Agent shall have received legal opinions of Company US Counsel and Company UK Counsel, directed to the Placement Agent with respect to the Placement Agent Securities, addressed to the Placement Agent and dated as of the Closing Date, in form and substance reasonably satisfactory to the Placement Agent.</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18"/>
          <w:szCs w:val="18"/>
          <w:color w:val="auto"/>
        </w:rPr>
        <w:t>C. The Placement Agent shall have received customary certificates of the Company’s executive officers, as to the accuracy of the representations and warranties contained in the Purchase Agreement, and a certificate of the Company’s secretary certifying that each of the Company’s charter documents are true and complete, have not been modified and are in full force and effect; (ii) that the resolutions of the Company’s Board of Directors relating to the Placement are in full force and effect and have not been modified; and (iii) as to the incumbency of the officers of the Company.</w:t>
      </w:r>
    </w:p>
    <w:p>
      <w:pPr>
        <w:spacing w:after="0" w:line="180"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18"/>
          <w:szCs w:val="18"/>
          <w:color w:val="auto"/>
        </w:rPr>
        <w:t>D. The Ordinary Shares shall be registered under the Exchange Act in accordance with the terms of the Purchase Agreement and, as of the Closing Date, the Shares and Ordinary Shares issuable upon exercise of the Pre-Funded Warrants, if any, shall be of a class of securities listed and admitted and authorized for trading on the Trading Market or other applicable U.S. national exchange and a copy of the irrevocable instructions to the Transfer Agent in accordance with the terms of the Purchase Agreement shall have been provided to the Placement Agent. The Company shall have taken no action designed to, or likely to have the effect of terminating the registration of the Ordinary Shares under the Exchange Act or delisting or suspending from trading the Ordinary Shares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E. No action shall have been taken and no statute, rule, regulation or order shall have been enacted, adopted or issued by any governmental agency or body which would, as of the Closing Date, prevent the issuance or sale of the Placement Agent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Placement Agent Securities or materially and adversely affect or potentially and adversely affect the business or operations of the Company.</w:t>
      </w:r>
    </w:p>
    <w:p>
      <w:pPr>
        <w:spacing w:after="0" w:line="183"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F. The Company shall have entered into a Purchase Agreement with the Purchasers of the Placement Agent Securities and such agreement shall be in full force and effect and shall contain representations, warranties and covenants of the Company as agreed upon between the Company and the Purchasers.</w:t>
      </w:r>
    </w:p>
    <w:p>
      <w:pPr>
        <w:spacing w:after="0" w:line="176" w:lineRule="exact"/>
        <w:rPr>
          <w:sz w:val="20"/>
          <w:szCs w:val="20"/>
          <w:color w:val="auto"/>
        </w:rPr>
      </w:pPr>
    </w:p>
    <w:p>
      <w:pPr>
        <w:jc w:val="both"/>
        <w:ind w:firstLine="1497"/>
        <w:spacing w:after="0" w:line="266" w:lineRule="auto"/>
        <w:rPr>
          <w:sz w:val="20"/>
          <w:szCs w:val="20"/>
          <w:color w:val="auto"/>
        </w:rPr>
      </w:pPr>
      <w:r>
        <w:rPr>
          <w:rFonts w:ascii="Times New Roman" w:cs="Times New Roman" w:eastAsia="Times New Roman" w:hAnsi="Times New Roman"/>
          <w:sz w:val="18"/>
          <w:szCs w:val="18"/>
          <w:color w:val="auto"/>
        </w:rPr>
        <w:t>G. FINRA shall have raised no objection to the fairness and reasonableness of the terms and arrangements of this Agreement. In addition, the Company shall, if requested by the Placement Agent, make or authorize Placement Agent’s counsel to make on the Company’s behalf, any necessary filing with the FINRA Corporate Financing Department with respect to the Placement and pay all filing fees required in connection therewith.</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any of the conditions specified in this Section 8 shall not have been fulfilled when and as required by this Agreement, all obligations of the Placement Agent hereunder may be cancelled by the Placement Agent at, or at any time prior to, the Closing Date. Notice of such cancellation shall be given to the Company in writing or orally. Any such oral notice shall be confirmed promptly thereafter in writing.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1" w:name="page42"/>
    <w:bookmarkEnd w:id="41"/>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without regard to its conflict of laws principles.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this Agreement, then the prevailing party in such action or proceeding shall be reimbursed by the other party for its attorney’s fees and other costs and expenses incurred with the investigation, preparation and prosecution of such action or proceeding.</w:t>
      </w:r>
    </w:p>
    <w:p>
      <w:pPr>
        <w:spacing w:after="0" w:line="18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ENTIRE AGREEMENT/MISCELLANEOUS</w:t>
      </w:r>
      <w:r>
        <w:rPr>
          <w:rFonts w:ascii="Times New Roman" w:cs="Times New Roman" w:eastAsia="Times New Roman" w:hAnsi="Times New Roman"/>
          <w:sz w:val="18"/>
          <w:szCs w:val="18"/>
          <w:color w:val="auto"/>
        </w:rPr>
        <w:t>. This Agreement embodies the entire agreement and understanding between the parties hereto,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Dates of the Placement and delivery of the Placement Agent Securities.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on and after the Closing Date,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2" w:name="page43"/>
    <w:bookmarkEnd w:id="42"/>
    <w:p>
      <w:pPr>
        <w:spacing w:after="0" w:line="194"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Please confirm that the foregoing correctly sets forth our agreement by signing and returning to the Placement Agent the enclosed copy of this Agreement.</w:t>
      </w: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Higgins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Higgins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590 Madison Avenue, 28th Floor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Attn: Thomas J. Higgins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thiggins@allianceg.com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Rezolve AI plc</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Attn: Daniel Wagner, Chief Executive Officer and Chairman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Placement Agency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897255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Rezolve Ai Announces $250 Million Registered Direct Offering led by Existing and New Fundamental Institutional Investors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NEW YORK, January 20, 2025 (GLOBE NEWSWIRE) -- Rezolve Ai (NASDAQ: RZLV), a leader in Agentic Commerce and AI-powered customer engagement, today announced that it has entered into securities purchase agreements led by existing and new fundamental institutional investors for the purchase and sale of 62,500,000 ordinary shares at a purchase price of $4.00 per share, pursuant to a registered direct offering, resulting in gross proceeds of approximately $250 million, before deducting placement agent commissions and other offering expenses. The closing of the offering is expected to occur on or about January 21, 2026, subject to the satisfaction of customary closing conditions.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intends to use the net proceeds from the offering for accelerated investment into its sales organization, potential accretive M&amp;A opportunities and general corporate and working capital purposes.</w:t>
      </w:r>
    </w:p>
    <w:p>
      <w:pPr>
        <w:spacing w:after="0" w:line="17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A.G.P./Alliance Global Partners is acting as lead placement agent for the offering, with Titan Partners and Maxim Group LLC serving as co-placement agents. Cantor Fitzgerald &amp; Co., Roth Capital Partners, and Northland Capital Markets acted as financial advisors in the offering.</w:t>
      </w:r>
    </w:p>
    <w:p>
      <w:pPr>
        <w:spacing w:after="0" w:line="15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offering is being made pursuant to an effective shelf registration statement on Form F-3 (File No. 333-291842) which was declared effective by the Securities and Exchange Commission (the “SEC”) on December 19, 2025. The offering is made only by means of a prospectus which is part of the effective registration statement. A prospectus supplement and the accompanying prospectus relating to the registered direct offering will be filed with the SEC and will be available on the SEC's website located at http://www.sec.gov. Additionally, when available, electronic copies of the prospectus supplement and the accompanying prospectus may be obtained, when available, from A.G.P./Alliance Global Partners, 590 Madison Avenue, 28th Floor, New York, NY 10022, or by telephone at (212) 624-2060, or by email at prospectus@allianceg.com.</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press release shall not constitute an offer to sell or the solicitation of an offer to buy any of the securities described herein,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Rezolve AI</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Rezolve Ai (NASDAQ: RZLV) (the “Company”) is an industry leader in AI-powered solutions, specializing in enhancing customer engagement, operational efficiency, and revenue growth. The Company’s “Brain Suite” is an innovative AI platform built for Agentic Commerce, delivering advanced tools that harness artificial intelligence to power search, transact, fulfill, and personalize at global scale. For more information, visit www.rezolve.com.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This press release includes “forward-looking statements” within the meaning of the “safe harbor” provisions of the Private Securities Litigation Reform Act of 1996. The actual results of Rezolve AI plc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Forward-looking statements in this press release include Rezolve’s statements regarding the timing of the closing of the offering and the expected use of proceeds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9"/>
          <w:szCs w:val="19"/>
          <w:color w:val="auto"/>
        </w:rPr>
        <w:t>offering. These forward-looking statements involve significant risks and uncertainties that could cause the actual results to differ materially from the expected results.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w:t>
      </w:r>
    </w:p>
    <w:p>
      <w:pPr>
        <w:spacing w:after="0" w:line="4" w:lineRule="exact"/>
        <w:rPr>
          <w:sz w:val="20"/>
          <w:szCs w:val="20"/>
          <w:color w:val="auto"/>
        </w:rPr>
      </w:pPr>
    </w:p>
    <w:p>
      <w:pPr>
        <w:jc w:val="both"/>
        <w:ind w:firstLine="8"/>
        <w:spacing w:after="0"/>
        <w:tabs>
          <w:tab w:leader="none" w:pos="28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investors@rezolve.com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1."/>
      <w:numFmt w:val="decimal"/>
      <w:start w:val="2"/>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3"/>
    </w:lvl>
  </w:abstractNum>
  <w:abstractNum w:abstractNumId="8">
    <w:nsid w:val="71F32454"/>
    <w:multiLevelType w:val="hybridMultilevel"/>
    <w:lvl w:ilvl="0">
      <w:lvlJc w:val="left"/>
      <w:lvlText w:val="(%1)"/>
      <w:numFmt w:val="lowerLetter"/>
      <w:start w:val="14"/>
    </w:lvl>
  </w:abstractNum>
  <w:abstractNum w:abstractNumId="9">
    <w:nsid w:val="2CA88611"/>
    <w:multiLevelType w:val="hybridMultilevel"/>
    <w:lvl w:ilvl="0">
      <w:lvlJc w:val="left"/>
      <w:lvlText w:val="(%1)"/>
      <w:numFmt w:val="lowerLetter"/>
      <w:start w:val="22"/>
    </w:lvl>
  </w:abstractNum>
  <w:abstractNum w:abstractNumId="10">
    <w:nsid w:val="836C40E"/>
    <w:multiLevelType w:val="hybridMultilevel"/>
    <w:lvl w:ilvl="0">
      <w:lvlJc w:val="left"/>
      <w:lvlText w:val="(%1)"/>
      <w:numFmt w:val="lowerRoman"/>
      <w:start w:val="1"/>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1)"/>
      <w:numFmt w:val="lowerRoman"/>
      <w:start w:val="3"/>
    </w:lvl>
  </w:abstractNum>
  <w:abstractNum w:abstractNumId="13">
    <w:nsid w:val="8138641"/>
    <w:multiLevelType w:val="hybridMultilevel"/>
    <w:lvl w:ilvl="0">
      <w:lvlJc w:val="left"/>
      <w:lvlText w:val="(%1)"/>
      <w:numFmt w:val="lowerRoman"/>
      <w:start w:val="5"/>
    </w:lvl>
  </w:abstractNum>
  <w:abstractNum w:abstractNumId="14">
    <w:nsid w:val="1E7FF521"/>
    <w:multiLevelType w:val="hybridMultilevel"/>
    <w:lvl w:ilvl="0">
      <w:lvlJc w:val="left"/>
      <w:lvlText w:val="(%1)"/>
      <w:numFmt w:val="lowerRoman"/>
      <w:start w:val="6"/>
    </w:lvl>
  </w:abstractNum>
  <w:abstractNum w:abstractNumId="15">
    <w:nsid w:val="7C3DBD3D"/>
    <w:multiLevelType w:val="hybridMultilevel"/>
    <w:lvl w:ilvl="0">
      <w:lvlJc w:val="left"/>
      <w:lvlText w:val="%1"/>
      <w:numFmt w:val="lowerLetter"/>
      <w:start w:val="1"/>
    </w:lvl>
    <w:lvl w:ilvl="1">
      <w:lvlJc w:val="left"/>
      <w:lvlText w:val="(%2)"/>
      <w:numFmt w:val="lowerRoman"/>
      <w:start w:val="7"/>
    </w:lvl>
  </w:abstractNum>
  <w:abstractNum w:abstractNumId="16">
    <w:nsid w:val="737B8DDC"/>
    <w:multiLevelType w:val="hybridMultilevel"/>
    <w:lvl w:ilvl="0">
      <w:lvlJc w:val="left"/>
      <w:lvlText w:val="(%1)"/>
      <w:numFmt w:val="lowerLetter"/>
      <w:start w:val="24"/>
    </w:lvl>
    <w:lvl w:ilvl="1">
      <w:lvlJc w:val="left"/>
      <w:lvlText w:val="%2"/>
      <w:numFmt w:val="lowerRoman"/>
      <w:start w:val="1"/>
    </w:lvl>
  </w:abstractNum>
  <w:abstractNum w:abstractNumId="17">
    <w:nsid w:val="6CEAF087"/>
    <w:multiLevelType w:val="hybridMultilevel"/>
    <w:lvl w:ilvl="0">
      <w:lvlJc w:val="left"/>
      <w:lvlText w:val="(%1)"/>
      <w:numFmt w:val="lowerLetter"/>
      <w:start w:val="27"/>
    </w:lvl>
  </w:abstractNum>
  <w:abstractNum w:abstractNumId="18">
    <w:nsid w:val="22221A70"/>
    <w:multiLevelType w:val="hybridMultilevel"/>
    <w:lvl w:ilvl="0">
      <w:lvlJc w:val="left"/>
      <w:lvlText w:val="%1."/>
      <w:numFmt w:val="decimal"/>
      <w:start w:val="4"/>
    </w:lvl>
  </w:abstractNum>
  <w:abstractNum w:abstractNumId="19">
    <w:nsid w:val="4516DDE9"/>
    <w:multiLevelType w:val="hybridMultilevel"/>
    <w:lvl w:ilvl="0">
      <w:lvlJc w:val="left"/>
      <w:lvlText w:val="%1."/>
      <w:numFmt w:val="decimal"/>
      <w:start w:val="5"/>
    </w:lvl>
  </w:abstractNum>
  <w:abstractNum w:abstractNumId="20">
    <w:nsid w:val="3006C83E"/>
    <w:multiLevelType w:val="hybridMultilevel"/>
    <w:lvl w:ilvl="0">
      <w:lvlJc w:val="left"/>
      <w:lvlText w:val="%1."/>
      <w:numFmt w:val="decimal"/>
      <w:start w:val="6"/>
    </w:lvl>
  </w:abstractNum>
  <w:abstractNum w:abstractNumId="21">
    <w:nsid w:val="614FD4A1"/>
    <w:multiLevelType w:val="hybridMultilevel"/>
    <w:lvl w:ilvl="0">
      <w:lvlJc w:val="left"/>
      <w:lvlText w:val="(%1)"/>
      <w:numFmt w:val="lowerLetter"/>
      <w:start w:val="1"/>
    </w:lvl>
  </w:abstractNum>
  <w:abstractNum w:abstractNumId="22">
    <w:nsid w:val="419AC241"/>
    <w:multiLevelType w:val="hybridMultilevel"/>
    <w:lvl w:ilvl="0">
      <w:lvlJc w:val="left"/>
      <w:lvlText w:val="(%1)"/>
      <w:numFmt w:val="lowerLetter"/>
      <w:start w:val="9"/>
    </w:lvl>
  </w:abstractNum>
  <w:abstractNum w:abstractNumId="23">
    <w:nsid w:val="5577F8E1"/>
    <w:multiLevelType w:val="hybridMultilevel"/>
    <w:lvl w:ilvl="0">
      <w:lvlJc w:val="left"/>
      <w:lvlText w:val="(%1)"/>
      <w:numFmt w:val="lowerRoman"/>
      <w:start w:val="2"/>
    </w:lvl>
  </w:abstractNum>
  <w:abstractNum w:abstractNumId="24">
    <w:nsid w:val="440BADFC"/>
    <w:multiLevelType w:val="hybridMultilevel"/>
    <w:lvl w:ilvl="0">
      <w:lvlJc w:val="left"/>
      <w:lvlText w:val="(%1)"/>
      <w:numFmt w:val="lowerRoman"/>
      <w:start w:val="1"/>
    </w:lvl>
  </w:abstractNum>
  <w:abstractNum w:abstractNumId="25">
    <w:nsid w:val="5072367"/>
    <w:multiLevelType w:val="hybridMultilevel"/>
    <w:lvl w:ilvl="0">
      <w:lvlJc w:val="left"/>
      <w:lvlText w:val="(%1)"/>
      <w:numFmt w:val="lowerRoman"/>
      <w:start w:val="1"/>
    </w:lvl>
  </w:abstractNum>
  <w:abstractNum w:abstractNumId="26">
    <w:nsid w:val="3804823E"/>
    <w:multiLevelType w:val="hybridMultilevel"/>
    <w:lvl w:ilvl="0">
      <w:lvlJc w:val="left"/>
      <w:lvlText w:val="(%1)"/>
      <w:numFmt w:val="lowerRoman"/>
      <w:start w:val="1"/>
    </w:lvl>
  </w:abstractNum>
  <w:abstractNum w:abstractNumId="27">
    <w:nsid w:val="77465F01"/>
    <w:multiLevelType w:val="hybridMultilevel"/>
    <w:lvl w:ilvl="0">
      <w:lvlJc w:val="left"/>
      <w:lvlText w:val="(%1)"/>
      <w:numFmt w:val="lowerLetter"/>
      <w:start w:val="1"/>
    </w:lvl>
  </w:abstractNum>
  <w:abstractNum w:abstractNumId="28">
    <w:nsid w:val="7724C67E"/>
    <w:multiLevelType w:val="hybridMultilevel"/>
    <w:lvl w:ilvl="0">
      <w:lvlJc w:val="left"/>
      <w:lvlText w:val="(%1)"/>
      <w:numFmt w:val="lowerLetter"/>
      <w:start w:val="2"/>
    </w:lvl>
  </w:abstractNum>
  <w:abstractNum w:abstractNumId="29">
    <w:nsid w:val="5C482A97"/>
    <w:multiLevelType w:val="hybridMultilevel"/>
    <w:lvl w:ilvl="0">
      <w:lvlJc w:val="left"/>
      <w:lvlText w:val="(%1)"/>
      <w:numFmt w:val="lowerLetter"/>
      <w:start w:val="6"/>
    </w:lvl>
  </w:abstractNum>
  <w:abstractNum w:abstractNumId="30">
    <w:nsid w:val="2463B9EA"/>
    <w:multiLevelType w:val="hybridMultilevel"/>
    <w:lvl w:ilvl="0">
      <w:lvlJc w:val="left"/>
      <w:lvlText w:val="(%1)"/>
      <w:numFmt w:val="lowerLetter"/>
      <w:start w:val="9"/>
    </w:lvl>
  </w:abstractNum>
  <w:abstractNum w:abstractNumId="31">
    <w:nsid w:val="5E884ADC"/>
    <w:multiLevelType w:val="hybridMultilevel"/>
    <w:lvl w:ilvl="0">
      <w:lvlJc w:val="left"/>
      <w:lvlText w:val="(%1)"/>
      <w:numFmt w:val="lowerLetter"/>
      <w:start w:val="12"/>
    </w:lvl>
  </w:abstractNum>
  <w:abstractNum w:abstractNumId="32">
    <w:nsid w:val="51EAD36B"/>
    <w:multiLevelType w:val="hybridMultilevel"/>
    <w:lvl w:ilvl="0">
      <w:lvlJc w:val="left"/>
      <w:lvlText w:val="(%1)"/>
      <w:numFmt w:val="lowerLetter"/>
      <w:start w:val="17"/>
    </w:lvl>
  </w:abstractNum>
  <w:abstractNum w:abstractNumId="33">
    <w:nsid w:val="2D517796"/>
    <w:multiLevelType w:val="hybridMultilevel"/>
    <w:lvl w:ilvl="0">
      <w:lvlJc w:val="left"/>
      <w:lvlText w:val="(%1)"/>
      <w:numFmt w:val="lowerLetter"/>
      <w:start w:val="21"/>
    </w:lvl>
  </w:abstractNum>
  <w:abstractNum w:abstractNumId="34">
    <w:nsid w:val="580BD78F"/>
    <w:multiLevelType w:val="hybridMultilevel"/>
    <w:lvl w:ilvl="0">
      <w:lvlJc w:val="left"/>
      <w:lvlText w:val="(%1)"/>
      <w:numFmt w:val="lowerLetter"/>
      <w:start w:val="27"/>
    </w:lvl>
  </w:abstractNum>
  <w:abstractNum w:abstractNumId="35">
    <w:nsid w:val="153EA438"/>
    <w:multiLevelType w:val="hybridMultilevel"/>
    <w:lvl w:ilvl="0">
      <w:lvlJc w:val="left"/>
      <w:lvlText w:val="(%1)"/>
      <w:numFmt w:val="lowerLetter"/>
      <w:start w:val="28"/>
    </w:lvl>
  </w:abstractNum>
  <w:abstractNum w:abstractNumId="36">
    <w:nsid w:val="3855585C"/>
    <w:multiLevelType w:val="hybridMultilevel"/>
    <w:lvl w:ilvl="0">
      <w:lvlJc w:val="left"/>
      <w:lvlText w:val="%1"/>
      <w:numFmt w:val="lowerRoman"/>
      <w:start w:val="1"/>
    </w:lvl>
    <w:lvl w:ilvl="1">
      <w:lvlJc w:val="left"/>
      <w:lvlText w:val="(%2)"/>
      <w:numFmt w:val="lowerRoman"/>
      <w:start w:val="2"/>
    </w:lvl>
  </w:abstractNum>
  <w:abstractNum w:abstractNumId="37">
    <w:nsid w:val="70A64E2A"/>
    <w:multiLevelType w:val="hybridMultilevel"/>
    <w:lvl w:ilvl="0">
      <w:lvlJc w:val="left"/>
      <w:lvlText w:val="(%1)"/>
      <w:numFmt w:val="lowerRoman"/>
      <w:start w:val="4"/>
    </w:lvl>
    <w:lvl w:ilvl="1">
      <w:lvlJc w:val="left"/>
      <w:lvlText w:val="%2"/>
      <w:numFmt w:val="lowerRoman"/>
      <w:start w:val="1"/>
    </w:lvl>
  </w:abstractNum>
  <w:abstractNum w:abstractNumId="38">
    <w:nsid w:val="6A2342EC"/>
    <w:multiLevelType w:val="hybridMultilevel"/>
    <w:lvl w:ilvl="0">
      <w:lvlJc w:val="left"/>
      <w:lvlText w:val="(%1)"/>
      <w:numFmt w:val="lowerLetter"/>
      <w:start w:val="36"/>
    </w:lvl>
  </w:abstractNum>
  <w:abstractNum w:abstractNumId="39">
    <w:nsid w:val="2A487CB0"/>
    <w:multiLevelType w:val="hybridMultilevel"/>
    <w:lvl w:ilvl="0">
      <w:lvlJc w:val="left"/>
      <w:lvlText w:val="(%1)"/>
      <w:numFmt w:val="lowerLetter"/>
      <w:start w:val="39"/>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2"/>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lowerRoman"/>
      <w:start w:val="1"/>
    </w:lvl>
  </w:abstractNum>
  <w:abstractNum w:abstractNumId="44">
    <w:nsid w:val="7A6D8D3C"/>
    <w:multiLevelType w:val="hybridMultilevel"/>
    <w:lvl w:ilvl="0">
      <w:lvlJc w:val="left"/>
      <w:lvlText w:val="(%1)"/>
      <w:numFmt w:val="upp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2026-01-20T16:51:04Z</dcterms:created>
  <dcterms:modified xsi:type="dcterms:W3CDTF">2026-01-20T16:51:04Z</dcterms:modified>
</cp:coreProperties>
</file>