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Rezolve AI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Penny Minna</w:t>
              <w:br/>
              <w:t xml:space="preserve">650 S. Exeter Street #1100, </w:t>
              <w:br/>
              <w:t>Baltimore, MD, 21202</w:t>
              <w:br/>
              <w:t>410-580-3000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Daniel Maurice Wagner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4,698,505.00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47,785,117.00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4,698,505.00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47,785,117.00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52,483,622.00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(1) Aggregate amount beneficially owned includes (i) 4,698,505 shares held directly by Daniel Wagner and (ii) 47,785,117 shares held directly by DBLP Sea Cow Limited ("DBLP"). Excludes 3,592,193 shares directly held by DBLP that are subject to a call option currently exercisable by Brad Wickens, in which DBLP has no voting or investment power over such shares. DBLP is wholly owned by Daniel Wagner; therefore, the shares of DBLP are deemed to be beneficially owned by him, and he may be deemed to have voting and investment power over the shares held by DBLP. (2) All percentage calculations herein are based on 336,327,587 Ordinary Shares outstanding as of December 31, 2025, as disclosed in the Issuer's Annual Report on Form 20-F filed March 30,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6"/>
        <w:gridCol w:w="8059"/>
      </w:tblGrid>
      <w:tr>
        <w:trPr/>
        <w:tc>
          <w:tcPr>
            <w:tcW w:w="2146" w:type="dxa"/>
            <w:tcBorders/>
            <w:vAlign w:val="center"/>
          </w:tcPr>
          <w:p>
            <w:pPr>
              <w:pStyle w:val="TableContents"/>
              <w:bidi w:val="0"/>
              <w:spacing w:before="0" w:after="283"/>
              <w:jc w:val="left"/>
              <w:rPr/>
            </w:pPr>
            <w:r>
              <w:rPr/>
              <w:t>1</w:t>
            </w:r>
          </w:p>
        </w:tc>
        <w:tc>
          <w:tcPr>
            <w:tcW w:w="805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Estate of John Wagner</w:t>
            </w:r>
          </w:p>
        </w:tc>
      </w:tr>
      <w:tr>
        <w:trPr/>
        <w:tc>
          <w:tcPr>
            <w:tcW w:w="2146" w:type="dxa"/>
            <w:tcBorders/>
            <w:vAlign w:val="center"/>
          </w:tcPr>
          <w:p>
            <w:pPr>
              <w:pStyle w:val="TableContents"/>
              <w:bidi w:val="0"/>
              <w:spacing w:before="0" w:after="283"/>
              <w:jc w:val="left"/>
              <w:rPr/>
            </w:pPr>
            <w:r>
              <w:rPr/>
              <w:t>2</w:t>
            </w:r>
          </w:p>
        </w:tc>
        <w:tc>
          <w:tcPr>
            <w:tcW w:w="805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6" w:type="dxa"/>
            <w:tcBorders/>
            <w:vAlign w:val="center"/>
          </w:tcPr>
          <w:p>
            <w:pPr>
              <w:pStyle w:val="TableContents"/>
              <w:bidi w:val="0"/>
              <w:spacing w:before="0" w:after="283"/>
              <w:jc w:val="left"/>
              <w:rPr/>
            </w:pPr>
            <w:r>
              <w:rPr/>
              <w:t>3</w:t>
            </w:r>
          </w:p>
        </w:tc>
        <w:tc>
          <w:tcPr>
            <w:tcW w:w="8059" w:type="dxa"/>
            <w:tcBorders/>
            <w:vAlign w:val="center"/>
          </w:tcPr>
          <w:p>
            <w:pPr>
              <w:pStyle w:val="TableContents"/>
              <w:bidi w:val="0"/>
              <w:spacing w:before="0" w:after="283"/>
              <w:jc w:val="left"/>
              <w:rPr/>
            </w:pPr>
            <w:r>
              <w:rPr/>
              <w:t>SEC use only</w:t>
            </w:r>
          </w:p>
        </w:tc>
      </w:tr>
      <w:tr>
        <w:trPr/>
        <w:tc>
          <w:tcPr>
            <w:tcW w:w="2146" w:type="dxa"/>
            <w:tcBorders/>
            <w:vAlign w:val="center"/>
          </w:tcPr>
          <w:p>
            <w:pPr>
              <w:pStyle w:val="TableContents"/>
              <w:bidi w:val="0"/>
              <w:spacing w:before="0" w:after="283"/>
              <w:jc w:val="left"/>
              <w:rPr/>
            </w:pPr>
            <w:r>
              <w:rPr/>
              <w:t>4</w:t>
            </w:r>
          </w:p>
        </w:tc>
        <w:tc>
          <w:tcPr>
            <w:tcW w:w="805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6" w:type="dxa"/>
            <w:tcBorders/>
            <w:vAlign w:val="center"/>
          </w:tcPr>
          <w:p>
            <w:pPr>
              <w:pStyle w:val="TableContents"/>
              <w:bidi w:val="0"/>
              <w:spacing w:before="0" w:after="283"/>
              <w:jc w:val="left"/>
              <w:rPr/>
            </w:pPr>
            <w:r>
              <w:rPr/>
              <w:t>5</w:t>
            </w:r>
          </w:p>
        </w:tc>
        <w:tc>
          <w:tcPr>
            <w:tcW w:w="805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6" w:type="dxa"/>
            <w:tcBorders/>
            <w:vAlign w:val="center"/>
          </w:tcPr>
          <w:p>
            <w:pPr>
              <w:pStyle w:val="TableContents"/>
              <w:bidi w:val="0"/>
              <w:spacing w:before="0" w:after="283"/>
              <w:jc w:val="left"/>
              <w:rPr/>
            </w:pPr>
            <w:r>
              <w:rPr/>
              <w:t>6</w:t>
            </w:r>
          </w:p>
        </w:tc>
        <w:tc>
          <w:tcPr>
            <w:tcW w:w="805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4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819,958.00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819,958.00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9"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pPr>
            <w:r>
              <w:rPr/>
              <w:t>11</w:t>
            </w:r>
          </w:p>
        </w:tc>
        <w:tc>
          <w:tcPr>
            <w:tcW w:w="805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819,958.00</w:t>
            </w:r>
          </w:p>
        </w:tc>
      </w:tr>
      <w:tr>
        <w:trPr/>
        <w:tc>
          <w:tcPr>
            <w:tcW w:w="2146" w:type="dxa"/>
            <w:tcBorders/>
            <w:vAlign w:val="center"/>
          </w:tcPr>
          <w:p>
            <w:pPr>
              <w:pStyle w:val="TableContents"/>
              <w:bidi w:val="0"/>
              <w:spacing w:before="0" w:after="283"/>
              <w:jc w:val="left"/>
              <w:rPr/>
            </w:pPr>
            <w:r>
              <w:rPr/>
              <w:t>12</w:t>
            </w:r>
          </w:p>
        </w:tc>
        <w:tc>
          <w:tcPr>
            <w:tcW w:w="805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6" w:type="dxa"/>
            <w:tcBorders/>
            <w:vAlign w:val="center"/>
          </w:tcPr>
          <w:p>
            <w:pPr>
              <w:pStyle w:val="TableContents"/>
              <w:bidi w:val="0"/>
              <w:spacing w:before="0" w:after="283"/>
              <w:jc w:val="left"/>
              <w:rPr/>
            </w:pPr>
            <w:r>
              <w:rPr/>
              <w:t>13</w:t>
            </w:r>
          </w:p>
        </w:tc>
        <w:tc>
          <w:tcPr>
            <w:tcW w:w="805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0.24 % </w:t>
            </w:r>
          </w:p>
        </w:tc>
      </w:tr>
      <w:tr>
        <w:trPr/>
        <w:tc>
          <w:tcPr>
            <w:tcW w:w="2146" w:type="dxa"/>
            <w:tcBorders/>
            <w:vAlign w:val="center"/>
          </w:tcPr>
          <w:p>
            <w:pPr>
              <w:pStyle w:val="TableContents"/>
              <w:bidi w:val="0"/>
              <w:spacing w:before="0" w:after="283"/>
              <w:jc w:val="left"/>
              <w:rPr/>
            </w:pPr>
            <w:r>
              <w:rPr/>
              <w:t>14</w:t>
            </w:r>
          </w:p>
        </w:tc>
        <w:tc>
          <w:tcPr>
            <w:tcW w:w="805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securities beneficially owned by the Estate of John Wagner were acquired as a result of the death of John Wagner. The securities were acquired by the Estate of John Wagner by operation of law upon John Wagner's death. Therefore, the source of funds is inapplicable. (2) All percentage calculations herein are based on 336,327,587 Ordinary Shares outstanding as of December 31, 2025, as disclosed in the Issuer's Annual Report on Form 20-F filed March 30, 2026. (3) The Reporting Person is an estate to which the securities reported herein passed upon the death of John Wagner.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DBLP Sea Cow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47,785,117.00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47,785,117.00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47,785,117.00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14.21 %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(1) Excludes 3,592,193 shares directly held by DBLP that are subject to a call option currently exercisable by Brad Wickens, in which DBLP has no voting or investment power over such shares. DBLP is wholly owned by Daniel Wagner; therefore, the shares of DBLP are deemed to be beneficially owned by him, and he may be deemed to have voting and investment power over the shares held by DBLP. (2) All percentage calculations herein are based on 336,327,587 Ordinary Shares outstanding as of December 31, 2025, as disclosed in the Issuer's Annual Report on Form 20-F filed March 30,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Adam Wagner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750,000.00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47,785,117.00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47,785,117.00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48,535,117.00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14.43 %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(1) Aggregate amount beneficially owned includes (i) 743,750 shares directly owned by Mr. Adam Wagner, (ii) 6,250 shares underlying private warrants held by Mr. Adam Wagner, and (iii) 47,785,117 shares held directly by DBLP Sea Cow Limited ("DBLP"). Excludes 3,592,193 shares directly held by DBLP that are subject to a call option currently exercisable by Brad Wickens, in which DBLP has no voting or investment power over such shares. Mr. Adam Wagner is a director of DBLP and may be deemed to have voting and investment power over the shares held by DBLP. (2) All percentage calculations herein are based on 336,327,587 Ordinary Shares outstanding as of December 31, 2025, as disclosed in the Issuer's Annual Report on Form 20-F filed March 30,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4"/>
        <w:gridCol w:w="8890"/>
        <w:gridCol w:w="161"/>
      </w:tblGrid>
      <w:tr>
        <w:trPr/>
        <w:tc>
          <w:tcPr>
            <w:tcW w:w="1154"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Security and Issuer</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Rezolve AI plc</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 Sackville Street, London, UNITED KINGDOM , WIS 3DN.</w:t>
            </w:r>
          </w:p>
        </w:tc>
        <w:tc>
          <w:tcPr>
            <w:tcW w:w="161"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This Amendment No. 3 to Schedule 13D (the "Amendment") amends and supplements the Schedule 13D filed with the United States Securities and Exchange Commission ("SEC") on August 26, 2024 (as amended, the "Original Schedule 13D" and, together with this Amendment and the Amendments filed on March 19, 2025 and October 10, 2025, the "Schedule 13D"), relating to the ordinary shares, par value 0.0001 per share (the "Ordinary Shares"), of Rezolve AI plc, a public limited company registered under the laws of England and Wales with the registration number 14573691 (the "Issuer"), whose principal executive offices are located at 21 Sackville Street, London, WIS 3DN, United Kingdom. Except as specifically provided herein, this Amendment does not modify any of the information previously provided in the Original Schedule 13D. All disclosures in respect of items contained in the Original Schedule 13D where no new information is provided for such item in this Amendment is incorporated herein by reference. Capitalized terms used but not defined in this Amendment shall have the meanings ascribed to such terms in the Original Schedule 13D. This Amendment is being filed to report that (i) on March 18, the Company issued 8,040,733 shares at par value to DBLP in consideration for services rendered, and (ii) on April 2, 2026, DBLP purchased 273,319 shares from Mr. John Wagner's widow and 539,637 shares from M1 Real Estate Group at a price of $4.00 per share. </w:t>
            </w:r>
          </w:p>
        </w:tc>
      </w:tr>
      <w:tr>
        <w:trPr/>
        <w:tc>
          <w:tcPr>
            <w:tcW w:w="1154"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Identity and Background</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 xml:space="preserve">This Amendment is being filed jointly by (i) Daniel Maurice Wagner; (ii) the Estate of John Wagner; (iii) DBLP, and (iv) Mr. Adam Wagner (each individually, a "Reporting Person", and collectively, the "Reporting Persons"). </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The business address of Daniel Maurice Wagner, DBLP, and Adam Wagner is 21 Sackville Street, London, UNITED KINGDOM , WIS 3DN. The business address of the Estate of John Wagner is 53.316 Laddawan Village, Moo 1, Rangsit-Pathum Thani Road, Ban Klang Amphur Mueang, Patham Thani 12000, Thailand.</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 xml:space="preserve">Daniel Maurice Wagner is the Chief Executive Officer and a director of the Issuer. </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0"/>
              <w:jc w:val="left"/>
              <w:rPr/>
            </w:pPr>
            <w:r>
              <w:rPr/>
              <w:t>During the last five years, none of Reporting Persons has been convicted in a criminal proceeding (excluding traffic violations or similar misdemeanors).</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judgment, decree or final order enjoining future violations of, or prohibiting or mandating activities subject to, federal or state securities laws, or finding any violation with respect to such laws.</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0"/>
              <w:jc w:val="left"/>
              <w:rPr/>
            </w:pPr>
            <w:r>
              <w:rPr/>
              <w:t>United Kingdom</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Source and Amount of Funds or Other Consideration</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Item 3 of the Schedule 13D is hereby supplemented as follows: The responses to Items 1, 2, 4, 5 and 6 of this Amendment are incorporated into this Item 3 by reference in their entirety. On March 18, the Company issued 8,040,733 shares at par value to DBLP in consideration for services rendered. Additionally, on April 2, 2026, DBLP purchased 273,319 shares from Mr. John Wagner's widow and 539,637 shares from M1 Real Estate Group at a price of $4.00 per share. </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Purpose of Transaction</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Item 4 of the Schedule 13D is hereby supplemented as follows: The responses set forth in Items 1, 2, 3, 5 and 6 hereof are incorporated by reference in their entirety.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of Directors with respect to the business and affairs of the Issuer and may from time to time consider pursuing or proposing such matters with advisors, the Issuer, or other persons. </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Interest in Securities of the Issuer</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The information relating to the beneficial ownership of Ordinary Shares by each of the Reporting Persons set forth in Rows 7 through 13 of the cover pages hereto (including the footnotes thereto) is incorporated by reference.</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The information relating to the beneficial ownership of Ordinary Shares by each of the Reporting Persons set forth in Rows 7 through 13 of the cover pages hereto (including the footnotes thereto) is incorporated by reference.</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The Reporting Persons have not effected any transactions in the Ordinary Shares during the past 60 days except as disclosed in this Amendment 2, which information is incorporated by reference in this Item 5(c).</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0"/>
              <w:jc w:val="left"/>
              <w:rPr/>
            </w:pPr>
            <w:r>
              <w:rPr/>
              <w:t>The information in Items 1 and 2 is incorporated by reference into this Item 5(d).</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0"/>
              <w:jc w:val="left"/>
              <w:rPr/>
            </w:pPr>
            <w:r>
              <w:rPr/>
              <w:t>Not applicable.</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 </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Material to be Filed as Exhibits.</w:t>
            </w:r>
          </w:p>
        </w:tc>
        <w:tc>
          <w:tcPr>
            <w:tcW w:w="161"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1. Joint Filing Agreement dated April 23, 2026.</w:t>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Daniel Maurice Wagner</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Maurice Wagner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Maurice Wagner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04/23/2026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Estate of John Wagner</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Daniel Wagner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Daniel Wagner, Executor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04/23/2026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DBLP Sea Cow Limited</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Daniel Wagner</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Daniel Wagner, Director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04/23/2026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Adam Wagner</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Adam Wagner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Adam Wagner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04/23/2026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rzlv-ex99_1.htm"/>
      <w:bookmarkStart w:id="27" w:name="ksrzlvex99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JOINT FILING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Rule 13d-1(k)(1) under the Securities Exchange Act of 1934, as amended, the persons named below agree to the joint filing of a Statement on Schedule 13D (including amendments thereto) with respect to the ordinary shares, par value £0.0001 per share, of Rezolve AI plc, a public limited company registered under the laws of England and Wales with registration number 14573691, and further agree that this Joint Filing Agreement be included as an Exhibit thereto. In evidence thereof, the undersigned, being duly authorized, have executed this Joint Filing Agreement this 23rd day of April,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WITNESS WHEREOF, the undersigned have executed this Agreement as of the 23rd day of April, 2026.</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DANIEL WAGNER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Adam Wagner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ADAM WAGNER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Daniel Wagner, Executor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ESTATE OF JOHN WAGNER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DBLP SEA COW LIMITED</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2374</Words>
  <Characters>12236</Characters>
  <CharactersWithSpaces>14482</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