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333-290523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19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 xml:space="preserve">Up to 175,525,654 Ordinary Shares </w:t>
      </w:r>
      <w:r>
        <w:rPr>
          <w:rFonts w:ascii="Times New Roman" w:cs="Times New Roman" w:eastAsia="Times New Roman" w:hAnsi="Times New Roman"/>
          <w:sz w:val="18"/>
          <w:szCs w:val="18"/>
          <w:b w:val="1"/>
          <w:bCs w:val="1"/>
          <w:i w:val="1"/>
          <w:iCs w:val="1"/>
          <w:color w:val="auto"/>
        </w:rPr>
        <w:t>(for resale)</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issuance by us of up to 7,499,994 Ordinary Shares issuable upon the exercise of the Public Warrants.</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 holders named herein (the “Selling Holders”) of an aggregate of up to 175,525,654 Ordinary Shares issued or issuable to the Selling Holders, as described in this prospectus.</w:t>
      </w:r>
    </w:p>
    <w:p>
      <w:pPr>
        <w:spacing w:after="0" w:line="162"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54.5%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(“Nasdaq”) under the symbols “RZLV" and "RZLVW." On September 29, 2025, the closing price of the Ordinary Shares and Public Warrants was $5.24 per share and $1.9699 per warrant, respectively.</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225"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20" w:type="dxa"/>
            <w:vAlign w:val="bottom"/>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4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702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56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40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2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16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98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66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5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68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7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6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66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7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BALANCE SHEET</w:t>
            </w:r>
          </w:p>
        </w:tc>
        <w:tc>
          <w:tcPr>
            <w:tcW w:w="348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68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STATEMENT OF OPERATIONS</w:t>
            </w:r>
          </w:p>
        </w:tc>
        <w:tc>
          <w:tcPr>
            <w:tcW w:w="242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PRO FORMA CONDENSED COMBINED FINANCIAL INFORMATION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750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176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5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76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9"/>
          </w:tcPr>
          <w:p>
            <w:pPr>
              <w:spacing w:after="0"/>
              <w:rPr>
                <w:sz w:val="17"/>
                <w:szCs w:val="17"/>
                <w:color w:val="auto"/>
              </w:rPr>
            </w:pPr>
          </w:p>
        </w:tc>
        <w:tc>
          <w:tcPr>
            <w:tcW w:w="72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98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78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42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issuable upon the exercise of the Public Warrants. The Selling Holders may use the shelf registration statement to sell up to an aggregate of 175,525,654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August 15, 2025;</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means the unsecured convertible loan issued by Rezolve to Cohen &amp; Company Financial Management LLC on August 14, 2024;</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74"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4" w:name="page5"/>
    <w:bookmarkEnd w:id="4"/>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6" w:right="4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and Rezolve Merger Sub consummated the business combination pursuant to the terms of the Business Combination Agreement, dated as of December 17, 2021 (as amended or supplemented from time to time, the “Business Combination Agreement”), pursuant to which, among other things, (i) on July 4, 2024,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16884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26" w:lineRule="exact"/>
        <w:rPr>
          <w:sz w:val="20"/>
          <w:szCs w:val="20"/>
          <w:color w:val="auto"/>
        </w:rPr>
      </w:pPr>
    </w:p>
    <w:p>
      <w:pPr>
        <w:ind w:right="440" w:firstLine="8"/>
        <w:spacing w:after="0" w:line="223" w:lineRule="auto"/>
        <w:tabs>
          <w:tab w:leader="none" w:pos="10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right="240"/>
        <w:spacing w:after="0" w:line="258" w:lineRule="auto"/>
        <w:rPr>
          <w:sz w:val="20"/>
          <w:szCs w:val="20"/>
          <w:color w:val="auto"/>
        </w:rPr>
      </w:pPr>
      <w:r>
        <w:rPr>
          <w:rFonts w:ascii="Times New Roman" w:cs="Times New Roman" w:eastAsia="Times New Roman" w:hAnsi="Times New Roman"/>
          <w:sz w:val="18"/>
          <w:szCs w:val="18"/>
          <w:color w:val="auto"/>
        </w:rPr>
        <w:t>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registration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“Agreement”) to amend the Loan Note Instrument (the “Amendment”)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the date herof, none of the Convertible Notes remained outstanding under the Loan Note Instrument.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Bluedot Acquisition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“First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“First Bluedot Acquisition”).</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17, 2025, Rezolve entered into a Purchase Agreement (the “Second Bluedot Purchase Agreement”), by and between the Company and Tanist Group Limited, a limited company organized under the laws of the British Virgin Islands (“Tanist”), pursuant to which the Company agreed to purchase, and Tanist agreed to sell, the entire issued and to be issued share capital of Bluedot Innovation Pty. Ltd, an Australian proprietary limited company registered in South Australia 161 734 621 (the “Second Bluedot Acquisition, and together with the First Bluedot Acquisition, the “Bluedot Acquisition”).</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ind w:right="18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GroupBy Acquisition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“GroupBy Acquisition”).</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 Subscription Letter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GroupBy Acquisiton, on March 25, 2025, the Company entered into a Subscription Letter (the "Subscription Letter"), by and between the Company and WAB, pursuant to which the Company agreed to issue to WAB a number of Ordinary Shares equal to $12,300,000 (the "Subscription Shares").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consideration for the allotment of the Subscription Shares, WAB will irrevocably and unconditionally release and discharge the Company from the obligations owed by the Company to WAB.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a Settlement Agreement (the "DBLP Settlement Agreement") with DBLP, pursuant to which the Company agreed to issue DBLP 800,000 Ordinary Shares in exchange for the full and final settlement of all amounts owed to DBLP in the amount of $5,958,593.22.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24, 2025, Rezolve entered into certain securities purchase agreements (the "Purchase Agreements") with certain Selling Holders (the "Purchasers"), for the purchase and sale of 20,000,000 Ordinary Shares (the "PIPE Shares") in a private placement at a price of $2.50 per share (the "PIPE Financing").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July 24, 2025, Rezolve and the Purchasers entered into a Registration Rights Agreement (the “Registration Rights Agreement”). In accordance with Rezolve's obligations under the Registration Rights Agreement, among other things, Rezolve has filed the registration statement of which this prospectus forms a part with the SEC.</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July 25, 2025,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1" w:name="page12"/>
    <w:bookmarkEnd w:id="11"/>
    <w:p>
      <w:pPr>
        <w:ind w:left="503" w:right="3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2" w:name="page13"/>
    <w:bookmarkEnd w:id="12"/>
    <w:p>
      <w:pPr>
        <w:jc w:val="both"/>
        <w:ind w:left="503" w:right="42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175,525,654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September 30, 2025 and does not give effect to issuances of Ordinary Shares after such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229"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Ordinary Shares to be issued upon</w:t>
      </w:r>
      <w:r>
        <w:rPr>
          <w:sz w:val="20"/>
          <w:szCs w:val="20"/>
          <w:color w:val="auto"/>
        </w:rPr>
        <w:tab/>
      </w:r>
      <w:r>
        <w:rPr>
          <w:rFonts w:ascii="Times New Roman" w:cs="Times New Roman" w:eastAsia="Times New Roman" w:hAnsi="Times New Roman"/>
          <w:sz w:val="18"/>
          <w:szCs w:val="18"/>
          <w:color w:val="auto"/>
        </w:rPr>
        <w:t>Up to 7,499,994 Ordinary Shares underlying the Public Warrants.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of all Public Warrants</w:t>
      </w:r>
    </w:p>
    <w:p>
      <w:pPr>
        <w:spacing w:after="0" w:line="207"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Exercise Price of Public Warrants</w:t>
      </w:r>
      <w:r>
        <w:rPr>
          <w:sz w:val="20"/>
          <w:szCs w:val="20"/>
          <w:color w:val="auto"/>
        </w:rPr>
        <w:tab/>
      </w:r>
      <w:r>
        <w:rPr>
          <w:rFonts w:ascii="Times New Roman" w:cs="Times New Roman" w:eastAsia="Times New Roman" w:hAnsi="Times New Roman"/>
          <w:sz w:val="18"/>
          <w:szCs w:val="18"/>
          <w:color w:val="auto"/>
        </w:rPr>
        <w:t>$11.50</w:t>
      </w:r>
    </w:p>
    <w:p>
      <w:pPr>
        <w:spacing w:after="0" w:line="225"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receive up to an aggregate of approximately $86.3 million from the exercise of all Public Warrants</w:t>
      </w:r>
    </w:p>
    <w:p>
      <w:pPr>
        <w:spacing w:after="0" w:line="27" w:lineRule="exact"/>
        <w:rPr>
          <w:sz w:val="20"/>
          <w:szCs w:val="20"/>
          <w:color w:val="auto"/>
        </w:rPr>
      </w:pPr>
    </w:p>
    <w:p>
      <w:pPr>
        <w:ind w:left="3060" w:right="40"/>
        <w:spacing w:after="0" w:line="253" w:lineRule="auto"/>
        <w:rPr>
          <w:sz w:val="20"/>
          <w:szCs w:val="20"/>
          <w:color w:val="auto"/>
        </w:rPr>
      </w:pPr>
      <w:r>
        <w:rPr>
          <w:rFonts w:ascii="Times New Roman" w:cs="Times New Roman" w:eastAsia="Times New Roman" w:hAnsi="Times New Roman"/>
          <w:sz w:val="18"/>
          <w:szCs w:val="18"/>
          <w:color w:val="auto"/>
        </w:rPr>
        <w:t>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180"/>
          </w:cols>
          <w:pgMar w:left="320" w:top="1008" w:right="399" w:bottom="1440" w:gutter="0" w:footer="0" w:header="0"/>
        </w:sectPr>
      </w:pP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175,525,654 Ordinary Shares, consisting of:</w:t>
      </w:r>
    </w:p>
    <w:p>
      <w:pPr>
        <w:spacing w:after="0" w:line="117" w:lineRule="exact"/>
        <w:rPr>
          <w:sz w:val="20"/>
          <w:szCs w:val="20"/>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106,134,552 Ordinary Shares;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569,982 Ordinary Shares underlying the Private Warrants;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23,074,054 Ordinary Shares issued upon conversion of the Convertible Notes;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15,207,479 Ordinary Shares issued upon conversion of the Advance Subscriptions;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695,033 Ordinary Shares issued upon the conversion of the Promissory Notes;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3,043,735 Ordinary Shares issued upon conversion of the Cohen Note;</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5,027,508 Ordinary Shares issued upon conversion of the J.V.B. Note;</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(viii)2,760,848 Ordinary Shares issued in connection with the Bluedot Acquisition</w:t>
      </w:r>
    </w:p>
    <w:p>
      <w:pPr>
        <w:spacing w:after="0" w:line="117" w:lineRule="exact"/>
        <w:rPr>
          <w:sz w:val="20"/>
          <w:szCs w:val="20"/>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3,986,531 Ordinary Shares issued in connection with the GroupBy Acquisition</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5,857,143 Ordinary Shares issuable to WAB;</w:t>
      </w:r>
    </w:p>
    <w:p>
      <w:pPr>
        <w:spacing w:after="0" w:line="117" w:lineRule="exact"/>
        <w:rPr>
          <w:rFonts w:ascii="Times New Roman" w:cs="Times New Roman" w:eastAsia="Times New Roman" w:hAnsi="Times New Roman"/>
          <w:sz w:val="18"/>
          <w:szCs w:val="18"/>
          <w:color w:val="auto"/>
        </w:rPr>
      </w:pPr>
    </w:p>
    <w:p>
      <w:pPr>
        <w:ind w:left="640" w:right="140" w:hanging="370"/>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89,290 Ordinary Shares issuable to Roth Capital Partners, LLC as transaction-based compensation for the performance of advisory services rendered to the Company in connection with the Business Combination</w:t>
      </w:r>
    </w:p>
    <w:p>
      <w:pPr>
        <w:spacing w:after="0" w:line="67" w:lineRule="exact"/>
        <w:rPr>
          <w:rFonts w:ascii="Times New Roman" w:cs="Times New Roman" w:eastAsia="Times New Roman" w:hAnsi="Times New Roman"/>
          <w:sz w:val="18"/>
          <w:szCs w:val="18"/>
          <w:color w:val="auto"/>
        </w:rPr>
      </w:pPr>
    </w:p>
    <w:p>
      <w:pPr>
        <w:ind w:left="640" w:hanging="37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Ordinary Shares issued to Radio Group Holding GmbH and certain other holders in connection with the settlement of an agreement;</w:t>
      </w:r>
    </w:p>
    <w:p>
      <w:pPr>
        <w:spacing w:after="0" w:line="54" w:lineRule="exact"/>
        <w:rPr>
          <w:sz w:val="20"/>
          <w:szCs w:val="20"/>
          <w:color w:val="auto"/>
        </w:rPr>
      </w:pPr>
    </w:p>
    <w:p>
      <w:pPr>
        <w:ind w:left="280" w:right="320"/>
        <w:spacing w:after="0" w:line="407" w:lineRule="auto"/>
        <w:rPr>
          <w:sz w:val="20"/>
          <w:szCs w:val="20"/>
          <w:color w:val="auto"/>
        </w:rPr>
      </w:pPr>
      <w:r>
        <w:rPr>
          <w:rFonts w:ascii="Times New Roman" w:cs="Times New Roman" w:eastAsia="Times New Roman" w:hAnsi="Times New Roman"/>
          <w:sz w:val="18"/>
          <w:szCs w:val="18"/>
          <w:color w:val="auto"/>
        </w:rPr>
        <w:t>(xiii)800,000 Ordinary Shares issued to DBLP in connection with the DBLP Settlement Agreement; and (xiv)7,979,499 Ordinary Shares issued in connection with the PIPE Financing.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p>
      <w:pPr>
        <w:spacing w:after="0" w:line="200" w:lineRule="exact"/>
        <w:rPr>
          <w:sz w:val="20"/>
          <w:szCs w:val="20"/>
          <w:color w:val="auto"/>
        </w:rPr>
      </w:pPr>
    </w:p>
    <w:p>
      <w:pPr>
        <w:sectPr>
          <w:pgSz w:w="11900" w:h="16838" w:orient="portrait"/>
          <w:cols w:equalWidth="0" w:num="2">
            <w:col w:w="2800" w:space="260"/>
            <w:col w:w="8120"/>
          </w:cols>
          <w:pgMar w:left="320" w:top="1008" w:right="399" w:bottom="1440" w:gutter="0" w:footer="0" w:header="0"/>
          <w:type w:val="continuous"/>
        </w:sectPr>
      </w:pP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type w:val="continuous"/>
        </w:sectPr>
      </w:pPr>
    </w:p>
    <w:bookmarkStart w:id="14" w:name="page15"/>
    <w:bookmarkEnd w:id="14"/>
    <w:p>
      <w:pPr>
        <w:ind w:right="140"/>
        <w:spacing w:after="0" w:line="282" w:lineRule="auto"/>
        <w:rPr>
          <w:sz w:val="20"/>
          <w:szCs w:val="20"/>
          <w:color w:val="auto"/>
        </w:rPr>
      </w:pPr>
      <w:r>
        <w:rPr>
          <w:rFonts w:ascii="Times New Roman" w:cs="Times New Roman" w:eastAsia="Times New Roman" w:hAnsi="Times New Roman"/>
          <w:sz w:val="18"/>
          <w:szCs w:val="18"/>
          <w:color w:val="auto"/>
        </w:rPr>
        <w:t>Ordinary Shares outstanding prior to the exercise of all Warrants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outstanding assuming exercise of all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Nasdaq symbol for our Public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322,174,536 (as of September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330,244,512 (as of September 30, 2025)</w:t>
      </w:r>
    </w:p>
    <w:p>
      <w:pPr>
        <w:spacing w:after="0" w:line="200" w:lineRule="exact"/>
        <w:rPr>
          <w:sz w:val="20"/>
          <w:szCs w:val="20"/>
          <w:color w:val="auto"/>
        </w:rPr>
      </w:pP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 discussion of factors that you should consider carefully before deciding to invest in Ordinary Shares and Warrants.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260"/>
            <w:col w:w="7940"/>
          </w:cols>
          <w:pgMar w:left="340" w:top="1012" w:right="57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2" w:name="page23"/>
    <w:bookmarkEnd w:id="2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3" w:name="page24"/>
    <w:bookmarkEnd w:id="23"/>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6" w:name="page27"/>
    <w:bookmarkEnd w:id="2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ind w:right="280"/>
        <w:spacing w:after="0" w:line="282" w:lineRule="auto"/>
        <w:rPr>
          <w:sz w:val="20"/>
          <w:szCs w:val="20"/>
          <w:color w:val="auto"/>
        </w:rPr>
      </w:pPr>
      <w:r>
        <w:rPr>
          <w:rFonts w:ascii="Times New Roman" w:cs="Times New Roman" w:eastAsia="Times New Roman" w:hAnsi="Times New Roman"/>
          <w:sz w:val="18"/>
          <w:szCs w:val="18"/>
          <w:color w:val="auto"/>
        </w:rPr>
        <w:t>licenses for open-source software, Rezolve may lose the right to continue to use and exploit such open-source software in connection with its operations and solutions, which could disrupt and adversely affect its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2" w:name="page33"/>
    <w:bookmarkEnd w:id="32"/>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3" w:name="page34"/>
    <w:bookmarkEnd w:id="33"/>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t>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could receive up to an aggregate of approximately $86.3 million from the exercise of all Public Warrants, assuming the exercise in full of all such Warrants for cash. Unless we inform you otherwise in a prospectus supplement or free writing prospectus, we intend to use the net proceeds from such exercise for general corporate purposes.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 time they become exercisable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otherwise, and they may expire worthless” </w:t>
      </w:r>
      <w:r>
        <w:rPr>
          <w:rFonts w:ascii="Times New Roman" w:cs="Times New Roman" w:eastAsia="Times New Roman" w:hAnsi="Times New Roman"/>
          <w:sz w:val="18"/>
          <w:szCs w:val="18"/>
          <w:color w:val="auto"/>
        </w:rPr>
        <w:t>for more information.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(ii) the PIPE Financing for aggregate gross proceeds of approximately $50 million, before deducting placement agent fees and other offering expenses, and (iii) the private placement of 37,000,000 Ordinary Shares for aggregate gross proceeds of approximately $200 million, before deducting placement agent fees and other offering expenses, as if such events had occurred on December 31, 2024</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3"/>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25"/>
        </w:trPr>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ind w:right="562"/>
              <w:spacing w:after="0" w:line="125" w:lineRule="exact"/>
              <w:rPr>
                <w:sz w:val="20"/>
                <w:szCs w:val="20"/>
                <w:color w:val="auto"/>
              </w:rPr>
            </w:pPr>
            <w:r>
              <w:rPr>
                <w:rFonts w:ascii="Times New Roman" w:cs="Times New Roman" w:eastAsia="Times New Roman" w:hAnsi="Times New Roman"/>
                <w:sz w:val="12"/>
                <w:szCs w:val="12"/>
                <w:b w:val="1"/>
                <w:bCs w:val="1"/>
                <w:color w:val="auto"/>
              </w:rPr>
              <w:t>Actual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Groupby &amp; Bluedot</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66"/>
        </w:trPr>
        <w:tc>
          <w:tcPr>
            <w:tcW w:w="5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(Audited)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Acquisitions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w w:val="93"/>
              </w:rPr>
              <w:t>PIPE funding</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7"/>
              </w:rPr>
              <w:t>Proforma (Unaudited)</w:t>
            </w:r>
          </w:p>
        </w:tc>
      </w:tr>
      <w:tr>
        <w:trPr>
          <w:trHeight w:val="135"/>
        </w:trPr>
        <w:tc>
          <w:tcPr>
            <w:tcW w:w="50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2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6,760,931</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235,027,000</w:t>
            </w:r>
          </w:p>
        </w:tc>
        <w:tc>
          <w:tcPr>
            <w:tcW w:w="22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251,238,875</w:t>
            </w:r>
          </w:p>
        </w:tc>
      </w:tr>
      <w:tr>
        <w:trPr>
          <w:trHeight w:val="135"/>
        </w:trPr>
        <w:tc>
          <w:tcPr>
            <w:tcW w:w="508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7"/>
        </w:trPr>
        <w:tc>
          <w:tcPr>
            <w:tcW w:w="50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 shares issued and outstanding as of December 31,</w:t>
            </w: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4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2024; 256,365,817 shares authorized as of December 31, 2024</w:t>
            </w:r>
          </w:p>
        </w:tc>
        <w:tc>
          <w:tcPr>
            <w:tcW w:w="26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26,816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1,978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6,380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35,174</w:t>
            </w:r>
          </w:p>
        </w:tc>
      </w:tr>
      <w:tr>
        <w:trPr>
          <w:trHeight w:val="135"/>
        </w:trPr>
        <w:tc>
          <w:tcPr>
            <w:tcW w:w="50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1"/>
                <w:szCs w:val="11"/>
                <w:color w:val="auto"/>
              </w:rPr>
            </w:pPr>
          </w:p>
        </w:tc>
        <w:tc>
          <w:tcPr>
            <w:tcW w:w="12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194,062,767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18,181,663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235,020,620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447,265,050</w:t>
            </w:r>
          </w:p>
        </w:tc>
      </w:tr>
      <w:tr>
        <w:trPr>
          <w:trHeight w:val="135"/>
        </w:trPr>
        <w:tc>
          <w:tcPr>
            <w:tcW w:w="50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r>
      <w:tr>
        <w:trPr>
          <w:trHeight w:val="135"/>
        </w:trPr>
        <w:tc>
          <w:tcPr>
            <w:tcW w:w="50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1"/>
                <w:szCs w:val="11"/>
                <w:color w:val="auto"/>
              </w:rPr>
            </w:pPr>
          </w:p>
        </w:tc>
        <w:tc>
          <w:tcPr>
            <w:tcW w:w="12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(232,075,815)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(12,262,770)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(244,338,585)</w:t>
            </w:r>
          </w:p>
        </w:tc>
      </w:tr>
      <w:tr>
        <w:trPr>
          <w:trHeight w:val="135"/>
        </w:trPr>
        <w:tc>
          <w:tcPr>
            <w:tcW w:w="50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r>
      <w:tr>
        <w:trPr>
          <w:trHeight w:val="128"/>
        </w:trPr>
        <w:tc>
          <w:tcPr>
            <w:tcW w:w="50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20" w:type="dxa"/>
            <w:vAlign w:val="bottom"/>
          </w:tcPr>
          <w:p>
            <w:pPr>
              <w:spacing w:after="0"/>
              <w:rPr>
                <w:sz w:val="11"/>
                <w:szCs w:val="11"/>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2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149"/>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capitalization</w:t>
            </w:r>
          </w:p>
        </w:tc>
        <w:tc>
          <w:tcPr>
            <w:tcW w:w="260" w:type="dxa"/>
            <w:vAlign w:val="bottom"/>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2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-213995</wp:posOffset>
            </wp:positionV>
            <wp:extent cx="939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-213995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-213995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202"/>
              <w:spacing w:after="0" w:line="125" w:lineRule="exact"/>
              <w:rPr>
                <w:sz w:val="20"/>
                <w:szCs w:val="20"/>
                <w:color w:val="auto"/>
              </w:rPr>
            </w:pPr>
            <w:r>
              <w:rPr>
                <w:rFonts w:ascii="Times New Roman" w:cs="Times New Roman" w:eastAsia="Times New Roman" w:hAnsi="Times New Roman"/>
                <w:sz w:val="12"/>
                <w:szCs w:val="12"/>
                <w:b w:val="1"/>
                <w:bCs w:val="1"/>
                <w:color w:val="auto"/>
                <w:w w:val="94"/>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322"/>
              <w:spacing w:after="0" w:line="125" w:lineRule="exact"/>
              <w:rPr>
                <w:sz w:val="20"/>
                <w:szCs w:val="20"/>
                <w:color w:val="auto"/>
              </w:rPr>
            </w:pPr>
            <w:r>
              <w:rPr>
                <w:rFonts w:ascii="Times New Roman" w:cs="Times New Roman" w:eastAsia="Times New Roman" w:hAnsi="Times New Roman"/>
                <w:sz w:val="12"/>
                <w:szCs w:val="12"/>
                <w:b w:val="1"/>
                <w:bCs w:val="1"/>
                <w:color w:val="auto"/>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and Subsidiaries</w:t>
            </w:r>
          </w:p>
        </w:tc>
        <w:tc>
          <w:tcPr>
            <w:tcW w:w="180" w:type="dxa"/>
            <w:vAlign w:val="bottom"/>
          </w:tcPr>
          <w:p>
            <w:pPr>
              <w:spacing w:after="0"/>
              <w:rPr>
                <w:sz w:val="11"/>
                <w:szCs w:val="11"/>
                <w:color w:val="auto"/>
              </w:rPr>
            </w:pPr>
          </w:p>
        </w:tc>
        <w:tc>
          <w:tcPr>
            <w:tcW w:w="10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Bluedot Innovation</w:t>
            </w:r>
          </w:p>
        </w:tc>
        <w:tc>
          <w:tcPr>
            <w:tcW w:w="100" w:type="dxa"/>
            <w:vAlign w:val="bottom"/>
          </w:tcPr>
          <w:p>
            <w:pPr>
              <w:spacing w:after="0"/>
              <w:rPr>
                <w:sz w:val="11"/>
                <w:szCs w:val="11"/>
                <w:color w:val="auto"/>
              </w:rPr>
            </w:pPr>
          </w:p>
        </w:tc>
        <w:tc>
          <w:tcPr>
            <w:tcW w:w="980" w:type="dxa"/>
            <w:vAlign w:val="bottom"/>
          </w:tcPr>
          <w:p>
            <w:pPr>
              <w:jc w:val="right"/>
              <w:ind w:right="262"/>
              <w:spacing w:after="0" w:line="135"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80" w:type="dxa"/>
            <w:vAlign w:val="bottom"/>
          </w:tcPr>
          <w:p>
            <w:pPr>
              <w:spacing w:after="0"/>
              <w:rPr>
                <w:sz w:val="11"/>
                <w:szCs w:val="11"/>
                <w:color w:val="auto"/>
              </w:rPr>
            </w:pPr>
          </w:p>
        </w:tc>
        <w:tc>
          <w:tcPr>
            <w:tcW w:w="10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1000" w:type="dxa"/>
            <w:vAlign w:val="bottom"/>
            <w:gridSpan w:val="2"/>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980" w:type="dxa"/>
            <w:vAlign w:val="bottom"/>
          </w:tcPr>
          <w:p>
            <w:pPr>
              <w:jc w:val="right"/>
              <w:ind w:right="282"/>
              <w:spacing w:after="0" w:line="135" w:lineRule="exact"/>
              <w:rPr>
                <w:sz w:val="20"/>
                <w:szCs w:val="20"/>
                <w:color w:val="auto"/>
              </w:rPr>
            </w:pPr>
            <w:r>
              <w:rPr>
                <w:rFonts w:ascii="Times New Roman" w:cs="Times New Roman" w:eastAsia="Times New Roman" w:hAnsi="Times New Roman"/>
                <w:sz w:val="12"/>
                <w:szCs w:val="12"/>
                <w:b w:val="1"/>
                <w:bCs w:val="1"/>
                <w:color w:val="auto"/>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80" w:type="dxa"/>
            <w:vAlign w:val="bottom"/>
          </w:tcPr>
          <w:p>
            <w:pPr>
              <w:spacing w:after="0"/>
              <w:rPr>
                <w:sz w:val="10"/>
                <w:szCs w:val="10"/>
                <w:color w:val="auto"/>
              </w:rPr>
            </w:pPr>
          </w:p>
        </w:tc>
        <w:tc>
          <w:tcPr>
            <w:tcW w:w="104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1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220" w:type="dxa"/>
            <w:vAlign w:val="bottom"/>
            <w:gridSpan w:val="2"/>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80" w:type="dxa"/>
            <w:vAlign w:val="bottom"/>
            <w:tcBorders>
              <w:top w:val="single" w:sz="8" w:color="CFF0FC"/>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80" w:type="dxa"/>
            <w:vAlign w:val="bottom"/>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220" w:type="dxa"/>
            <w:vAlign w:val="bottom"/>
            <w:gridSpan w:val="2"/>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22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80" w:type="dxa"/>
            <w:vAlign w:val="bottom"/>
          </w:tcPr>
          <w:p>
            <w:pPr>
              <w:spacing w:after="0"/>
              <w:rPr>
                <w:sz w:val="12"/>
                <w:szCs w:val="12"/>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220" w:type="dxa"/>
            <w:vAlign w:val="bottom"/>
            <w:gridSpan w:val="2"/>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22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-3830955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-3830955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-3830955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-3830955</wp:posOffset>
            </wp:positionV>
            <wp:extent cx="2146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-3830955</wp:posOffset>
            </wp:positionV>
            <wp:extent cx="1797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-3642360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-3642360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-3642360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-3642360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-3642360</wp:posOffset>
            </wp:positionV>
            <wp:extent cx="2146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-3642360</wp:posOffset>
            </wp:positionV>
            <wp:extent cx="179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-1533525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-1533525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214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-1533525</wp:posOffset>
            </wp:positionV>
            <wp:extent cx="179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1080" w:type="dxa"/>
            <w:vAlign w:val="bottom"/>
            <w:gridSpan w:val="2"/>
          </w:tcPr>
          <w:p>
            <w:pPr>
              <w:jc w:val="center"/>
              <w:ind w:right="97"/>
              <w:spacing w:after="0" w:line="115" w:lineRule="exact"/>
              <w:rPr>
                <w:sz w:val="20"/>
                <w:szCs w:val="20"/>
                <w:color w:val="auto"/>
              </w:rPr>
            </w:pPr>
            <w:r>
              <w:rPr>
                <w:rFonts w:ascii="Times New Roman" w:cs="Times New Roman" w:eastAsia="Times New Roman" w:hAnsi="Times New Roman"/>
                <w:sz w:val="13"/>
                <w:szCs w:val="13"/>
                <w:b w:val="1"/>
                <w:bCs w:val="1"/>
                <w:color w:val="auto"/>
                <w:w w:val="98"/>
              </w:rPr>
              <w:t>Rezolve AI plc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257"/>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Subsidiaries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6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20" w:type="dxa"/>
            <w:vAlign w:val="bottom"/>
          </w:tcPr>
          <w:p>
            <w:pPr>
              <w:spacing w:after="0"/>
              <w:rPr>
                <w:sz w:val="11"/>
                <w:szCs w:val="11"/>
                <w:color w:val="auto"/>
              </w:rPr>
            </w:pPr>
          </w:p>
        </w:tc>
        <w:tc>
          <w:tcPr>
            <w:tcW w:w="106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2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10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ended December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31, 2024)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6"/>
              </w:rPr>
              <w:t>31, 2024)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restart"/>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60" w:type="dxa"/>
            <w:vAlign w:val="bottom"/>
            <w:gridSpan w:val="2"/>
            <w:shd w:val="clear" w:color="auto" w:fill="CFF0FC"/>
          </w:tcPr>
          <w:p>
            <w:pPr>
              <w:jc w:val="right"/>
              <w:ind w:right="2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20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6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160" w:type="dxa"/>
            <w:vAlign w:val="bottom"/>
          </w:tcPr>
          <w:p>
            <w:pPr>
              <w:spacing w:after="0"/>
              <w:rPr>
                <w:sz w:val="11"/>
                <w:szCs w:val="11"/>
                <w:color w:val="auto"/>
              </w:rPr>
            </w:pPr>
          </w:p>
        </w:tc>
        <w:tc>
          <w:tcPr>
            <w:tcW w:w="9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auto"/>
              </w:rPr>
              <w:t>178,157,563</w:t>
            </w:r>
          </w:p>
        </w:tc>
        <w:tc>
          <w:tcPr>
            <w:tcW w:w="2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bb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-563245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-563245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-563245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-563245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-563245</wp:posOffset>
            </wp:positionV>
            <wp:extent cx="1631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-563245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-563245</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2" w:name="page43"/>
    <w:bookmarkEnd w:id="42"/>
    <w:p>
      <w:pPr>
        <w:ind w:right="1660" w:firstLine="1677"/>
        <w:spacing w:after="0" w:line="417"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1—Basis of Presentation</w:t>
      </w: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8"/>
          <w:szCs w:val="18"/>
          <w:color w:val="auto"/>
        </w:rPr>
        <w:t>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8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jc w:val="both"/>
        <w:ind w:left="1020" w:right="80"/>
        <w:spacing w:after="0" w:line="266" w:lineRule="auto"/>
        <w:rPr>
          <w:sz w:val="20"/>
          <w:szCs w:val="20"/>
          <w:color w:val="auto"/>
        </w:rPr>
      </w:pPr>
      <w:r>
        <w:rPr>
          <w:rFonts w:ascii="Times New Roman" w:cs="Times New Roman" w:eastAsia="Times New Roman" w:hAnsi="Times New Roman"/>
          <w:sz w:val="18"/>
          <w:szCs w:val="18"/>
          <w:color w:val="auto"/>
        </w:rPr>
        <w:t>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68" w:lineRule="exact"/>
        <w:rPr>
          <w:sz w:val="20"/>
          <w:szCs w:val="20"/>
          <w:color w:val="auto"/>
        </w:rPr>
      </w:pPr>
    </w:p>
    <w:p>
      <w:pPr>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left="503" w:right="16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200" w:lineRule="exact"/>
        <w:rPr>
          <w:sz w:val="20"/>
          <w:szCs w:val="20"/>
          <w:color w:val="auto"/>
        </w:rPr>
      </w:pPr>
    </w:p>
    <w:p>
      <w:pPr>
        <w:spacing w:after="0" w:line="26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7" w:name="page48"/>
    <w:bookmarkEnd w:id="4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jc w:val="both"/>
        <w:spacing w:after="0" w:line="312" w:lineRule="auto"/>
        <w:rPr>
          <w:sz w:val="20"/>
          <w:szCs w:val="20"/>
          <w:color w:val="auto"/>
        </w:rPr>
      </w:pPr>
      <w:r>
        <w:rPr>
          <w:rFonts w:ascii="Times New Roman" w:cs="Times New Roman" w:eastAsia="Times New Roman" w:hAnsi="Times New Roman"/>
          <w:sz w:val="17"/>
          <w:szCs w:val="17"/>
          <w:color w:val="auto"/>
        </w:rPr>
        <w:t>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9" w:name="page50"/>
    <w:bookmarkEnd w:id="49"/>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right="120"/>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3" w:name="page54"/>
    <w:bookmarkEnd w:id="53"/>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6" w:name="page57"/>
    <w:bookmarkEnd w:id="56"/>
    <w:p>
      <w:pPr>
        <w:ind w:right="420"/>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4" w:right="5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175,525,654 Ordinary Shares, consisting of (i) 106,134,552 Ordinary Shares; (ii )569,982 Ordinary Shares underlying the Private Warrants; (iii) 23,074,054 Ordinary Shares issued upon conversion of the Convertible Notes; (iv) 15,207,479 Ordinary Shares issued upon conversion of the Advance Subscriptions; (v) 695,033 Ordinary Shares issued upon the conversion of the Promissory Notes; (vi) 3,043,735 Ordinary Shares issued upon conversion of the Cohen Note; (vii) 5,027,508 Ordinary Shares issued upon conversion of the J.V.B. Note; (viii) 2,760,848 Ordinary Shares issued in connection with the Bluedot Acquisition; (ix) 3,986,531 Ordinary Shares issued in connection with the GroupBy Acquisition; (x) 5,857,143 Ordinary Shares issuable to WAB; (xi) 89,290 Ordinary Shares issuable to Roth Capital Partners, LLC as transaction-based compensation for the performance of advisory services rendered to the Company in connection with the Business Combination; (xii) 300,000 Ordinary Shares issued to Radio Group Holding GmbH and certain other holders in connection with the settlement of an agreement; (xiii) 800,000 Ordinary Shares issued to DBLP in connection with the DBLP Settlement Agreement; and (xiv) 7,979,499 Ordinary Shares issued in connection with the PIPE Financing.</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30,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4,698,504(11)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Estate of John Wagner(4)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819,958(11)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819,958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1,937,643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1,937,643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791,556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357,647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357,647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199,971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199,971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Vesco(10)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Limited(11)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48,731,428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37,265,689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11,465,739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Lychagov(12)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35,843,258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35,843,258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Apeiron Investment Group Limited (13)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25,097,545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25,097,545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Alameda Special Purpose Investment</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II LP(14)</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Alamosa (Cayman) Holdco LP(15)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51,889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51,889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ASOF VII (Cayman) Holdco LP(16)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48,967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48,967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Krupczynski(17)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111,913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44,800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Wagner(18)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906,250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900,000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Antara Capital Total Return SPAC(19)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265,483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134,233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Limited(20)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Yao(21)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119,481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1,192,335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ASJC Global LLC - Series 14 (22)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1,036,863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1,036,863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Atalaya Special Purpose Investment Fund II</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LP(23)</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Berenberg Capital Markets LLC(24)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Wickens(25)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25,764,806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20,431,834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5,332,972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Newmark(26)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17,395,676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325,676</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Levy(27)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White(28)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&amp; Company Financial Management</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3,043,735</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LLC(29)</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RS(30)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157,987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157,987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Context Partners Master Fund LP(31)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Corbin ERISA Opportunity Fund, Ltd. (32)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24,583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Julius Meller Management Services LTD(33)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27,812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27,812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Weinberger(34)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Smith(35)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Kolyris(36)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53,258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GmbH(37)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LLC(38)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Kilic(39)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 SOF XIII (SPAC) Holdings, LLC(40)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6,921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Fujian Limatong XinXi Keji Youxian</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Gongsi(41)</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Bellow(42)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Jamie Beadle(43)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J.V.B. Financial Group, LLC(44)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5,027,508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King(45)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7,188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Nurse(46)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59,102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59,102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Kantor Investment Company LLC(47)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79,785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Kalaris(48)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111,632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65,279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Israel(49)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LLC(50)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Meteora Capital Partners, L.P. (51)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Khan(52)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LLC(53)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Kiosk(54)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Radcliffe SPAC Master Fund, L.P. (55)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175,566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175,566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JingQian Hou (56)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 LLC(57)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89,290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89,290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Rong Lin(58)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25,603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Lewis(59)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137,832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117,832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Sandia Investment Management LP(60)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53,503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Williams(61)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3,372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Briggs(62)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128,530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128,530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Techouts Solutions India Pvt ltd(63)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Decker(64)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 Pension(65)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486,987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440,634</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GmbH(66)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Vellar Opportunities Fund Master, Ltd.(67)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Yi-Han Pao(68)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Ltd.(69)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Jie(70)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Radio Group Holding GmbH(71)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Stephan Schwenk(72)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Limited(73)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2,731,566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1,966,111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765,455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Western Alliance Bank(74)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5,857,143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Warren(75)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52,838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52,838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Jerome Cheung-Bret(76)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44,031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44,031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Laura Gossage(77)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168,587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168,587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Roland Gossage(78)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203,020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203,020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Susanne Bundy(79)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Young(80)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14,506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14,506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Grange(81)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14,319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A. Devlin(82)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Long(83)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Estate of Gerd Opderbeck(84)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12,346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 Belcourt Consulting Group Inc.(85)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18,519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ITF KKLM Investments CO. Ltd.(86)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8,025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8,025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2432332 Ontario Inc.(87)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53,024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53,024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Holger Opderbeck(88)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24,691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24,691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Austin Ventures X, L.P.(89)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9,114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Dejan Mircevski(90)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10,058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Dunlap(91)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79,093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Leonard Meloff(92)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59,451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59,451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Stibbe(93)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205,803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205,803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Srikant Nayak(94)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21,610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21,610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Alder(95)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Gorstidge Consulting Inc.(96)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36,278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Shashikant Nayak(97)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10,824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Deepa Shashikant(98)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4,937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4,937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Jacquie Estey(99)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44,733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44,733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Yang(100)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43,404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43,404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D’Souza(101)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Cole(102)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16,468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16,468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 Growth Partners I, L.P.(103)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2,071,294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2,071,294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PeakSpan Capital Growth Partners l-A, L.P.</w:t>
            </w:r>
          </w:p>
        </w:tc>
        <w:tc>
          <w:tcPr>
            <w:tcW w:w="19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Ramona D’Souza(105)</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Randy Cornelisse(106)</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11,203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Ravish Diwakar Kamath(107)</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15,788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15,788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Srinivasan Kesavan(108)</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10,769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10,769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Halpenny(109)</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51,593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Direct Investment Fund I, L.P.(110)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597,375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597,375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Citadel CEMF Investments Ltd. (111)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20,579,499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7,979,499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12,600,000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85" w:lineRule="exact"/>
        <w:rPr>
          <w:sz w:val="20"/>
          <w:szCs w:val="20"/>
          <w:color w:val="auto"/>
        </w:rPr>
      </w:pPr>
    </w:p>
    <w:p>
      <w:pPr>
        <w:ind w:left="520" w:right="16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322,174,536 Ordinary Shares outstanding, which includes the issuance of all Ordinary Shares issuable upon the exercise of all currently outstanding Warrants, the sale of all securities offered hereby by that particular Selling Holder and does not assume the exercise, conversion or sale, as applicable, by any other Selling Holder.</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4,698,504 Ordinary Shares directly held by Mr. Daniel Wagner. Mr. Daniel Wagner is the CEO and a director of Rezolve.</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815,989 Ordinary Shares and (ii) 3,969 Ordinary Shares underlying the Private Warrants held by Mr. John Wagner's estate. Mr. John Wagner was a director of Rezolve.</w:t>
      </w:r>
    </w:p>
    <w:p>
      <w:pPr>
        <w:spacing w:after="0" w:line="53"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1,879,352 Ordinary Shares; (ii) 42,441 Ordinary Shares issued upon the conversion of the Advance Subscription made by Mr. Sharp; and (iii) 15,850 Ordinary Shares underlying the Private Warrants held by Mr. Sharp. Mr. Sharp is a director of Rezolve.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495,343 Ordinary Shares directly held by Sir David Wright. Sir David Wright is a director of Rezolve.</w:t>
      </w:r>
    </w:p>
    <w:p>
      <w:pPr>
        <w:spacing w:after="0" w:line="117"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Mr. Perry is a director of Rezolve.</w:t>
      </w:r>
    </w:p>
    <w:p>
      <w:pPr>
        <w:spacing w:after="0" w:line="71" w:lineRule="exact"/>
        <w:rPr>
          <w:rFonts w:ascii="Times New Roman" w:cs="Times New Roman" w:eastAsia="Times New Roman" w:hAnsi="Times New Roman"/>
          <w:sz w:val="18"/>
          <w:szCs w:val="18"/>
          <w:color w:val="auto"/>
        </w:rPr>
      </w:pPr>
    </w:p>
    <w:p>
      <w:pPr>
        <w:ind w:left="520" w:right="180" w:hanging="512"/>
        <w:spacing w:after="0" w:line="272" w:lineRule="auto"/>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357,647 Ordinary Shares directly held by Mr. Lurio. 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w:t>
      </w:r>
    </w:p>
    <w:p>
      <w:pPr>
        <w:spacing w:after="0" w:line="1"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2024. Mr. Lurio’s business address is 1007 Canterbury Lane, Villanova, PA 19805.</w:t>
      </w:r>
    </w:p>
    <w:p>
      <w:pPr>
        <w:spacing w:after="0" w:line="98" w:lineRule="exact"/>
        <w:rPr>
          <w:rFonts w:ascii="Times New Roman" w:cs="Times New Roman" w:eastAsia="Times New Roman" w:hAnsi="Times New Roman"/>
          <w:sz w:val="17"/>
          <w:szCs w:val="17"/>
          <w:color w:val="auto"/>
        </w:rPr>
      </w:pPr>
    </w:p>
    <w:p>
      <w:pPr>
        <w:ind w:left="520" w:right="3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199,971 Ordinary Shares directly held by Mr. Herbert. Mr. Herbert was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2" w:name="page63"/>
    <w:bookmarkEnd w:id="62"/>
    <w:p>
      <w:pPr>
        <w:ind w:left="512" w:right="800" w:hanging="512"/>
        <w:spacing w:after="0" w:line="282"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1,142,384 Ordinary Shares and (ii) 11,249 Ordinary Shares issued upon conversion of the Advance Subscription made by Mr. Vesco. Mr. Vesco is the Chief Commercial Officer and General Manager (EMEA) of Rezolve.</w:t>
      </w:r>
    </w:p>
    <w:p>
      <w:pPr>
        <w:spacing w:after="0" w:line="53" w:lineRule="exact"/>
        <w:rPr>
          <w:rFonts w:ascii="Times New Roman" w:cs="Times New Roman" w:eastAsia="Times New Roman" w:hAnsi="Times New Roman"/>
          <w:sz w:val="18"/>
          <w:szCs w:val="18"/>
          <w:color w:val="auto"/>
        </w:rPr>
      </w:pPr>
    </w:p>
    <w:p>
      <w:pPr>
        <w:ind w:left="512" w:right="40" w:hanging="512"/>
        <w:spacing w:after="0" w:line="256"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31,245,952 Ordinary Shares; (ii) 4,150,000 Ordinary Shares issued upon the conversion of the Advanced Subscription made by DBLP,(iii) 250,000 Ordinary Shares underlying the Private Warrants held by DBLP, (iv) 819,737 shares DBLP received in connection with the Blue Dot Acquisition and (v) 800,000 shares issued pursuant to a settlement agreement. Shares beneficially held consist of (i) 48,481,428 Ordinary Shares; and (ii) 250,000 Ordinary Shares underlying the Private Warrants held by DBLP Sea Cow Ltd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Daniel Wagner and is wholly beneficially owned by the Estate of John Wagner. Daniel Wagner is a directors of DBLP and may be deemed to share voting and investment power over the shares held by DBLP. Daniel Wagner is a director of Rezolve.</w:t>
      </w:r>
    </w:p>
    <w:p>
      <w:pPr>
        <w:spacing w:after="0" w:line="79" w:lineRule="exact"/>
        <w:rPr>
          <w:rFonts w:ascii="Times New Roman" w:cs="Times New Roman" w:eastAsia="Times New Roman" w:hAnsi="Times New Roman"/>
          <w:sz w:val="18"/>
          <w:szCs w:val="18"/>
          <w:color w:val="auto"/>
        </w:rPr>
      </w:pPr>
    </w:p>
    <w:p>
      <w:pPr>
        <w:ind w:left="512" w:right="260" w:hanging="512"/>
        <w:spacing w:after="0" w:line="258"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34,649,207 Ordinary Shares and (ii) 1,194,051 Ordinary Shares of the issued upon conversion of the Convertible Note held by Mr. Lychagov. 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75" w:lineRule="exact"/>
        <w:rPr>
          <w:rFonts w:ascii="Times New Roman" w:cs="Times New Roman" w:eastAsia="Times New Roman" w:hAnsi="Times New Roman"/>
          <w:sz w:val="18"/>
          <w:szCs w:val="18"/>
          <w:color w:val="auto"/>
        </w:rPr>
      </w:pPr>
    </w:p>
    <w:p>
      <w:pPr>
        <w:ind w:left="512" w:right="60" w:hanging="512"/>
        <w:spacing w:after="0" w:line="255"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 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80" w:lineRule="exact"/>
        <w:rPr>
          <w:rFonts w:ascii="Times New Roman" w:cs="Times New Roman" w:eastAsia="Times New Roman" w:hAnsi="Times New Roman"/>
          <w:sz w:val="18"/>
          <w:szCs w:val="18"/>
          <w:color w:val="auto"/>
        </w:rPr>
      </w:pPr>
    </w:p>
    <w:p>
      <w:pPr>
        <w:ind w:left="512" w:right="280" w:hanging="512"/>
        <w:spacing w:after="0" w:line="293" w:lineRule="auto"/>
        <w:tabs>
          <w:tab w:leader="none" w:pos="51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45,634 Ordinary Shares directly held by ACM Almeda Special Purpose Investment Fund II LP. The principal business address of ACM Almeda Special Purpose Investment Fund II LP is One Rockefeller Center,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7"/>
          <w:szCs w:val="17"/>
          <w:color w:val="auto"/>
        </w:rPr>
        <w:t xml:space="preserve"> Floor, New York, NY 10020.</w:t>
      </w:r>
    </w:p>
    <w:p>
      <w:pPr>
        <w:spacing w:after="0" w:line="1" w:lineRule="exact"/>
        <w:rPr>
          <w:rFonts w:ascii="Times New Roman" w:cs="Times New Roman" w:eastAsia="Times New Roman" w:hAnsi="Times New Roman"/>
          <w:sz w:val="17"/>
          <w:szCs w:val="17"/>
          <w:color w:val="auto"/>
        </w:rPr>
      </w:pPr>
    </w:p>
    <w:p>
      <w:pPr>
        <w:ind w:left="512" w:right="20" w:hanging="512"/>
        <w:spacing w:after="0" w:line="272"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51,889 Ordinary Shares directly held by ACM Alamosa (Cayman) Holdco LP (“</w:t>
      </w:r>
      <w:r>
        <w:rPr>
          <w:rFonts w:ascii="Times New Roman" w:cs="Times New Roman" w:eastAsia="Times New Roman" w:hAnsi="Times New Roman"/>
          <w:sz w:val="18"/>
          <w:szCs w:val="18"/>
          <w:b w:val="1"/>
          <w:bCs w:val="1"/>
          <w:i w:val="1"/>
          <w:iCs w:val="1"/>
          <w:color w:val="auto"/>
        </w:rPr>
        <w:t>ACM Alamosa</w:t>
      </w:r>
      <w:r>
        <w:rPr>
          <w:rFonts w:ascii="Times New Roman" w:cs="Times New Roman" w:eastAsia="Times New Roman" w:hAnsi="Times New Roman"/>
          <w:sz w:val="18"/>
          <w:szCs w:val="18"/>
          <w:color w:val="auto"/>
        </w:rPr>
        <w:t>”). Mr. Ivan Zinn may be deemed to share beneficial ownership of the securities beneficially owned by ACM Alamosa.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jc w:val="both"/>
        <w:ind w:left="512" w:right="40" w:hanging="512"/>
        <w:spacing w:after="0" w:line="273"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48,967 Ordinary Shares directly held by ACM ASOF VII (Cayman) Holdco LP (“</w:t>
      </w:r>
      <w:r>
        <w:rPr>
          <w:rFonts w:ascii="Times New Roman" w:cs="Times New Roman" w:eastAsia="Times New Roman" w:hAnsi="Times New Roman"/>
          <w:sz w:val="18"/>
          <w:szCs w:val="18"/>
          <w:b w:val="1"/>
          <w:bCs w:val="1"/>
          <w:i w:val="1"/>
          <w:iCs w:val="1"/>
          <w:color w:val="auto"/>
        </w:rPr>
        <w:t>ACM ASOF</w:t>
      </w:r>
      <w:r>
        <w:rPr>
          <w:rFonts w:ascii="Times New Roman" w:cs="Times New Roman" w:eastAsia="Times New Roman" w:hAnsi="Times New Roman"/>
          <w:sz w:val="18"/>
          <w:szCs w:val="18"/>
          <w:color w:val="auto"/>
        </w:rPr>
        <w:t>”). Mr. Ivan Zinn may be deemed to share beneficial ownership of the securities beneficially owned by ACM ASOF.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2" w:lineRule="exact"/>
        <w:rPr>
          <w:rFonts w:ascii="Times New Roman" w:cs="Times New Roman" w:eastAsia="Times New Roman" w:hAnsi="Times New Roman"/>
          <w:sz w:val="18"/>
          <w:szCs w:val="18"/>
          <w:color w:val="auto"/>
        </w:rPr>
      </w:pPr>
    </w:p>
    <w:p>
      <w:pPr>
        <w:ind w:left="512" w:right="60" w:hanging="512"/>
        <w:spacing w:after="0" w:line="266"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67,113 Ordinary Shares directly held by Mr. Krupczynski. Mr. Krupczynski is a long-term employee of Rezolve and currently holds an active employment contract with the Company. The principal business address for Mr. Krupczynski is Przy Agorze 26/191, 01-930 Warsaw, Poland.</w:t>
      </w:r>
    </w:p>
    <w:p>
      <w:pPr>
        <w:spacing w:after="0" w:line="67" w:lineRule="exact"/>
        <w:rPr>
          <w:rFonts w:ascii="Times New Roman" w:cs="Times New Roman" w:eastAsia="Times New Roman" w:hAnsi="Times New Roman"/>
          <w:sz w:val="18"/>
          <w:szCs w:val="18"/>
          <w:color w:val="auto"/>
        </w:rPr>
      </w:pPr>
    </w:p>
    <w:p>
      <w:pPr>
        <w:ind w:left="512" w:right="380" w:hanging="512"/>
        <w:spacing w:after="0" w:line="282"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6,250 Ordinary Shares underlying the Private Warrants held by Mr. Adam Wagner. Shares beneficially held consist of (i) 900,000 Ordinary Shares, and (ii) 6,250 Ordinary Shares underlying the Private Warrants held by Mr. Adam Wagner.</w:t>
      </w:r>
    </w:p>
    <w:p>
      <w:pPr>
        <w:spacing w:after="0" w:line="53" w:lineRule="exact"/>
        <w:rPr>
          <w:rFonts w:ascii="Times New Roman" w:cs="Times New Roman" w:eastAsia="Times New Roman" w:hAnsi="Times New Roman"/>
          <w:sz w:val="18"/>
          <w:szCs w:val="18"/>
          <w:color w:val="auto"/>
        </w:rPr>
      </w:pPr>
    </w:p>
    <w:p>
      <w:pPr>
        <w:ind w:left="512" w:right="140" w:hanging="512"/>
        <w:spacing w:after="0" w:line="258"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Antara Capital Total Return. Shares beneficially held consist of 265,483 Ordinary Shares directly held by Antara Capital Total Return SPAC Master Fund L.P. (“</w:t>
      </w:r>
      <w:r>
        <w:rPr>
          <w:rFonts w:ascii="Times New Roman" w:cs="Times New Roman" w:eastAsia="Times New Roman" w:hAnsi="Times New Roman"/>
          <w:sz w:val="18"/>
          <w:szCs w:val="18"/>
          <w:b w:val="1"/>
          <w:bCs w:val="1"/>
          <w:i w:val="1"/>
          <w:iCs w:val="1"/>
          <w:color w:val="auto"/>
        </w:rPr>
        <w:t>Antara Capital Total Return</w:t>
      </w:r>
      <w:r>
        <w:rPr>
          <w:rFonts w:ascii="Times New Roman" w:cs="Times New Roman" w:eastAsia="Times New Roman" w:hAnsi="Times New Roman"/>
          <w:sz w:val="18"/>
          <w:szCs w:val="18"/>
          <w:color w:val="auto"/>
        </w:rPr>
        <w:t>”). Mr. Himanshu Gulati is the Managing Member of the general partner of Antara Capital Total Return and may be deemed to beneficially own the securities owned by Antara Capital Total Return. The principal business address of Antara Capital Total Return is 2005 Market Street, Suite 3120, Philadelphia, PA 19103.</w:t>
      </w:r>
    </w:p>
    <w:p>
      <w:pPr>
        <w:spacing w:after="0" w:line="75" w:lineRule="exact"/>
        <w:rPr>
          <w:rFonts w:ascii="Times New Roman" w:cs="Times New Roman" w:eastAsia="Times New Roman" w:hAnsi="Times New Roman"/>
          <w:sz w:val="18"/>
          <w:szCs w:val="18"/>
          <w:color w:val="auto"/>
        </w:rPr>
      </w:pPr>
    </w:p>
    <w:p>
      <w:pPr>
        <w:ind w:left="512" w:right="380" w:hanging="512"/>
        <w:spacing w:after="0" w:line="266"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33,333 Ordinary Shares issued upon the conversion of the Advance Subscription made by Aperitus Limited. Shares beneficially held consist of (i) 1,631,977 Ordinary Shares and (ii) 33,333 Ordinary Shares issued upon the conversion of the Advance Subscription made by Aperitus Limited.</w:t>
      </w:r>
    </w:p>
    <w:p>
      <w:pPr>
        <w:spacing w:after="0" w:line="67" w:lineRule="exact"/>
        <w:rPr>
          <w:rFonts w:ascii="Times New Roman" w:cs="Times New Roman" w:eastAsia="Times New Roman" w:hAnsi="Times New Roman"/>
          <w:sz w:val="18"/>
          <w:szCs w:val="18"/>
          <w:color w:val="auto"/>
        </w:rPr>
      </w:pPr>
    </w:p>
    <w:p>
      <w:pPr>
        <w:ind w:left="512" w:hanging="512"/>
        <w:spacing w:after="0" w:line="256" w:lineRule="auto"/>
        <w:tabs>
          <w:tab w:leader="none" w:pos="5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50,780 Ordinary Shares issued upon conversion of the Promissory Note held by Mr. Yao; (ii) 49,951 Ordinary Shares issued upon conversion of the Advance Subscription made by Mr. Yao; and (iii) 18,750 Ordinary Shares underlying the Private Warrants held by Mr. Yao. Shares beneficially held consist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Mr. Yao is the Chief Executive Officer of Rezolve’s China office. The principal business address for Mr. Yao is No. 2 Zhuang, 268 Hao, Qinggong Lu, Fengxianqu, Shanghai, China.</w:t>
      </w:r>
    </w:p>
    <w:p>
      <w:pPr>
        <w:spacing w:after="0" w:line="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63" w:name="page64"/>
    <w:bookmarkEnd w:id="63"/>
    <w:p>
      <w:pPr>
        <w:ind w:left="512" w:right="40" w:hanging="512"/>
        <w:spacing w:after="0" w:line="247"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1,036,863 Ordinary Shares directly held by ASJC Global LLC - Series 14 (“ASJC Global”). Mr. Andrew Davilman, in his capacity as the Chief Operating Officer, may be deemed to control the securities owned by ASJC Global.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10019.</w:t>
      </w:r>
    </w:p>
    <w:p>
      <w:pPr>
        <w:spacing w:after="0" w:line="87" w:lineRule="exact"/>
        <w:rPr>
          <w:rFonts w:ascii="Times New Roman" w:cs="Times New Roman" w:eastAsia="Times New Roman" w:hAnsi="Times New Roman"/>
          <w:sz w:val="18"/>
          <w:szCs w:val="18"/>
          <w:color w:val="auto"/>
        </w:rPr>
      </w:pPr>
    </w:p>
    <w:p>
      <w:pPr>
        <w:ind w:left="512" w:right="60" w:hanging="512"/>
        <w:spacing w:after="0" w:line="281"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35,177 Ordinary Shares directly held by Atalaya Special Purpose Investment Fund II LP. 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ind w:left="512" w:right="60" w:hanging="512"/>
        <w:spacing w:after="0" w:line="254"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80" w:lineRule="exact"/>
        <w:rPr>
          <w:rFonts w:ascii="Times New Roman" w:cs="Times New Roman" w:eastAsia="Times New Roman" w:hAnsi="Times New Roman"/>
          <w:sz w:val="18"/>
          <w:szCs w:val="18"/>
          <w:color w:val="auto"/>
        </w:rPr>
      </w:pPr>
    </w:p>
    <w:p>
      <w:pPr>
        <w:ind w:left="512" w:right="40" w:hanging="512"/>
        <w:spacing w:after="0" w:line="254"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7,897,913 Ordinary Shares, (ii) 1,140,865 Ordinary Shares currently held by Apeiron on Mr. Wickens’s behalf, (iii)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Shares beneficially held consist of (i) 9,638,692 Ordinary Shares; (ii) 1,140,865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80" w:lineRule="exact"/>
        <w:rPr>
          <w:rFonts w:ascii="Times New Roman" w:cs="Times New Roman" w:eastAsia="Times New Roman" w:hAnsi="Times New Roman"/>
          <w:sz w:val="18"/>
          <w:szCs w:val="18"/>
          <w:color w:val="auto"/>
        </w:rPr>
      </w:pPr>
    </w:p>
    <w:p>
      <w:pPr>
        <w:ind w:left="512" w:right="80" w:hanging="512"/>
        <w:spacing w:after="0" w:line="26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7,870,000 Ordinary Shares and (ii) 9,200,000 Ordinary Shares issued upon the conversion of the Advance Subscription made by Mr. Newmark. Shares beneficially held consist of 17,395,676 Ordinary Shares directly held by Mr. Newmark, as reported on the Schedule 13G/A filed by Mr. Newmark on June 3, 2025.</w:t>
      </w:r>
    </w:p>
    <w:p>
      <w:pPr>
        <w:spacing w:after="0" w:line="67" w:lineRule="exact"/>
        <w:rPr>
          <w:rFonts w:ascii="Times New Roman" w:cs="Times New Roman" w:eastAsia="Times New Roman" w:hAnsi="Times New Roman"/>
          <w:sz w:val="18"/>
          <w:szCs w:val="18"/>
          <w:color w:val="auto"/>
        </w:rPr>
      </w:pPr>
    </w:p>
    <w:p>
      <w:pPr>
        <w:ind w:left="512" w:right="260" w:hanging="512"/>
        <w:spacing w:after="0" w:line="26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Cecil Levy. Shares beneficially held consist of (i) 20,553 Ordinary Shares and (ii) 10,000 Ordinary Shares issued upon the conversion of the Advance Subscription made by Cecil Levy.</w:t>
      </w:r>
    </w:p>
    <w:p>
      <w:pPr>
        <w:spacing w:after="0" w:line="67" w:lineRule="exact"/>
        <w:rPr>
          <w:rFonts w:ascii="Times New Roman" w:cs="Times New Roman" w:eastAsia="Times New Roman" w:hAnsi="Times New Roman"/>
          <w:sz w:val="18"/>
          <w:szCs w:val="18"/>
          <w:color w:val="auto"/>
        </w:rPr>
      </w:pPr>
    </w:p>
    <w:p>
      <w:pPr>
        <w:jc w:val="both"/>
        <w:ind w:left="512" w:right="40" w:hanging="512"/>
        <w:spacing w:after="0" w:line="26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White. 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67" w:lineRule="exact"/>
        <w:rPr>
          <w:rFonts w:ascii="Times New Roman" w:cs="Times New Roman" w:eastAsia="Times New Roman" w:hAnsi="Times New Roman"/>
          <w:sz w:val="18"/>
          <w:szCs w:val="18"/>
          <w:color w:val="auto"/>
        </w:rPr>
      </w:pPr>
    </w:p>
    <w:p>
      <w:pPr>
        <w:ind w:left="512" w:hanging="512"/>
        <w:spacing w:after="0" w:line="253"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3,043,735 (Ordinary Shares, which is the maximum number of remaining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issued to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 The Coehn Note was settled on February 10, 2025, by issuing ordinary shares, and no further amounts remain outstanding. Cohen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w:t>
      </w:r>
    </w:p>
    <w:p>
      <w:pPr>
        <w:spacing w:after="0" w:line="7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8"/>
          <w:szCs w:val="18"/>
          <w:color w:val="auto"/>
        </w:rPr>
        <w:t>“underwriter” within the meaning of the Securities Act. The principal business office of Cohen is 2929 Arch Street, Suite 1703, Philadelphia, PA.</w:t>
      </w:r>
    </w:p>
    <w:p>
      <w:pPr>
        <w:spacing w:after="0" w:line="117" w:lineRule="exact"/>
        <w:rPr>
          <w:sz w:val="20"/>
          <w:szCs w:val="20"/>
          <w:color w:val="auto"/>
        </w:rPr>
      </w:pPr>
    </w:p>
    <w:p>
      <w:pPr>
        <w:ind w:left="520" w:right="60" w:hanging="512"/>
        <w:spacing w:after="0" w:line="255"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494,203 Ordinary Shares directly held by Cohen Sponsor LLC – A14 RS. 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80"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Context Partners Master Fund, LP. The principal business address of Context Partners Master Fund, LP is 772 Girard Ave. Suite 300, La Jolla, CA 92037 .</w:t>
      </w:r>
    </w:p>
    <w:p>
      <w:pPr>
        <w:spacing w:after="0" w:line="49" w:lineRule="exact"/>
        <w:rPr>
          <w:rFonts w:ascii="Times New Roman" w:cs="Times New Roman" w:eastAsia="Times New Roman" w:hAnsi="Times New Roman"/>
          <w:sz w:val="18"/>
          <w:szCs w:val="18"/>
          <w:color w:val="auto"/>
        </w:rPr>
      </w:pPr>
    </w:p>
    <w:p>
      <w:pPr>
        <w:ind w:left="520" w:right="60" w:hanging="512"/>
        <w:spacing w:after="0" w:line="24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24,583 Ordinary Shares directly held by 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Corbin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85"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20,312 Ordinary Shares underlying the Promissory Note held by Mr. Meller; and (ii) the 7,500 Shares underlying the Private Warrants held by Mr. Meller.</w:t>
      </w:r>
    </w:p>
    <w:p>
      <w:pPr>
        <w:spacing w:after="0" w:line="53"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201,000 Ordinary Shares issued upon conversion of the Advance Subscription made by Mr. Weinberger. Shares beneficially held consist of (i) 300 Ordinary Shares and (ii) 201,000 Ordinary Shares issued upon conversion of the Advance Subscription made by Mr. Weinberger.</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11,951 Ordinary Shares beneficially owned by Mr. Kolyris and is the number of Ordinary Shares issued upon the conversion of the Advance Subscription made by Nadenco P.C., a company Mr. Kolyris may be deemed to control. Shares beneficially held consist of 65,209 Ordinary Shares, of which 11,951 Ordinary Shares are beneficially owned by Mr. Kolyris and is the number of Ordinary Shares issued upon the conversion of the Advance Subscription made by Nadenco P.C., a company Mr. Kolyris may be deemed to control. Mr. Kolyris has provided services to Rezolve as a contractor since November 2018. The principal business address for Mr. Kolyris is Noyaroy 12, Maroysi, 15126, Athens, Greece.</w:t>
      </w:r>
    </w:p>
    <w:p>
      <w:pPr>
        <w:spacing w:after="0" w:line="79"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7,333 Ordinary Shares issued upon the conversion of the Advance Subscription made by DXG Deutsche Digital GmbH.</w:t>
      </w:r>
    </w:p>
    <w:p>
      <w:pPr>
        <w:spacing w:after="0" w:line="53"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 Mr. David Boral, CEO and Manager of EF Hutton LLC (“</w:t>
      </w:r>
      <w:r>
        <w:rPr>
          <w:rFonts w:ascii="Times New Roman" w:cs="Times New Roman" w:eastAsia="Times New Roman" w:hAnsi="Times New Roman"/>
          <w:sz w:val="18"/>
          <w:szCs w:val="18"/>
          <w:b w:val="1"/>
          <w:bCs w:val="1"/>
          <w:i w:val="1"/>
          <w:iCs w:val="1"/>
          <w:color w:val="auto"/>
        </w:rPr>
        <w:t>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5"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18,175 Ordinary Shares issued upon conversion of the Advanced Subscription made by Mr. Kilic. Mr. Kilic is employed as Vice President Global Head of Payments and Director DACH &amp; TR at Rezolve. The principal business address for Mr. Kilic is Manstedtener Berg 19, 50259, Pulheim, Germany.</w:t>
      </w:r>
    </w:p>
    <w:p>
      <w:pPr>
        <w:spacing w:after="0" w:line="6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6,921 Ordinary Shares directly held by FT SOF XIII (SPAC) Holdings, LLC. 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1"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8,000 Ordinary Shares issued upon the conversion of the Advance Subscription made by Mr. Bellow.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10,286 Ordinary Shares issued upon the conversion of the Advance Subscription made by Jamie Beadle.</w:t>
      </w:r>
    </w:p>
    <w:p>
      <w:pPr>
        <w:spacing w:after="0" w:line="117" w:lineRule="exact"/>
        <w:rPr>
          <w:rFonts w:ascii="Times New Roman" w:cs="Times New Roman" w:eastAsia="Times New Roman" w:hAnsi="Times New Roman"/>
          <w:sz w:val="18"/>
          <w:szCs w:val="18"/>
          <w:color w:val="auto"/>
        </w:rPr>
      </w:pPr>
    </w:p>
    <w:p>
      <w:pPr>
        <w:ind w:left="512" w:right="20" w:hanging="512"/>
        <w:spacing w:after="0" w:line="253"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5,027,508 of Ordinary Shares that may be issued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86" w:lineRule="exact"/>
        <w:rPr>
          <w:rFonts w:ascii="Times New Roman" w:cs="Times New Roman" w:eastAsia="Times New Roman" w:hAnsi="Times New Roman"/>
          <w:sz w:val="18"/>
          <w:szCs w:val="18"/>
          <w:color w:val="auto"/>
        </w:rPr>
      </w:pPr>
    </w:p>
    <w:p>
      <w:pPr>
        <w:ind w:left="512" w:right="140"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25,796 Ordinary Shares underlying the Promissory Note held by Mr. King; and (ii) 9,525 Ordinary Share underlying the Private Warrants. Shares beneficially held consist of (i) 7,188 Ordinary Shares; (ii) 25,796 Ordinary Shares issued upon conversion of the Promissory Note held by Mr. King; and (iii) 9,525 Ordinary Shares underlying the Private Warrants held by Mr. King.</w:t>
      </w:r>
    </w:p>
    <w:p>
      <w:pPr>
        <w:spacing w:after="0" w:line="67" w:lineRule="exact"/>
        <w:rPr>
          <w:rFonts w:ascii="Times New Roman" w:cs="Times New Roman" w:eastAsia="Times New Roman" w:hAnsi="Times New Roman"/>
          <w:sz w:val="18"/>
          <w:szCs w:val="18"/>
          <w:color w:val="auto"/>
        </w:rPr>
      </w:pPr>
    </w:p>
    <w:p>
      <w:pPr>
        <w:ind w:left="512"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(i) 21,497 Ordinary Shares issued upon conversion of the Promissory Note held by Mr. Nurse; (ii) 29,667 Ordinary Shares issued upon the conversion of the Advance Subscription made by Mr. Nurse; and (iii) 7,938 Ordinary Shares underlying the Private Warrants held by Julian Nurse.</w:t>
      </w:r>
    </w:p>
    <w:p>
      <w:pPr>
        <w:spacing w:after="0" w:line="67" w:lineRule="exact"/>
        <w:rPr>
          <w:rFonts w:ascii="Times New Roman" w:cs="Times New Roman" w:eastAsia="Times New Roman" w:hAnsi="Times New Roman"/>
          <w:sz w:val="18"/>
          <w:szCs w:val="18"/>
          <w:color w:val="auto"/>
        </w:rPr>
      </w:pPr>
    </w:p>
    <w:p>
      <w:pPr>
        <w:jc w:val="both"/>
        <w:ind w:left="512" w:right="280"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Kantor Investment Company LLC. Shares beneficially held consist of (i) 69,785 Ordinary Shares and (ii) 10,000 Ordinary Shares issued upon the conversion of the Advance Subscription made by Kantor Investment Company LLC.</w:t>
      </w:r>
    </w:p>
    <w:p>
      <w:pPr>
        <w:spacing w:after="0" w:line="67" w:lineRule="exact"/>
        <w:rPr>
          <w:rFonts w:ascii="Times New Roman" w:cs="Times New Roman" w:eastAsia="Times New Roman" w:hAnsi="Times New Roman"/>
          <w:sz w:val="18"/>
          <w:szCs w:val="18"/>
          <w:color w:val="auto"/>
        </w:rPr>
      </w:pPr>
    </w:p>
    <w:p>
      <w:pPr>
        <w:ind w:left="512" w:right="260" w:hanging="512"/>
        <w:spacing w:after="0" w:line="261"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33,853 Ordinary Shares underlying the Promissory Note held by Ms. Kalaris; and (ii) the 12,500 Ordinary Shares underlying the Private Warrants held by Ms. Kalaris. Shares beneficially held consist of (i) 65,279 Ordinary Shares; (ii) 33,853 Ordinary Shares issued upon the conversion of the Promissory Note held by Ms. Kalaris, and (iii) 12,500 Ordinary Shares underlying the Private Warrants held by Ms. Kalaris.</w:t>
      </w:r>
    </w:p>
    <w:p>
      <w:pPr>
        <w:spacing w:after="0" w:line="71" w:lineRule="exact"/>
        <w:rPr>
          <w:rFonts w:ascii="Times New Roman" w:cs="Times New Roman" w:eastAsia="Times New Roman" w:hAnsi="Times New Roman"/>
          <w:sz w:val="18"/>
          <w:szCs w:val="18"/>
          <w:color w:val="auto"/>
        </w:rPr>
      </w:pPr>
    </w:p>
    <w:p>
      <w:pPr>
        <w:jc w:val="both"/>
        <w:ind w:left="512" w:right="360"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40,000 Ordinary Shares issued upon the conversion of the Advance Subscription made by Mr. Israel. Shares beneficially held consist of (i) 31,785 Ordinary Shares and (ii) 40,000 Ordinary Shares issued upon the conversion of the Advance Subscription made by Mr. Israel.</w:t>
      </w:r>
    </w:p>
    <w:p>
      <w:pPr>
        <w:spacing w:after="0" w:line="67" w:lineRule="exact"/>
        <w:rPr>
          <w:rFonts w:ascii="Times New Roman" w:cs="Times New Roman" w:eastAsia="Times New Roman" w:hAnsi="Times New Roman"/>
          <w:sz w:val="18"/>
          <w:szCs w:val="18"/>
          <w:color w:val="auto"/>
        </w:rPr>
      </w:pPr>
    </w:p>
    <w:p>
      <w:pPr>
        <w:ind w:left="512" w:right="140" w:hanging="512"/>
        <w:spacing w:after="0" w:line="244"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83" w:lineRule="exact"/>
        <w:rPr>
          <w:rFonts w:ascii="Times New Roman" w:cs="Times New Roman" w:eastAsia="Times New Roman" w:hAnsi="Times New Roman"/>
          <w:sz w:val="18"/>
          <w:szCs w:val="18"/>
          <w:color w:val="auto"/>
        </w:rPr>
      </w:pPr>
    </w:p>
    <w:p>
      <w:pPr>
        <w:ind w:left="512" w:right="180" w:hanging="512"/>
        <w:spacing w:after="0" w:line="26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Vikas Mittal is the Managing Member of Meteora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72"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5,000 Ordinary Shares directly held by Mr. Khan. Mr. Khan served as a director of Armada, which became a wholly owned subsidiary of the Company in connection with the Business Combination, since August 2021. Mr. Khan’s principal business address is 2238 Bentley Ridge Drive, San Jose, CA 95138.</w:t>
      </w:r>
    </w:p>
    <w:p>
      <w:pPr>
        <w:spacing w:after="0" w:line="67"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166,667 Ordinary Shares issued upon the conversion of the Advance Subscription made by Patel Family Investment LLC. Shares beneficially held consist of (i) 39,731 Ordinary Shares and (ii) 166,667 Ordinary Shares issued upon the conversion of the Advance Subscription made by Patel Family Investment LLC.</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35,402 Ordinary Shares issued upon the conversion of the Advance Subscription made by Quality Kiosk.</w:t>
      </w:r>
    </w:p>
    <w:p>
      <w:pPr>
        <w:spacing w:after="0" w:line="113" w:lineRule="exact"/>
        <w:rPr>
          <w:rFonts w:ascii="Times New Roman" w:cs="Times New Roman" w:eastAsia="Times New Roman" w:hAnsi="Times New Roman"/>
          <w:sz w:val="18"/>
          <w:szCs w:val="18"/>
          <w:color w:val="auto"/>
        </w:rPr>
      </w:pPr>
    </w:p>
    <w:p>
      <w:pPr>
        <w:ind w:left="512" w:right="40" w:hanging="512"/>
        <w:spacing w:after="0" w:line="259"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175,566 Ordinary Shares directly held by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Fund.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w:t>
      </w:r>
    </w:p>
    <w:p>
      <w:pPr>
        <w:spacing w:after="0" w:line="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66" w:name="page67"/>
    <w:bookmarkEnd w:id="66"/>
    <w:p>
      <w:pPr>
        <w:ind w:left="512" w:right="100"/>
        <w:spacing w:after="0" w:line="282" w:lineRule="auto"/>
        <w:rPr>
          <w:sz w:val="20"/>
          <w:szCs w:val="20"/>
          <w:color w:val="auto"/>
        </w:rPr>
      </w:pPr>
      <w:r>
        <w:rPr>
          <w:rFonts w:ascii="Times New Roman" w:cs="Times New Roman" w:eastAsia="Times New Roman" w:hAnsi="Times New Roman"/>
          <w:sz w:val="18"/>
          <w:szCs w:val="18"/>
          <w:color w:val="auto"/>
        </w:rPr>
        <w:t>therein. The principal business address of Radcliffe Fund is c/o Radcliffe Capital Management, L.P., 50 Monument Road, Suite 300, Bala Cynwyd, PA 19004.</w:t>
      </w:r>
    </w:p>
    <w:p>
      <w:pPr>
        <w:spacing w:after="0" w:line="54" w:lineRule="exact"/>
        <w:rPr>
          <w:sz w:val="20"/>
          <w:szCs w:val="20"/>
          <w:color w:val="auto"/>
        </w:rPr>
      </w:pPr>
    </w:p>
    <w:p>
      <w:pPr>
        <w:ind w:left="512" w:right="360" w:hanging="512"/>
        <w:spacing w:after="0" w:line="282"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2,321 Ordinary Shares issued upon the conversion of the Advance Subscription made by JingQian Hou. The principal business address of JingQian Hou is 610, Haitian Ge, Haiwaihuayuan, Ligang Lu, Haizhuqu, Guangzhou, Zhongguo.</w:t>
      </w:r>
    </w:p>
    <w:p>
      <w:pPr>
        <w:spacing w:after="0" w:line="53" w:lineRule="exact"/>
        <w:rPr>
          <w:rFonts w:ascii="Times New Roman" w:cs="Times New Roman" w:eastAsia="Times New Roman" w:hAnsi="Times New Roman"/>
          <w:sz w:val="18"/>
          <w:szCs w:val="18"/>
          <w:color w:val="auto"/>
        </w:rPr>
      </w:pPr>
    </w:p>
    <w:p>
      <w:pPr>
        <w:ind w:left="512" w:right="100" w:hanging="512"/>
        <w:spacing w:after="0" w:line="261"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71"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9,283 Ordinary Shares issued upon the conversion of the Advance Subscription made by Mr. Lin. Shares beneficially held consist of (i) 16,320 Ordinary Shares and (ii) 9,283 Ordinary Shares issued upon the conversion of the Advance Subscription made by Mr. Lin.</w:t>
      </w:r>
    </w:p>
    <w:p>
      <w:pPr>
        <w:spacing w:after="0" w:line="67" w:lineRule="exact"/>
        <w:rPr>
          <w:rFonts w:ascii="Times New Roman" w:cs="Times New Roman" w:eastAsia="Times New Roman" w:hAnsi="Times New Roman"/>
          <w:sz w:val="18"/>
          <w:szCs w:val="18"/>
          <w:color w:val="auto"/>
        </w:rPr>
      </w:pPr>
    </w:p>
    <w:p>
      <w:pPr>
        <w:jc w:val="both"/>
        <w:ind w:left="512" w:right="28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20,000 Ordinary Shares issued upon the conversion of the Advance Subscription made by Sam Lewis. Shares beneficially held consist of (i) 117,832 Ordinary Shares and (ii) 20,000 Ordinary Shares issued upon the conversion of the Advance Subscription made by Sam Lewis.</w:t>
      </w:r>
    </w:p>
    <w:p>
      <w:pPr>
        <w:spacing w:after="0" w:line="67" w:lineRule="exact"/>
        <w:rPr>
          <w:rFonts w:ascii="Times New Roman" w:cs="Times New Roman" w:eastAsia="Times New Roman" w:hAnsi="Times New Roman"/>
          <w:sz w:val="18"/>
          <w:szCs w:val="18"/>
          <w:color w:val="auto"/>
        </w:rPr>
      </w:pPr>
    </w:p>
    <w:p>
      <w:pPr>
        <w:ind w:left="512" w:right="40" w:hanging="512"/>
        <w:spacing w:after="0" w:line="281" w:lineRule="auto"/>
        <w:tabs>
          <w:tab w:leader="none" w:pos="51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an aggregate of 53,503 Ordinary Shares allocated to investors managed by Sandia Investment Management LP (“</w:t>
      </w:r>
      <w:r>
        <w:rPr>
          <w:rFonts w:ascii="Times New Roman" w:cs="Times New Roman" w:eastAsia="Times New Roman" w:hAnsi="Times New Roman"/>
          <w:sz w:val="17"/>
          <w:szCs w:val="17"/>
          <w:b w:val="1"/>
          <w:bCs w:val="1"/>
          <w:i w:val="1"/>
          <w:iCs w:val="1"/>
          <w:color w:val="auto"/>
        </w:rPr>
        <w:t>Sandia</w:t>
      </w:r>
      <w:r>
        <w:rPr>
          <w:rFonts w:ascii="Times New Roman" w:cs="Times New Roman" w:eastAsia="Times New Roman" w:hAnsi="Times New Roman"/>
          <w:sz w:val="17"/>
          <w:szCs w:val="17"/>
          <w:color w:val="auto"/>
        </w:rPr>
        <w:t>”).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Suite 2600, Boston, MA 02108.</w:t>
      </w:r>
    </w:p>
    <w:p>
      <w:pPr>
        <w:spacing w:after="0" w:line="56"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3,372 Ordinary Shares issued upon the conversion of the Advance Subscription made by Sharat Williams.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128,530 Ordinary Shares issued upon conversion of the Convertible Note held by Ms. Briggs.</w:t>
      </w:r>
    </w:p>
    <w:p>
      <w:pPr>
        <w:spacing w:after="0" w:line="117"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17,078 Ordinary Shares issued upon the conversion of the Advance Subscription made by Techouts Solutions India Pvt ltd.</w:t>
      </w:r>
    </w:p>
    <w:p>
      <w:pPr>
        <w:spacing w:after="0" w:line="53" w:lineRule="exact"/>
        <w:rPr>
          <w:rFonts w:ascii="Times New Roman" w:cs="Times New Roman" w:eastAsia="Times New Roman" w:hAnsi="Times New Roman"/>
          <w:sz w:val="18"/>
          <w:szCs w:val="18"/>
          <w:color w:val="auto"/>
        </w:rPr>
      </w:pPr>
    </w:p>
    <w:p>
      <w:pPr>
        <w:ind w:left="512" w:right="2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Decker. Mr. Decker served as a director of Armada, which became a wholly owned subsidiary of the Company in connection with the Business Combination, since August 2021. The principal business office of Mr. Decker is 517 Old Gulph Road, Bryn Mawr, PA 19010.</w:t>
      </w:r>
    </w:p>
    <w:p>
      <w:pPr>
        <w:spacing w:after="0" w:line="67" w:lineRule="exact"/>
        <w:rPr>
          <w:rFonts w:ascii="Times New Roman" w:cs="Times New Roman" w:eastAsia="Times New Roman" w:hAnsi="Times New Roman"/>
          <w:sz w:val="18"/>
          <w:szCs w:val="18"/>
          <w:color w:val="auto"/>
        </w:rPr>
      </w:pPr>
    </w:p>
    <w:p>
      <w:pPr>
        <w:ind w:left="512" w:right="240" w:hanging="512"/>
        <w:spacing w:after="0" w:line="261"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33,853 Ordinary Shares underlying the Promissory Note held by Trustees of Risol Limited Pension and (ii) the 12,500 Ordinary Shares underlying the Private Warrants held by Trustees of Risol Limited Pension. Shares beneficially held consist of (i) 440,634 Ordinary Shares, (ii) 33,853 Ordinary Shares issued upon the conversion of the Promissory Note held by Trustees of Risol Limited Pension; and (iii) 12,500 Ordinary Shares underlying the Private Warrants held by Trustees of Risol Limited Pension.</w:t>
      </w:r>
    </w:p>
    <w:p>
      <w:pPr>
        <w:spacing w:after="0" w:line="7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 Ordinary Shares underlying the Private Warrants held by UBIRY GmbH.</w:t>
      </w:r>
    </w:p>
    <w:p>
      <w:pPr>
        <w:spacing w:after="0" w:line="113" w:lineRule="exact"/>
        <w:rPr>
          <w:rFonts w:ascii="Times New Roman" w:cs="Times New Roman" w:eastAsia="Times New Roman" w:hAnsi="Times New Roman"/>
          <w:sz w:val="18"/>
          <w:szCs w:val="18"/>
          <w:color w:val="auto"/>
        </w:rPr>
      </w:pPr>
    </w:p>
    <w:p>
      <w:pPr>
        <w:ind w:left="512" w:hanging="512"/>
        <w:spacing w:after="0" w:line="259"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33,000 Ordinary Shares directly held by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Solomon J. Cohen, in his capacity as Director of Vellar,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10019.</w:t>
      </w:r>
    </w:p>
    <w:p>
      <w:pPr>
        <w:spacing w:after="0" w:line="12"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 Ordinary Shares held by Ms. Pao. Ms. Pao has been employed as a junior employee at the Taiwan branch of Rezolve since April 2022. The principal business address for Ms. Pao is 5F., No. 15, Ln. 128, Xinhu 1st Rd., Neihu District, Taipei City 114065, Taiwan (R.O.C.).</w:t>
      </w:r>
    </w:p>
    <w:p>
      <w:pPr>
        <w:spacing w:after="0" w:line="6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 Ordinary Shares issued upon the conversion of the Advance Subscription made by Zedfesto Holding Ltd.</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1,857 Ordinary Shares issued upon the conversion of the Advance Subscription made by Zheng Jie.</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67" w:name="page68"/>
    <w:bookmarkEnd w:id="67"/>
    <w:p>
      <w:pPr>
        <w:ind w:left="512" w:right="68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120,000 Ordinary Shares issued to Radio Group Holding GmbH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1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180,000 Ordinary Shares issued to Stephan Schwenk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80" w:hanging="512"/>
        <w:spacing w:after="0" w:line="266"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1,941,111 Ordinary Shares issued to Tanist Group Limited as consideration for the BlueDot Acquisition; and (ii) 25,000 Ordinary Shares issuable upon the conversion of Private Warrants. Shares beneficially held consist of (i) 765,455 Ordinary Shares directly held and (ii) up to 1,941,111 Ordinary Shares issued to Tanist Group Limited as consideration for the BlueDot Acquisition.</w:t>
      </w:r>
    </w:p>
    <w:p>
      <w:pPr>
        <w:spacing w:after="0" w:line="67" w:lineRule="exact"/>
        <w:rPr>
          <w:rFonts w:ascii="Times New Roman" w:cs="Times New Roman" w:eastAsia="Times New Roman" w:hAnsi="Times New Roman"/>
          <w:sz w:val="18"/>
          <w:szCs w:val="18"/>
          <w:color w:val="auto"/>
        </w:rPr>
      </w:pPr>
    </w:p>
    <w:p>
      <w:pPr>
        <w:ind w:left="512" w:right="6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5,857,143 Ordinary Shares issuable to WAB in connection with the WAB Subscription Letter. The business address of WAB is One East Washington Street, Suite 1400, Phoenix, Arizona 85004.</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52,838 Ordinary Shares received by Mr. Warren as consideration for the GroupBy Acquisition. The business address of Mr. Warren is 6545 Helgesen Road, Sooke, BC V9Z OV7 Canada.</w:t>
      </w:r>
    </w:p>
    <w:p>
      <w:pPr>
        <w:spacing w:after="0" w:line="53" w:lineRule="exact"/>
        <w:rPr>
          <w:rFonts w:ascii="Times New Roman" w:cs="Times New Roman" w:eastAsia="Times New Roman" w:hAnsi="Times New Roman"/>
          <w:sz w:val="18"/>
          <w:szCs w:val="18"/>
          <w:color w:val="auto"/>
        </w:rPr>
      </w:pPr>
    </w:p>
    <w:p>
      <w:pPr>
        <w:ind w:left="512" w:right="58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44,031 Ordinary Shares received by Mr. Cheung-Bret as consideration for the GroupBy Acquisition. The business address of Mr. Cheung-Bret is 219 Roslin Avenue, Toronto, ON M4N 1Z5 Canada.</w:t>
      </w:r>
    </w:p>
    <w:p>
      <w:pPr>
        <w:spacing w:after="0" w:line="53" w:lineRule="exact"/>
        <w:rPr>
          <w:rFonts w:ascii="Times New Roman" w:cs="Times New Roman" w:eastAsia="Times New Roman" w:hAnsi="Times New Roman"/>
          <w:sz w:val="18"/>
          <w:szCs w:val="18"/>
          <w:color w:val="auto"/>
        </w:rPr>
      </w:pPr>
    </w:p>
    <w:p>
      <w:pPr>
        <w:ind w:left="512" w:right="14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168,587 Ordinary Shares received by Ms. Gossage as consideration for the GroupBy Acquisition. The business address of Ms.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right="14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203,020 Ordinary Shares received by Mr. Gossage as consideration for the GroupBy Acquisition. The business address of Mr.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708 Ordinary Shares received by Ms. Bundy as consideration for the GroupBy Acquisition. The business address of Ms. Bundy is 1200 Barton Creek Blvd. #54, Austin TX 78735 United States.</w:t>
      </w:r>
    </w:p>
    <w:p>
      <w:pPr>
        <w:spacing w:after="0" w:line="53" w:lineRule="exact"/>
        <w:rPr>
          <w:rFonts w:ascii="Times New Roman" w:cs="Times New Roman" w:eastAsia="Times New Roman" w:hAnsi="Times New Roman"/>
          <w:sz w:val="18"/>
          <w:szCs w:val="18"/>
          <w:color w:val="auto"/>
        </w:rPr>
      </w:pPr>
    </w:p>
    <w:p>
      <w:pPr>
        <w:ind w:left="512" w:right="34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14,506 Ordinary Shares received by Ms. Young as consideration for the GroupBy Acquisition. The business address of Ms. Young is 39 Albany Ave, Toronto, ON M5R 3C2 Canada.</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14,319 Ordinary Shares received by Mr. Grange as consideration for the GroupBy Acquisition. The business address of Mr. Grange is 14139 Creditview Road, Cheltenham, ON L7C 3G5 Canada.</w:t>
      </w:r>
    </w:p>
    <w:p>
      <w:pPr>
        <w:spacing w:after="0" w:line="53" w:lineRule="exact"/>
        <w:rPr>
          <w:rFonts w:ascii="Times New Roman" w:cs="Times New Roman" w:eastAsia="Times New Roman" w:hAnsi="Times New Roman"/>
          <w:sz w:val="18"/>
          <w:szCs w:val="18"/>
          <w:color w:val="auto"/>
        </w:rPr>
      </w:pPr>
    </w:p>
    <w:p>
      <w:pPr>
        <w:ind w:left="512" w:right="44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Devlin as consideration for the GroupBy Acquisition. The business address of Mr. Devlin is 338 Kennedy Ave, Toronto, ON M6P 3C3 Canada.</w:t>
      </w:r>
    </w:p>
    <w:p>
      <w:pPr>
        <w:spacing w:after="0" w:line="53" w:lineRule="exact"/>
        <w:rPr>
          <w:rFonts w:ascii="Times New Roman" w:cs="Times New Roman" w:eastAsia="Times New Roman" w:hAnsi="Times New Roman"/>
          <w:sz w:val="18"/>
          <w:szCs w:val="18"/>
          <w:color w:val="auto"/>
        </w:rPr>
      </w:pPr>
    </w:p>
    <w:p>
      <w:pPr>
        <w:ind w:left="512" w:right="5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Long as consideration for the GroupBy Acquisition. The business address of Mr. Long is 2912 West Broadway, Suite 146, Vancouver, BC V6K 0E9 Canada.</w:t>
      </w:r>
    </w:p>
    <w:p>
      <w:pPr>
        <w:spacing w:after="0" w:line="53" w:lineRule="exact"/>
        <w:rPr>
          <w:rFonts w:ascii="Times New Roman" w:cs="Times New Roman" w:eastAsia="Times New Roman" w:hAnsi="Times New Roman"/>
          <w:sz w:val="18"/>
          <w:szCs w:val="18"/>
          <w:color w:val="auto"/>
        </w:rPr>
      </w:pPr>
    </w:p>
    <w:p>
      <w:pPr>
        <w:ind w:left="512" w:right="8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12,346 Ordinary Shares received by The Estate of Gerd Opderbeck as consideration for the GroupBy Acquisition. The business address of The Estate of Gerd Opderbeck is 16 Bridle Lane, Newtown Square, PA 19073 United States.</w:t>
      </w:r>
    </w:p>
    <w:p>
      <w:pPr>
        <w:spacing w:after="0" w:line="53" w:lineRule="exact"/>
        <w:rPr>
          <w:rFonts w:ascii="Times New Roman" w:cs="Times New Roman" w:eastAsia="Times New Roman" w:hAnsi="Times New Roman"/>
          <w:sz w:val="18"/>
          <w:szCs w:val="18"/>
          <w:color w:val="auto"/>
        </w:rPr>
      </w:pPr>
    </w:p>
    <w:p>
      <w:pPr>
        <w:jc w:val="both"/>
        <w:ind w:left="512" w:right="520" w:hanging="512"/>
        <w:spacing w:after="0" w:line="312" w:lineRule="auto"/>
        <w:tabs>
          <w:tab w:leader="none" w:pos="51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18,519 Ordinary Shares received by M. Belcourt Consulting Group Inc. as consideration for the GroupBy Acquisition. The business address of M. Belcourt Consulting Group Inc. is 087238, 7th Sideroad, Thornbury ON, Box 83 NOH 2PO Canada.</w:t>
      </w:r>
    </w:p>
    <w:p>
      <w:pPr>
        <w:spacing w:after="0" w:line="31" w:lineRule="exact"/>
        <w:rPr>
          <w:rFonts w:ascii="Times New Roman" w:cs="Times New Roman" w:eastAsia="Times New Roman" w:hAnsi="Times New Roman"/>
          <w:sz w:val="17"/>
          <w:szCs w:val="17"/>
          <w:color w:val="auto"/>
        </w:rPr>
      </w:pPr>
    </w:p>
    <w:p>
      <w:pPr>
        <w:ind w:left="512" w:right="7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8,025 Ordinary Shares received by ITF KKLM Investments CO. Ltd. as consideration for the GroupBy Acquisition. The business address of ITF KKLM Investments CO. Ltd. is 36 Forest Hill Road, Toronto, Ontario M4V 2L3.</w:t>
      </w:r>
    </w:p>
    <w:p>
      <w:pPr>
        <w:spacing w:after="0" w:line="53"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53,024 Ordinary Shares received by 2432332 Ontario Inc. as consideration for the GroupBy Acquisition. The business address of 2432332 Ontario Inc. is 348024 15 Sideroad, Mono, Ontario L9W 6S6, Canada.</w:t>
      </w:r>
    </w:p>
    <w:p>
      <w:pPr>
        <w:spacing w:after="0" w:line="53" w:lineRule="exact"/>
        <w:rPr>
          <w:rFonts w:ascii="Times New Roman" w:cs="Times New Roman" w:eastAsia="Times New Roman" w:hAnsi="Times New Roman"/>
          <w:sz w:val="18"/>
          <w:szCs w:val="18"/>
          <w:color w:val="auto"/>
        </w:rPr>
      </w:pPr>
    </w:p>
    <w:p>
      <w:pPr>
        <w:ind w:left="512" w:right="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24,691 Ordinary Shares received by Mr. Opderbeck as consideration for the GroupBy Acquisition. The business address of Mr. Opderbeck is 363 Good Hope Rd, Bluffton, SC 29909 United States.</w:t>
      </w:r>
    </w:p>
    <w:p>
      <w:pPr>
        <w:spacing w:after="0" w:line="53" w:lineRule="exact"/>
        <w:rPr>
          <w:rFonts w:ascii="Times New Roman" w:cs="Times New Roman" w:eastAsia="Times New Roman" w:hAnsi="Times New Roman"/>
          <w:sz w:val="18"/>
          <w:szCs w:val="18"/>
          <w:color w:val="auto"/>
        </w:rPr>
      </w:pPr>
    </w:p>
    <w:p>
      <w:pPr>
        <w:ind w:left="512" w:right="160" w:hanging="512"/>
        <w:spacing w:after="0" w:line="281"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9,114 Ordinary Shares received by Austin Ventures X, L.P. as consideration for the GroupBy Acquisition. The business address of Austin Ventures X, L.P. is 1700 West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Street, Austin, TX 78703.</w:t>
      </w:r>
    </w:p>
    <w:p>
      <w:pPr>
        <w:spacing w:after="0" w:line="1" w:lineRule="exact"/>
        <w:rPr>
          <w:rFonts w:ascii="Times New Roman" w:cs="Times New Roman" w:eastAsia="Times New Roman" w:hAnsi="Times New Roman"/>
          <w:sz w:val="18"/>
          <w:szCs w:val="18"/>
          <w:color w:val="auto"/>
        </w:rPr>
      </w:pPr>
    </w:p>
    <w:p>
      <w:pPr>
        <w:ind w:left="512" w:right="1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10,058 Ordinary Shares received by Mr. Mircevski as consideration for the GroupBy Acquisition. The business address of Mr. Mircevski is 656 Blair Creek Drive, Kitchener, ON N2P 0E7 Canada.</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79,093 Ordinary Shares received by Mr. Dunlap as consideration for the GroupBy Acquisition. The business address of Mr. Dunlap is 16630 Dufferin Street, King, ON L7B1K5 Canada.</w:t>
      </w: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68" w:name="page69"/>
    <w:bookmarkEnd w:id="68"/>
    <w:p>
      <w:pPr>
        <w:ind w:left="512" w:right="3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59,451 Ordinary Shares received by Mr. Meloff as consideration for the GroupBy Acquisition. The business address of Mr. Meloff is 10 Fairland Road, Toronto, ON M4G 2T8 Canada.</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205,803 Ordinary Shares received by Mr. Stibbe as consideration for the GroupBy Acquisition. The business address of Mr. Stibbe is 36 Redwood Avenue, Toronto, ON M4L 2S6 Canada.</w:t>
      </w:r>
    </w:p>
    <w:p>
      <w:pPr>
        <w:spacing w:after="0" w:line="53" w:lineRule="exact"/>
        <w:rPr>
          <w:rFonts w:ascii="Times New Roman" w:cs="Times New Roman" w:eastAsia="Times New Roman" w:hAnsi="Times New Roman"/>
          <w:sz w:val="18"/>
          <w:szCs w:val="18"/>
          <w:color w:val="auto"/>
        </w:rPr>
      </w:pPr>
    </w:p>
    <w:p>
      <w:pPr>
        <w:ind w:left="512" w:right="48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21,610 Ordinary Shares received by Ms. Srikant Nayak as consideration for the GroupBy Acquisition. The business address of Ms. Nayak is 53 Schooner Drive, Brampton, ON L7A 3H6 Canada.</w:t>
      </w:r>
    </w:p>
    <w:p>
      <w:pPr>
        <w:spacing w:after="0" w:line="53" w:lineRule="exact"/>
        <w:rPr>
          <w:rFonts w:ascii="Times New Roman" w:cs="Times New Roman" w:eastAsia="Times New Roman" w:hAnsi="Times New Roman"/>
          <w:sz w:val="18"/>
          <w:szCs w:val="18"/>
          <w:color w:val="auto"/>
        </w:rPr>
      </w:pPr>
    </w:p>
    <w:p>
      <w:pPr>
        <w:ind w:left="512" w:right="5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2,379 Ordinary Shares received by Mr. Alder as consideration for the GroupBy Acquisition. The business address of Mr. Alder is 5708 Loyalist Street, Ottawa, ON K0A 2W0 Canada.</w:t>
      </w:r>
    </w:p>
    <w:p>
      <w:pPr>
        <w:spacing w:after="0" w:line="53" w:lineRule="exact"/>
        <w:rPr>
          <w:rFonts w:ascii="Times New Roman" w:cs="Times New Roman" w:eastAsia="Times New Roman" w:hAnsi="Times New Roman"/>
          <w:sz w:val="18"/>
          <w:szCs w:val="18"/>
          <w:color w:val="auto"/>
        </w:rPr>
      </w:pPr>
    </w:p>
    <w:p>
      <w:pPr>
        <w:jc w:val="both"/>
        <w:ind w:left="512" w:right="140" w:hanging="512"/>
        <w:spacing w:after="0" w:line="266"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Roland Gossage is the main owner and director of Gorstidge Consulting Inc. and is an employee of GroupBy. Shares registered hereby consist of 36,278 Ordinary Shares received by Gorstidge Consulting Inc. as consideration for the GroupBy Acquisition. The business address of Gorstidge Consulting Inc. is 59 Wanita Road, Toronto, ON M1c 1V3.</w:t>
      </w:r>
    </w:p>
    <w:p>
      <w:pPr>
        <w:spacing w:after="0" w:line="67" w:lineRule="exact"/>
        <w:rPr>
          <w:rFonts w:ascii="Times New Roman" w:cs="Times New Roman" w:eastAsia="Times New Roman" w:hAnsi="Times New Roman"/>
          <w:sz w:val="18"/>
          <w:szCs w:val="18"/>
          <w:color w:val="auto"/>
        </w:rPr>
      </w:pPr>
    </w:p>
    <w:p>
      <w:pPr>
        <w:ind w:left="512" w:right="2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10,824 Ordinary Shares received by Mr. Shashikant Nayak as consideration for the GroupBy Acquisition. The business address of Mr. Nayak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4,937 Ordinary Shares received by Ms. Shashikant as consideration for the GroupBy Acquisition. The business address of Ms. Shashikant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4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44,733 Ordinary Shares received by Ms. Estey as consideration for the GroupBy Acquisition. The business address of Ms. Estey is 159 Rosedale Hts Dr, Toronto, ON M4T 1C7 Canada.</w:t>
      </w:r>
    </w:p>
    <w:p>
      <w:pPr>
        <w:spacing w:after="0" w:line="53" w:lineRule="exact"/>
        <w:rPr>
          <w:rFonts w:ascii="Times New Roman" w:cs="Times New Roman" w:eastAsia="Times New Roman" w:hAnsi="Times New Roman"/>
          <w:sz w:val="18"/>
          <w:szCs w:val="18"/>
          <w:color w:val="auto"/>
        </w:rPr>
      </w:pPr>
    </w:p>
    <w:p>
      <w:pPr>
        <w:ind w:left="512" w:right="48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43,404 Ordinary Shares received by Mr. Yang as consideration for the GroupBy Acquisition. The business address of Mr. Yang is 60 Wilson Way, SPC 112, Milpitas, CA 95035 USA.</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Mr. D’Souza as consideration for the GroupBy Acquisition. The business address of Mr.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5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16,468 Ordinary Shares received by Mr. Cole as consideration for the GroupBy Acquisition. The business address of Mr. Cole is 43 Norden Crescent, Toronto, ON M3B 1B7 Canada.</w:t>
      </w:r>
    </w:p>
    <w:p>
      <w:pPr>
        <w:spacing w:after="0" w:line="53" w:lineRule="exact"/>
        <w:rPr>
          <w:rFonts w:ascii="Times New Roman" w:cs="Times New Roman" w:eastAsia="Times New Roman" w:hAnsi="Times New Roman"/>
          <w:sz w:val="18"/>
          <w:szCs w:val="18"/>
          <w:color w:val="auto"/>
        </w:rPr>
      </w:pPr>
    </w:p>
    <w:p>
      <w:pPr>
        <w:ind w:left="512" w:right="60" w:hanging="512"/>
        <w:spacing w:after="0" w:line="244"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I, L.P., and Mr. Phil Dur is the majority owner of PeakSpan Capital, LLC. Shares registered hereby consist of 2,071,294 Ordinary Shares received by PeakSpan Capital Growth Partners I, L.P. as consideration for the GroupBy Acquisition. The business address of PeakSpan Capital Growth Partners I,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rFonts w:ascii="Times New Roman" w:cs="Times New Roman" w:eastAsia="Times New Roman" w:hAnsi="Times New Roman"/>
          <w:sz w:val="18"/>
          <w:szCs w:val="18"/>
          <w:color w:val="auto"/>
        </w:rPr>
      </w:pPr>
    </w:p>
    <w:p>
      <w:pPr>
        <w:ind w:left="512" w:right="60" w:hanging="512"/>
        <w:spacing w:after="0" w:line="244"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l-A, L.P., and Mr. Phil Dur is the majority owner of PeakSpan Capital, LLC. Shares registered hereby consist of 14,251 Ordinary Shares received by PeakSpan Capital Growth Partners 1-A, L.P. as consideration for the GroupBy Acquisition. The business address of PeakSpan Capital Growth Partners l-A,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rFonts w:ascii="Times New Roman" w:cs="Times New Roman" w:eastAsia="Times New Roman" w:hAnsi="Times New Roman"/>
          <w:sz w:val="18"/>
          <w:szCs w:val="18"/>
          <w:color w:val="auto"/>
        </w:rPr>
      </w:pPr>
    </w:p>
    <w:p>
      <w:pPr>
        <w:ind w:left="512" w:right="2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Ms. D’Souza as consideration for the GroupBy Acquisition. The business address of Ms.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11,203 Ordinary Shares received by Mr. Cornelisse as consideration for the GroupBy Acquisition. The business address of Mr. Cornelisse is 42 Stockdale Road, Needham, MA 02492 United States.</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15,788 Ordinary Shares received by Mr. Kamath as consideration for the GroupBy Acquisition. The business address of Mr. Kamath is 797 Spinning Wheel Crescent, Mississauga, ON L5W 1W4 Canada.</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10,769 Ordinary Shares received by Mr. Kesavan as consideration for the GroupBy Acquisition. The business address of Mr. Kesavan is 2240 Foxfield Rd, Oakville, ON L6M 4C5 Canada.</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51,593 Ordinary Shares received by Mr. Halpenny as consideration for the GroupBy Acquisition. The business address of Mr. Halpenny is 3 Relmar Gardens, Toronto, ON M5P 1S1 Canada.</w:t>
      </w:r>
    </w:p>
    <w:p>
      <w:pPr>
        <w:spacing w:after="0" w:line="53" w:lineRule="exact"/>
        <w:rPr>
          <w:rFonts w:ascii="Times New Roman" w:cs="Times New Roman" w:eastAsia="Times New Roman" w:hAnsi="Times New Roman"/>
          <w:sz w:val="18"/>
          <w:szCs w:val="18"/>
          <w:color w:val="auto"/>
        </w:rPr>
      </w:pPr>
    </w:p>
    <w:p>
      <w:pPr>
        <w:ind w:left="512" w:right="280" w:hanging="512"/>
        <w:spacing w:after="0" w:line="266"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Lawn Direct Investment Fund GP, LLC is the managing general partner of CHC Direct Investment Fund I, L.P. Shares registered hereby consist of 597,375 Ordinary Shares received by CHC Direct Investment Fund I, L.P. as consideration for the GroupBy Acquisition. The business address of CHC Direct Investment Fund I, L.P. is 3953 Maple Avenue, Suite 250, Dallas TX 75219.</w:t>
      </w:r>
    </w:p>
    <w:p>
      <w:pPr>
        <w:spacing w:after="0" w:line="67" w:lineRule="exact"/>
        <w:rPr>
          <w:rFonts w:ascii="Times New Roman" w:cs="Times New Roman" w:eastAsia="Times New Roman" w:hAnsi="Times New Roman"/>
          <w:sz w:val="18"/>
          <w:szCs w:val="18"/>
          <w:color w:val="auto"/>
        </w:rPr>
      </w:pPr>
    </w:p>
    <w:p>
      <w:pPr>
        <w:ind w:left="512" w:hanging="512"/>
        <w:spacing w:after="0" w:line="261"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7,979,499 Ordinary Shares issued in connection with the July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w:t>
      </w:r>
    </w:p>
    <w:p>
      <w:pPr>
        <w:spacing w:after="0" w:line="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may be deemed to have shared power to vote or direct the vote of, and/or shared power to dispose or to direct the disposition over, the securities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40" w:top="1120" w:right="459" w:bottom="1440" w:gutter="0" w:footer="0" w:header="0"/>
        </w:sectPr>
      </w:pPr>
    </w:p>
    <w:bookmarkStart w:id="70" w:name="page71"/>
    <w:bookmarkEnd w:id="70"/>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registering the issuance by us of up to 7,499,994 Ordinary Shares. We are also registering the resale, from time to time, by the Selling Holders or their permitted transferees of up to 175,525,654 Ordinary Shares issued or issuable to the Selling Holders, as described in this prospectus.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3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73" w:name="page74"/>
    <w:bookmarkEnd w:id="73"/>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8">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 of Foreign Private Issuer on Form 6-K filed with the SEC on </w:t>
      </w:r>
      <w:hyperlink r:id="rId159">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September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164">
        <w:r>
          <w:rPr>
            <w:rFonts w:ascii="Times New Roman" w:cs="Times New Roman" w:eastAsia="Times New Roman" w:hAnsi="Times New Roman"/>
            <w:sz w:val="18"/>
            <w:szCs w:val="18"/>
            <w:u w:val="single" w:color="auto"/>
            <w:color w:val="0000FF"/>
          </w:rPr>
          <w:t xml:space="preserve">September 24,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65">
        <w:r>
          <w:rPr>
            <w:rFonts w:ascii="Times New Roman" w:cs="Times New Roman" w:eastAsia="Times New Roman" w:hAnsi="Times New Roman"/>
            <w:sz w:val="18"/>
            <w:szCs w:val="18"/>
            <w:u w:val="single" w:color="auto"/>
            <w:color w:val="0000FF"/>
          </w:rPr>
          <w:t>September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66">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200" w:lineRule="exact"/>
        <w:rPr>
          <w:rFonts w:ascii="Times New Roman" w:cs="Times New Roman" w:eastAsia="Times New Roman" w:hAnsi="Times New Roman"/>
          <w:sz w:val="18"/>
          <w:szCs w:val="18"/>
          <w:color w:val="0000FF"/>
        </w:rPr>
      </w:pPr>
    </w:p>
    <w:p>
      <w:pPr>
        <w:spacing w:after="0" w:line="331"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lowerRoman"/>
      <w:start w:val="9"/>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6"/>
    </w:lvl>
  </w:abstractNum>
  <w:abstractNum w:abstractNumId="23">
    <w:nsid w:val="5577F8E1"/>
    <w:multiLevelType w:val="hybridMultilevel"/>
    <w:lvl w:ilvl="0">
      <w:lvlJc w:val="left"/>
      <w:lvlText w:val="(%1)"/>
      <w:numFmt w:val="lowerLetter"/>
      <w:start w:val="18"/>
    </w:lvl>
  </w:abstractNum>
  <w:abstractNum w:abstractNumId="24">
    <w:nsid w:val="440BADFC"/>
    <w:multiLevelType w:val="hybridMultilevel"/>
    <w:lvl w:ilvl="0">
      <w:lvlJc w:val="left"/>
      <w:lvlText w:val="(%1)"/>
      <w:numFmt w:val="lowerLetter"/>
      <w:start w:val="23"/>
    </w:lvl>
  </w:abstractNum>
  <w:abstractNum w:abstractNumId="25">
    <w:nsid w:val="5072367"/>
    <w:multiLevelType w:val="hybridMultilevel"/>
    <w:lvl w:ilvl="0">
      <w:lvlJc w:val="left"/>
      <w:lvlText w:val="(%1)"/>
      <w:numFmt w:val="lowerLetter"/>
      <w:start w:val="27"/>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0"/>
    </w:lvl>
  </w:abstractNum>
  <w:abstractNum w:abstractNumId="37">
    <w:nsid w:val="70A64E2A"/>
    <w:multiLevelType w:val="hybridMultilevel"/>
    <w:lvl w:ilvl="0">
      <w:lvlJc w:val="left"/>
      <w:lvlText w:val="(%1)"/>
      <w:numFmt w:val="decimal"/>
      <w:start w:val="22"/>
    </w:lvl>
  </w:abstractNum>
  <w:abstractNum w:abstractNumId="38">
    <w:nsid w:val="6A2342EC"/>
    <w:multiLevelType w:val="hybridMultilevel"/>
    <w:lvl w:ilvl="0">
      <w:lvlJc w:val="left"/>
      <w:lvlText w:val="(%1)"/>
      <w:numFmt w:val="decimal"/>
      <w:start w:val="30"/>
    </w:lvl>
  </w:abstractNum>
  <w:abstractNum w:abstractNumId="39">
    <w:nsid w:val="2A487CB0"/>
    <w:multiLevelType w:val="hybridMultilevel"/>
    <w:lvl w:ilvl="0">
      <w:lvlJc w:val="left"/>
      <w:lvlText w:val="(%1)"/>
      <w:numFmt w:val="decimal"/>
      <w:start w:val="43"/>
    </w:lvl>
  </w:abstractNum>
  <w:abstractNum w:abstractNumId="40">
    <w:nsid w:val="1D4ED43B"/>
    <w:multiLevelType w:val="hybridMultilevel"/>
    <w:lvl w:ilvl="0">
      <w:lvlJc w:val="left"/>
      <w:lvlText w:val="(%1)"/>
      <w:numFmt w:val="decimal"/>
      <w:start w:val="56"/>
    </w:lvl>
  </w:abstractNum>
  <w:abstractNum w:abstractNumId="41">
    <w:nsid w:val="725A06FB"/>
    <w:multiLevelType w:val="hybridMultilevel"/>
    <w:lvl w:ilvl="0">
      <w:lvlJc w:val="left"/>
      <w:lvlText w:val="(%1)"/>
      <w:numFmt w:val="decimal"/>
      <w:start w:val="71"/>
    </w:lvl>
  </w:abstractNum>
  <w:abstractNum w:abstractNumId="42">
    <w:nsid w:val="2CD89A32"/>
    <w:multiLevelType w:val="hybridMultilevel"/>
    <w:lvl w:ilvl="0">
      <w:lvlJc w:val="left"/>
      <w:lvlText w:val="(%1)"/>
      <w:numFmt w:val="decimal"/>
      <w:start w:val="92"/>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7" Type="http://schemas.openxmlformats.org/officeDocument/2006/relationships/image" Target="media/image151.png"/><Relationship Id="rId158" Type="http://schemas.openxmlformats.org/officeDocument/2006/relationships/hyperlink" Target="https://www.sec.gov/Archives/edgar/data/1920294/000095017025057622/rzlv-20241231.htm" TargetMode="External"/><Relationship Id="rId159" Type="http://schemas.openxmlformats.org/officeDocument/2006/relationships/hyperlink" Target="https://www.sec.gov/Archives/edgar/data/1920294/000095017025047916/groupby_closing_6-k.htm" TargetMode="External"/><Relationship Id="rId160" Type="http://schemas.openxmlformats.org/officeDocument/2006/relationships/hyperlink" Target="https://www.sec.gov/Archives/edgar/data/1920294/000095017025098147/pricing_6-k.htm" TargetMode="External"/><Relationship Id="rId161" Type="http://schemas.openxmlformats.org/officeDocument/2006/relationships/hyperlink" Target="https://www.sec.gov/Archives/edgar/data/1920294/000095017025098781/litigation_6-k.htm" TargetMode="External"/><Relationship Id="rId162" Type="http://schemas.openxmlformats.org/officeDocument/2006/relationships/hyperlink" Target="https://www.sec.gov/Archives/edgar/data/1920294/000095017025098790/pipe_closing_6-k.htm" TargetMode="External"/><Relationship Id="rId163" Type="http://schemas.openxmlformats.org/officeDocument/2006/relationships/hyperlink" Target="https://www.sec.gov/Archives/edgar/data/1920294/000119312525213667/warrants_6-k.htm" TargetMode="External"/><Relationship Id="rId164" Type="http://schemas.openxmlformats.org/officeDocument/2006/relationships/hyperlink" Target="https://www.sec.gov/Archives/edgar/data/1920294/000119312525214041/second_pricing_6-k.htm" TargetMode="External"/><Relationship Id="rId165" Type="http://schemas.openxmlformats.org/officeDocument/2006/relationships/hyperlink" Target="https://www.sec.gov/Archives/edgar/data/1920294/000119312525220703/second_closing_6-k.htm" TargetMode="External"/><Relationship Id="rId166" Type="http://schemas.openxmlformats.org/officeDocument/2006/relationships/hyperlink" Target="https://www.sec.gov/Archives/edgar/data/1920294/000119312524201396/d87344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2025-09-30T15:57:52Z</dcterms:created>
  <dcterms:modified xsi:type="dcterms:W3CDTF">2025-09-30T15:57:52Z</dcterms:modified>
</cp:coreProperties>
</file>