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1134745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319405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left="240" w:right="319"/>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OF THE SECURITIES EXCHANGE ACT OF 1934</w:t>
      </w:r>
    </w:p>
    <w:p>
      <w:pPr>
        <w:spacing w:after="0" w:line="127"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22"/>
          <w:szCs w:val="22"/>
          <w:b w:val="1"/>
          <w:bCs w:val="1"/>
          <w:color w:val="auto"/>
        </w:rPr>
        <w:t>For the month of October 2024</w:t>
      </w:r>
    </w:p>
    <w:p>
      <w:pPr>
        <w:spacing w:after="0" w:line="18" w:lineRule="exact"/>
        <w:rPr>
          <w:sz w:val="24"/>
          <w:szCs w:val="24"/>
          <w:color w:val="auto"/>
        </w:rPr>
      </w:pPr>
    </w:p>
    <w:p>
      <w:pPr>
        <w:ind w:left="2820"/>
        <w:spacing w:after="0"/>
        <w:rPr>
          <w:sz w:val="20"/>
          <w:szCs w:val="20"/>
          <w:color w:val="auto"/>
        </w:rPr>
      </w:pPr>
      <w:r>
        <w:rPr>
          <w:rFonts w:ascii="Times New Roman" w:cs="Times New Roman" w:eastAsia="Times New Roman" w:hAnsi="Times New Roman"/>
          <w:sz w:val="22"/>
          <w:szCs w:val="22"/>
          <w:b w:val="1"/>
          <w:bCs w:val="1"/>
          <w:color w:val="auto"/>
        </w:rPr>
        <w:t>Commission File Number 001-42254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287020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43"/>
          <w:szCs w:val="43"/>
          <w:b w:val="1"/>
          <w:bCs w:val="1"/>
          <w:color w:val="auto"/>
        </w:rPr>
        <w:t>Rezolve AI Limited</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295910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3rd Floor, 80 New Bond Street</w:t>
      </w:r>
    </w:p>
    <w:p>
      <w:pPr>
        <w:spacing w:after="0" w:line="3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London, W1S 1SB</w:t>
      </w:r>
    </w:p>
    <w:p>
      <w:pPr>
        <w:spacing w:after="0" w:line="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United Kingdom</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296545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left="240" w:right="299"/>
        <w:spacing w:after="0" w:line="32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files or will file annual reports under cover of Form 20-F or Form 40-F. 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273685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-718185</wp:posOffset>
            </wp:positionH>
            <wp:positionV relativeFrom="paragraph">
              <wp:posOffset>1161415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Rezolve AI Limited (the “Company”) is furnishing this Form 6-K to provide its unaudited interim financial results for the six months ended June 30, 2024, which are furnished as 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124" w:lineRule="exact"/>
        <w:rPr>
          <w:sz w:val="20"/>
          <w:szCs w:val="20"/>
          <w:color w:val="auto"/>
        </w:rPr>
      </w:pPr>
    </w:p>
    <w:p>
      <w:pPr>
        <w:ind w:left="20"/>
        <w:spacing w:after="0"/>
        <w:tabs>
          <w:tab w:leader="none" w:pos="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FF"/>
        </w:rPr>
        <w:t>Unaudited Interim Financial Results for the Six Months Ended June 30,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1179195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1340485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October 28, 2024</w:t>
      </w:r>
    </w:p>
    <w:p>
      <w:pPr>
        <w:spacing w:after="0" w:line="200" w:lineRule="exact"/>
        <w:rPr>
          <w:sz w:val="20"/>
          <w:szCs w:val="20"/>
          <w:color w:val="auto"/>
        </w:rPr>
      </w:pP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9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Wagner</w:t>
            </w:r>
          </w:p>
        </w:tc>
        <w:tc>
          <w:tcPr>
            <w:tcW w:w="20" w:type="dxa"/>
            <w:vAlign w:val="bottom"/>
          </w:tcPr>
          <w:p>
            <w:pPr>
              <w:spacing w:after="0"/>
              <w:rPr>
                <w:sz w:val="20"/>
                <w:szCs w:val="20"/>
                <w:color w:val="auto"/>
              </w:rPr>
            </w:pPr>
          </w:p>
        </w:tc>
      </w:tr>
      <w:tr>
        <w:trPr>
          <w:trHeight w:val="250"/>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20" w:type="dxa"/>
            <w:vAlign w:val="bottom"/>
          </w:tcPr>
          <w:p>
            <w:pPr>
              <w:spacing w:after="0"/>
              <w:rPr>
                <w:sz w:val="21"/>
                <w:szCs w:val="21"/>
                <w:color w:val="auto"/>
              </w:rPr>
            </w:pPr>
          </w:p>
        </w:tc>
      </w:tr>
      <w:tr>
        <w:trPr>
          <w:trHeight w:val="243"/>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94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20" w:type="dxa"/>
            <w:vAlign w:val="bottom"/>
          </w:tcPr>
          <w:p>
            <w:pPr>
              <w:spacing w:after="0"/>
              <w:rPr>
                <w:sz w:val="21"/>
                <w:szCs w:val="21"/>
                <w:color w:val="auto"/>
              </w:rPr>
            </w:pPr>
          </w:p>
        </w:tc>
      </w:tr>
      <w:tr>
        <w:trPr>
          <w:trHeight w:val="1640"/>
        </w:trPr>
        <w:tc>
          <w:tcPr>
            <w:tcW w:w="1800" w:type="dxa"/>
            <w:vAlign w:val="bottom"/>
            <w:tcBorders>
              <w:bottom w:val="single" w:sz="8" w:color="9A9A9A"/>
            </w:tcBorders>
          </w:tcPr>
          <w:p>
            <w:pPr>
              <w:spacing w:after="0"/>
              <w:rPr>
                <w:sz w:val="24"/>
                <w:szCs w:val="24"/>
                <w:color w:val="auto"/>
              </w:rPr>
            </w:pPr>
          </w:p>
        </w:tc>
        <w:tc>
          <w:tcPr>
            <w:tcW w:w="9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carve-out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2024 and 2023</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Condensed Interim Carve-out Consolidated Financial Statements (Unaudited)</w:t>
            </w:r>
          </w:p>
        </w:tc>
        <w:tc>
          <w:tcPr>
            <w:tcW w:w="920" w:type="dxa"/>
            <w:vAlign w:val="bottom"/>
          </w:tcPr>
          <w:p>
            <w:pPr>
              <w:spacing w:after="0"/>
              <w:rPr>
                <w:sz w:val="20"/>
                <w:szCs w:val="20"/>
                <w:color w:val="auto"/>
              </w:rPr>
            </w:pPr>
          </w:p>
        </w:tc>
      </w:tr>
      <w:tr>
        <w:trPr>
          <w:trHeight w:val="203"/>
        </w:trPr>
        <w:tc>
          <w:tcPr>
            <w:tcW w:w="20" w:type="dxa"/>
            <w:vAlign w:val="bottom"/>
          </w:tcPr>
          <w:p>
            <w:pPr>
              <w:spacing w:after="0"/>
              <w:rPr>
                <w:sz w:val="17"/>
                <w:szCs w:val="17"/>
                <w:color w:val="auto"/>
              </w:rPr>
            </w:pPr>
          </w:p>
        </w:tc>
        <w:tc>
          <w:tcPr>
            <w:tcW w:w="8420" w:type="dxa"/>
            <w:vAlign w:val="bottom"/>
            <w:tcBorders>
              <w:bottom w:val="single" w:sz="8" w:color="0000FF"/>
            </w:tcBorders>
            <w:gridSpan w:val="5"/>
          </w:tcPr>
          <w:p>
            <w:pPr>
              <w:spacing w:after="0" w:line="202" w:lineRule="exact"/>
              <w:rPr>
                <w:sz w:val="20"/>
                <w:szCs w:val="20"/>
                <w:color w:val="auto"/>
              </w:rPr>
            </w:pPr>
            <w:r>
              <w:rPr>
                <w:rFonts w:ascii="Times New Roman" w:cs="Times New Roman" w:eastAsia="Times New Roman" w:hAnsi="Times New Roman"/>
                <w:sz w:val="18"/>
                <w:szCs w:val="18"/>
                <w:color w:val="0000FF"/>
              </w:rPr>
              <w:t>Condensed interim Carve-out Consolidated Balance Sheets as of June 30, 2024 (Unaudited) and December 31, 2023</w:t>
            </w:r>
          </w:p>
        </w:tc>
        <w:tc>
          <w:tcPr>
            <w:tcW w:w="1880" w:type="dxa"/>
            <w:vAlign w:val="bottom"/>
            <w:gridSpan w:val="3"/>
          </w:tcPr>
          <w:p>
            <w:pPr>
              <w:spacing w:after="0"/>
              <w:rPr>
                <w:sz w:val="17"/>
                <w:szCs w:val="17"/>
                <w:color w:val="auto"/>
              </w:rPr>
            </w:pPr>
          </w:p>
        </w:tc>
        <w:tc>
          <w:tcPr>
            <w:tcW w:w="920" w:type="dxa"/>
            <w:vAlign w:val="bottom"/>
          </w:tcPr>
          <w:p>
            <w:pPr>
              <w:ind w:left="660"/>
              <w:spacing w:after="0" w:line="202" w:lineRule="exact"/>
              <w:rPr>
                <w:sz w:val="20"/>
                <w:szCs w:val="20"/>
                <w:color w:val="auto"/>
              </w:rPr>
            </w:pPr>
            <w:r>
              <w:rPr>
                <w:rFonts w:ascii="Times New Roman" w:cs="Times New Roman" w:eastAsia="Times New Roman" w:hAnsi="Times New Roman"/>
                <w:sz w:val="18"/>
                <w:szCs w:val="18"/>
                <w:color w:val="auto"/>
                <w:w w:val="95"/>
              </w:rPr>
              <w:t>F-2</w:t>
            </w:r>
          </w:p>
        </w:tc>
      </w:tr>
      <w:tr>
        <w:trPr>
          <w:trHeight w:val="223"/>
        </w:trPr>
        <w:tc>
          <w:tcPr>
            <w:tcW w:w="20" w:type="dxa"/>
            <w:vAlign w:val="bottom"/>
          </w:tcPr>
          <w:p>
            <w:pPr>
              <w:spacing w:after="0"/>
              <w:rPr>
                <w:sz w:val="19"/>
                <w:szCs w:val="19"/>
                <w:color w:val="auto"/>
              </w:rPr>
            </w:pPr>
          </w:p>
        </w:tc>
        <w:tc>
          <w:tcPr>
            <w:tcW w:w="103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Condensed interim Carve-out Consolidated Statements of Operations for the six months ended June 30, 2024 and 2023 (Unaudited)</w:t>
            </w: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F-4</w:t>
            </w:r>
          </w:p>
        </w:tc>
      </w:tr>
      <w:tr>
        <w:trPr>
          <w:trHeight w:val="223"/>
        </w:trPr>
        <w:tc>
          <w:tcPr>
            <w:tcW w:w="20" w:type="dxa"/>
            <w:vAlign w:val="bottom"/>
          </w:tcPr>
          <w:p>
            <w:pPr>
              <w:spacing w:after="0"/>
              <w:rPr>
                <w:sz w:val="19"/>
                <w:szCs w:val="19"/>
                <w:color w:val="auto"/>
              </w:rPr>
            </w:pPr>
          </w:p>
        </w:tc>
        <w:tc>
          <w:tcPr>
            <w:tcW w:w="948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Condensed interim Carve-out Consolidated Statements of Comprehensive Loss (Unaudited)</w:t>
            </w:r>
          </w:p>
        </w:tc>
        <w:tc>
          <w:tcPr>
            <w:tcW w:w="820" w:type="dxa"/>
            <w:vAlign w:val="bottom"/>
            <w:gridSpan w:val="2"/>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F-5</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4800" w:type="dxa"/>
            <w:vAlign w:val="bottom"/>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103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Condensed interim Carve-out Consolidated Statements of Changes in Stockholders’ deficit for the six and the six months ended June 30, 2024</w:t>
            </w:r>
          </w:p>
        </w:tc>
        <w:tc>
          <w:tcPr>
            <w:tcW w:w="920" w:type="dxa"/>
            <w:vAlign w:val="bottom"/>
          </w:tcPr>
          <w:p>
            <w:pPr>
              <w:spacing w:after="0"/>
              <w:rPr>
                <w:sz w:val="19"/>
                <w:szCs w:val="19"/>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8480" w:type="dxa"/>
            <w:vAlign w:val="bottom"/>
            <w:gridSpan w:val="6"/>
          </w:tcPr>
          <w:p>
            <w:pPr>
              <w:spacing w:after="0"/>
              <w:rPr>
                <w:sz w:val="17"/>
                <w:szCs w:val="17"/>
                <w:color w:val="auto"/>
              </w:rPr>
            </w:pPr>
          </w:p>
        </w:tc>
        <w:tc>
          <w:tcPr>
            <w:tcW w:w="920" w:type="dxa"/>
            <w:vAlign w:val="bottom"/>
          </w:tcPr>
          <w:p>
            <w:pPr>
              <w:ind w:left="660"/>
              <w:spacing w:after="0" w:line="196" w:lineRule="exact"/>
              <w:rPr>
                <w:sz w:val="20"/>
                <w:szCs w:val="20"/>
                <w:color w:val="auto"/>
              </w:rPr>
            </w:pPr>
            <w:r>
              <w:rPr>
                <w:rFonts w:ascii="Times New Roman" w:cs="Times New Roman" w:eastAsia="Times New Roman" w:hAnsi="Times New Roman"/>
                <w:sz w:val="18"/>
                <w:szCs w:val="18"/>
                <w:color w:val="auto"/>
                <w:w w:val="95"/>
              </w:rPr>
              <w:t>F-6</w:t>
            </w:r>
          </w:p>
        </w:tc>
      </w:tr>
      <w:tr>
        <w:trPr>
          <w:trHeight w:val="223"/>
        </w:trPr>
        <w:tc>
          <w:tcPr>
            <w:tcW w:w="20" w:type="dxa"/>
            <w:vAlign w:val="bottom"/>
          </w:tcPr>
          <w:p>
            <w:pPr>
              <w:spacing w:after="0"/>
              <w:rPr>
                <w:sz w:val="19"/>
                <w:szCs w:val="19"/>
                <w:color w:val="auto"/>
              </w:rPr>
            </w:pPr>
          </w:p>
        </w:tc>
        <w:tc>
          <w:tcPr>
            <w:tcW w:w="9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Condensed interim Carve-out Consolidated Statements of Cash Flows for the six and the six months ended June 30, 2024 and 2023</w:t>
            </w:r>
          </w:p>
        </w:tc>
        <w:tc>
          <w:tcPr>
            <w:tcW w:w="800" w:type="dxa"/>
            <w:vAlign w:val="bottom"/>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F-7</w:t>
            </w:r>
          </w:p>
        </w:tc>
      </w:tr>
      <w:tr>
        <w:trPr>
          <w:trHeight w:val="223"/>
        </w:trPr>
        <w:tc>
          <w:tcPr>
            <w:tcW w:w="20" w:type="dxa"/>
            <w:vAlign w:val="bottom"/>
          </w:tcPr>
          <w:p>
            <w:pPr>
              <w:spacing w:after="0"/>
              <w:rPr>
                <w:sz w:val="19"/>
                <w:szCs w:val="19"/>
                <w:color w:val="auto"/>
              </w:rPr>
            </w:pPr>
          </w:p>
        </w:tc>
        <w:tc>
          <w:tcPr>
            <w:tcW w:w="75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Notes to the Condensed interim Carve-out Consolidated Financial Statements June 30, 2024 (Unaudited)</w:t>
            </w:r>
          </w:p>
        </w:tc>
        <w:tc>
          <w:tcPr>
            <w:tcW w:w="2740" w:type="dxa"/>
            <w:vAlign w:val="bottom"/>
            <w:gridSpan w:val="4"/>
          </w:tcPr>
          <w:p>
            <w:pPr>
              <w:spacing w:after="0"/>
              <w:rPr>
                <w:sz w:val="19"/>
                <w:szCs w:val="19"/>
                <w:color w:val="auto"/>
              </w:rPr>
            </w:pPr>
          </w:p>
        </w:tc>
        <w:tc>
          <w:tcPr>
            <w:tcW w:w="92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F-8</w:t>
            </w:r>
          </w:p>
        </w:tc>
      </w:tr>
      <w:tr>
        <w:trPr>
          <w:trHeight w:val="682"/>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480" w:type="dxa"/>
            <w:vAlign w:val="bottom"/>
            <w:gridSpan w:val="6"/>
          </w:tcPr>
          <w:p>
            <w:pPr>
              <w:ind w:left="3660"/>
              <w:spacing w:after="0"/>
              <w:rPr>
                <w:sz w:val="20"/>
                <w:szCs w:val="20"/>
                <w:color w:val="auto"/>
              </w:rPr>
            </w:pPr>
            <w:r>
              <w:rPr>
                <w:rFonts w:ascii="Times New Roman" w:cs="Times New Roman" w:eastAsia="Times New Roman" w:hAnsi="Times New Roman"/>
                <w:sz w:val="18"/>
                <w:szCs w:val="18"/>
                <w:color w:val="auto"/>
              </w:rPr>
              <w:t>F-1</w:t>
            </w: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48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60" w:type="dxa"/>
            <w:vAlign w:val="bottom"/>
          </w:tcPr>
          <w:p>
            <w:pPr>
              <w:spacing w:after="0"/>
              <w:rPr>
                <w:sz w:val="13"/>
                <w:szCs w:val="13"/>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3"/>
                <w:szCs w:val="13"/>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7060" w:type="dxa"/>
            <w:vAlign w:val="bottom"/>
          </w:tcPr>
          <w:p>
            <w:pPr>
              <w:spacing w:after="0"/>
              <w:rPr>
                <w:sz w:val="16"/>
                <w:szCs w:val="16"/>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6"/>
        </w:trPr>
        <w:tc>
          <w:tcPr>
            <w:tcW w:w="7060" w:type="dxa"/>
            <w:vAlign w:val="bottom"/>
          </w:tcPr>
          <w:p>
            <w:pPr>
              <w:spacing w:after="0"/>
              <w:rPr>
                <w:sz w:val="19"/>
                <w:szCs w:val="19"/>
                <w:color w:val="auto"/>
              </w:rPr>
            </w:pPr>
          </w:p>
        </w:tc>
        <w:tc>
          <w:tcPr>
            <w:tcW w:w="1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16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9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19"/>
                <w:szCs w:val="19"/>
                <w:color w:val="auto"/>
              </w:rPr>
            </w:pPr>
          </w:p>
        </w:tc>
      </w:tr>
      <w:tr>
        <w:trPr>
          <w:trHeight w:val="229"/>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430,691</w:t>
            </w:r>
          </w:p>
        </w:tc>
        <w:tc>
          <w:tcPr>
            <w:tcW w:w="2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502,423</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920" w:type="dxa"/>
            <w:vAlign w:val="bottom"/>
            <w:tcBorders>
              <w:top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tcBorders>
              <w:top w:val="single" w:sz="8" w:color="auto"/>
            </w:tcBorders>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100" w:type="dxa"/>
            <w:vAlign w:val="bottom"/>
          </w:tcPr>
          <w:p>
            <w:pPr>
              <w:spacing w:after="0"/>
              <w:rPr>
                <w:sz w:val="19"/>
                <w:szCs w:val="19"/>
                <w:color w:val="auto"/>
              </w:rPr>
            </w:pPr>
          </w:p>
        </w:tc>
      </w:tr>
      <w:tr>
        <w:trPr>
          <w:trHeight w:val="229"/>
        </w:trPr>
        <w:tc>
          <w:tcPr>
            <w:tcW w:w="70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3,396,489</w:t>
            </w:r>
          </w:p>
        </w:tc>
        <w:tc>
          <w:tcPr>
            <w:tcW w:w="2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3,458,031</w:t>
            </w:r>
          </w:p>
        </w:tc>
        <w:tc>
          <w:tcPr>
            <w:tcW w:w="24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00" w:type="dxa"/>
            <w:vAlign w:val="bottom"/>
            <w:shd w:val="clear" w:color="auto" w:fill="CFF0FC"/>
          </w:tcPr>
          <w:p>
            <w:pPr>
              <w:spacing w:after="0"/>
              <w:rPr>
                <w:sz w:val="20"/>
                <w:szCs w:val="20"/>
                <w:color w:val="auto"/>
              </w:rPr>
            </w:pPr>
          </w:p>
        </w:tc>
      </w:tr>
      <w:tr>
        <w:trPr>
          <w:trHeight w:val="229"/>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29"/>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4,055,537</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100" w:type="dxa"/>
            <w:vAlign w:val="bottom"/>
          </w:tcPr>
          <w:p>
            <w:pPr>
              <w:spacing w:after="0"/>
              <w:rPr>
                <w:sz w:val="19"/>
                <w:szCs w:val="19"/>
                <w:color w:val="auto"/>
              </w:rPr>
            </w:pPr>
          </w:p>
        </w:tc>
      </w:tr>
      <w:tr>
        <w:trPr>
          <w:trHeight w:val="229"/>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1,093,471</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4,708,590</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Ordinary shares payable</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00" w:type="dxa"/>
            <w:vAlign w:val="bottom"/>
            <w:shd w:val="clear" w:color="auto" w:fill="CFF0FC"/>
          </w:tcPr>
          <w:p>
            <w:pPr>
              <w:spacing w:after="0"/>
              <w:rPr>
                <w:sz w:val="19"/>
                <w:szCs w:val="19"/>
                <w:color w:val="auto"/>
              </w:rPr>
            </w:pP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00" w:type="dxa"/>
            <w:vAlign w:val="bottom"/>
            <w:shd w:val="clear" w:color="auto" w:fill="CFF0FC"/>
          </w:tcPr>
          <w:p>
            <w:pPr>
              <w:spacing w:after="0"/>
              <w:rPr>
                <w:sz w:val="19"/>
                <w:szCs w:val="19"/>
                <w:color w:val="auto"/>
              </w:rPr>
            </w:pPr>
          </w:p>
        </w:tc>
      </w:tr>
      <w:tr>
        <w:trPr>
          <w:trHeight w:val="230"/>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2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19"/>
                <w:szCs w:val="19"/>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Promissory loan note</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(current)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0" w:type="dxa"/>
            <w:vAlign w:val="bottom"/>
          </w:tcPr>
          <w:p>
            <w:pPr>
              <w:spacing w:after="0"/>
              <w:rPr>
                <w:sz w:val="19"/>
                <w:szCs w:val="19"/>
                <w:color w:val="auto"/>
              </w:rPr>
            </w:pPr>
          </w:p>
        </w:tc>
      </w:tr>
      <w:tr>
        <w:trPr>
          <w:trHeight w:val="223"/>
        </w:trPr>
        <w:tc>
          <w:tcPr>
            <w:tcW w:w="70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22,776,285</w:t>
            </w:r>
          </w:p>
        </w:tc>
        <w:tc>
          <w:tcPr>
            <w:tcW w:w="2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shd w:val="clear" w:color="auto" w:fill="CFF0FC"/>
          </w:tcPr>
          <w:p>
            <w:pPr>
              <w:spacing w:after="0"/>
              <w:rPr>
                <w:sz w:val="19"/>
                <w:szCs w:val="19"/>
                <w:color w:val="auto"/>
              </w:rPr>
            </w:pPr>
          </w:p>
        </w:tc>
      </w:tr>
      <w:tr>
        <w:trPr>
          <w:trHeight w:val="223"/>
        </w:trPr>
        <w:tc>
          <w:tcPr>
            <w:tcW w:w="70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920" w:type="dxa"/>
            <w:vAlign w:val="bottom"/>
            <w:tcBorders>
              <w:top w:val="single" w:sz="8" w:color="auto"/>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92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30"/>
        </w:trPr>
        <w:tc>
          <w:tcPr>
            <w:tcW w:w="70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debt </w:t>
            </w:r>
            <w:r>
              <w:rPr>
                <w:rFonts w:ascii="Times New Roman" w:cs="Times New Roman" w:eastAsia="Times New Roman" w:hAnsi="Times New Roman"/>
                <w:sz w:val="18"/>
                <w:szCs w:val="18"/>
                <w:i w:val="1"/>
                <w:iCs w:val="1"/>
                <w:color w:val="auto"/>
              </w:rPr>
              <w:t>(includes related party balances of $6,291,581)</w:t>
            </w:r>
          </w:p>
        </w:tc>
        <w:tc>
          <w:tcPr>
            <w:tcW w:w="1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40" w:type="dxa"/>
            <w:vAlign w:val="bottom"/>
            <w:shd w:val="clear" w:color="auto" w:fill="CFF0FC"/>
          </w:tcPr>
          <w:p>
            <w:pPr>
              <w:spacing w:after="0"/>
              <w:rPr>
                <w:sz w:val="19"/>
                <w:szCs w:val="19"/>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promissory notes </w:t>
            </w:r>
            <w:r>
              <w:rPr>
                <w:rFonts w:ascii="Times New Roman" w:cs="Times New Roman" w:eastAsia="Times New Roman" w:hAnsi="Times New Roman"/>
                <w:sz w:val="18"/>
                <w:szCs w:val="18"/>
                <w:i w:val="1"/>
                <w:iCs w:val="1"/>
                <w:color w:val="auto"/>
              </w:rPr>
              <w:t>(includes related party balances of $1,565,007)</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5,395,702</w:t>
            </w:r>
          </w:p>
        </w:tc>
        <w:tc>
          <w:tcPr>
            <w:tcW w:w="24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r>
      <w:tr>
        <w:trPr>
          <w:trHeight w:val="223"/>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40" w:type="dxa"/>
            <w:vAlign w:val="bottom"/>
            <w:tcBorders>
              <w:bottom w:val="single" w:sz="8" w:color="CFF0FC"/>
            </w:tcBorders>
            <w:shd w:val="clear" w:color="auto" w:fill="CFF0FC"/>
          </w:tcPr>
          <w:p>
            <w:pPr>
              <w:spacing w:after="0"/>
              <w:rPr>
                <w:sz w:val="19"/>
                <w:szCs w:val="19"/>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66,909,581</w:t>
            </w:r>
          </w:p>
        </w:tc>
        <w:tc>
          <w:tcPr>
            <w:tcW w:w="240" w:type="dxa"/>
            <w:vAlign w:val="bottom"/>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tcPr>
          <w:p>
            <w:pPr>
              <w:spacing w:after="0"/>
              <w:rPr>
                <w:sz w:val="19"/>
                <w:szCs w:val="19"/>
                <w:color w:val="auto"/>
              </w:rPr>
            </w:pPr>
          </w:p>
        </w:tc>
      </w:tr>
      <w:tr>
        <w:trPr>
          <w:trHeight w:val="230"/>
        </w:trPr>
        <w:tc>
          <w:tcPr>
            <w:tcW w:w="70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-3608070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-3007995</wp:posOffset>
            </wp:positionV>
            <wp:extent cx="774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-2700020</wp:posOffset>
            </wp:positionV>
            <wp:extent cx="7747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-925195</wp:posOffset>
            </wp:positionV>
            <wp:extent cx="7747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-325120</wp:posOffset>
            </wp:positionV>
            <wp:extent cx="77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-16510</wp:posOffset>
            </wp:positionV>
            <wp:extent cx="7747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170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6"/>
        </w:trPr>
        <w:tc>
          <w:tcPr>
            <w:tcW w:w="7700" w:type="dxa"/>
            <w:vAlign w:val="bottom"/>
          </w:tcPr>
          <w:p>
            <w:pPr>
              <w:spacing w:after="0"/>
              <w:rPr>
                <w:sz w:val="15"/>
                <w:szCs w:val="15"/>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40" w:type="dxa"/>
            <w:vAlign w:val="bottom"/>
            <w:gridSpan w:val="2"/>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r>
      <w:tr>
        <w:trPr>
          <w:trHeight w:val="187"/>
        </w:trPr>
        <w:tc>
          <w:tcPr>
            <w:tcW w:w="7700" w:type="dxa"/>
            <w:vAlign w:val="bottom"/>
          </w:tcPr>
          <w:p>
            <w:pPr>
              <w:spacing w:after="0"/>
              <w:rPr>
                <w:sz w:val="16"/>
                <w:szCs w:val="16"/>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40" w:type="dxa"/>
            <w:vAlign w:val="bottom"/>
            <w:gridSpan w:val="2"/>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0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1"/>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£0.0001 nominal value 932,997,081 issued and outstanding as</w:t>
            </w:r>
          </w:p>
        </w:tc>
        <w:tc>
          <w:tcPr>
            <w:tcW w:w="1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June 30, 2024 932,969,424 issued and outstanding as of December 31, 2023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127,313</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00" w:type="dxa"/>
            <w:vAlign w:val="bottom"/>
          </w:tcPr>
          <w:p>
            <w:pPr>
              <w:spacing w:after="0"/>
              <w:rPr>
                <w:sz w:val="20"/>
                <w:szCs w:val="20"/>
                <w:color w:val="auto"/>
              </w:rPr>
            </w:pPr>
          </w:p>
        </w:tc>
      </w:tr>
      <w:tr>
        <w:trPr>
          <w:trHeight w:val="250"/>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Series stock series A, £0.0001 nominal value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176,274,941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00" w:type="dxa"/>
            <w:vAlign w:val="bottom"/>
            <w:shd w:val="clear" w:color="auto" w:fill="CFF0FC"/>
          </w:tcPr>
          <w:p>
            <w:pPr>
              <w:spacing w:after="0"/>
              <w:rPr>
                <w:sz w:val="21"/>
                <w:szCs w:val="2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(239,133,876)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(226,291,430)</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240" w:type="dxa"/>
            <w:vAlign w:val="bottom"/>
            <w:tcBorders>
              <w:bottom w:val="single" w:sz="8" w:color="CFF0FC"/>
            </w:tcBorders>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(62,949,127)</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(54,284,884)</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4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-1579245</wp:posOffset>
            </wp:positionV>
            <wp:extent cx="77470" cy="114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-1579245</wp:posOffset>
            </wp:positionV>
            <wp:extent cx="68580" cy="114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-353695</wp:posOffset>
            </wp:positionV>
            <wp:extent cx="77470" cy="11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-353695</wp:posOffset>
            </wp:positionV>
            <wp:extent cx="68580" cy="11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-190500</wp:posOffset>
            </wp:positionV>
            <wp:extent cx="77470" cy="114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-190500</wp:posOffset>
            </wp:positionV>
            <wp:extent cx="68580" cy="114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-25400</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7747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0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62"/>
        </w:trPr>
        <w:tc>
          <w:tcPr>
            <w:tcW w:w="7560" w:type="dxa"/>
            <w:vAlign w:val="bottom"/>
          </w:tcPr>
          <w:p>
            <w:pPr>
              <w:spacing w:after="0"/>
              <w:rPr>
                <w:sz w:val="14"/>
                <w:szCs w:val="14"/>
                <w:color w:val="auto"/>
              </w:rPr>
            </w:pPr>
          </w:p>
        </w:tc>
        <w:tc>
          <w:tcPr>
            <w:tcW w:w="1900" w:type="dxa"/>
            <w:vAlign w:val="bottom"/>
            <w:gridSpan w:val="2"/>
          </w:tcPr>
          <w:p>
            <w:pPr>
              <w:jc w:val="center"/>
              <w:ind w:right="13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7"/>
        </w:trPr>
        <w:tc>
          <w:tcPr>
            <w:tcW w:w="756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53,399</w:t>
            </w:r>
          </w:p>
        </w:tc>
        <w:tc>
          <w:tcPr>
            <w:tcW w:w="2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46,764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1,370,214 and 1,361,168, refer to Note 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2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560" w:type="dxa"/>
            <w:vAlign w:val="bottom"/>
            <w:shd w:val="clear" w:color="auto" w:fill="CFF0FC"/>
          </w:tcPr>
          <w:p>
            <w:pPr>
              <w:ind w:left="180"/>
              <w:spacing w:after="0" w:line="202"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7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i w:val="1"/>
                <w:iCs w:val="1"/>
                <w:color w:val="auto"/>
              </w:rPr>
              <w:t>5,754,682 and 1,733,938, refer to Note 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20" w:type="dxa"/>
            <w:vAlign w:val="bottom"/>
            <w:shd w:val="clear" w:color="auto" w:fill="CFF0FC"/>
          </w:tcPr>
          <w:p>
            <w:pPr>
              <w:spacing w:after="0"/>
              <w:rPr>
                <w:sz w:val="21"/>
                <w:szCs w:val="21"/>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9,719,157</w:t>
            </w:r>
          </w:p>
        </w:tc>
        <w:tc>
          <w:tcPr>
            <w:tcW w:w="2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14,376,233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(9,665,758 )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(14,329,469 )</w:t>
            </w:r>
          </w:p>
        </w:tc>
        <w:tc>
          <w:tcPr>
            <w:tcW w:w="0" w:type="dxa"/>
            <w:vAlign w:val="bottom"/>
          </w:tcPr>
          <w:p>
            <w:pPr>
              <w:spacing w:after="0"/>
              <w:rPr>
                <w:sz w:val="1"/>
                <w:szCs w:val="1"/>
                <w:color w:val="auto"/>
              </w:rPr>
            </w:pPr>
          </w:p>
        </w:tc>
      </w:tr>
      <w:tr>
        <w:trPr>
          <w:trHeight w:val="223"/>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 / income</w:t>
            </w:r>
          </w:p>
        </w:tc>
        <w:tc>
          <w:tcPr>
            <w:tcW w:w="1680" w:type="dxa"/>
            <w:vAlign w:val="bottom"/>
            <w:tcBorders>
              <w:top w:val="single" w:sz="8" w:color="auto"/>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16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(3,009,002 )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(3,054,946 )</w:t>
            </w:r>
          </w:p>
        </w:tc>
        <w:tc>
          <w:tcPr>
            <w:tcW w:w="0" w:type="dxa"/>
            <w:vAlign w:val="bottom"/>
          </w:tcPr>
          <w:p>
            <w:pPr>
              <w:spacing w:after="0"/>
              <w:rPr>
                <w:sz w:val="1"/>
                <w:szCs w:val="1"/>
                <w:color w:val="auto"/>
              </w:rPr>
            </w:pPr>
          </w:p>
        </w:tc>
      </w:tr>
      <w:tr>
        <w:trPr>
          <w:trHeight w:val="23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(107,816 )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(3,116,818 )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(2,883,195 )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(12,782,576 )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(17,212,664 )</w:t>
            </w:r>
          </w:p>
        </w:tc>
        <w:tc>
          <w:tcPr>
            <w:tcW w:w="0" w:type="dxa"/>
            <w:vAlign w:val="bottom"/>
          </w:tcPr>
          <w:p>
            <w:pPr>
              <w:spacing w:after="0"/>
              <w:rPr>
                <w:sz w:val="1"/>
                <w:szCs w:val="1"/>
                <w:color w:val="auto"/>
              </w:rPr>
            </w:pPr>
          </w:p>
        </w:tc>
      </w:tr>
      <w:tr>
        <w:trPr>
          <w:trHeight w:val="22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(59,870 )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(63,408 )</w:t>
            </w:r>
          </w:p>
        </w:tc>
        <w:tc>
          <w:tcPr>
            <w:tcW w:w="0" w:type="dxa"/>
            <w:vAlign w:val="bottom"/>
          </w:tcPr>
          <w:p>
            <w:pPr>
              <w:spacing w:after="0"/>
              <w:rPr>
                <w:sz w:val="1"/>
                <w:szCs w:val="1"/>
                <w:color w:val="auto"/>
              </w:rPr>
            </w:pPr>
          </w:p>
        </w:tc>
      </w:tr>
      <w:tr>
        <w:trPr>
          <w:trHeight w:val="223"/>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(12,842,446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(17,276,072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2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927,893,144</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-2822575</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-2822575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-1665605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-1665605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-1356995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-1356995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-756920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-756920</wp:posOffset>
            </wp:positionV>
            <wp:extent cx="685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-469265</wp:posOffset>
            </wp:positionV>
            <wp:extent cx="93980" cy="1885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-469265</wp:posOffset>
            </wp:positionV>
            <wp:extent cx="93980" cy="1885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93980" cy="18859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right="51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Interim Carve-out Consolidated Statements of Comprehensive Loss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4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0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0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26"/>
        </w:trPr>
        <w:tc>
          <w:tcPr>
            <w:tcW w:w="408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70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tcPr>
          <w:p>
            <w:pPr>
              <w:spacing w:after="0"/>
              <w:rPr>
                <w:sz w:val="19"/>
                <w:szCs w:val="19"/>
                <w:color w:val="auto"/>
              </w:rPr>
            </w:pPr>
          </w:p>
        </w:tc>
        <w:tc>
          <w:tcPr>
            <w:tcW w:w="170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360" w:type="dxa"/>
            <w:vAlign w:val="bottom"/>
            <w:gridSpan w:val="3"/>
            <w:shd w:val="clear" w:color="auto" w:fill="CFF0FC"/>
          </w:tcPr>
          <w:p>
            <w:pPr>
              <w:ind w:left="4140"/>
              <w:spacing w:after="0"/>
              <w:rPr>
                <w:sz w:val="20"/>
                <w:szCs w:val="20"/>
                <w:color w:val="auto"/>
              </w:rPr>
            </w:pPr>
            <w:r>
              <w:rPr>
                <w:rFonts w:ascii="Times New Roman" w:cs="Times New Roman" w:eastAsia="Times New Roman" w:hAnsi="Times New Roman"/>
                <w:sz w:val="18"/>
                <w:szCs w:val="18"/>
                <w:b w:val="1"/>
                <w:bCs w:val="1"/>
                <w:color w:val="auto"/>
              </w:rPr>
              <w:t>(12,842,446 )</w:t>
            </w:r>
          </w:p>
        </w:tc>
        <w:tc>
          <w:tcPr>
            <w:tcW w:w="1800" w:type="dxa"/>
            <w:vAlign w:val="bottom"/>
            <w:gridSpan w:val="2"/>
            <w:shd w:val="clear" w:color="auto" w:fill="CFF0FC"/>
          </w:tcPr>
          <w:p>
            <w:pPr>
              <w:ind w:left="800"/>
              <w:spacing w:after="0"/>
              <w:rPr>
                <w:sz w:val="20"/>
                <w:szCs w:val="20"/>
                <w:color w:val="auto"/>
              </w:rPr>
            </w:pPr>
            <w:r>
              <w:rPr>
                <w:rFonts w:ascii="Times New Roman" w:cs="Times New Roman" w:eastAsia="Times New Roman" w:hAnsi="Times New Roman"/>
                <w:sz w:val="18"/>
                <w:szCs w:val="18"/>
                <w:b w:val="1"/>
                <w:bCs w:val="1"/>
                <w:color w:val="auto"/>
              </w:rPr>
              <w:t>(17,276,072 )</w:t>
            </w:r>
          </w:p>
        </w:tc>
        <w:tc>
          <w:tcPr>
            <w:tcW w:w="0" w:type="dxa"/>
            <w:vAlign w:val="bottom"/>
          </w:tcPr>
          <w:p>
            <w:pPr>
              <w:spacing w:after="0"/>
              <w:rPr>
                <w:sz w:val="1"/>
                <w:szCs w:val="1"/>
                <w:color w:val="auto"/>
              </w:rPr>
            </w:pPr>
          </w:p>
        </w:tc>
      </w:tr>
      <w:tr>
        <w:trPr>
          <w:trHeight w:val="22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3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32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34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320" w:type="dxa"/>
            <w:vAlign w:val="bottom"/>
          </w:tcPr>
          <w:p>
            <w:pPr>
              <w:spacing w:after="0"/>
              <w:rPr>
                <w:sz w:val="20"/>
                <w:szCs w:val="20"/>
                <w:color w:val="auto"/>
              </w:rPr>
            </w:pPr>
          </w:p>
        </w:tc>
        <w:tc>
          <w:tcPr>
            <w:tcW w:w="2040" w:type="dxa"/>
            <w:vAlign w:val="bottom"/>
            <w:gridSpan w:val="2"/>
          </w:tcPr>
          <w:p>
            <w:pPr>
              <w:ind w:left="820"/>
              <w:spacing w:after="0"/>
              <w:rPr>
                <w:sz w:val="20"/>
                <w:szCs w:val="20"/>
                <w:color w:val="auto"/>
              </w:rPr>
            </w:pPr>
            <w:r>
              <w:rPr>
                <w:rFonts w:ascii="Times New Roman" w:cs="Times New Roman" w:eastAsia="Times New Roman" w:hAnsi="Times New Roman"/>
                <w:sz w:val="18"/>
                <w:szCs w:val="18"/>
                <w:b w:val="1"/>
                <w:bCs w:val="1"/>
                <w:color w:val="auto"/>
              </w:rPr>
              <w:t>(12,734,355 )</w:t>
            </w:r>
          </w:p>
        </w:tc>
        <w:tc>
          <w:tcPr>
            <w:tcW w:w="1800" w:type="dxa"/>
            <w:vAlign w:val="bottom"/>
            <w:gridSpan w:val="2"/>
          </w:tcPr>
          <w:p>
            <w:pPr>
              <w:ind w:left="800"/>
              <w:spacing w:after="0"/>
              <w:rPr>
                <w:sz w:val="20"/>
                <w:szCs w:val="20"/>
                <w:color w:val="auto"/>
              </w:rPr>
            </w:pPr>
            <w:r>
              <w:rPr>
                <w:rFonts w:ascii="Times New Roman" w:cs="Times New Roman" w:eastAsia="Times New Roman" w:hAnsi="Times New Roman"/>
                <w:sz w:val="18"/>
                <w:szCs w:val="18"/>
                <w:b w:val="1"/>
                <w:bCs w:val="1"/>
                <w:color w:val="auto"/>
              </w:rPr>
              <w:t>(17,273,171 )</w:t>
            </w: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332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F-5</w:t>
            </w:r>
          </w:p>
        </w:tc>
        <w:tc>
          <w:tcPr>
            <w:tcW w:w="170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5782945</wp:posOffset>
            </wp:positionH>
            <wp:positionV relativeFrom="paragraph">
              <wp:posOffset>-1079500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Changes in Stockholders’ Deficit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920" w:type="dxa"/>
            <w:vAlign w:val="bottom"/>
            <w:gridSpan w:val="2"/>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80" w:type="dxa"/>
            <w:vAlign w:val="bottom"/>
          </w:tcPr>
          <w:p>
            <w:pPr>
              <w:spacing w:after="0"/>
              <w:rPr>
                <w:sz w:val="12"/>
                <w:szCs w:val="12"/>
                <w:color w:val="auto"/>
              </w:rPr>
            </w:pPr>
          </w:p>
        </w:tc>
        <w:tc>
          <w:tcPr>
            <w:tcW w:w="1560" w:type="dxa"/>
            <w:vAlign w:val="bottom"/>
            <w:gridSpan w:val="3"/>
            <w:vMerge w:val="restart"/>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2"/>
                <w:szCs w:val="12"/>
                <w:color w:val="auto"/>
              </w:rPr>
            </w:pPr>
          </w:p>
        </w:tc>
        <w:tc>
          <w:tcPr>
            <w:tcW w:w="1440" w:type="dxa"/>
            <w:vAlign w:val="bottom"/>
            <w:gridSpan w:val="3"/>
            <w:vMerge w:val="restart"/>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2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260" w:type="dxa"/>
            <w:vAlign w:val="bottom"/>
            <w:gridSpan w:val="2"/>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20" w:type="dxa"/>
            <w:vAlign w:val="bottom"/>
            <w:gridSpan w:val="2"/>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78"/>
        </w:trPr>
        <w:tc>
          <w:tcPr>
            <w:tcW w:w="1880" w:type="dxa"/>
            <w:vAlign w:val="bottom"/>
          </w:tcPr>
          <w:p>
            <w:pPr>
              <w:spacing w:after="0"/>
              <w:rPr>
                <w:sz w:val="15"/>
                <w:szCs w:val="15"/>
                <w:color w:val="auto"/>
              </w:rPr>
            </w:pPr>
          </w:p>
        </w:tc>
        <w:tc>
          <w:tcPr>
            <w:tcW w:w="1560" w:type="dxa"/>
            <w:vAlign w:val="bottom"/>
            <w:tcBorders>
              <w:bottom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tcBorders>
              <w:bottom w:val="single" w:sz="8" w:color="auto"/>
            </w:tcBorders>
            <w:gridSpan w:val="3"/>
            <w:vMerge w:val="continue"/>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2"/>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260" w:type="dxa"/>
            <w:vAlign w:val="bottom"/>
            <w:gridSpan w:val="2"/>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920" w:type="dxa"/>
            <w:vAlign w:val="bottom"/>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1880" w:type="dxa"/>
            <w:vAlign w:val="bottom"/>
          </w:tcPr>
          <w:p>
            <w:pPr>
              <w:spacing w:after="0"/>
              <w:rPr>
                <w:sz w:val="12"/>
                <w:szCs w:val="12"/>
                <w:color w:val="auto"/>
              </w:rPr>
            </w:pPr>
          </w:p>
        </w:tc>
        <w:tc>
          <w:tcPr>
            <w:tcW w:w="720" w:type="dxa"/>
            <w:vAlign w:val="bottom"/>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600" w:type="dxa"/>
            <w:vAlign w:val="bottom"/>
            <w:vMerge w:val="restart"/>
          </w:tcPr>
          <w:p>
            <w:pPr>
              <w:jc w:val="right"/>
              <w:ind w:right="1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2"/>
                <w:szCs w:val="12"/>
                <w:color w:val="auto"/>
              </w:rPr>
            </w:pPr>
          </w:p>
        </w:tc>
        <w:tc>
          <w:tcPr>
            <w:tcW w:w="11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260" w:type="dxa"/>
            <w:vAlign w:val="bottom"/>
            <w:gridSpan w:val="2"/>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80" w:type="dxa"/>
            <w:vAlign w:val="bottom"/>
            <w:gridSpan w:val="2"/>
          </w:tcPr>
          <w:p>
            <w:pPr>
              <w:jc w:val="center"/>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1260" w:type="dxa"/>
            <w:vAlign w:val="bottom"/>
            <w:gridSpan w:val="2"/>
          </w:tcPr>
          <w:p>
            <w:pPr>
              <w:jc w:val="center"/>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920" w:type="dxa"/>
            <w:vAlign w:val="bottom"/>
            <w:gridSpan w:val="2"/>
          </w:tcPr>
          <w:p>
            <w:pPr>
              <w:jc w:val="center"/>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40" w:type="dxa"/>
            <w:vAlign w:val="bottom"/>
            <w:gridSpan w:val="2"/>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7"/>
                <w:szCs w:val="17"/>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22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7"/>
                <w:szCs w:val="17"/>
                <w:color w:val="auto"/>
              </w:rPr>
            </w:pPr>
          </w:p>
        </w:tc>
        <w:tc>
          <w:tcPr>
            <w:tcW w:w="820" w:type="dxa"/>
            <w:vAlign w:val="bottom"/>
            <w:tcBorders>
              <w:bottom w:val="single" w:sz="8" w:color="auto"/>
            </w:tcBorders>
          </w:tcPr>
          <w:p>
            <w:pPr>
              <w:jc w:val="right"/>
              <w:ind w:right="307"/>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1880" w:type="dxa"/>
            <w:vAlign w:val="bottom"/>
            <w:tcBorders>
              <w:top w:val="single" w:sz="8" w:color="CFF0FC"/>
            </w:tcBorders>
            <w:shd w:val="clear" w:color="auto" w:fill="CFF0FC"/>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20" w:type="dxa"/>
            <w:vAlign w:val="bottom"/>
            <w:tcBorders>
              <w:top w:val="single" w:sz="8" w:color="CFF0FC"/>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927,806,15</w:t>
            </w:r>
          </w:p>
        </w:tc>
        <w:tc>
          <w:tcPr>
            <w:tcW w:w="240" w:type="dxa"/>
            <w:vAlign w:val="bottom"/>
            <w:tcBorders>
              <w:top w:val="single" w:sz="8" w:color="CFF0FC"/>
            </w:tcBorders>
            <w:vMerge w:val="restart"/>
            <w:shd w:val="clear" w:color="auto" w:fill="CFF0FC"/>
          </w:tcPr>
          <w:p>
            <w:pPr>
              <w:spacing w:after="0"/>
              <w:rPr>
                <w:sz w:val="10"/>
                <w:szCs w:val="10"/>
                <w:color w:val="auto"/>
              </w:rPr>
            </w:pPr>
          </w:p>
        </w:tc>
        <w:tc>
          <w:tcPr>
            <w:tcW w:w="600" w:type="dxa"/>
            <w:vAlign w:val="bottom"/>
            <w:tcBorders>
              <w:top w:val="single" w:sz="8" w:color="CFF0FC"/>
            </w:tcBorders>
            <w:vMerge w:val="restart"/>
            <w:shd w:val="clear" w:color="auto" w:fill="CFF0FC"/>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24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28,039,5</w:t>
            </w:r>
          </w:p>
        </w:tc>
        <w:tc>
          <w:tcPr>
            <w:tcW w:w="240" w:type="dxa"/>
            <w:vAlign w:val="bottom"/>
            <w:tcBorders>
              <w:top w:val="single" w:sz="8" w:color="CFF0FC"/>
            </w:tcBorders>
            <w:shd w:val="clear" w:color="auto" w:fill="CFF0FC"/>
          </w:tcPr>
          <w:p>
            <w:pPr>
              <w:spacing w:after="0"/>
              <w:rPr>
                <w:sz w:val="10"/>
                <w:szCs w:val="10"/>
                <w:color w:val="auto"/>
              </w:rPr>
            </w:pPr>
          </w:p>
        </w:tc>
        <w:tc>
          <w:tcPr>
            <w:tcW w:w="600" w:type="dxa"/>
            <w:vAlign w:val="bottom"/>
            <w:tcBorders>
              <w:top w:val="single" w:sz="8" w:color="auto"/>
            </w:tcBorders>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3,868</w:t>
            </w:r>
          </w:p>
        </w:tc>
        <w:tc>
          <w:tcPr>
            <w:tcW w:w="1180" w:type="dxa"/>
            <w:vAlign w:val="bottom"/>
            <w:tcBorders>
              <w:top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163,165,083</w:t>
            </w:r>
          </w:p>
        </w:tc>
        <w:tc>
          <w:tcPr>
            <w:tcW w:w="220" w:type="dxa"/>
            <w:vAlign w:val="bottom"/>
            <w:tcBorders>
              <w:top w:val="single" w:sz="8" w:color="CFF0FC"/>
            </w:tcBorders>
            <w:shd w:val="clear" w:color="auto" w:fill="CFF0FC"/>
          </w:tcPr>
          <w:p>
            <w:pPr>
              <w:spacing w:after="0"/>
              <w:rPr>
                <w:sz w:val="10"/>
                <w:szCs w:val="10"/>
                <w:color w:val="auto"/>
              </w:rPr>
            </w:pPr>
          </w:p>
        </w:tc>
        <w:tc>
          <w:tcPr>
            <w:tcW w:w="1260" w:type="dxa"/>
            <w:vAlign w:val="bottom"/>
            <w:tcBorders>
              <w:top w:val="single" w:sz="8" w:color="CFF0FC"/>
            </w:tcBorders>
            <w:gridSpan w:val="2"/>
            <w:shd w:val="clear" w:color="auto" w:fill="CFF0FC"/>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(195,555,332 )</w:t>
            </w:r>
          </w:p>
        </w:tc>
        <w:tc>
          <w:tcPr>
            <w:tcW w:w="1280" w:type="dxa"/>
            <w:vAlign w:val="bottom"/>
            <w:tcBorders>
              <w:top w:val="single" w:sz="8" w:color="CFF0FC"/>
            </w:tcBorders>
            <w:gridSpan w:val="2"/>
            <w:shd w:val="clear" w:color="auto" w:fill="CFF0FC"/>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(178,720 )</w:t>
            </w:r>
          </w:p>
        </w:tc>
        <w:tc>
          <w:tcPr>
            <w:tcW w:w="1260" w:type="dxa"/>
            <w:vAlign w:val="bottom"/>
            <w:tcBorders>
              <w:top w:val="single" w:sz="8" w:color="CFF0FC"/>
            </w:tcBorders>
            <w:gridSpan w:val="2"/>
            <w:shd w:val="clear" w:color="auto" w:fill="CFF0FC"/>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(81,179 )</w:t>
            </w:r>
          </w:p>
        </w:tc>
        <w:tc>
          <w:tcPr>
            <w:tcW w:w="920" w:type="dxa"/>
            <w:vAlign w:val="bottom"/>
            <w:tcBorders>
              <w:top w:val="single" w:sz="8" w:color="CFF0FC"/>
            </w:tcBorders>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 xml:space="preserve">(32,519,603 </w:t>
            </w: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w:t>
            </w:r>
          </w:p>
        </w:tc>
        <w:tc>
          <w:tcPr>
            <w:tcW w:w="240" w:type="dxa"/>
            <w:vAlign w:val="bottom"/>
            <w:tcBorders>
              <w:bottom w:val="single" w:sz="8" w:color="CFF0FC"/>
            </w:tcBorders>
            <w:vMerge w:val="continue"/>
            <w:shd w:val="clear" w:color="auto" w:fill="CFF0FC"/>
          </w:tcPr>
          <w:p>
            <w:pPr>
              <w:spacing w:after="0"/>
              <w:rPr>
                <w:sz w:val="16"/>
                <w:szCs w:val="16"/>
                <w:color w:val="auto"/>
              </w:rPr>
            </w:pPr>
          </w:p>
        </w:tc>
        <w:tc>
          <w:tcPr>
            <w:tcW w:w="600" w:type="dxa"/>
            <w:vAlign w:val="bottom"/>
            <w:tcBorders>
              <w:bottom w:val="single" w:sz="8" w:color="auto"/>
            </w:tcBorders>
            <w:vMerge w:val="continue"/>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18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issued to</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163,265</w:t>
            </w:r>
          </w:p>
        </w:tc>
        <w:tc>
          <w:tcPr>
            <w:tcW w:w="8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199,954</w:t>
            </w:r>
          </w:p>
        </w:tc>
        <w:tc>
          <w:tcPr>
            <w:tcW w:w="220" w:type="dxa"/>
            <w:vAlign w:val="bottom"/>
          </w:tcPr>
          <w:p>
            <w:pPr>
              <w:spacing w:after="0"/>
              <w:rPr>
                <w:sz w:val="12"/>
                <w:szCs w:val="12"/>
                <w:color w:val="auto"/>
              </w:rPr>
            </w:pP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2"/>
          </w:tcPr>
          <w:p>
            <w:pPr>
              <w:jc w:val="right"/>
              <w:ind w:right="168"/>
              <w:spacing w:after="0" w:line="149" w:lineRule="exact"/>
              <w:rPr>
                <w:sz w:val="20"/>
                <w:szCs w:val="20"/>
                <w:color w:val="auto"/>
              </w:rPr>
            </w:pPr>
            <w:r>
              <w:rPr>
                <w:rFonts w:ascii="Times New Roman" w:cs="Times New Roman" w:eastAsia="Times New Roman" w:hAnsi="Times New Roman"/>
                <w:sz w:val="17"/>
                <w:szCs w:val="17"/>
                <w:color w:val="auto"/>
              </w:rPr>
              <w:t>—</w:t>
            </w:r>
          </w:p>
        </w:tc>
        <w:tc>
          <w:tcPr>
            <w:tcW w:w="126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1880" w:type="dxa"/>
            <w:vAlign w:val="bottom"/>
          </w:tcPr>
          <w:p>
            <w:pPr>
              <w:ind w:left="20"/>
              <w:spacing w:after="0" w:line="133" w:lineRule="exact"/>
              <w:rPr>
                <w:sz w:val="20"/>
                <w:szCs w:val="20"/>
                <w:color w:val="auto"/>
              </w:rPr>
            </w:pPr>
            <w:r>
              <w:rPr>
                <w:rFonts w:ascii="Times New Roman" w:cs="Times New Roman" w:eastAsia="Times New Roman" w:hAnsi="Times New Roman"/>
                <w:sz w:val="14"/>
                <w:szCs w:val="14"/>
                <w:color w:val="auto"/>
              </w:rPr>
              <w:t>related</w:t>
            </w: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parties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Common stock issued from</w:t>
            </w:r>
          </w:p>
        </w:tc>
        <w:tc>
          <w:tcPr>
            <w:tcW w:w="7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5,000,000</w:t>
            </w:r>
          </w:p>
        </w:tc>
        <w:tc>
          <w:tcPr>
            <w:tcW w:w="84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613</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FF0FC"/>
          </w:tcPr>
          <w:p>
            <w:pPr>
              <w:jc w:val="right"/>
              <w:ind w:right="160"/>
              <w:spacing w:after="0" w:line="155" w:lineRule="exact"/>
              <w:rPr>
                <w:sz w:val="20"/>
                <w:szCs w:val="20"/>
                <w:color w:val="auto"/>
              </w:rPr>
            </w:pPr>
            <w:r>
              <w:rPr>
                <w:rFonts w:ascii="Times New Roman" w:cs="Times New Roman" w:eastAsia="Times New Roman" w:hAnsi="Times New Roman"/>
                <w:sz w:val="14"/>
                <w:szCs w:val="14"/>
                <w:color w:val="auto"/>
              </w:rPr>
              <w:t>(613 )</w:t>
            </w:r>
          </w:p>
        </w:tc>
        <w:tc>
          <w:tcPr>
            <w:tcW w:w="1260" w:type="dxa"/>
            <w:vAlign w:val="bottom"/>
            <w:gridSpan w:val="2"/>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FF0FC"/>
          </w:tcPr>
          <w:p>
            <w:pPr>
              <w:jc w:val="right"/>
              <w:ind w:right="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33"/>
        </w:trPr>
        <w:tc>
          <w:tcPr>
            <w:tcW w:w="188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color w:val="auto"/>
              </w:rPr>
              <w:t>the</w:t>
            </w:r>
          </w:p>
        </w:tc>
        <w:tc>
          <w:tcPr>
            <w:tcW w:w="72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9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6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88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color w:val="auto"/>
              </w:rPr>
              <w:t>Share-based compensation to</w:t>
            </w:r>
          </w:p>
        </w:tc>
        <w:tc>
          <w:tcPr>
            <w:tcW w:w="72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3"/>
                <w:szCs w:val="13"/>
                <w:color w:val="auto"/>
              </w:rPr>
            </w:pPr>
          </w:p>
        </w:tc>
        <w:tc>
          <w:tcPr>
            <w:tcW w:w="6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115,190</w:t>
            </w:r>
          </w:p>
        </w:tc>
        <w:tc>
          <w:tcPr>
            <w:tcW w:w="220" w:type="dxa"/>
            <w:vAlign w:val="bottom"/>
          </w:tcPr>
          <w:p>
            <w:pPr>
              <w:spacing w:after="0"/>
              <w:rPr>
                <w:sz w:val="13"/>
                <w:szCs w:val="13"/>
                <w:color w:val="auto"/>
              </w:rPr>
            </w:pPr>
          </w:p>
        </w:tc>
        <w:tc>
          <w:tcPr>
            <w:tcW w:w="126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115,190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related parties</w:t>
            </w:r>
          </w:p>
        </w:tc>
        <w:tc>
          <w:tcPr>
            <w:tcW w:w="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18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Employee share-based</w:t>
            </w:r>
          </w:p>
        </w:tc>
        <w:tc>
          <w:tcPr>
            <w:tcW w:w="72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00" w:type="dxa"/>
            <w:vAlign w:val="bottom"/>
            <w:shd w:val="clear" w:color="auto" w:fill="CFF0FC"/>
          </w:tcPr>
          <w:p>
            <w:pPr>
              <w:spacing w:after="0"/>
              <w:rPr>
                <w:sz w:val="12"/>
                <w:szCs w:val="12"/>
                <w:color w:val="auto"/>
              </w:rPr>
            </w:pPr>
          </w:p>
        </w:tc>
        <w:tc>
          <w:tcPr>
            <w:tcW w:w="1180" w:type="dxa"/>
            <w:vAlign w:val="bottom"/>
            <w:gridSpan w:val="2"/>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4,880,389</w:t>
            </w: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20" w:type="dxa"/>
            <w:vAlign w:val="bottom"/>
            <w:shd w:val="clear" w:color="auto" w:fill="CFF0FC"/>
          </w:tcPr>
          <w:p>
            <w:pPr>
              <w:jc w:val="right"/>
              <w:spacing w:after="0" w:line="139" w:lineRule="exact"/>
              <w:rPr>
                <w:sz w:val="20"/>
                <w:szCs w:val="20"/>
                <w:color w:val="auto"/>
              </w:rPr>
            </w:pPr>
            <w:r>
              <w:rPr>
                <w:rFonts w:ascii="Times New Roman" w:cs="Times New Roman" w:eastAsia="Times New Roman" w:hAnsi="Times New Roman"/>
                <w:sz w:val="14"/>
                <w:szCs w:val="14"/>
                <w:color w:val="auto"/>
              </w:rPr>
              <w:t>4,880,389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(17,276,072 )</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160"/>
        </w:trPr>
        <w:tc>
          <w:tcPr>
            <w:tcW w:w="18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8"/>
              <w:spacing w:after="0" w:line="16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8"/>
              <w:spacing w:after="0" w:line="16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2,901</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2,901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8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gain</w:t>
            </w:r>
          </w:p>
        </w:tc>
        <w:tc>
          <w:tcPr>
            <w:tcW w:w="7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auto"/>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Balance as at June 30, 2023</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932,969,42</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127,310</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28,039,5</w:t>
            </w:r>
          </w:p>
        </w:tc>
        <w:tc>
          <w:tcPr>
            <w:tcW w:w="240" w:type="dxa"/>
            <w:vAlign w:val="bottom"/>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3,868</w:t>
            </w:r>
          </w:p>
        </w:tc>
        <w:tc>
          <w:tcPr>
            <w:tcW w:w="1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168,360,003</w:t>
            </w:r>
          </w:p>
        </w:tc>
        <w:tc>
          <w:tcPr>
            <w:tcW w:w="220" w:type="dxa"/>
            <w:vAlign w:val="bottom"/>
          </w:tcPr>
          <w:p>
            <w:pPr>
              <w:spacing w:after="0"/>
              <w:rPr>
                <w:sz w:val="10"/>
                <w:szCs w:val="10"/>
                <w:color w:val="auto"/>
              </w:rPr>
            </w:pPr>
          </w:p>
        </w:tc>
        <w:tc>
          <w:tcPr>
            <w:tcW w:w="1260" w:type="dxa"/>
            <w:vAlign w:val="bottom"/>
            <w:gridSpan w:val="2"/>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(212,831,404 )</w:t>
            </w:r>
          </w:p>
        </w:tc>
        <w:tc>
          <w:tcPr>
            <w:tcW w:w="1280" w:type="dxa"/>
            <w:vAlign w:val="bottom"/>
            <w:gridSpan w:val="2"/>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(178,720 )</w:t>
            </w:r>
          </w:p>
        </w:tc>
        <w:tc>
          <w:tcPr>
            <w:tcW w:w="1260" w:type="dxa"/>
            <w:vAlign w:val="bottom"/>
            <w:gridSpan w:val="2"/>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rPr>
              <w:t>(78,278 )</w:t>
            </w:r>
          </w:p>
        </w:tc>
        <w:tc>
          <w:tcPr>
            <w:tcW w:w="9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(44,597,221 )</w:t>
            </w:r>
          </w:p>
        </w:tc>
        <w:tc>
          <w:tcPr>
            <w:tcW w:w="0" w:type="dxa"/>
            <w:vAlign w:val="bottom"/>
          </w:tcPr>
          <w:p>
            <w:pPr>
              <w:spacing w:after="0"/>
              <w:rPr>
                <w:sz w:val="1"/>
                <w:szCs w:val="1"/>
                <w:color w:val="auto"/>
              </w:rPr>
            </w:pPr>
          </w:p>
        </w:tc>
      </w:tr>
      <w:tr>
        <w:trPr>
          <w:trHeight w:val="175"/>
        </w:trPr>
        <w:tc>
          <w:tcPr>
            <w:tcW w:w="188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1880" w:type="dxa"/>
            <w:vAlign w:val="bottom"/>
          </w:tcPr>
          <w:p>
            <w:pPr>
              <w:spacing w:after="0"/>
              <w:rPr>
                <w:sz w:val="14"/>
                <w:szCs w:val="14"/>
                <w:color w:val="auto"/>
              </w:rPr>
            </w:pPr>
          </w:p>
        </w:tc>
        <w:tc>
          <w:tcPr>
            <w:tcW w:w="72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18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2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932,969,42</w:t>
            </w:r>
          </w:p>
        </w:tc>
        <w:tc>
          <w:tcPr>
            <w:tcW w:w="84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127,310</w:t>
            </w:r>
          </w:p>
        </w:tc>
        <w:tc>
          <w:tcPr>
            <w:tcW w:w="84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28,039,5</w:t>
            </w:r>
          </w:p>
        </w:tc>
        <w:tc>
          <w:tcPr>
            <w:tcW w:w="84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3,868</w:t>
            </w:r>
          </w:p>
        </w:tc>
        <w:tc>
          <w:tcPr>
            <w:tcW w:w="118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172,204,832</w:t>
            </w:r>
          </w:p>
        </w:tc>
        <w:tc>
          <w:tcPr>
            <w:tcW w:w="220" w:type="dxa"/>
            <w:vAlign w:val="bottom"/>
            <w:shd w:val="clear" w:color="auto" w:fill="CFF0FC"/>
          </w:tcPr>
          <w:p>
            <w:pPr>
              <w:spacing w:after="0"/>
              <w:rPr>
                <w:sz w:val="11"/>
                <w:szCs w:val="11"/>
                <w:color w:val="auto"/>
              </w:rPr>
            </w:pPr>
          </w:p>
        </w:tc>
        <w:tc>
          <w:tcPr>
            <w:tcW w:w="1260" w:type="dxa"/>
            <w:vAlign w:val="bottom"/>
            <w:gridSpan w:val="2"/>
            <w:shd w:val="clear" w:color="auto" w:fill="CFF0FC"/>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(226,291,430 )</w:t>
            </w:r>
          </w:p>
        </w:tc>
        <w:tc>
          <w:tcPr>
            <w:tcW w:w="1280" w:type="dxa"/>
            <w:vAlign w:val="bottom"/>
            <w:gridSpan w:val="2"/>
            <w:shd w:val="clear" w:color="auto" w:fill="CFF0FC"/>
          </w:tcPr>
          <w:p>
            <w:pPr>
              <w:jc w:val="right"/>
              <w:ind w:right="88"/>
              <w:spacing w:after="0" w:line="131" w:lineRule="exact"/>
              <w:rPr>
                <w:sz w:val="20"/>
                <w:szCs w:val="20"/>
                <w:color w:val="auto"/>
              </w:rPr>
            </w:pPr>
            <w:r>
              <w:rPr>
                <w:rFonts w:ascii="Times New Roman" w:cs="Times New Roman" w:eastAsia="Times New Roman" w:hAnsi="Times New Roman"/>
                <w:sz w:val="14"/>
                <w:szCs w:val="14"/>
                <w:b w:val="1"/>
                <w:bCs w:val="1"/>
                <w:color w:val="auto"/>
              </w:rPr>
              <w:t>(178,720 )</w:t>
            </w:r>
          </w:p>
        </w:tc>
        <w:tc>
          <w:tcPr>
            <w:tcW w:w="10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(150,744)</w:t>
            </w:r>
          </w:p>
        </w:tc>
        <w:tc>
          <w:tcPr>
            <w:tcW w:w="220" w:type="dxa"/>
            <w:vAlign w:val="bottom"/>
            <w:shd w:val="clear" w:color="auto" w:fill="CFF0FC"/>
          </w:tcPr>
          <w:p>
            <w:pPr>
              <w:spacing w:after="0"/>
              <w:rPr>
                <w:sz w:val="11"/>
                <w:szCs w:val="11"/>
                <w:color w:val="auto"/>
              </w:rPr>
            </w:pPr>
          </w:p>
        </w:tc>
        <w:tc>
          <w:tcPr>
            <w:tcW w:w="920" w:type="dxa"/>
            <w:vAlign w:val="bottom"/>
            <w:gridSpan w:val="2"/>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(54,284,884 )</w:t>
            </w:r>
          </w:p>
        </w:tc>
        <w:tc>
          <w:tcPr>
            <w:tcW w:w="0" w:type="dxa"/>
            <w:vAlign w:val="bottom"/>
          </w:tcPr>
          <w:p>
            <w:pPr>
              <w:spacing w:after="0"/>
              <w:rPr>
                <w:sz w:val="1"/>
                <w:szCs w:val="1"/>
                <w:color w:val="auto"/>
              </w:rPr>
            </w:pPr>
          </w:p>
        </w:tc>
      </w:tr>
      <w:tr>
        <w:trPr>
          <w:trHeight w:val="187"/>
        </w:trPr>
        <w:tc>
          <w:tcPr>
            <w:tcW w:w="18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4</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Borders>
              <w:bottom w:val="single" w:sz="8" w:color="CFF0FC"/>
            </w:tcBorders>
            <w:shd w:val="clear" w:color="auto" w:fill="CFF0FC"/>
          </w:tcPr>
          <w:p>
            <w:pPr>
              <w:spacing w:after="0"/>
              <w:rPr>
                <w:sz w:val="16"/>
                <w:szCs w:val="16"/>
                <w:color w:val="auto"/>
              </w:rPr>
            </w:pPr>
          </w:p>
        </w:tc>
        <w:tc>
          <w:tcPr>
            <w:tcW w:w="600" w:type="dxa"/>
            <w:vAlign w:val="bottom"/>
            <w:tcBorders>
              <w:bottom w:val="single" w:sz="8" w:color="auto"/>
            </w:tcBorders>
            <w:shd w:val="clear" w:color="auto" w:fill="CFF0FC"/>
          </w:tcPr>
          <w:p>
            <w:pPr>
              <w:spacing w:after="0"/>
              <w:rPr>
                <w:sz w:val="16"/>
                <w:szCs w:val="16"/>
                <w:color w:val="auto"/>
              </w:rPr>
            </w:pPr>
          </w:p>
        </w:tc>
        <w:tc>
          <w:tcPr>
            <w:tcW w:w="240" w:type="dxa"/>
            <w:vAlign w:val="bottom"/>
            <w:tcBorders>
              <w:bottom w:val="single" w:sz="8" w:color="CFF0FC"/>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220" w:type="dxa"/>
            <w:vAlign w:val="bottom"/>
            <w:tcBorders>
              <w:bottom w:val="single" w:sz="8" w:color="CFF0FC"/>
            </w:tcBorders>
            <w:shd w:val="clear" w:color="auto" w:fill="CFF0FC"/>
          </w:tcPr>
          <w:p>
            <w:pPr>
              <w:spacing w:after="0"/>
              <w:rPr>
                <w:sz w:val="16"/>
                <w:szCs w:val="16"/>
                <w:color w:val="auto"/>
              </w:rPr>
            </w:pPr>
          </w:p>
        </w:tc>
        <w:tc>
          <w:tcPr>
            <w:tcW w:w="820" w:type="dxa"/>
            <w:vAlign w:val="bottom"/>
            <w:tcBorders>
              <w:bottom w:val="single" w:sz="8" w:color="auto"/>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 issued</w:t>
            </w: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27,757</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25,143</w:t>
            </w:r>
          </w:p>
        </w:tc>
        <w:tc>
          <w:tcPr>
            <w:tcW w:w="220" w:type="dxa"/>
            <w:vAlign w:val="bottom"/>
          </w:tcPr>
          <w:p>
            <w:pPr>
              <w:spacing w:after="0"/>
              <w:rPr>
                <w:sz w:val="20"/>
                <w:szCs w:val="20"/>
                <w:color w:val="auto"/>
              </w:rPr>
            </w:pP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Warrants issued with loan</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2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9"/>
        </w:trPr>
        <w:tc>
          <w:tcPr>
            <w:tcW w:w="18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Share-based compensation to</w:t>
            </w:r>
          </w:p>
        </w:tc>
        <w:tc>
          <w:tcPr>
            <w:tcW w:w="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80" w:type="dxa"/>
            <w:vAlign w:val="bottom"/>
            <w:gridSpan w:val="2"/>
          </w:tcPr>
          <w:p>
            <w:pPr>
              <w:jc w:val="right"/>
              <w:spacing w:after="0" w:line="139" w:lineRule="exact"/>
              <w:rPr>
                <w:sz w:val="20"/>
                <w:szCs w:val="20"/>
                <w:color w:val="auto"/>
              </w:rPr>
            </w:pPr>
            <w:r>
              <w:rPr>
                <w:rFonts w:ascii="Times New Roman" w:cs="Times New Roman" w:eastAsia="Times New Roman" w:hAnsi="Times New Roman"/>
                <w:sz w:val="14"/>
                <w:szCs w:val="14"/>
                <w:color w:val="auto"/>
              </w:rPr>
              <w:t>2,190,482</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2,190,482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18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related parties</w:t>
            </w: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1880" w:type="dxa"/>
            <w:vAlign w:val="bottom"/>
            <w:shd w:val="clear" w:color="auto" w:fill="CFF0FC"/>
          </w:tcPr>
          <w:p>
            <w:pPr>
              <w:ind w:left="20"/>
              <w:spacing w:after="0" w:line="155" w:lineRule="exact"/>
              <w:rPr>
                <w:sz w:val="20"/>
                <w:szCs w:val="20"/>
                <w:color w:val="auto"/>
              </w:rPr>
            </w:pPr>
            <w:r>
              <w:rPr>
                <w:rFonts w:ascii="Times New Roman" w:cs="Times New Roman" w:eastAsia="Times New Roman" w:hAnsi="Times New Roman"/>
                <w:sz w:val="14"/>
                <w:szCs w:val="14"/>
                <w:color w:val="auto"/>
              </w:rPr>
              <w:t>Employee share-based</w:t>
            </w:r>
          </w:p>
        </w:tc>
        <w:tc>
          <w:tcPr>
            <w:tcW w:w="72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5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1,852,702</w:t>
            </w:r>
          </w:p>
        </w:tc>
        <w:tc>
          <w:tcPr>
            <w:tcW w:w="220" w:type="dxa"/>
            <w:vAlign w:val="bottom"/>
            <w:shd w:val="clear" w:color="auto" w:fill="CFF0FC"/>
          </w:tcPr>
          <w:p>
            <w:pPr>
              <w:spacing w:after="0"/>
              <w:rPr>
                <w:sz w:val="13"/>
                <w:szCs w:val="13"/>
                <w:color w:val="auto"/>
              </w:rPr>
            </w:pPr>
          </w:p>
        </w:tc>
        <w:tc>
          <w:tcPr>
            <w:tcW w:w="1260" w:type="dxa"/>
            <w:vAlign w:val="bottom"/>
            <w:gridSpan w:val="2"/>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8"/>
              <w:spacing w:after="0" w:line="156"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1,852,702</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8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1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(12,842,446 )</w:t>
            </w:r>
          </w:p>
        </w:tc>
        <w:tc>
          <w:tcPr>
            <w:tcW w:w="128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(12,842,446 )</w:t>
            </w:r>
          </w:p>
        </w:tc>
        <w:tc>
          <w:tcPr>
            <w:tcW w:w="0" w:type="dxa"/>
            <w:vAlign w:val="bottom"/>
          </w:tcPr>
          <w:p>
            <w:pPr>
              <w:spacing w:after="0"/>
              <w:rPr>
                <w:sz w:val="1"/>
                <w:szCs w:val="1"/>
                <w:color w:val="auto"/>
              </w:rPr>
            </w:pPr>
          </w:p>
        </w:tc>
      </w:tr>
      <w:tr>
        <w:trPr>
          <w:trHeight w:val="160"/>
        </w:trPr>
        <w:tc>
          <w:tcPr>
            <w:tcW w:w="1880" w:type="dxa"/>
            <w:vAlign w:val="bottom"/>
            <w:shd w:val="clear" w:color="auto" w:fill="CFF0FC"/>
          </w:tcPr>
          <w:p>
            <w:pPr>
              <w:ind w:left="20"/>
              <w:spacing w:after="0" w:line="15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72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600" w:type="dxa"/>
            <w:vAlign w:val="bottom"/>
            <w:shd w:val="clear" w:color="auto" w:fill="CFF0FC"/>
          </w:tcPr>
          <w:p>
            <w:pPr>
              <w:jc w:val="right"/>
              <w:spacing w:after="0" w:line="160"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3"/>
                <w:szCs w:val="13"/>
                <w:color w:val="auto"/>
              </w:rPr>
            </w:pPr>
          </w:p>
        </w:tc>
        <w:tc>
          <w:tcPr>
            <w:tcW w:w="1160" w:type="dxa"/>
            <w:vAlign w:val="bottom"/>
            <w:gridSpan w:val="2"/>
            <w:shd w:val="clear" w:color="auto" w:fill="CFF0FC"/>
          </w:tcPr>
          <w:p>
            <w:pPr>
              <w:jc w:val="right"/>
              <w:ind w:right="240"/>
              <w:spacing w:after="0" w:line="160"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48"/>
              <w:spacing w:after="0" w:line="160" w:lineRule="exact"/>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168"/>
              <w:spacing w:after="0" w:line="160"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108,091</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spacing w:after="0" w:line="159" w:lineRule="exact"/>
              <w:rPr>
                <w:sz w:val="20"/>
                <w:szCs w:val="20"/>
                <w:color w:val="auto"/>
              </w:rPr>
            </w:pPr>
            <w:r>
              <w:rPr>
                <w:rFonts w:ascii="Times New Roman" w:cs="Times New Roman" w:eastAsia="Times New Roman" w:hAnsi="Times New Roman"/>
                <w:sz w:val="14"/>
                <w:szCs w:val="14"/>
                <w:color w:val="auto"/>
              </w:rPr>
              <w:t>108,091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1880" w:type="dxa"/>
            <w:vAlign w:val="bottom"/>
            <w:tcBorders>
              <w:bottom w:val="single" w:sz="8" w:color="CFF0FC"/>
            </w:tcBorders>
            <w:shd w:val="clear" w:color="auto" w:fill="CFF0FC"/>
          </w:tcPr>
          <w:p>
            <w:pPr>
              <w:ind w:left="120"/>
              <w:spacing w:after="0" w:line="155" w:lineRule="exact"/>
              <w:rPr>
                <w:sz w:val="20"/>
                <w:szCs w:val="20"/>
                <w:color w:val="auto"/>
              </w:rPr>
            </w:pPr>
            <w:r>
              <w:rPr>
                <w:rFonts w:ascii="Times New Roman" w:cs="Times New Roman" w:eastAsia="Times New Roman" w:hAnsi="Times New Roman"/>
                <w:sz w:val="14"/>
                <w:szCs w:val="14"/>
                <w:color w:val="auto"/>
              </w:rPr>
              <w:t>gain</w:t>
            </w:r>
          </w:p>
        </w:tc>
        <w:tc>
          <w:tcPr>
            <w:tcW w:w="72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auto"/>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60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CFF0FC"/>
            </w:tcBorders>
            <w:shd w:val="clear" w:color="auto" w:fill="CFF0FC"/>
          </w:tcPr>
          <w:p>
            <w:pPr>
              <w:spacing w:after="0"/>
              <w:rPr>
                <w:sz w:val="15"/>
                <w:szCs w:val="15"/>
                <w:color w:val="auto"/>
              </w:rPr>
            </w:pPr>
          </w:p>
        </w:tc>
        <w:tc>
          <w:tcPr>
            <w:tcW w:w="940" w:type="dxa"/>
            <w:vAlign w:val="bottom"/>
            <w:tcBorders>
              <w:bottom w:val="single" w:sz="8" w:color="auto"/>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6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1040" w:type="dxa"/>
            <w:vAlign w:val="bottom"/>
            <w:tcBorders>
              <w:bottom w:val="single" w:sz="8" w:color="CFF0FC"/>
            </w:tcBorders>
            <w:shd w:val="clear" w:color="auto" w:fill="CFF0FC"/>
          </w:tcPr>
          <w:p>
            <w:pPr>
              <w:spacing w:after="0"/>
              <w:rPr>
                <w:sz w:val="15"/>
                <w:szCs w:val="15"/>
                <w:color w:val="auto"/>
              </w:rPr>
            </w:pPr>
          </w:p>
        </w:tc>
        <w:tc>
          <w:tcPr>
            <w:tcW w:w="220" w:type="dxa"/>
            <w:vAlign w:val="bottom"/>
            <w:tcBorders>
              <w:bottom w:val="single" w:sz="8" w:color="CFF0FC"/>
            </w:tcBorders>
            <w:shd w:val="clear" w:color="auto" w:fill="CFF0FC"/>
          </w:tcPr>
          <w:p>
            <w:pPr>
              <w:spacing w:after="0"/>
              <w:rPr>
                <w:sz w:val="15"/>
                <w:szCs w:val="15"/>
                <w:color w:val="auto"/>
              </w:rPr>
            </w:pPr>
          </w:p>
        </w:tc>
        <w:tc>
          <w:tcPr>
            <w:tcW w:w="820" w:type="dxa"/>
            <w:vAlign w:val="bottom"/>
            <w:tcBorders>
              <w:bottom w:val="single" w:sz="8" w:color="CFF0FC"/>
            </w:tcBorders>
            <w:shd w:val="clear" w:color="auto" w:fill="CFF0FC"/>
          </w:tcPr>
          <w:p>
            <w:pPr>
              <w:spacing w:after="0"/>
              <w:rPr>
                <w:sz w:val="15"/>
                <w:szCs w:val="15"/>
                <w:color w:val="auto"/>
              </w:rPr>
            </w:pP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1880" w:type="dxa"/>
            <w:vAlign w:val="bottom"/>
          </w:tcPr>
          <w:p>
            <w:pPr>
              <w:ind w:left="20"/>
              <w:spacing w:after="0" w:line="122" w:lineRule="exact"/>
              <w:rPr>
                <w:sz w:val="20"/>
                <w:szCs w:val="20"/>
                <w:color w:val="auto"/>
              </w:rPr>
            </w:pPr>
            <w:r>
              <w:rPr>
                <w:rFonts w:ascii="Times New Roman" w:cs="Times New Roman" w:eastAsia="Times New Roman" w:hAnsi="Times New Roman"/>
                <w:sz w:val="14"/>
                <w:szCs w:val="14"/>
                <w:b w:val="1"/>
                <w:bCs w:val="1"/>
                <w:color w:val="auto"/>
              </w:rPr>
              <w:t>Balance as at June 30, 2024</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932,997,18</w:t>
            </w:r>
          </w:p>
        </w:tc>
        <w:tc>
          <w:tcPr>
            <w:tcW w:w="84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127,313</w:t>
            </w:r>
          </w:p>
        </w:tc>
        <w:tc>
          <w:tcPr>
            <w:tcW w:w="240" w:type="dxa"/>
            <w:vAlign w:val="bottom"/>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28,039,5</w:t>
            </w:r>
          </w:p>
        </w:tc>
        <w:tc>
          <w:tcPr>
            <w:tcW w:w="240" w:type="dxa"/>
            <w:vAlign w:val="bottom"/>
          </w:tcPr>
          <w:p>
            <w:pPr>
              <w:spacing w:after="0"/>
              <w:rPr>
                <w:sz w:val="10"/>
                <w:szCs w:val="10"/>
                <w:color w:val="auto"/>
              </w:rPr>
            </w:pPr>
          </w:p>
        </w:tc>
        <w:tc>
          <w:tcPr>
            <w:tcW w:w="60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3,868</w:t>
            </w:r>
          </w:p>
        </w:tc>
        <w:tc>
          <w:tcPr>
            <w:tcW w:w="11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176,274,941</w:t>
            </w:r>
          </w:p>
        </w:tc>
        <w:tc>
          <w:tcPr>
            <w:tcW w:w="220" w:type="dxa"/>
            <w:vAlign w:val="bottom"/>
          </w:tcPr>
          <w:p>
            <w:pPr>
              <w:spacing w:after="0"/>
              <w:rPr>
                <w:sz w:val="10"/>
                <w:szCs w:val="10"/>
                <w:color w:val="auto"/>
              </w:rPr>
            </w:pPr>
          </w:p>
        </w:tc>
        <w:tc>
          <w:tcPr>
            <w:tcW w:w="10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(239,133,876</w:t>
            </w:r>
          </w:p>
        </w:tc>
        <w:tc>
          <w:tcPr>
            <w:tcW w:w="220" w:type="dxa"/>
            <w:vAlign w:val="bottom"/>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6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4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(42,653</w:t>
            </w:r>
          </w:p>
        </w:tc>
        <w:tc>
          <w:tcPr>
            <w:tcW w:w="220" w:type="dxa"/>
            <w:vAlign w:val="bottom"/>
          </w:tcPr>
          <w:p>
            <w:pPr>
              <w:jc w:val="right"/>
              <w:ind w:right="88"/>
              <w:spacing w:after="0" w:line="12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20" w:type="dxa"/>
            <w:vAlign w:val="bottom"/>
            <w:tcBorders>
              <w:top w:val="single" w:sz="8" w:color="auto"/>
            </w:tcBorders>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rPr>
              <w:t>(62,949,127</w:t>
            </w:r>
          </w:p>
        </w:tc>
        <w:tc>
          <w:tcPr>
            <w:tcW w:w="100" w:type="dxa"/>
            <w:vAlign w:val="bottom"/>
          </w:tcPr>
          <w:p>
            <w:pPr>
              <w:jc w:val="right"/>
              <w:spacing w:after="0" w:line="12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96"/>
        </w:trPr>
        <w:tc>
          <w:tcPr>
            <w:tcW w:w="1880" w:type="dxa"/>
            <w:vAlign w:val="bottom"/>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w:t>
            </w:r>
          </w:p>
        </w:tc>
        <w:tc>
          <w:tcPr>
            <w:tcW w:w="240" w:type="dxa"/>
            <w:vAlign w:val="bottom"/>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1651000</wp:posOffset>
            </wp:positionH>
            <wp:positionV relativeFrom="paragraph">
              <wp:posOffset>-3239770</wp:posOffset>
            </wp:positionV>
            <wp:extent cx="7683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-3239770</wp:posOffset>
            </wp:positionV>
            <wp:extent cx="7683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-3466465</wp:posOffset>
            </wp:positionV>
            <wp:extent cx="102235" cy="2482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235" cy="24828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-3466465</wp:posOffset>
            </wp:positionV>
            <wp:extent cx="102870" cy="248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24828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-3239770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-3239770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-3239770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-3239770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-3239770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-1868170</wp:posOffset>
            </wp:positionV>
            <wp:extent cx="76835" cy="3429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-1868170</wp:posOffset>
            </wp:positionV>
            <wp:extent cx="76835" cy="3429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34290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-1871980</wp:posOffset>
            </wp:positionV>
            <wp:extent cx="1354455" cy="3467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354455" cy="346710"/>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-1868170</wp:posOffset>
            </wp:positionV>
            <wp:extent cx="68580" cy="3429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-1868170</wp:posOffset>
            </wp:positionV>
            <wp:extent cx="68580" cy="3429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-1868170</wp:posOffset>
            </wp:positionV>
            <wp:extent cx="68580" cy="3429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-1868170</wp:posOffset>
            </wp:positionV>
            <wp:extent cx="68580" cy="3429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342900"/>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-1319530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-1319530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-1319530</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-1319530</wp:posOffset>
            </wp:positionV>
            <wp:extent cx="7747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-1319530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-1319530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-1319530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-1319530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-1319530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1651000</wp:posOffset>
            </wp:positionH>
            <wp:positionV relativeFrom="paragraph">
              <wp:posOffset>-239395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2182495</wp:posOffset>
            </wp:positionH>
            <wp:positionV relativeFrom="paragraph">
              <wp:posOffset>-239395</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-239395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2701290</wp:posOffset>
            </wp:positionH>
            <wp:positionV relativeFrom="paragraph">
              <wp:posOffset>-243840</wp:posOffset>
            </wp:positionV>
            <wp:extent cx="102235" cy="25717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2235" cy="257175"/>
                    </a:xfrm>
                    <a:prstGeom prst="rect">
                      <a:avLst/>
                    </a:prstGeom>
                    <a:noFill/>
                  </pic:spPr>
                </pic:pic>
              </a:graphicData>
            </a:graphic>
          </wp:anchor>
        </w:drawing>
        <w:drawing>
          <wp:anchor simplePos="0" relativeHeight="251657728" behindDoc="1" locked="0" layoutInCell="0" allowOverlap="1">
            <wp:simplePos x="0" y="0"/>
            <wp:positionH relativeFrom="column">
              <wp:posOffset>3232785</wp:posOffset>
            </wp:positionH>
            <wp:positionV relativeFrom="paragraph">
              <wp:posOffset>-243840</wp:posOffset>
            </wp:positionV>
            <wp:extent cx="102870" cy="2571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2870" cy="257175"/>
                    </a:xfrm>
                    <a:prstGeom prst="rect">
                      <a:avLst/>
                    </a:prstGeom>
                    <a:noFill/>
                  </pic:spPr>
                </pic:pic>
              </a:graphicData>
            </a:graphic>
          </wp:anchor>
        </w:drawing>
        <w:drawing>
          <wp:anchor simplePos="0" relativeHeight="251657728" behindDoc="1" locked="0" layoutInCell="0" allowOverlap="1">
            <wp:simplePos x="0" y="0"/>
            <wp:positionH relativeFrom="column">
              <wp:posOffset>4792980</wp:posOffset>
            </wp:positionH>
            <wp:positionV relativeFrom="paragraph">
              <wp:posOffset>-243840</wp:posOffset>
            </wp:positionV>
            <wp:extent cx="93980" cy="2571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93980" cy="257175"/>
                    </a:xfrm>
                    <a:prstGeom prst="rect">
                      <a:avLst/>
                    </a:prstGeom>
                    <a:noFill/>
                  </pic:spPr>
                </pic:pic>
              </a:graphicData>
            </a:graphic>
          </wp:anchor>
        </w:drawing>
        <w:drawing>
          <wp:anchor simplePos="0" relativeHeight="251657728" behindDoc="1" locked="0" layoutInCell="0" allowOverlap="1">
            <wp:simplePos x="0" y="0"/>
            <wp:positionH relativeFrom="column">
              <wp:posOffset>5598795</wp:posOffset>
            </wp:positionH>
            <wp:positionV relativeFrom="paragraph">
              <wp:posOffset>-243840</wp:posOffset>
            </wp:positionV>
            <wp:extent cx="93980" cy="2571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93980" cy="257175"/>
                    </a:xfrm>
                    <a:prstGeom prst="rect">
                      <a:avLst/>
                    </a:prstGeom>
                    <a:noFill/>
                  </pic:spPr>
                </pic:pic>
              </a:graphicData>
            </a:graphic>
          </wp:anchor>
        </w:drawing>
        <w:drawing>
          <wp:anchor simplePos="0" relativeHeight="251657728" behindDoc="1" locked="0" layoutInCell="0" allowOverlap="1">
            <wp:simplePos x="0" y="0"/>
            <wp:positionH relativeFrom="column">
              <wp:posOffset>6404610</wp:posOffset>
            </wp:positionH>
            <wp:positionV relativeFrom="paragraph">
              <wp:posOffset>-243840</wp:posOffset>
            </wp:positionV>
            <wp:extent cx="93980" cy="2571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93980" cy="25717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-243840</wp:posOffset>
            </wp:positionV>
            <wp:extent cx="93980" cy="2571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93980" cy="25717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Carve-out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tcPr>
          <w:p>
            <w:pPr>
              <w:spacing w:after="0"/>
              <w:rPr>
                <w:sz w:val="13"/>
                <w:szCs w:val="13"/>
                <w:color w:val="auto"/>
              </w:rPr>
            </w:pPr>
          </w:p>
        </w:tc>
        <w:tc>
          <w:tcPr>
            <w:tcW w:w="196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8"/>
        </w:trPr>
        <w:tc>
          <w:tcPr>
            <w:tcW w:w="7580" w:type="dxa"/>
            <w:vAlign w:val="bottom"/>
          </w:tcPr>
          <w:p>
            <w:pPr>
              <w:spacing w:after="0"/>
              <w:rPr>
                <w:sz w:val="12"/>
                <w:szCs w:val="12"/>
                <w:color w:val="auto"/>
              </w:rPr>
            </w:pPr>
          </w:p>
        </w:tc>
        <w:tc>
          <w:tcPr>
            <w:tcW w:w="1960" w:type="dxa"/>
            <w:vAlign w:val="bottom"/>
            <w:gridSpan w:val="2"/>
          </w:tcPr>
          <w:p>
            <w:pPr>
              <w:jc w:val="center"/>
              <w:ind w:right="15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7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87"/>
        </w:trPr>
        <w:tc>
          <w:tcPr>
            <w:tcW w:w="7580" w:type="dxa"/>
            <w:vAlign w:val="bottom"/>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(12,842,446 )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(17,276,072 )</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 related parties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2,190,482</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1,291,429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 employees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1,852,702</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3,588,960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prepayment and other current assets</w:t>
            </w:r>
          </w:p>
        </w:tc>
        <w:tc>
          <w:tcPr>
            <w:tcW w:w="1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7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(131,679 )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(695,026 )</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accounts payable, accrued expenses and other payables</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477,428</w:t>
            </w:r>
          </w:p>
        </w:tc>
        <w:tc>
          <w:tcPr>
            <w:tcW w:w="24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(263,348 )</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other payables with related parties</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315,895</w:t>
            </w:r>
          </w:p>
        </w:tc>
        <w:tc>
          <w:tcPr>
            <w:tcW w:w="240" w:type="dxa"/>
            <w:vAlign w:val="bottom"/>
            <w:shd w:val="clear" w:color="auto" w:fill="CFF0FC"/>
          </w:tcPr>
          <w:p>
            <w:pPr>
              <w:spacing w:after="0"/>
              <w:rPr>
                <w:sz w:val="21"/>
                <w:szCs w:val="21"/>
                <w:color w:val="auto"/>
              </w:rPr>
            </w:pPr>
          </w:p>
        </w:tc>
        <w:tc>
          <w:tcPr>
            <w:tcW w:w="1700" w:type="dxa"/>
            <w:vAlign w:val="bottom"/>
            <w:tcBorders>
              <w:bottom w:val="single" w:sz="8" w:color="auto"/>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(125,000 )</w:t>
            </w:r>
          </w:p>
        </w:tc>
        <w:tc>
          <w:tcPr>
            <w:tcW w:w="0" w:type="dxa"/>
            <w:vAlign w:val="bottom"/>
          </w:tcPr>
          <w:p>
            <w:pPr>
              <w:spacing w:after="0"/>
              <w:rPr>
                <w:sz w:val="1"/>
                <w:szCs w:val="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(4,898,451</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(8,818,307 )</w:t>
            </w:r>
          </w:p>
        </w:tc>
        <w:tc>
          <w:tcPr>
            <w:tcW w:w="0" w:type="dxa"/>
            <w:vAlign w:val="bottom"/>
          </w:tcPr>
          <w:p>
            <w:pPr>
              <w:spacing w:after="0"/>
              <w:rPr>
                <w:sz w:val="1"/>
                <w:szCs w:val="1"/>
                <w:color w:val="auto"/>
              </w:rPr>
            </w:pPr>
          </w:p>
        </w:tc>
      </w:tr>
      <w:tr>
        <w:trPr>
          <w:trHeight w:val="23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w:t>
            </w:r>
          </w:p>
        </w:tc>
        <w:tc>
          <w:tcPr>
            <w:tcW w:w="19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(1,360,525 )</w:t>
            </w: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(104,604 )</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(3,850 )</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(8,060 )</w:t>
            </w:r>
          </w:p>
        </w:tc>
        <w:tc>
          <w:tcPr>
            <w:tcW w:w="0" w:type="dxa"/>
            <w:vAlign w:val="bottom"/>
          </w:tcPr>
          <w:p>
            <w:pPr>
              <w:spacing w:after="0"/>
              <w:rPr>
                <w:sz w:val="1"/>
                <w:szCs w:val="1"/>
                <w:color w:val="auto"/>
              </w:rPr>
            </w:pPr>
          </w:p>
        </w:tc>
      </w:tr>
      <w:tr>
        <w:trPr>
          <w:trHeight w:val="234"/>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(1,364,375</w:t>
            </w:r>
          </w:p>
        </w:tc>
        <w:tc>
          <w:tcPr>
            <w:tcW w:w="2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(112,664 )</w:t>
            </w:r>
          </w:p>
        </w:tc>
        <w:tc>
          <w:tcPr>
            <w:tcW w:w="0" w:type="dxa"/>
            <w:vAlign w:val="bottom"/>
          </w:tcPr>
          <w:p>
            <w:pPr>
              <w:spacing w:after="0"/>
              <w:rPr>
                <w:sz w:val="1"/>
                <w:szCs w:val="1"/>
                <w:color w:val="auto"/>
              </w:rPr>
            </w:pPr>
          </w:p>
        </w:tc>
      </w:tr>
      <w:tr>
        <w:trPr>
          <w:trHeight w:val="23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7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Call up capital received from related parties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222,306</w:t>
            </w:r>
          </w:p>
        </w:tc>
        <w:tc>
          <w:tcPr>
            <w:tcW w:w="24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1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short term debt obligation from related parties</w:t>
            </w:r>
          </w:p>
        </w:tc>
        <w:tc>
          <w:tcPr>
            <w:tcW w:w="1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(250,000 )</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1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4,301,855</w:t>
            </w:r>
          </w:p>
        </w:tc>
        <w:tc>
          <w:tcPr>
            <w:tcW w:w="24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2,627,543</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6,274,161</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9,171,912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75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38,522</w:t>
            </w:r>
          </w:p>
        </w:tc>
        <w:tc>
          <w:tcPr>
            <w:tcW w:w="240" w:type="dxa"/>
            <w:vAlign w:val="bottom"/>
            <w:tcBorders>
              <w:bottom w:val="single" w:sz="8" w:color="CFF0FC"/>
            </w:tcBorders>
          </w:tcPr>
          <w:p>
            <w:pPr>
              <w:spacing w:after="0"/>
              <w:rPr>
                <w:sz w:val="20"/>
                <w:szCs w:val="20"/>
                <w:color w:val="auto"/>
              </w:rPr>
            </w:pPr>
          </w:p>
        </w:tc>
        <w:tc>
          <w:tcPr>
            <w:tcW w:w="17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(159,230 )</w:t>
            </w:r>
          </w:p>
        </w:tc>
        <w:tc>
          <w:tcPr>
            <w:tcW w:w="0" w:type="dxa"/>
            <w:vAlign w:val="bottom"/>
          </w:tcPr>
          <w:p>
            <w:pPr>
              <w:spacing w:after="0"/>
              <w:rPr>
                <w:sz w:val="1"/>
                <w:szCs w:val="1"/>
                <w:color w:val="auto"/>
              </w:rPr>
            </w:pPr>
          </w:p>
        </w:tc>
      </w:tr>
      <w:tr>
        <w:trPr>
          <w:trHeight w:val="239"/>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49,857</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40" w:type="dxa"/>
            <w:vAlign w:val="bottom"/>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5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60,298</w:t>
            </w:r>
          </w:p>
        </w:tc>
        <w:tc>
          <w:tcPr>
            <w:tcW w:w="24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121,091</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1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9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19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5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expenses under advanced subscription agreements</w:t>
            </w:r>
          </w:p>
        </w:tc>
        <w:tc>
          <w:tcPr>
            <w:tcW w:w="1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5898515</wp:posOffset>
            </wp:positionH>
            <wp:positionV relativeFrom="paragraph">
              <wp:posOffset>-3783965</wp:posOffset>
            </wp:positionV>
            <wp:extent cx="102870" cy="1968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-3149600</wp:posOffset>
            </wp:positionV>
            <wp:extent cx="102870" cy="1968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-1731010</wp:posOffset>
            </wp:positionV>
            <wp:extent cx="7747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-1413510</wp:posOffset>
            </wp:positionV>
            <wp:extent cx="7747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-933450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3" w:lineRule="exact"/>
        <w:rPr>
          <w:sz w:val="20"/>
          <w:szCs w:val="20"/>
          <w:color w:val="auto"/>
        </w:rPr>
      </w:pPr>
    </w:p>
    <w:p>
      <w:pPr>
        <w:ind w:left="520" w:hanging="512"/>
        <w:spacing w:after="0"/>
        <w:tabs>
          <w:tab w:leader="none" w:pos="52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266" w:lineRule="exact"/>
        <w:rPr>
          <w:sz w:val="20"/>
          <w:szCs w:val="20"/>
          <w:color w:val="auto"/>
        </w:rPr>
      </w:pPr>
    </w:p>
    <w:p>
      <w:pPr>
        <w:ind w:left="520" w:hanging="512"/>
        <w:spacing w:after="0"/>
        <w:tabs>
          <w:tab w:leader="none" w:pos="52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 and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VIEs to which we are the primary beneficiary.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263"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398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00" w:type="dxa"/>
            <w:vAlign w:val="bottom"/>
          </w:tcPr>
          <w:p>
            <w:pPr>
              <w:spacing w:after="0"/>
              <w:rPr>
                <w:sz w:val="16"/>
                <w:szCs w:val="16"/>
                <w:color w:val="auto"/>
              </w:rPr>
            </w:pPr>
          </w:p>
        </w:tc>
        <w:tc>
          <w:tcPr>
            <w:tcW w:w="2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 shareholding (%)</w:t>
            </w:r>
          </w:p>
        </w:tc>
        <w:tc>
          <w:tcPr>
            <w:tcW w:w="120" w:type="dxa"/>
            <w:vAlign w:val="bottom"/>
          </w:tcPr>
          <w:p>
            <w:pPr>
              <w:spacing w:after="0"/>
              <w:rPr>
                <w:sz w:val="16"/>
                <w:szCs w:val="16"/>
                <w:color w:val="auto"/>
              </w:rPr>
            </w:pPr>
          </w:p>
        </w:tc>
      </w:tr>
      <w:tr>
        <w:trPr>
          <w:trHeight w:val="236"/>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20" w:type="dxa"/>
            <w:vAlign w:val="bottom"/>
            <w:shd w:val="clear" w:color="auto" w:fill="CFF0FC"/>
          </w:tcPr>
          <w:p>
            <w:pPr>
              <w:spacing w:after="0"/>
              <w:rPr>
                <w:sz w:val="20"/>
                <w:szCs w:val="20"/>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00" w:type="dxa"/>
            <w:vAlign w:val="bottom"/>
            <w:shd w:val="clear" w:color="auto" w:fill="CFF0FC"/>
          </w:tcPr>
          <w:p>
            <w:pPr>
              <w:spacing w:after="0"/>
              <w:rPr>
                <w:sz w:val="20"/>
                <w:szCs w:val="20"/>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20"/>
                <w:szCs w:val="20"/>
                <w:color w:val="auto"/>
              </w:rPr>
            </w:pPr>
          </w:p>
        </w:tc>
      </w:tr>
      <w:tr>
        <w:trPr>
          <w:trHeight w:val="239"/>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r>
      <w:tr>
        <w:trPr>
          <w:trHeight w:val="247"/>
        </w:trPr>
        <w:tc>
          <w:tcPr>
            <w:tcW w:w="3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20" w:type="dxa"/>
            <w:vAlign w:val="bottom"/>
            <w:shd w:val="clear" w:color="auto" w:fill="CFF0FC"/>
          </w:tcPr>
          <w:p>
            <w:pPr>
              <w:spacing w:after="0"/>
              <w:rPr>
                <w:sz w:val="21"/>
                <w:szCs w:val="21"/>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00" w:type="dxa"/>
            <w:vAlign w:val="bottom"/>
            <w:shd w:val="clear" w:color="auto" w:fill="CFF0FC"/>
          </w:tcPr>
          <w:p>
            <w:pPr>
              <w:spacing w:after="0"/>
              <w:rPr>
                <w:sz w:val="21"/>
                <w:szCs w:val="21"/>
                <w:color w:val="auto"/>
              </w:rPr>
            </w:pPr>
          </w:p>
        </w:tc>
        <w:tc>
          <w:tcPr>
            <w:tcW w:w="2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800" w:type="dxa"/>
            <w:vAlign w:val="bottom"/>
            <w:gridSpan w:val="2"/>
            <w:shd w:val="clear" w:color="auto" w:fill="CFF0FC"/>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21"/>
                <w:szCs w:val="21"/>
                <w:color w:val="auto"/>
              </w:rPr>
            </w:pPr>
          </w:p>
        </w:tc>
      </w:tr>
      <w:tr>
        <w:trPr>
          <w:trHeight w:val="234"/>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2021</w:t>
            </w:r>
          </w:p>
        </w:tc>
        <w:tc>
          <w:tcPr>
            <w:tcW w:w="10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80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r>
    </w:tbl>
    <w:p>
      <w:pPr>
        <w:spacing w:after="0" w:line="33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27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historically funded its operations with cash flow from debt and equity capital raises agreements from investors. The Company's principal uses of cash have been working capital and funding operations.</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$239.1 million. For the six months ended June 30, 2024, the Company incurred a net loss of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87"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8"/>
          <w:szCs w:val="18"/>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2027.</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80"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Recently issued accounting pronouncements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Recently adopted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580" w:type="dxa"/>
            <w:vAlign w:val="bottom"/>
            <w:tcBorders>
              <w:bottom w:val="single" w:sz="8" w:color="auto"/>
            </w:tcBorders>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6"/>
                <w:szCs w:val="16"/>
                <w:color w:val="auto"/>
              </w:rPr>
            </w:pPr>
          </w:p>
        </w:tc>
      </w:tr>
      <w:tr>
        <w:trPr>
          <w:trHeight w:val="23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5,423,768</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4,273,552</w:t>
            </w:r>
          </w:p>
        </w:tc>
        <w:tc>
          <w:tcPr>
            <w:tcW w:w="120" w:type="dxa"/>
            <w:vAlign w:val="bottom"/>
            <w:shd w:val="clear" w:color="auto" w:fill="CFF0FC"/>
          </w:tcPr>
          <w:p>
            <w:pPr>
              <w:spacing w:after="0"/>
              <w:rPr>
                <w:sz w:val="20"/>
                <w:szCs w:val="20"/>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from related 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20" w:type="dxa"/>
            <w:vAlign w:val="bottom"/>
          </w:tcPr>
          <w:p>
            <w:pPr>
              <w:spacing w:after="0"/>
              <w:rPr>
                <w:sz w:val="20"/>
                <w:szCs w:val="20"/>
                <w:color w:val="auto"/>
              </w:rPr>
            </w:pP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FF0FC"/>
          </w:tcPr>
          <w:p>
            <w:pPr>
              <w:spacing w:after="0"/>
              <w:rPr>
                <w:sz w:val="21"/>
                <w:szCs w:val="2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120" w:type="dxa"/>
            <w:vAlign w:val="bottom"/>
          </w:tcPr>
          <w:p>
            <w:pPr>
              <w:spacing w:after="0"/>
              <w:rPr>
                <w:sz w:val="20"/>
                <w:szCs w:val="20"/>
                <w:color w:val="auto"/>
              </w:rPr>
            </w:pP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7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20" w:type="dxa"/>
            <w:vAlign w:val="bottom"/>
            <w:shd w:val="clear" w:color="auto" w:fill="CFF0FC"/>
          </w:tcPr>
          <w:p>
            <w:pPr>
              <w:spacing w:after="0"/>
              <w:rPr>
                <w:sz w:val="21"/>
                <w:szCs w:val="21"/>
                <w:color w:val="auto"/>
              </w:rPr>
            </w:pPr>
          </w:p>
        </w:tc>
      </w:tr>
      <w:tr>
        <w:trPr>
          <w:trHeight w:val="239"/>
        </w:trPr>
        <w:tc>
          <w:tcPr>
            <w:tcW w:w="434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20" w:type="dxa"/>
            <w:vAlign w:val="bottom"/>
          </w:tcPr>
          <w:p>
            <w:pPr>
              <w:spacing w:after="0"/>
              <w:rPr>
                <w:sz w:val="20"/>
                <w:szCs w:val="20"/>
                <w:color w:val="auto"/>
              </w:rPr>
            </w:pPr>
          </w:p>
        </w:tc>
      </w:tr>
      <w:tr>
        <w:trPr>
          <w:trHeight w:val="281"/>
        </w:trPr>
        <w:tc>
          <w:tcPr>
            <w:tcW w:w="43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42,325,131</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38,690,644</w:t>
            </w:r>
          </w:p>
        </w:tc>
        <w:tc>
          <w:tcPr>
            <w:tcW w:w="120" w:type="dxa"/>
            <w:vAlign w:val="bottom"/>
            <w:tcBorders>
              <w:top w:val="single" w:sz="8" w:color="CFF0FC"/>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-1125220</wp:posOffset>
            </wp:positionV>
            <wp:extent cx="68580" cy="114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-1125220</wp:posOffset>
            </wp:positionV>
            <wp:extent cx="68580" cy="114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-8255</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-187960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9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tcPr>
          <w:p>
            <w:pPr>
              <w:spacing w:after="0"/>
              <w:rPr>
                <w:sz w:val="13"/>
                <w:szCs w:val="13"/>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Requiring Additional</w:t>
            </w:r>
          </w:p>
        </w:tc>
        <w:tc>
          <w:tcPr>
            <w:tcW w:w="1360" w:type="dxa"/>
            <w:vAlign w:val="bottom"/>
            <w:gridSpan w:val="2"/>
            <w:vMerge w:val="restart"/>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220" w:type="dxa"/>
            <w:vAlign w:val="bottom"/>
          </w:tcPr>
          <w:p>
            <w:pPr>
              <w:spacing w:after="0"/>
              <w:rPr>
                <w:sz w:val="15"/>
                <w:szCs w:val="15"/>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at Par Value</w:t>
            </w:r>
          </w:p>
        </w:tc>
        <w:tc>
          <w:tcPr>
            <w:tcW w:w="10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Paid in Capital</w:t>
            </w:r>
          </w:p>
        </w:tc>
        <w:tc>
          <w:tcPr>
            <w:tcW w:w="13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2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rPr>
              <w:t xml:space="preserve">£ </w:t>
            </w:r>
            <w:r>
              <w:rPr>
                <w:rFonts w:ascii="Times New Roman" w:cs="Times New Roman" w:eastAsia="Times New Roman" w:hAnsi="Times New Roman"/>
                <w:sz w:val="14"/>
                <w:szCs w:val="14"/>
                <w:b w:val="1"/>
                <w:bCs w:val="1"/>
                <w:color w:val="000000"/>
              </w:rPr>
              <w:t>0.0001</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rPr>
              <w:t xml:space="preserve">£ </w:t>
            </w:r>
            <w:r>
              <w:rPr>
                <w:rFonts w:ascii="Times New Roman" w:cs="Times New Roman" w:eastAsia="Times New Roman" w:hAnsi="Times New Roman"/>
                <w:sz w:val="14"/>
                <w:szCs w:val="14"/>
                <w:b w:val="1"/>
                <w:bCs w:val="1"/>
                <w:color w:val="000000"/>
              </w:rPr>
              <w:t>0.016</w:t>
            </w:r>
          </w:p>
        </w:tc>
        <w:tc>
          <w:tcPr>
            <w:tcW w:w="10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at January 1, 2023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220" w:type="dxa"/>
            <w:vAlign w:val="bottom"/>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June 30, 2023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30, 2024</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4351020</wp:posOffset>
            </wp:positionH>
            <wp:positionV relativeFrom="paragraph">
              <wp:posOffset>-16510</wp:posOffset>
            </wp:positionV>
            <wp:extent cx="6858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-16510</wp:posOffset>
            </wp:positionV>
            <wp:extent cx="6858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-16510</wp:posOffset>
            </wp:positionV>
            <wp:extent cx="6858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6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condensed interim carve-out consolidated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August 30, 2021, the Company executed a binding term sheet to acquire ANY from the Radio Group GmbH. In accordance with the binding term sheet, the Company issued 14,427,185 ordinary shares valued at $1.03 per share. The ordinary shares were 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8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87"/>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580" w:type="dxa"/>
            <w:vAlign w:val="bottom"/>
          </w:tcPr>
          <w:p>
            <w:pPr>
              <w:spacing w:after="0"/>
              <w:rPr>
                <w:sz w:val="16"/>
                <w:szCs w:val="16"/>
                <w:color w:val="auto"/>
              </w:rPr>
            </w:pP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20" w:type="dxa"/>
            <w:vAlign w:val="bottom"/>
            <w:gridSpan w:val="2"/>
          </w:tcPr>
          <w:p>
            <w:pPr>
              <w:jc w:val="right"/>
              <w:ind w:right="55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0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58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122,364</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(1,275 )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121,089</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(67,032 )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20"/>
                <w:szCs w:val="20"/>
                <w:color w:val="auto"/>
              </w:rPr>
            </w:pPr>
          </w:p>
        </w:tc>
      </w:tr>
      <w:tr>
        <w:trPr>
          <w:trHeight w:val="267"/>
        </w:trPr>
        <w:tc>
          <w:tcPr>
            <w:tcW w:w="42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580" w:type="dxa"/>
            <w:vAlign w:val="bottom"/>
            <w:tcBorders>
              <w:bottom w:val="single" w:sz="8" w:color="CFF0FC"/>
            </w:tcBorders>
            <w:shd w:val="clear" w:color="auto" w:fill="CFF0FC"/>
          </w:tcPr>
          <w:p>
            <w:pPr>
              <w:spacing w:after="0"/>
              <w:rPr>
                <w:sz w:val="23"/>
                <w:szCs w:val="23"/>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738,274</w:t>
            </w:r>
          </w:p>
        </w:tc>
        <w:tc>
          <w:tcPr>
            <w:tcW w:w="240" w:type="dxa"/>
            <w:vAlign w:val="bottom"/>
            <w:tcBorders>
              <w:bottom w:val="single" w:sz="8" w:color="CFF0FC"/>
            </w:tcBorders>
            <w:shd w:val="clear" w:color="auto" w:fill="CFF0FC"/>
          </w:tcPr>
          <w:p>
            <w:pPr>
              <w:spacing w:after="0"/>
              <w:rPr>
                <w:sz w:val="23"/>
                <w:szCs w:val="23"/>
                <w:color w:val="auto"/>
              </w:rPr>
            </w:pPr>
          </w:p>
        </w:tc>
        <w:tc>
          <w:tcPr>
            <w:tcW w:w="1820" w:type="dxa"/>
            <w:vAlign w:val="bottom"/>
            <w:tcBorders>
              <w:bottom w:val="single" w:sz="8" w:color="CFF0FC"/>
            </w:tcBorders>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(161,304 )</w:t>
            </w:r>
          </w:p>
        </w:tc>
        <w:tc>
          <w:tcPr>
            <w:tcW w:w="16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576,970</w:t>
            </w:r>
          </w:p>
        </w:tc>
        <w:tc>
          <w:tcPr>
            <w:tcW w:w="100" w:type="dxa"/>
            <w:vAlign w:val="bottom"/>
            <w:tcBorders>
              <w:bottom w:val="single" w:sz="8" w:color="CFF0FC"/>
            </w:tcBorders>
            <w:shd w:val="clear" w:color="auto" w:fill="CFF0FC"/>
          </w:tcPr>
          <w:p>
            <w:pPr>
              <w:spacing w:after="0"/>
              <w:rPr>
                <w:sz w:val="23"/>
                <w:szCs w:val="23"/>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935,991</w:t>
            </w:r>
          </w:p>
        </w:tc>
        <w:tc>
          <w:tcPr>
            <w:tcW w:w="240" w:type="dxa"/>
            <w:vAlign w:val="bottom"/>
          </w:tcPr>
          <w:p>
            <w:pPr>
              <w:spacing w:after="0"/>
              <w:rPr>
                <w:sz w:val="20"/>
                <w:szCs w:val="20"/>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(229,611</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706,380</w:t>
            </w:r>
          </w:p>
        </w:tc>
        <w:tc>
          <w:tcPr>
            <w:tcW w:w="100" w:type="dxa"/>
            <w:vAlign w:val="bottom"/>
          </w:tcPr>
          <w:p>
            <w:pPr>
              <w:spacing w:after="0"/>
              <w:rPr>
                <w:sz w:val="20"/>
                <w:szCs w:val="20"/>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580" w:type="dxa"/>
            <w:vAlign w:val="bottom"/>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119,591</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(24,263 )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95,328</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589,524</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(18,225 )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571,299</w:t>
            </w:r>
          </w:p>
        </w:tc>
        <w:tc>
          <w:tcPr>
            <w:tcW w:w="100" w:type="dxa"/>
            <w:vAlign w:val="bottom"/>
            <w:shd w:val="clear" w:color="auto" w:fill="CFF0FC"/>
          </w:tcPr>
          <w:p>
            <w:pPr>
              <w:spacing w:after="0"/>
              <w:rPr>
                <w:sz w:val="21"/>
                <w:szCs w:val="21"/>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2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5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709,115</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(42,488 )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666,627</w:t>
            </w:r>
          </w:p>
        </w:tc>
        <w:tc>
          <w:tcPr>
            <w:tcW w:w="100" w:type="dxa"/>
            <w:vAlign w:val="bottom"/>
          </w:tcPr>
          <w:p>
            <w:pPr>
              <w:spacing w:after="0"/>
              <w:rPr>
                <w:sz w:val="20"/>
                <w:szCs w:val="20"/>
                <w:color w:val="auto"/>
              </w:rPr>
            </w:pPr>
          </w:p>
        </w:tc>
      </w:tr>
      <w:tr>
        <w:trPr>
          <w:trHeight w:val="20"/>
        </w:trPr>
        <w:tc>
          <w:tcPr>
            <w:tcW w:w="4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580" w:type="dxa"/>
            <w:vAlign w:val="bottom"/>
            <w:tcBorders>
              <w:top w:val="single" w:sz="8" w:color="CFF0FC"/>
            </w:tcBorders>
          </w:tcPr>
          <w:p>
            <w:pPr>
              <w:spacing w:after="0"/>
              <w:rPr>
                <w:sz w:val="20"/>
                <w:szCs w:val="20"/>
                <w:color w:val="auto"/>
              </w:rPr>
            </w:pPr>
          </w:p>
        </w:tc>
        <w:tc>
          <w:tcPr>
            <w:tcW w:w="1620" w:type="dxa"/>
            <w:vAlign w:val="bottom"/>
            <w:tcBorders>
              <w:top w:val="single" w:sz="8" w:color="auto"/>
            </w:tcBorders>
          </w:tcPr>
          <w:p>
            <w:pPr>
              <w:spacing w:after="0"/>
              <w:rPr>
                <w:sz w:val="20"/>
                <w:szCs w:val="20"/>
                <w:color w:val="auto"/>
              </w:rPr>
            </w:pPr>
          </w:p>
        </w:tc>
        <w:tc>
          <w:tcPr>
            <w:tcW w:w="240" w:type="dxa"/>
            <w:vAlign w:val="bottom"/>
            <w:tcBorders>
              <w:top w:val="single" w:sz="8" w:color="CFF0FC"/>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220" w:type="dxa"/>
            <w:vAlign w:val="bottom"/>
            <w:tcBorders>
              <w:top w:val="single" w:sz="8" w:color="CFF0FC"/>
            </w:tcBorders>
          </w:tcPr>
          <w:p>
            <w:pPr>
              <w:spacing w:after="0"/>
              <w:rPr>
                <w:sz w:val="20"/>
                <w:szCs w:val="20"/>
                <w:color w:val="auto"/>
              </w:rPr>
            </w:pPr>
          </w:p>
        </w:tc>
        <w:tc>
          <w:tcPr>
            <w:tcW w:w="1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58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4,050,668</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(74,773 )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3,975,895</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Due to related party</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895,170</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(795,050 )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2,875,038</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(348,254 )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2,526,784</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Ordinary shares payable</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debt</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240" w:type="dxa"/>
            <w:vAlign w:val="bottom"/>
          </w:tcPr>
          <w:p>
            <w:pPr>
              <w:spacing w:after="0"/>
              <w:rPr>
                <w:sz w:val="20"/>
                <w:szCs w:val="20"/>
                <w:color w:val="auto"/>
              </w:rPr>
            </w:pPr>
          </w:p>
        </w:tc>
        <w:tc>
          <w:tcPr>
            <w:tcW w:w="182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100" w:type="dxa"/>
            <w:vAlign w:val="bottom"/>
            <w:shd w:val="clear" w:color="auto" w:fill="CFF0FC"/>
          </w:tcPr>
          <w:p>
            <w:pPr>
              <w:spacing w:after="0"/>
              <w:rPr>
                <w:sz w:val="21"/>
                <w:szCs w:val="21"/>
                <w:color w:val="auto"/>
              </w:rPr>
            </w:pPr>
          </w:p>
        </w:tc>
      </w:tr>
      <w:tr>
        <w:trPr>
          <w:trHeight w:val="237"/>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580" w:type="dxa"/>
            <w:vAlign w:val="bottom"/>
          </w:tcPr>
          <w:p>
            <w:pPr>
              <w:spacing w:after="0"/>
              <w:rPr>
                <w:sz w:val="20"/>
                <w:szCs w:val="20"/>
                <w:color w:val="auto"/>
              </w:rPr>
            </w:pPr>
          </w:p>
        </w:tc>
        <w:tc>
          <w:tcPr>
            <w:tcW w:w="1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16,030,909</w:t>
            </w:r>
          </w:p>
        </w:tc>
        <w:tc>
          <w:tcPr>
            <w:tcW w:w="240" w:type="dxa"/>
            <w:vAlign w:val="bottom"/>
          </w:tcPr>
          <w:p>
            <w:pPr>
              <w:spacing w:after="0"/>
              <w:rPr>
                <w:sz w:val="20"/>
                <w:szCs w:val="20"/>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(1,218,077</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14,812,832</w:t>
            </w:r>
          </w:p>
        </w:tc>
        <w:tc>
          <w:tcPr>
            <w:tcW w:w="100" w:type="dxa"/>
            <w:vAlign w:val="bottom"/>
          </w:tcPr>
          <w:p>
            <w:pPr>
              <w:spacing w:after="0"/>
              <w:rPr>
                <w:sz w:val="20"/>
                <w:szCs w:val="20"/>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58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debt</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30,968,733</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(1,053,869 )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29,914,864</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580" w:type="dxa"/>
            <w:vAlign w:val="bottom"/>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240" w:type="dxa"/>
            <w:vAlign w:val="bottom"/>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100" w:type="dxa"/>
            <w:vAlign w:val="bottom"/>
            <w:shd w:val="clear" w:color="auto" w:fill="CFF0FC"/>
          </w:tcPr>
          <w:p>
            <w:pPr>
              <w:spacing w:after="0"/>
              <w:rPr>
                <w:sz w:val="21"/>
                <w:szCs w:val="21"/>
                <w:color w:val="auto"/>
              </w:rPr>
            </w:pPr>
          </w:p>
        </w:tc>
      </w:tr>
      <w:tr>
        <w:trPr>
          <w:trHeight w:val="25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58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32,211,266</w:t>
            </w:r>
          </w:p>
        </w:tc>
        <w:tc>
          <w:tcPr>
            <w:tcW w:w="240" w:type="dxa"/>
            <w:vAlign w:val="bottom"/>
          </w:tcPr>
          <w:p>
            <w:pPr>
              <w:spacing w:after="0"/>
              <w:rPr>
                <w:sz w:val="21"/>
                <w:szCs w:val="21"/>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(1,053,869</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31,157,397</w:t>
            </w:r>
          </w:p>
        </w:tc>
        <w:tc>
          <w:tcPr>
            <w:tcW w:w="100" w:type="dxa"/>
            <w:vAlign w:val="bottom"/>
          </w:tcPr>
          <w:p>
            <w:pPr>
              <w:spacing w:after="0"/>
              <w:rPr>
                <w:sz w:val="21"/>
                <w:szCs w:val="21"/>
                <w:color w:val="auto"/>
              </w:rPr>
            </w:pPr>
          </w:p>
        </w:tc>
      </w:tr>
      <w:tr>
        <w:trPr>
          <w:trHeight w:val="23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48,242,175</w:t>
            </w:r>
          </w:p>
        </w:tc>
        <w:tc>
          <w:tcPr>
            <w:tcW w:w="24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(2,271,946)</w:t>
            </w:r>
          </w:p>
        </w:tc>
        <w:tc>
          <w:tcPr>
            <w:tcW w:w="2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45,970,229</w:t>
            </w:r>
          </w:p>
        </w:tc>
        <w:tc>
          <w:tcPr>
            <w:tcW w:w="100" w:type="dxa"/>
            <w:vAlign w:val="bottom"/>
            <w:shd w:val="clear" w:color="auto" w:fill="CFF0FC"/>
          </w:tcPr>
          <w:p>
            <w:pPr>
              <w:spacing w:after="0"/>
              <w:rPr>
                <w:sz w:val="20"/>
                <w:szCs w:val="20"/>
                <w:color w:val="auto"/>
              </w:rPr>
            </w:pPr>
          </w:p>
        </w:tc>
      </w:tr>
      <w:tr>
        <w:trPr>
          <w:trHeight w:val="241"/>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5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Ordinary shares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00" w:type="dxa"/>
            <w:vAlign w:val="bottom"/>
            <w:shd w:val="clear" w:color="auto" w:fill="CFF0FC"/>
          </w:tcPr>
          <w:p>
            <w:pPr>
              <w:spacing w:after="0"/>
              <w:rPr>
                <w:sz w:val="21"/>
                <w:szCs w:val="21"/>
                <w:color w:val="auto"/>
              </w:rPr>
            </w:pPr>
          </w:p>
        </w:tc>
      </w:tr>
      <w:tr>
        <w:trPr>
          <w:trHeight w:val="241"/>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shares</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20"/>
                <w:szCs w:val="20"/>
                <w:color w:val="auto"/>
              </w:rPr>
            </w:pPr>
          </w:p>
        </w:tc>
        <w:tc>
          <w:tcPr>
            <w:tcW w:w="18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 xml:space="preserve">(1,993 </w:t>
            </w:r>
            <w:r>
              <w:rPr>
                <w:rFonts w:ascii="Times New Roman" w:cs="Times New Roman" w:eastAsia="Times New Roman" w:hAnsi="Times New Roman"/>
                <w:sz w:val="18"/>
                <w:szCs w:val="18"/>
                <w:b w:val="1"/>
                <w:bCs w:val="1"/>
                <w:color w:val="auto"/>
              </w:rPr>
              <w:t>)</w:t>
            </w:r>
          </w:p>
        </w:tc>
        <w:tc>
          <w:tcPr>
            <w:tcW w:w="17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45"/>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Series A shares</w:t>
            </w:r>
          </w:p>
        </w:tc>
        <w:tc>
          <w:tcPr>
            <w:tcW w:w="3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168,358,010</w:t>
            </w:r>
          </w:p>
        </w:tc>
        <w:tc>
          <w:tcPr>
            <w:tcW w:w="24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168,360,003</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44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c>
          <w:tcPr>
            <w:tcW w:w="182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r>
      <w:tr>
        <w:trPr>
          <w:trHeight w:val="241"/>
        </w:trPr>
        <w:tc>
          <w:tcPr>
            <w:tcW w:w="42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3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(213,740,307 </w:t>
            </w:r>
            <w:r>
              <w:rPr>
                <w:rFonts w:ascii="Times New Roman" w:cs="Times New Roman" w:eastAsia="Times New Roman" w:hAnsi="Times New Roman"/>
                <w:sz w:val="18"/>
                <w:szCs w:val="18"/>
                <w:b w:val="1"/>
                <w:bCs w:val="1"/>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908,901</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(212,831,406 </w:t>
            </w:r>
            <w:r>
              <w:rPr>
                <w:rFonts w:ascii="Times New Roman" w:cs="Times New Roman" w:eastAsia="Times New Roman" w:hAnsi="Times New Roman"/>
                <w:sz w:val="18"/>
                <w:szCs w:val="18"/>
                <w:b w:val="1"/>
                <w:bCs w:val="1"/>
                <w:color w:val="auto"/>
              </w:rPr>
              <w:t>)</w:t>
            </w:r>
          </w:p>
        </w:tc>
      </w:tr>
      <w:tr>
        <w:trPr>
          <w:trHeight w:val="24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580" w:type="dxa"/>
            <w:vAlign w:val="bottom"/>
            <w:shd w:val="clear" w:color="auto" w:fill="CFF0FC"/>
          </w:tcPr>
          <w:p>
            <w:pPr>
              <w:spacing w:after="0"/>
              <w:rPr>
                <w:sz w:val="21"/>
                <w:szCs w:val="21"/>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 xml:space="preserve">(1,169,223 </w:t>
            </w:r>
            <w:r>
              <w:rPr>
                <w:rFonts w:ascii="Times New Roman" w:cs="Times New Roman" w:eastAsia="Times New Roman" w:hAnsi="Times New Roman"/>
                <w:sz w:val="18"/>
                <w:szCs w:val="18"/>
                <w:b w:val="1"/>
                <w:bCs w:val="1"/>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1,090,946</w:t>
            </w:r>
          </w:p>
        </w:tc>
        <w:tc>
          <w:tcPr>
            <w:tcW w:w="22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(78,277 </w:t>
            </w: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FF0FC"/>
          </w:tcPr>
          <w:p>
            <w:pPr>
              <w:spacing w:after="0" w:line="20" w:lineRule="exact"/>
              <w:rPr>
                <w:sz w:val="1"/>
                <w:szCs w:val="1"/>
                <w:color w:val="auto"/>
              </w:rPr>
            </w:pPr>
          </w:p>
        </w:tc>
        <w:tc>
          <w:tcPr>
            <w:tcW w:w="1580" w:type="dxa"/>
            <w:vAlign w:val="bottom"/>
            <w:shd w:val="clear" w:color="auto" w:fill="CFF0FC"/>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580" w:type="dxa"/>
            <w:vAlign w:val="bottom"/>
          </w:tcPr>
          <w:p>
            <w:pPr>
              <w:spacing w:after="0"/>
              <w:rPr>
                <w:sz w:val="20"/>
                <w:szCs w:val="20"/>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(46,597,069 )</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1,999,847</w:t>
            </w:r>
          </w:p>
        </w:tc>
        <w:tc>
          <w:tcPr>
            <w:tcW w:w="220" w:type="dxa"/>
            <w:vAlign w:val="bottom"/>
          </w:tcPr>
          <w:p>
            <w:pPr>
              <w:spacing w:after="0"/>
              <w:rPr>
                <w:sz w:val="20"/>
                <w:szCs w:val="20"/>
                <w:color w:val="auto"/>
              </w:rPr>
            </w:pPr>
          </w:p>
        </w:tc>
        <w:tc>
          <w:tcPr>
            <w:tcW w:w="1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(44,597,222 )</w:t>
            </w:r>
          </w:p>
        </w:tc>
      </w:tr>
      <w:tr>
        <w:trPr>
          <w:trHeight w:val="20"/>
        </w:trPr>
        <w:tc>
          <w:tcPr>
            <w:tcW w:w="4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58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21"/>
                <w:szCs w:val="21"/>
                <w:color w:val="auto"/>
              </w:rPr>
            </w:pPr>
          </w:p>
        </w:tc>
      </w:tr>
      <w:tr>
        <w:trPr>
          <w:trHeight w:val="648"/>
        </w:trPr>
        <w:tc>
          <w:tcPr>
            <w:tcW w:w="4280" w:type="dxa"/>
            <w:vAlign w:val="bottom"/>
            <w:tcBorders>
              <w:top w:val="single" w:sz="8" w:color="CFF0FC"/>
            </w:tcBorders>
          </w:tcPr>
          <w:p>
            <w:pPr>
              <w:spacing w:after="0"/>
              <w:rPr>
                <w:sz w:val="24"/>
                <w:szCs w:val="24"/>
                <w:color w:val="auto"/>
              </w:rPr>
            </w:pPr>
          </w:p>
        </w:tc>
        <w:tc>
          <w:tcPr>
            <w:tcW w:w="1580" w:type="dxa"/>
            <w:vAlign w:val="bottom"/>
            <w:tcBorders>
              <w:top w:val="single" w:sz="8" w:color="CFF0FC"/>
            </w:tcBorders>
          </w:tcPr>
          <w:p>
            <w:pPr>
              <w:ind w:left="1180"/>
              <w:spacing w:after="0"/>
              <w:rPr>
                <w:sz w:val="20"/>
                <w:szCs w:val="20"/>
                <w:color w:val="auto"/>
              </w:rPr>
            </w:pPr>
            <w:r>
              <w:rPr>
                <w:rFonts w:ascii="Times New Roman" w:cs="Times New Roman" w:eastAsia="Times New Roman" w:hAnsi="Times New Roman"/>
                <w:sz w:val="18"/>
                <w:szCs w:val="18"/>
                <w:color w:val="auto"/>
              </w:rPr>
              <w:t>F-14</w:t>
            </w: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16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5920105</wp:posOffset>
            </wp:positionH>
            <wp:positionV relativeFrom="paragraph">
              <wp:posOffset>-6465570</wp:posOffset>
            </wp:positionV>
            <wp:extent cx="68580" cy="1143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-6465570</wp:posOffset>
            </wp:positionV>
            <wp:extent cx="68580" cy="114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-5682615</wp:posOffset>
            </wp:positionV>
            <wp:extent cx="7747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-5514340</wp:posOffset>
            </wp:positionV>
            <wp:extent cx="77470" cy="1143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-5687060</wp:posOffset>
            </wp:positionV>
            <wp:extent cx="93980" cy="1968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-5687060</wp:posOffset>
            </wp:positionV>
            <wp:extent cx="93980" cy="1968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-5039995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-5043805</wp:posOffset>
            </wp:positionV>
            <wp:extent cx="102870" cy="1968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-4871085</wp:posOffset>
            </wp:positionV>
            <wp:extent cx="68580" cy="114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-5043805</wp:posOffset>
            </wp:positionV>
            <wp:extent cx="93980" cy="19685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-4705350</wp:posOffset>
            </wp:positionV>
            <wp:extent cx="7747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-4705350</wp:posOffset>
            </wp:positionV>
            <wp:extent cx="6858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-4705350</wp:posOffset>
            </wp:positionV>
            <wp:extent cx="6858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-3466465</wp:posOffset>
            </wp:positionV>
            <wp:extent cx="102870" cy="1968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196850"/>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-3466465</wp:posOffset>
            </wp:positionV>
            <wp:extent cx="93980" cy="1968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-3466465</wp:posOffset>
            </wp:positionV>
            <wp:extent cx="93980" cy="1968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93980" cy="196850"/>
                    </a:xfrm>
                    <a:prstGeom prst="rect">
                      <a:avLst/>
                    </a:prstGeom>
                    <a:noFill/>
                  </pic:spPr>
                </pic:pic>
              </a:graphicData>
            </a:graphic>
          </wp:anchor>
        </w:drawing>
        <w:drawing>
          <wp:anchor simplePos="0" relativeHeight="251657728" behindDoc="1" locked="0" layoutInCell="0" allowOverlap="1">
            <wp:simplePos x="0" y="0"/>
            <wp:positionH relativeFrom="column">
              <wp:posOffset>4732655</wp:posOffset>
            </wp:positionH>
            <wp:positionV relativeFrom="paragraph">
              <wp:posOffset>-2832100</wp:posOffset>
            </wp:positionV>
            <wp:extent cx="102870" cy="20510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02870" cy="205105"/>
                    </a:xfrm>
                    <a:prstGeom prst="rect">
                      <a:avLst/>
                    </a:prstGeom>
                    <a:noFill/>
                  </pic:spPr>
                </pic:pic>
              </a:graphicData>
            </a:graphic>
          </wp:anchor>
        </w:drawing>
        <w:drawing>
          <wp:anchor simplePos="0" relativeHeight="251657728" behindDoc="1" locked="0" layoutInCell="0" allowOverlap="1">
            <wp:simplePos x="0" y="0"/>
            <wp:positionH relativeFrom="column">
              <wp:posOffset>5907405</wp:posOffset>
            </wp:positionH>
            <wp:positionV relativeFrom="paragraph">
              <wp:posOffset>-2832100</wp:posOffset>
            </wp:positionV>
            <wp:extent cx="93980" cy="2051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2051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-2832100</wp:posOffset>
            </wp:positionV>
            <wp:extent cx="93980" cy="20510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20510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-1250950</wp:posOffset>
            </wp:positionV>
            <wp:extent cx="7747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-1250950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-1250950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-925195</wp:posOffset>
            </wp:positionV>
            <wp:extent cx="77470"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-925195</wp:posOffset>
            </wp:positionV>
            <wp:extent cx="6858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8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4,604,332</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(4,557,568 )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46,764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2,334,088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(2,317,977 )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16,111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5,509,407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(799,233 )</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4,710,174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11,112,591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(2,369,214 )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8,743,377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6,397,167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785,000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 expenses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(258,329)</w:t>
            </w: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(1,080,110 )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26,813,263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(12,437,030 )</w:t>
            </w:r>
          </w:p>
        </w:tc>
        <w:tc>
          <w:tcPr>
            <w:tcW w:w="1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14,376,233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(22,208,931 )</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7,879,462</w:t>
            </w: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(14,329,469 )</w:t>
            </w:r>
          </w:p>
        </w:tc>
        <w:tc>
          <w:tcPr>
            <w:tcW w:w="0" w:type="dxa"/>
            <w:vAlign w:val="bottom"/>
          </w:tcPr>
          <w:p>
            <w:pPr>
              <w:spacing w:after="0"/>
              <w:rPr>
                <w:sz w:val="1"/>
                <w:szCs w:val="1"/>
                <w:color w:val="auto"/>
              </w:rPr>
            </w:pPr>
          </w:p>
        </w:tc>
      </w:tr>
      <w:tr>
        <w:trPr>
          <w:trHeight w:val="16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expenses</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60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CFF0FC"/>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(4,106,733)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1,051,787</w:t>
            </w: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non-operating income (expense), net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269,510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(97,759 )</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171,751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expenses, net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(3,837,223 )</w:t>
            </w:r>
          </w:p>
        </w:tc>
        <w:tc>
          <w:tcPr>
            <w:tcW w:w="140" w:type="dxa"/>
            <w:vAlign w:val="bottom"/>
            <w:shd w:val="clear" w:color="auto" w:fill="CFF0FC"/>
          </w:tcPr>
          <w:p>
            <w:pPr>
              <w:spacing w:after="0"/>
              <w:rPr>
                <w:sz w:val="14"/>
                <w:szCs w:val="14"/>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954,028</w:t>
            </w: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(2,883,195 )</w:t>
            </w:r>
          </w:p>
        </w:tc>
        <w:tc>
          <w:tcPr>
            <w:tcW w:w="0" w:type="dxa"/>
            <w:vAlign w:val="bottom"/>
          </w:tcPr>
          <w:p>
            <w:pPr>
              <w:spacing w:after="0"/>
              <w:rPr>
                <w:sz w:val="1"/>
                <w:szCs w:val="1"/>
                <w:color w:val="auto"/>
              </w:rPr>
            </w:pPr>
          </w:p>
        </w:tc>
      </w:tr>
      <w:tr>
        <w:trPr>
          <w:trHeight w:val="20"/>
        </w:trPr>
        <w:tc>
          <w:tcPr>
            <w:tcW w:w="56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taxes</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(26,046,154 )</w:t>
            </w:r>
          </w:p>
        </w:tc>
        <w:tc>
          <w:tcPr>
            <w:tcW w:w="14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8,833,490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(17,212,664 )</w:t>
            </w: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tax recovery (expense)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1,477,389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(1,540,797 )</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(63,408 )</w:t>
            </w: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for the year</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(24,568,765 )</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7,292,693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(17,276,072 )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188"/>
        </w:trPr>
        <w:tc>
          <w:tcPr>
            <w:tcW w:w="56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Weighted average number of shares – Basic and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922,013,028</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922,013,028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8"/>
        </w:trPr>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40" w:type="dxa"/>
            <w:vAlign w:val="bottom"/>
          </w:tcPr>
          <w:p>
            <w:pPr>
              <w:spacing w:after="0"/>
              <w:rPr>
                <w:sz w:val="16"/>
                <w:szCs w:val="16"/>
                <w:color w:val="auto"/>
              </w:rPr>
            </w:pPr>
          </w:p>
        </w:tc>
        <w:tc>
          <w:tcPr>
            <w:tcW w:w="17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6"/>
                <w:szCs w:val="16"/>
                <w:color w:val="auto"/>
              </w:rPr>
            </w:pPr>
          </w:p>
        </w:tc>
        <w:tc>
          <w:tcPr>
            <w:tcW w:w="146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(24,568,765 )</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7,292,693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Adjustments to reconcile net loss to net cash (used in)</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spacing w:after="0"/>
              <w:rPr>
                <w:sz w:val="15"/>
                <w:szCs w:val="15"/>
                <w:color w:val="auto"/>
              </w:rPr>
            </w:pP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(258,329 )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foreign exchange (gain)/loss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63,284</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264,099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327,383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568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Share based compensation issued to related parties for consultancy</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20" w:type="dxa"/>
            <w:vAlign w:val="bottom"/>
            <w:gridSpan w:val="2"/>
            <w:vMerge w:val="restart"/>
            <w:shd w:val="clear" w:color="auto" w:fill="CFF0FC"/>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FF0FC"/>
          </w:tcPr>
          <w:p>
            <w:pPr>
              <w:spacing w:after="0"/>
              <w:rPr>
                <w:sz w:val="12"/>
                <w:szCs w:val="12"/>
                <w:color w:val="auto"/>
              </w:rPr>
            </w:pPr>
          </w:p>
        </w:tc>
        <w:tc>
          <w:tcPr>
            <w:tcW w:w="1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220" w:type="dxa"/>
            <w:vAlign w:val="bottom"/>
            <w:tcBorders>
              <w:left w:val="single" w:sz="8" w:color="CFF0FC"/>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6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20" w:type="dxa"/>
            <w:vAlign w:val="bottom"/>
            <w:gridSpan w:val="2"/>
            <w:vMerge w:val="continue"/>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60" w:type="dxa"/>
            <w:vAlign w:val="bottom"/>
            <w:vMerge w:val="continue"/>
            <w:shd w:val="clear" w:color="auto" w:fill="CFF0FC"/>
          </w:tcPr>
          <w:p>
            <w:pPr>
              <w:spacing w:after="0"/>
              <w:rPr>
                <w:sz w:val="16"/>
                <w:szCs w:val="16"/>
                <w:color w:val="auto"/>
              </w:rPr>
            </w:pPr>
          </w:p>
        </w:tc>
        <w:tc>
          <w:tcPr>
            <w:tcW w:w="220" w:type="dxa"/>
            <w:vAlign w:val="bottom"/>
            <w:tcBorders>
              <w:left w:val="single" w:sz="8" w:color="CFF0FC"/>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Employee share based compensation</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3,588,960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Impairment of prepayments and other current assets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1,156,316</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1,156,316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Impairment of customer list intangible asset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tax benefit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(1,459,336 )</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1,459,336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4,134,431</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(1,079,485 )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Decrease/(increase) in accounts receivable</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(605 )</w:t>
            </w: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1,139</w:t>
            </w: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(Increase) in prepayment and other current assets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236,410</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(931,436 )</w:t>
            </w: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(695,026 )</w:t>
            </w: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Decrease in receivable with related parties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(320,702 )</w:t>
            </w:r>
          </w:p>
        </w:tc>
        <w:tc>
          <w:tcPr>
            <w:tcW w:w="14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320,702</w:t>
            </w:r>
          </w:p>
        </w:tc>
        <w:tc>
          <w:tcPr>
            <w:tcW w:w="220" w:type="dxa"/>
            <w:vAlign w:val="bottom"/>
            <w:tcBorders>
              <w:left w:val="single" w:sz="8" w:color="CFF0FC"/>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Decrease in accounts payable, accrued expenses and other payables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(825,679 )</w:t>
            </w: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562,331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(263,348 )</w:t>
            </w: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Increase (decrease) in payables to related parties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670,050</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(795,050 )</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(125,000 )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(8,962,030</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143,723</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(8,818,307 )</w:t>
            </w:r>
          </w:p>
        </w:tc>
        <w:tc>
          <w:tcPr>
            <w:tcW w:w="0" w:type="dxa"/>
            <w:vAlign w:val="bottom"/>
          </w:tcPr>
          <w:p>
            <w:pPr>
              <w:spacing w:after="0"/>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(104,604 )</w:t>
            </w:r>
          </w:p>
        </w:tc>
        <w:tc>
          <w:tcPr>
            <w:tcW w:w="14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(104,604 )</w:t>
            </w: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Development of intangible assets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(8,060 )</w:t>
            </w: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(8,060 )</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(112,664</w:t>
            </w:r>
          </w:p>
        </w:tc>
        <w:tc>
          <w:tcPr>
            <w:tcW w:w="2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(112,664 )</w:t>
            </w:r>
          </w:p>
        </w:tc>
        <w:tc>
          <w:tcPr>
            <w:tcW w:w="0" w:type="dxa"/>
            <w:vAlign w:val="bottom"/>
          </w:tcPr>
          <w:p>
            <w:pPr>
              <w:spacing w:after="0"/>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tcBorders>
              <w:top w:val="single" w:sz="8" w:color="auto"/>
            </w:tcBorders>
            <w:shd w:val="clear" w:color="auto" w:fill="CFF0FC"/>
          </w:tcPr>
          <w:p>
            <w:pPr>
              <w:spacing w:after="0"/>
              <w:rPr>
                <w:sz w:val="14"/>
                <w:szCs w:val="14"/>
                <w:color w:val="auto"/>
              </w:rPr>
            </w:pPr>
          </w:p>
        </w:tc>
        <w:tc>
          <w:tcPr>
            <w:tcW w:w="1560" w:type="dxa"/>
            <w:vAlign w:val="bottom"/>
            <w:tcBorders>
              <w:top w:val="single" w:sz="8" w:color="auto"/>
            </w:tcBorders>
            <w:shd w:val="clear" w:color="auto" w:fill="CFF0FC"/>
          </w:tcPr>
          <w:p>
            <w:pPr>
              <w:spacing w:after="0"/>
              <w:rPr>
                <w:sz w:val="14"/>
                <w:szCs w:val="14"/>
                <w:color w:val="auto"/>
              </w:rPr>
            </w:pPr>
          </w:p>
        </w:tc>
        <w:tc>
          <w:tcPr>
            <w:tcW w:w="220" w:type="dxa"/>
            <w:vAlign w:val="bottom"/>
            <w:tcBorders>
              <w:left w:val="single" w:sz="8" w:color="CFF0FC"/>
            </w:tcBorders>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136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rights issuance</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1,653,882</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1,653,882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issuance of common stock to related parties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199,974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199,974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Repayment of short term debt obligation from related parties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(250,000 )</w:t>
            </w:r>
          </w:p>
        </w:tc>
        <w:tc>
          <w:tcPr>
            <w:tcW w:w="14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(250,000 )</w:t>
            </w:r>
          </w:p>
        </w:tc>
        <w:tc>
          <w:tcPr>
            <w:tcW w:w="0" w:type="dxa"/>
            <w:vAlign w:val="bottom"/>
          </w:tcPr>
          <w:p>
            <w:pPr>
              <w:spacing w:after="0"/>
              <w:rPr>
                <w:sz w:val="1"/>
                <w:szCs w:val="1"/>
                <w:color w:val="auto"/>
              </w:rPr>
            </w:pPr>
          </w:p>
        </w:tc>
      </w:tr>
      <w:tr>
        <w:trPr>
          <w:trHeight w:val="175"/>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short-term debt from related party</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4,178,008</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4,178,008</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short-term debt</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762,505</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762,505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56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Proceeds from convertible debt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2,627,543</w:t>
            </w:r>
          </w:p>
        </w:tc>
        <w:tc>
          <w:tcPr>
            <w:tcW w:w="2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CFF0FC"/>
            </w:tcBorders>
            <w:shd w:val="clear" w:color="auto" w:fill="CFF0FC"/>
          </w:tcPr>
          <w:p>
            <w:pPr>
              <w:spacing w:after="0"/>
              <w:rPr>
                <w:sz w:val="17"/>
                <w:szCs w:val="17"/>
                <w:color w:val="auto"/>
              </w:rPr>
            </w:pPr>
          </w:p>
        </w:tc>
        <w:tc>
          <w:tcPr>
            <w:tcW w:w="1780" w:type="dxa"/>
            <w:vAlign w:val="bottom"/>
            <w:tcBorders>
              <w:bottom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2,627,543</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3"/>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 generated from financing activities</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9,171,912</w:t>
            </w: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5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9,171,912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2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(16,563 )</w:t>
            </w:r>
          </w:p>
        </w:tc>
        <w:tc>
          <w:tcPr>
            <w:tcW w:w="140" w:type="dxa"/>
            <w:vAlign w:val="bottom"/>
            <w:shd w:val="clear" w:color="auto" w:fill="CFF0FC"/>
          </w:tcPr>
          <w:p>
            <w:pPr>
              <w:spacing w:after="0"/>
              <w:rPr>
                <w:sz w:val="14"/>
                <w:szCs w:val="14"/>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(142,667 )</w:t>
            </w:r>
          </w:p>
        </w:tc>
        <w:tc>
          <w:tcPr>
            <w:tcW w:w="120" w:type="dxa"/>
            <w:vAlign w:val="bottom"/>
            <w:shd w:val="clear" w:color="auto" w:fill="CFF0FC"/>
          </w:tcPr>
          <w:p>
            <w:pPr>
              <w:spacing w:after="0"/>
              <w:rPr>
                <w:sz w:val="14"/>
                <w:szCs w:val="14"/>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(159,230 )</w:t>
            </w:r>
          </w:p>
        </w:tc>
        <w:tc>
          <w:tcPr>
            <w:tcW w:w="0" w:type="dxa"/>
            <w:vAlign w:val="bottom"/>
          </w:tcPr>
          <w:p>
            <w:pPr>
              <w:spacing w:after="0"/>
              <w:rPr>
                <w:sz w:val="1"/>
                <w:szCs w:val="1"/>
                <w:color w:val="auto"/>
              </w:rPr>
            </w:pPr>
          </w:p>
        </w:tc>
      </w:tr>
      <w:tr>
        <w:trPr>
          <w:trHeight w:val="169"/>
        </w:trPr>
        <w:tc>
          <w:tcPr>
            <w:tcW w:w="56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80,655</w:t>
            </w:r>
          </w:p>
        </w:tc>
        <w:tc>
          <w:tcPr>
            <w:tcW w:w="22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1,056</w:t>
            </w: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81,711</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41,709</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(2,329 )</w:t>
            </w:r>
          </w:p>
        </w:tc>
        <w:tc>
          <w:tcPr>
            <w:tcW w:w="120" w:type="dxa"/>
            <w:vAlign w:val="bottom"/>
            <w:shd w:val="clear" w:color="auto" w:fill="CFF0FC"/>
          </w:tcPr>
          <w:p>
            <w:pPr>
              <w:spacing w:after="0"/>
              <w:rPr>
                <w:sz w:val="15"/>
                <w:szCs w:val="15"/>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39,380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5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122,364</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(1,273 )</w:t>
            </w:r>
          </w:p>
        </w:tc>
        <w:tc>
          <w:tcPr>
            <w:tcW w:w="1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-6758305</wp:posOffset>
            </wp:positionV>
            <wp:extent cx="68580" cy="1143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-6758305</wp:posOffset>
            </wp:positionV>
            <wp:extent cx="68580" cy="114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-6635115</wp:posOffset>
            </wp:positionV>
            <wp:extent cx="774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-6635115</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-6635115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-5846445</wp:posOffset>
            </wp:positionV>
            <wp:extent cx="7747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-5849620</wp:posOffset>
            </wp:positionV>
            <wp:extent cx="68580" cy="1143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-5849620</wp:posOffset>
            </wp:positionV>
            <wp:extent cx="68580" cy="1143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-5729605</wp:posOffset>
            </wp:positionV>
            <wp:extent cx="77470" cy="1143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-5729605</wp:posOffset>
            </wp:positionV>
            <wp:extent cx="68580" cy="1143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-5729605</wp:posOffset>
            </wp:positionV>
            <wp:extent cx="68580" cy="1143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-5609590</wp:posOffset>
            </wp:positionV>
            <wp:extent cx="77470" cy="1143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-5609590</wp:posOffset>
            </wp:positionV>
            <wp:extent cx="68580" cy="1143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-5609590</wp:posOffset>
            </wp:positionV>
            <wp:extent cx="68580" cy="1143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-5266690</wp:posOffset>
            </wp:positionV>
            <wp:extent cx="77470" cy="1143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-5266690</wp:posOffset>
            </wp:positionV>
            <wp:extent cx="68580" cy="1143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-5266690</wp:posOffset>
            </wp:positionV>
            <wp:extent cx="68580" cy="1143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-5146675</wp:posOffset>
            </wp:positionV>
            <wp:extent cx="77470" cy="1143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-5146675</wp:posOffset>
            </wp:positionV>
            <wp:extent cx="68580" cy="114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-5146675</wp:posOffset>
            </wp:positionV>
            <wp:extent cx="68580" cy="1143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-4803775</wp:posOffset>
            </wp:positionV>
            <wp:extent cx="77470" cy="1143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-4803775</wp:posOffset>
            </wp:positionV>
            <wp:extent cx="68580" cy="114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-4803775</wp:posOffset>
            </wp:positionV>
            <wp:extent cx="68580" cy="114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-4211955</wp:posOffset>
            </wp:positionV>
            <wp:extent cx="77470" cy="1143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-2001520</wp:posOffset>
            </wp:positionV>
            <wp:extent cx="102870" cy="16256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-2001520</wp:posOffset>
            </wp:positionV>
            <wp:extent cx="93980" cy="1625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-2001520</wp:posOffset>
            </wp:positionV>
            <wp:extent cx="93980" cy="1625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4758690</wp:posOffset>
            </wp:positionH>
            <wp:positionV relativeFrom="paragraph">
              <wp:posOffset>-1530350</wp:posOffset>
            </wp:positionV>
            <wp:extent cx="102870" cy="1625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02870" cy="16256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-1530350</wp:posOffset>
            </wp:positionV>
            <wp:extent cx="93980" cy="162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-1530350</wp:posOffset>
            </wp:positionV>
            <wp:extent cx="93980" cy="16256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93980" cy="16256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-603250</wp:posOffset>
            </wp:positionV>
            <wp:extent cx="77470" cy="1143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-474345</wp:posOffset>
            </wp:positionV>
            <wp:extent cx="77470" cy="1143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5984240</wp:posOffset>
            </wp:positionH>
            <wp:positionV relativeFrom="paragraph">
              <wp:posOffset>-604520</wp:posOffset>
            </wp:positionV>
            <wp:extent cx="93980" cy="1543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-604520</wp:posOffset>
            </wp:positionV>
            <wp:extent cx="93980" cy="15430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93980" cy="15430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-354330</wp:posOffset>
            </wp:positionV>
            <wp:extent cx="77470" cy="1143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-354330</wp:posOffset>
            </wp:positionV>
            <wp:extent cx="68580" cy="1143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-354330</wp:posOffset>
            </wp:positionV>
            <wp:extent cx="68580" cy="11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11430"/>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Level 1—Observable 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327"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4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6"/>
                <w:szCs w:val="16"/>
                <w:color w:val="auto"/>
              </w:rPr>
            </w:pPr>
          </w:p>
        </w:tc>
        <w:tc>
          <w:tcPr>
            <w:tcW w:w="106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ind w:left="4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37"/>
        </w:trPr>
        <w:tc>
          <w:tcPr>
            <w:tcW w:w="4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tcBorders>
              <w:top w:val="single" w:sz="8" w:color="auto"/>
            </w:tcBorders>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5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40"/>
        </w:trPr>
        <w:tc>
          <w:tcPr>
            <w:tcW w:w="4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50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00" w:type="dxa"/>
            <w:vAlign w:val="bottom"/>
            <w:shd w:val="clear" w:color="auto" w:fill="CFF0FC"/>
          </w:tcPr>
          <w:p>
            <w:pPr>
              <w:spacing w:after="0"/>
              <w:rPr>
                <w:sz w:val="21"/>
                <w:szCs w:val="21"/>
                <w:color w:val="auto"/>
              </w:rPr>
            </w:pPr>
          </w:p>
        </w:tc>
      </w:tr>
      <w:tr>
        <w:trPr>
          <w:trHeight w:val="479"/>
        </w:trPr>
        <w:tc>
          <w:tcPr>
            <w:tcW w:w="4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4"/>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50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20"/>
                <w:szCs w:val="20"/>
                <w:color w:val="auto"/>
              </w:rPr>
            </w:pPr>
          </w:p>
        </w:tc>
      </w:tr>
    </w:tbl>
    <w:p>
      <w:pPr>
        <w:spacing w:after="0" w:line="233" w:lineRule="exact"/>
        <w:rPr>
          <w:sz w:val="20"/>
          <w:szCs w:val="20"/>
          <w:color w:val="auto"/>
        </w:rPr>
      </w:pPr>
    </w:p>
    <w:p>
      <w:pPr>
        <w:ind w:left="520" w:hanging="512"/>
        <w:spacing w:after="0"/>
        <w:tabs>
          <w:tab w:leader="none" w:pos="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shares payable was valued using a discounted cash flow method using a risk adjusted discount rate of 10.8%.</w:t>
      </w:r>
    </w:p>
    <w:p>
      <w:pPr>
        <w:spacing w:after="0" w:line="22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equivalents, accounts receivables, accounts payable and accrued expenses approximated their fair values due to their short maturities.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As at June 30, 2024 and December 31, 2023, the following vendors represented more than 10% of total accounts payable.</w:t>
      </w:r>
    </w:p>
    <w:p>
      <w:pPr>
        <w:spacing w:after="0" w:line="196"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120" w:type="dxa"/>
            <w:vAlign w:val="bottom"/>
          </w:tcPr>
          <w:p>
            <w:pPr>
              <w:spacing w:after="0"/>
              <w:rPr>
                <w:sz w:val="16"/>
                <w:szCs w:val="16"/>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23, 2024</w:t>
            </w:r>
          </w:p>
        </w:tc>
        <w:tc>
          <w:tcPr>
            <w:tcW w:w="30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6"/>
                <w:szCs w:val="16"/>
                <w:color w:val="auto"/>
              </w:rPr>
            </w:pPr>
          </w:p>
        </w:tc>
      </w:tr>
      <w:tr>
        <w:trPr>
          <w:trHeight w:val="237"/>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62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10 %</w:t>
            </w:r>
          </w:p>
        </w:tc>
      </w:tr>
      <w:tr>
        <w:trPr>
          <w:trHeight w:val="239"/>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13 %</w:t>
            </w:r>
          </w:p>
        </w:tc>
      </w:tr>
      <w:tr>
        <w:trPr>
          <w:trHeight w:val="247"/>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shd w:val="clear" w:color="auto" w:fill="CFF0FC"/>
          </w:tcPr>
          <w:p>
            <w:pPr>
              <w:ind w:left="140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Amazon Web Services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ind w:left="14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-622300</wp:posOffset>
            </wp:positionV>
            <wp:extent cx="137160" cy="1143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7160" cy="1143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-622300</wp:posOffset>
            </wp:positionV>
            <wp:extent cx="137160" cy="1143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37160" cy="1143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20" w:type="dxa"/>
            <w:vAlign w:val="bottom"/>
            <w:tcBorders>
              <w:bottom w:val="single" w:sz="8" w:color="auto"/>
            </w:tcBorders>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r>
      <w:tr>
        <w:trPr>
          <w:trHeight w:val="236"/>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207,829</w:t>
            </w: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12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68,788</w:t>
            </w:r>
          </w:p>
        </w:tc>
        <w:tc>
          <w:tcPr>
            <w:tcW w:w="1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Input tax credit receivable</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150,681</w:t>
            </w:r>
          </w:p>
        </w:tc>
        <w:tc>
          <w:tcPr>
            <w:tcW w:w="120" w:type="dxa"/>
            <w:vAlign w:val="bottom"/>
            <w:tcBorders>
              <w:bottom w:val="single" w:sz="8" w:color="CFF0FC"/>
            </w:tcBorders>
          </w:tcPr>
          <w:p>
            <w:pPr>
              <w:spacing w:after="0"/>
              <w:rPr>
                <w:sz w:val="20"/>
                <w:szCs w:val="20"/>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20" w:type="dxa"/>
            <w:vAlign w:val="bottom"/>
            <w:tcBorders>
              <w:bottom w:val="single" w:sz="8" w:color="CFF0FC"/>
            </w:tcBorders>
          </w:tcPr>
          <w:p>
            <w:pPr>
              <w:spacing w:after="0"/>
              <w:rPr>
                <w:sz w:val="20"/>
                <w:szCs w:val="20"/>
                <w:color w:val="auto"/>
              </w:rPr>
            </w:pPr>
          </w:p>
        </w:tc>
      </w:tr>
      <w:tr>
        <w:trPr>
          <w:trHeight w:val="279"/>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430,691</w:t>
            </w:r>
          </w:p>
        </w:tc>
        <w:tc>
          <w:tcPr>
            <w:tcW w:w="1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20" w:type="dxa"/>
            <w:vAlign w:val="bottom"/>
            <w:tcBorders>
              <w:bottom w:val="single" w:sz="8" w:color="CFF0FC"/>
            </w:tcBorders>
            <w:shd w:val="clear" w:color="auto" w:fill="CFF0FC"/>
          </w:tcPr>
          <w:p>
            <w:pPr>
              <w:spacing w:after="0"/>
              <w:rPr>
                <w:sz w:val="24"/>
                <w:szCs w:val="24"/>
                <w:color w:val="auto"/>
              </w:rPr>
            </w:pPr>
          </w:p>
        </w:tc>
      </w:tr>
      <w:tr>
        <w:trPr>
          <w:trHeight w:val="550"/>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7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35"/>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r>
      <w:tr>
        <w:trPr>
          <w:trHeight w:val="236"/>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1,014,094</w:t>
            </w:r>
          </w:p>
        </w:tc>
        <w:tc>
          <w:tcPr>
            <w:tcW w:w="120" w:type="dxa"/>
            <w:vAlign w:val="bottom"/>
            <w:shd w:val="clear" w:color="auto" w:fill="CFF0FC"/>
          </w:tcPr>
          <w:p>
            <w:pPr>
              <w:spacing w:after="0"/>
              <w:rPr>
                <w:sz w:val="20"/>
                <w:szCs w:val="20"/>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3,218,169</w:t>
            </w:r>
          </w:p>
        </w:tc>
        <w:tc>
          <w:tcPr>
            <w:tcW w:w="120" w:type="dxa"/>
            <w:vAlign w:val="bottom"/>
          </w:tcPr>
          <w:p>
            <w:pPr>
              <w:spacing w:after="0"/>
              <w:rPr>
                <w:sz w:val="20"/>
                <w:szCs w:val="20"/>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20" w:type="dxa"/>
            <w:vAlign w:val="bottom"/>
          </w:tcPr>
          <w:p>
            <w:pPr>
              <w:spacing w:after="0"/>
              <w:rPr>
                <w:sz w:val="20"/>
                <w:szCs w:val="20"/>
                <w:color w:val="auto"/>
              </w:rPr>
            </w:pPr>
          </w:p>
        </w:tc>
      </w:tr>
      <w:tr>
        <w:trPr>
          <w:trHeight w:val="241"/>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80" w:type="dxa"/>
            <w:vAlign w:val="bottom"/>
            <w:tcBorders>
              <w:top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4,232,263</w:t>
            </w:r>
          </w:p>
        </w:tc>
        <w:tc>
          <w:tcPr>
            <w:tcW w:w="120" w:type="dxa"/>
            <w:vAlign w:val="bottom"/>
            <w:tcBorders>
              <w:top w:val="single" w:sz="8" w:color="CFF0FC"/>
            </w:tcBorders>
            <w:shd w:val="clear" w:color="auto" w:fill="CFF0FC"/>
          </w:tcPr>
          <w:p>
            <w:pPr>
              <w:spacing w:after="0"/>
              <w:rPr>
                <w:sz w:val="20"/>
                <w:szCs w:val="20"/>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20" w:type="dxa"/>
            <w:vAlign w:val="bottom"/>
            <w:tcBorders>
              <w:top w:val="single" w:sz="8" w:color="CFF0FC"/>
            </w:tcBorders>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120" w:type="dxa"/>
            <w:vAlign w:val="bottom"/>
          </w:tcPr>
          <w:p>
            <w:pPr>
              <w:spacing w:after="0"/>
              <w:rPr>
                <w:sz w:val="20"/>
                <w:szCs w:val="20"/>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(835,774 )</w:t>
            </w:r>
          </w:p>
        </w:tc>
        <w:tc>
          <w:tcPr>
            <w:tcW w:w="17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(736,834 )</w:t>
            </w:r>
          </w:p>
        </w:tc>
      </w:tr>
      <w:tr>
        <w:trPr>
          <w:trHeight w:val="278"/>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auto"/>
              <w:bottom w:val="single" w:sz="8" w:color="auto"/>
            </w:tcBorders>
            <w:shd w:val="clear" w:color="auto" w:fill="CFF0FC"/>
          </w:tcPr>
          <w:p>
            <w:pPr>
              <w:spacing w:after="0"/>
              <w:rPr>
                <w:sz w:val="24"/>
                <w:szCs w:val="24"/>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3,396,489</w:t>
            </w:r>
          </w:p>
        </w:tc>
        <w:tc>
          <w:tcPr>
            <w:tcW w:w="120" w:type="dxa"/>
            <w:vAlign w:val="bottom"/>
            <w:tcBorders>
              <w:bottom w:val="single" w:sz="8" w:color="CFF0FC"/>
            </w:tcBorders>
            <w:shd w:val="clear" w:color="auto" w:fill="CFF0FC"/>
          </w:tcPr>
          <w:p>
            <w:pPr>
              <w:spacing w:after="0"/>
              <w:rPr>
                <w:sz w:val="24"/>
                <w:szCs w:val="24"/>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2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-2359660</wp:posOffset>
            </wp:positionV>
            <wp:extent cx="77470" cy="1143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-2359660</wp:posOffset>
            </wp:positionV>
            <wp:extent cx="68580" cy="11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-1567815</wp:posOffset>
            </wp:positionV>
            <wp:extent cx="7747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-1550670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-1731010</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-1567815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-1550670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-1731010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-824865</wp:posOffset>
            </wp:positionV>
            <wp:extent cx="68580" cy="1143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-824865</wp:posOffset>
            </wp:positionV>
            <wp:extent cx="68580" cy="1143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-505460</wp:posOffset>
            </wp:positionV>
            <wp:extent cx="6858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-505460</wp:posOffset>
            </wp:positionV>
            <wp:extent cx="6858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-190500</wp:posOffset>
            </wp:positionV>
            <wp:extent cx="68580" cy="1143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-190500</wp:posOffset>
            </wp:positionV>
            <wp:extent cx="68580" cy="1143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-8255</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in each of the six months ended June 30, 2024 and June 30, 2023 was $ $98,940.</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5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600" w:type="dxa"/>
            <w:vAlign w:val="bottom"/>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r>
      <w:tr>
        <w:trPr>
          <w:trHeight w:val="237"/>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from Related parties (5.1)</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(5.2)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shd w:val="clear" w:color="auto" w:fill="CFF0FC"/>
          </w:tcPr>
          <w:p>
            <w:pPr>
              <w:spacing w:after="0"/>
              <w:rPr>
                <w:sz w:val="21"/>
                <w:szCs w:val="21"/>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(5.3)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tcPr>
          <w:p>
            <w:pPr>
              <w:spacing w:after="0"/>
              <w:rPr>
                <w:sz w:val="20"/>
                <w:szCs w:val="20"/>
                <w:color w:val="auto"/>
              </w:rPr>
            </w:pPr>
          </w:p>
        </w:tc>
      </w:tr>
      <w:tr>
        <w:trPr>
          <w:trHeight w:val="243"/>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 (5.5)</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tcBorders>
              <w:bottom w:val="single" w:sz="8" w:color="CFF0FC"/>
            </w:tcBorders>
            <w:shd w:val="clear" w:color="auto" w:fill="CFF0FC"/>
          </w:tcPr>
          <w:p>
            <w:pPr>
              <w:spacing w:after="0"/>
              <w:rPr>
                <w:sz w:val="21"/>
                <w:szCs w:val="21"/>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238"/>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1,298,734</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37,446,343</w:t>
            </w:r>
          </w:p>
        </w:tc>
        <w:tc>
          <w:tcPr>
            <w:tcW w:w="120" w:type="dxa"/>
            <w:vAlign w:val="bottom"/>
          </w:tcPr>
          <w:p>
            <w:pPr>
              <w:spacing w:after="0"/>
              <w:rPr>
                <w:sz w:val="20"/>
                <w:szCs w:val="20"/>
                <w:color w:val="auto"/>
              </w:rPr>
            </w:pPr>
          </w:p>
        </w:tc>
      </w:tr>
      <w:tr>
        <w:trPr>
          <w:trHeight w:val="245"/>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7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 (5.4)</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20"/>
                <w:szCs w:val="20"/>
                <w:color w:val="auto"/>
              </w:rPr>
            </w:pPr>
          </w:p>
        </w:tc>
        <w:tc>
          <w:tcPr>
            <w:tcW w:w="1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5"/>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 (5.3)</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tcPr>
          <w:p>
            <w:pPr>
              <w:spacing w:after="0"/>
              <w:rPr>
                <w:sz w:val="21"/>
                <w:szCs w:val="21"/>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r>
      <w:tr>
        <w:trPr>
          <w:trHeight w:val="241"/>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-796925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-796925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-8255</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details of the Company’s debt are follows: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Short-term debt from Related parties: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Each loan bore a borrowing fee of $660,000 and €660,000, respectively, which has been recorded in interest expense in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The loans were due to mature on July 31, 2023 or at the option of the investor, can be converted into ordinary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accrued borrowing fees at a conversion rate of 0.50 to the Company’s share price at listing after completing any reorganization.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repaid by the maturity date and therefore the Company was in default of the two unsecured convertible loans and the loans remained repayable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at December 31, 2023 for a total of $5,587,343 including their accrued borrowing fee. On January 26, 2024, the two unsecured convertible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added to the Company’s senior secured convertible notes (note 5.3). The loan principal and accrued borrowing fees were rounded to a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 The key terms of the loan amendment include that of the senior secured convertible notes, as noted below:</w:t>
      </w:r>
    </w:p>
    <w:p>
      <w:pPr>
        <w:spacing w:after="0" w:line="99" w:lineRule="exact"/>
        <w:rPr>
          <w:sz w:val="20"/>
          <w:szCs w:val="20"/>
          <w:color w:val="auto"/>
        </w:rPr>
      </w:pPr>
    </w:p>
    <w:p>
      <w:pPr>
        <w:ind w:left="520" w:right="52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1" w:lineRule="exact"/>
        <w:rPr>
          <w:sz w:val="20"/>
          <w:szCs w:val="20"/>
          <w:color w:val="auto"/>
        </w:rPr>
      </w:pPr>
    </w:p>
    <w:p>
      <w:pPr>
        <w:ind w:left="52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The loan includes principal of $125,000 and $11,943 of interest. The loan was originally entered into March 2, 2023 and bore interest at 7.5% per annum. Upon adding to the Company's senior secured convertible note on January 26, 2024, the note now bears the same terms and conditions as Igor Lychagov's loan discussed above in note 5.2.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19"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68" w:lineRule="exact"/>
        <w:rPr>
          <w:sz w:val="20"/>
          <w:szCs w:val="20"/>
          <w:color w:val="auto"/>
        </w:rPr>
      </w:pPr>
    </w:p>
    <w:p>
      <w:pPr>
        <w:ind w:left="520" w:hanging="512"/>
        <w:spacing w:after="0"/>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left="520" w:right="50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20" w:hanging="512"/>
        <w:spacing w:after="0" w:line="266" w:lineRule="auto"/>
        <w:tabs>
          <w:tab w:leader="none" w:pos="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w:t>
      </w:r>
    </w:p>
    <w:p>
      <w:pPr>
        <w:spacing w:after="0" w:line="54" w:lineRule="exact"/>
        <w:rPr>
          <w:sz w:val="20"/>
          <w:szCs w:val="20"/>
          <w:color w:val="auto"/>
        </w:rPr>
      </w:pPr>
    </w:p>
    <w:p>
      <w:pPr>
        <w:ind w:left="1020" w:right="50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is the Company’s current intent to settle the principal amount and accrued interest of its outstanding convertible debt in the Company’s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August 16, 2024, and extension to the maturity date to at least August 16, 2027, the Company classified the Convertible debt as non-current as at June 30, 2024 under the guidance in ASC 470-10-45-14.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6"/>
                <w:szCs w:val="16"/>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6"/>
        </w:trPr>
        <w:tc>
          <w:tcPr>
            <w:tcW w:w="1700" w:type="dxa"/>
            <w:vAlign w:val="bottom"/>
          </w:tcPr>
          <w:p>
            <w:pPr>
              <w:spacing w:after="0"/>
              <w:rPr>
                <w:sz w:val="20"/>
                <w:szCs w:val="20"/>
                <w:color w:val="auto"/>
              </w:rPr>
            </w:pPr>
          </w:p>
        </w:tc>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6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11"/>
        </w:trPr>
        <w:tc>
          <w:tcPr>
            <w:tcW w:w="170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under troubled debt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31,220,528</w:t>
            </w:r>
          </w:p>
        </w:tc>
        <w:tc>
          <w:tcPr>
            <w:tcW w:w="1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42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16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34"/>
        </w:trPr>
        <w:tc>
          <w:tcPr>
            <w:tcW w:w="1700" w:type="dxa"/>
            <w:vAlign w:val="bottom"/>
          </w:tcPr>
          <w:p>
            <w:pPr>
              <w:spacing w:after="0"/>
              <w:rPr>
                <w:sz w:val="20"/>
                <w:szCs w:val="20"/>
                <w:color w:val="auto"/>
              </w:rPr>
            </w:pPr>
          </w:p>
        </w:tc>
        <w:tc>
          <w:tcPr>
            <w:tcW w:w="4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38,737,594</w:t>
            </w:r>
          </w:p>
        </w:tc>
        <w:tc>
          <w:tcPr>
            <w:tcW w:w="12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20" w:type="dxa"/>
            <w:vAlign w:val="bottom"/>
            <w:tcBorders>
              <w:bottom w:val="single" w:sz="8" w:color="CFF0FC"/>
            </w:tcBorders>
            <w:shd w:val="clear" w:color="auto" w:fill="CFF0FC"/>
          </w:tcPr>
          <w:p>
            <w:pPr>
              <w:spacing w:after="0"/>
              <w:rPr>
                <w:sz w:val="20"/>
                <w:szCs w:val="20"/>
                <w:color w:val="auto"/>
              </w:rPr>
            </w:pPr>
          </w:p>
        </w:tc>
      </w:tr>
      <w:tr>
        <w:trPr>
          <w:trHeight w:val="563"/>
        </w:trPr>
        <w:tc>
          <w:tcPr>
            <w:tcW w:w="5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Convertible promissory notes:</w:t>
            </w: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3"/>
        </w:trPr>
        <w:tc>
          <w:tcPr>
            <w:tcW w:w="1700" w:type="dxa"/>
            <w:vAlign w:val="bottom"/>
          </w:tcPr>
          <w:p>
            <w:pPr>
              <w:spacing w:after="0"/>
              <w:rPr>
                <w:sz w:val="21"/>
                <w:szCs w:val="21"/>
                <w:color w:val="auto"/>
              </w:rPr>
            </w:pPr>
          </w:p>
        </w:tc>
        <w:tc>
          <w:tcPr>
            <w:tcW w:w="4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6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2,508,685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gridSpan w:val="2"/>
          </w:tcPr>
          <w:p>
            <w:pPr>
              <w:ind w:left="1500"/>
              <w:spacing w:after="0"/>
              <w:rPr>
                <w:sz w:val="20"/>
                <w:szCs w:val="20"/>
                <w:color w:val="auto"/>
              </w:rPr>
            </w:pPr>
            <w:r>
              <w:rPr>
                <w:rFonts w:ascii="Times New Roman" w:cs="Times New Roman" w:eastAsia="Times New Roman" w:hAnsi="Times New Roman"/>
                <w:sz w:val="18"/>
                <w:szCs w:val="18"/>
                <w:color w:val="auto"/>
                <w:w w:val="99"/>
              </w:rPr>
              <w:t>—</w:t>
            </w:r>
          </w:p>
        </w:tc>
      </w:tr>
      <w:tr>
        <w:trPr>
          <w:trHeight w:val="241"/>
        </w:trPr>
        <w:tc>
          <w:tcPr>
            <w:tcW w:w="1700" w:type="dxa"/>
            <w:vAlign w:val="bottom"/>
          </w:tcPr>
          <w:p>
            <w:pPr>
              <w:spacing w:after="0"/>
              <w:rPr>
                <w:sz w:val="20"/>
                <w:szCs w:val="20"/>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w:t>
            </w:r>
          </w:p>
        </w:tc>
        <w:tc>
          <w:tcPr>
            <w:tcW w:w="1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2,887,017</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w w:val="99"/>
              </w:rPr>
              <w:t>—</w:t>
            </w:r>
          </w:p>
        </w:tc>
      </w:tr>
      <w:tr>
        <w:trPr>
          <w:trHeight w:val="241"/>
        </w:trPr>
        <w:tc>
          <w:tcPr>
            <w:tcW w:w="1700" w:type="dxa"/>
            <w:vAlign w:val="bottom"/>
          </w:tcPr>
          <w:p>
            <w:pPr>
              <w:spacing w:after="0"/>
              <w:rPr>
                <w:sz w:val="20"/>
                <w:szCs w:val="20"/>
                <w:color w:val="auto"/>
              </w:rPr>
            </w:pPr>
          </w:p>
        </w:tc>
        <w:tc>
          <w:tcPr>
            <w:tcW w:w="4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promissory notes</w:t>
            </w:r>
          </w:p>
        </w:tc>
        <w:tc>
          <w:tcPr>
            <w:tcW w:w="120" w:type="dxa"/>
            <w:vAlign w:val="bottom"/>
            <w:tcBorders>
              <w:bottom w:val="single" w:sz="8" w:color="CFF0FC"/>
            </w:tcBorders>
            <w:shd w:val="clear" w:color="auto" w:fill="CFF0FC"/>
          </w:tcPr>
          <w:p>
            <w:pPr>
              <w:spacing w:after="0"/>
              <w:rPr>
                <w:sz w:val="20"/>
                <w:szCs w:val="20"/>
                <w:color w:val="auto"/>
              </w:rPr>
            </w:pPr>
          </w:p>
        </w:tc>
        <w:tc>
          <w:tcPr>
            <w:tcW w:w="1720" w:type="dxa"/>
            <w:vAlign w:val="bottom"/>
            <w:tcBorders>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5,395,702</w:t>
            </w:r>
          </w:p>
        </w:tc>
        <w:tc>
          <w:tcPr>
            <w:tcW w:w="10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700" w:type="dxa"/>
            <w:vAlign w:val="bottom"/>
            <w:tcBorders>
              <w:bottom w:val="single" w:sz="8" w:color="auto"/>
            </w:tcBorders>
            <w:gridSpan w:val="2"/>
            <w:shd w:val="clear" w:color="auto" w:fill="CFF0FC"/>
          </w:tcPr>
          <w:p>
            <w:pPr>
              <w:ind w:left="146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-1207770</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-1207770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4835525</wp:posOffset>
            </wp:positionH>
            <wp:positionV relativeFrom="paragraph">
              <wp:posOffset>-183515</wp:posOffset>
            </wp:positionV>
            <wp:extent cx="93980" cy="19685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93980" cy="196850"/>
                    </a:xfrm>
                    <a:prstGeom prst="rect">
                      <a:avLst/>
                    </a:prstGeom>
                    <a:noFill/>
                  </pic:spPr>
                </pic:pic>
              </a:graphicData>
            </a:graphic>
          </wp:anchor>
        </w:drawing>
      </w:r>
    </w:p>
    <w:p>
      <w:pPr>
        <w:spacing w:after="0" w:line="77" w:lineRule="exact"/>
        <w:rPr>
          <w:sz w:val="20"/>
          <w:szCs w:val="20"/>
          <w:color w:val="auto"/>
        </w:rPr>
      </w:pPr>
    </w:p>
    <w:p>
      <w:pPr>
        <w:jc w:val="both"/>
        <w:ind w:right="460" w:firstLine="509"/>
        <w:spacing w:after="0" w:line="234" w:lineRule="auto"/>
        <w:rPr>
          <w:sz w:val="20"/>
          <w:szCs w:val="20"/>
          <w:color w:val="auto"/>
        </w:rPr>
      </w:pPr>
      <w:r>
        <w:rPr>
          <w:rFonts w:ascii="Times New Roman" w:cs="Times New Roman" w:eastAsia="Times New Roman" w:hAnsi="Times New Roman"/>
          <w:sz w:val="18"/>
          <w:szCs w:val="18"/>
          <w:color w:val="auto"/>
        </w:rPr>
        <w:t>On February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9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48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and long-term liabilities</w:t>
            </w:r>
          </w:p>
        </w:tc>
        <w:tc>
          <w:tcPr>
            <w:tcW w:w="1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80"/>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0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1700" w:type="dxa"/>
            <w:vAlign w:val="bottom"/>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r>
      <w:tr>
        <w:trPr>
          <w:trHeight w:val="237"/>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7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700" w:type="dxa"/>
            <w:vAlign w:val="bottom"/>
            <w:tcBorders>
              <w:top w:val="single" w:sz="8" w:color="auto"/>
            </w:tcBorders>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r>
      <w:tr>
        <w:trPr>
          <w:trHeight w:val="239"/>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 (6.1)</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20"/>
                <w:szCs w:val="20"/>
                <w:color w:val="auto"/>
              </w:rPr>
            </w:pPr>
          </w:p>
        </w:tc>
      </w:tr>
      <w:tr>
        <w:trPr>
          <w:trHeight w:val="247"/>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(6.2)</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21"/>
                <w:szCs w:val="21"/>
                <w:color w:val="auto"/>
              </w:rPr>
            </w:pPr>
          </w:p>
        </w:tc>
      </w:tr>
    </w:tbl>
    <w:p>
      <w:pPr>
        <w:spacing w:after="0" w:line="221" w:lineRule="exact"/>
        <w:rPr>
          <w:sz w:val="20"/>
          <w:szCs w:val="20"/>
          <w:color w:val="auto"/>
        </w:rPr>
      </w:pPr>
    </w:p>
    <w:p>
      <w:pPr>
        <w:ind w:left="520" w:right="20" w:hanging="508"/>
        <w:spacing w:after="0" w:line="254"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88" w:lineRule="exact"/>
        <w:rPr>
          <w:sz w:val="20"/>
          <w:szCs w:val="20"/>
          <w:color w:val="auto"/>
        </w:rPr>
      </w:pPr>
    </w:p>
    <w:p>
      <w:pPr>
        <w:ind w:left="520" w:hanging="508"/>
        <w:spacing w:after="0" w:line="245"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On October 7th, 2021, the Group acquired Jaymax International Service Inc. (“Jaymax”) (later renamed to “Rezolve Taiwan Limited”). As part of the acquisition of Jaymax, the Company agreed to issue $1,400,000 in Rezolve common stock to Jaymax’s former owner for completion of a 3-year noncompete period which began on the October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304" w:lineRule="exact"/>
        <w:rPr>
          <w:sz w:val="20"/>
          <w:szCs w:val="20"/>
          <w:color w:val="auto"/>
        </w:rPr>
      </w:pPr>
    </w:p>
    <w:p>
      <w:pPr>
        <w:ind w:left="380" w:hanging="372"/>
        <w:spacing w:after="0"/>
        <w:tabs>
          <w:tab w:leader="none" w:pos="38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Non-operating (income)/ expenses, net</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8"/>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87"/>
        </w:trPr>
        <w:tc>
          <w:tcPr>
            <w:tcW w:w="1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0" w:type="dxa"/>
            <w:vAlign w:val="bottom"/>
            <w:gridSpan w:val="2"/>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6"/>
                <w:szCs w:val="16"/>
                <w:color w:val="auto"/>
              </w:rPr>
            </w:pPr>
          </w:p>
        </w:tc>
        <w:tc>
          <w:tcPr>
            <w:tcW w:w="9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6"/>
                <w:szCs w:val="16"/>
                <w:color w:val="auto"/>
              </w:rPr>
            </w:pPr>
          </w:p>
        </w:tc>
      </w:tr>
      <w:tr>
        <w:trPr>
          <w:trHeight w:val="237"/>
        </w:trPr>
        <w:tc>
          <w:tcPr>
            <w:tcW w:w="1700" w:type="dxa"/>
            <w:vAlign w:val="bottom"/>
          </w:tcPr>
          <w:p>
            <w:pPr>
              <w:spacing w:after="0"/>
              <w:rPr>
                <w:sz w:val="20"/>
                <w:szCs w:val="20"/>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2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327,383</w:t>
            </w:r>
          </w:p>
        </w:tc>
      </w:tr>
      <w:tr>
        <w:trPr>
          <w:trHeight w:val="239"/>
        </w:trPr>
        <w:tc>
          <w:tcPr>
            <w:tcW w:w="170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9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(496,448 )</w:t>
            </w:r>
          </w:p>
        </w:tc>
      </w:tr>
      <w:tr>
        <w:trPr>
          <w:trHeight w:val="243"/>
        </w:trPr>
        <w:tc>
          <w:tcPr>
            <w:tcW w:w="1700" w:type="dxa"/>
            <w:vAlign w:val="bottom"/>
          </w:tcPr>
          <w:p>
            <w:pPr>
              <w:spacing w:after="0"/>
              <w:rPr>
                <w:sz w:val="21"/>
                <w:szCs w:val="21"/>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400" w:type="dxa"/>
            <w:vAlign w:val="bottom"/>
            <w:gridSpan w:val="2"/>
            <w:shd w:val="clear" w:color="auto" w:fill="CFF0FC"/>
          </w:tcPr>
          <w:p>
            <w:pPr>
              <w:spacing w:after="0"/>
              <w:rPr>
                <w:sz w:val="21"/>
                <w:szCs w:val="21"/>
                <w:color w:val="auto"/>
              </w:rPr>
            </w:pPr>
          </w:p>
        </w:tc>
        <w:tc>
          <w:tcPr>
            <w:tcW w:w="18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(408 )</w:t>
            </w: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w:t>
            </w:r>
          </w:p>
        </w:tc>
      </w:tr>
      <w:tr>
        <w:trPr>
          <w:trHeight w:val="248"/>
        </w:trPr>
        <w:tc>
          <w:tcPr>
            <w:tcW w:w="1700" w:type="dxa"/>
            <w:vAlign w:val="bottom"/>
          </w:tcPr>
          <w:p>
            <w:pPr>
              <w:spacing w:after="0"/>
              <w:rPr>
                <w:sz w:val="21"/>
                <w:szCs w:val="21"/>
                <w:color w:val="auto"/>
              </w:rPr>
            </w:pPr>
          </w:p>
        </w:tc>
        <w:tc>
          <w:tcPr>
            <w:tcW w:w="21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0" w:type="dxa"/>
            <w:vAlign w:val="bottom"/>
            <w:tcBorders>
              <w:top w:val="single" w:sz="8" w:color="CFF0FC"/>
            </w:tcBorders>
            <w:gridSpan w:val="2"/>
          </w:tcPr>
          <w:p>
            <w:pPr>
              <w:spacing w:after="0"/>
              <w:rPr>
                <w:sz w:val="21"/>
                <w:szCs w:val="21"/>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107,816</w:t>
            </w:r>
          </w:p>
        </w:tc>
        <w:tc>
          <w:tcPr>
            <w:tcW w:w="220" w:type="dxa"/>
            <w:vAlign w:val="bottom"/>
            <w:tcBorders>
              <w:top w:val="single" w:sz="8" w:color="CFF0FC"/>
            </w:tcBorders>
          </w:tcPr>
          <w:p>
            <w:pPr>
              <w:spacing w:after="0"/>
              <w:rPr>
                <w:sz w:val="21"/>
                <w:szCs w:val="21"/>
                <w:color w:val="auto"/>
              </w:rPr>
            </w:pPr>
          </w:p>
        </w:tc>
        <w:tc>
          <w:tcPr>
            <w:tcW w:w="148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(171,751 )</w:t>
            </w:r>
          </w:p>
        </w:tc>
      </w:tr>
      <w:tr>
        <w:trPr>
          <w:trHeight w:val="56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Related party disclosures</w:t>
            </w:r>
          </w:p>
        </w:tc>
        <w:tc>
          <w:tcPr>
            <w:tcW w:w="19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Key managerial personnel (KMP) and Members of their immediate families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64"/>
        </w:trPr>
        <w:tc>
          <w:tcPr>
            <w:tcW w:w="17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4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43"/>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4"/>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52"/>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512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executive officer, products, technology and digital services</w:t>
            </w:r>
          </w:p>
        </w:tc>
        <w:tc>
          <w:tcPr>
            <w:tcW w:w="56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technical officer</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executive officer, Rezolve China</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deputy chairman</w:t>
            </w: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1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92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4994275</wp:posOffset>
            </wp:positionH>
            <wp:positionV relativeFrom="paragraph">
              <wp:posOffset>-2596515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ind w:left="520" w:right="40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and outstanding balances with related parties were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period</w:t>
      </w:r>
    </w:p>
    <w:p>
      <w:pPr>
        <w:spacing w:after="0" w:line="26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460" w:type="dxa"/>
            <w:vAlign w:val="bottom"/>
          </w:tcPr>
          <w:p>
            <w:pPr>
              <w:spacing w:after="0"/>
              <w:rPr>
                <w:sz w:val="16"/>
                <w:szCs w:val="16"/>
                <w:color w:val="auto"/>
              </w:rPr>
            </w:pPr>
          </w:p>
        </w:tc>
        <w:tc>
          <w:tcPr>
            <w:tcW w:w="16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6"/>
                <w:szCs w:val="16"/>
                <w:color w:val="auto"/>
              </w:rPr>
            </w:pPr>
          </w:p>
        </w:tc>
        <w:tc>
          <w:tcPr>
            <w:tcW w:w="15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6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r>
      <w:tr>
        <w:trPr>
          <w:trHeight w:val="211"/>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 (number of Ordinary shares issued in 2023 -</w:t>
            </w: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163,265)</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20</w:t>
            </w:r>
          </w:p>
        </w:tc>
      </w:tr>
      <w:tr>
        <w:trPr>
          <w:trHeight w:val="250"/>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250,000</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125,000</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4,000,000</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79,180</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151,799</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147,702</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110,776</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139,149</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135,393</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115,682</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673,282</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673,282</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345,896</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150,000</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189,749</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184,627</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150,000</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184,627</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200,129</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49,212</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49,212</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49,212</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Rezolve China (2)</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570,917</w:t>
            </w:r>
          </w:p>
        </w:tc>
      </w:tr>
    </w:tbl>
    <w:p>
      <w:pPr>
        <w:spacing w:after="0" w:line="206" w:lineRule="exact"/>
        <w:rPr>
          <w:sz w:val="20"/>
          <w:szCs w:val="20"/>
          <w:color w:val="auto"/>
        </w:rPr>
      </w:pPr>
    </w:p>
    <w:p>
      <w:pPr>
        <w:ind w:left="520" w:hanging="512"/>
        <w:spacing w:after="0" w:line="261" w:lineRule="auto"/>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ind w:left="520" w:hanging="512"/>
        <w:spacing w:after="0"/>
        <w:tabs>
          <w:tab w:leader="none" w:pos="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5" w:right="7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51"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460" w:type="dxa"/>
            <w:vAlign w:val="bottom"/>
          </w:tcPr>
          <w:p>
            <w:pPr>
              <w:spacing w:after="0"/>
              <w:rPr>
                <w:sz w:val="13"/>
                <w:szCs w:val="13"/>
                <w:color w:val="auto"/>
              </w:rPr>
            </w:pPr>
          </w:p>
        </w:tc>
        <w:tc>
          <w:tcPr>
            <w:tcW w:w="160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3"/>
                <w:szCs w:val="13"/>
                <w:color w:val="auto"/>
              </w:rPr>
            </w:pPr>
          </w:p>
        </w:tc>
        <w:tc>
          <w:tcPr>
            <w:tcW w:w="15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87"/>
        </w:trPr>
        <w:tc>
          <w:tcPr>
            <w:tcW w:w="4460" w:type="dxa"/>
            <w:vAlign w:val="bottom"/>
          </w:tcPr>
          <w:p>
            <w:pPr>
              <w:spacing w:after="0"/>
              <w:rPr>
                <w:sz w:val="16"/>
                <w:szCs w:val="16"/>
                <w:color w:val="auto"/>
              </w:rPr>
            </w:pPr>
          </w:p>
        </w:tc>
        <w:tc>
          <w:tcPr>
            <w:tcW w:w="160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w:t>
            </w:r>
          </w:p>
        </w:tc>
        <w:tc>
          <w:tcPr>
            <w:tcW w:w="1800" w:type="dxa"/>
            <w:vAlign w:val="bottom"/>
            <w:gridSpan w:val="2"/>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3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Unsecured Loans payable</w:t>
            </w:r>
          </w:p>
        </w:tc>
        <w:tc>
          <w:tcPr>
            <w:tcW w:w="16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580" w:type="dxa"/>
            <w:vAlign w:val="bottom"/>
            <w:tcBorders>
              <w:top w:val="single" w:sz="8" w:color="auto"/>
            </w:tcBorders>
            <w:shd w:val="clear" w:color="auto" w:fill="CFF0FC"/>
          </w:tcPr>
          <w:p>
            <w:pPr>
              <w:spacing w:after="0"/>
              <w:rPr>
                <w:sz w:val="20"/>
                <w:szCs w:val="20"/>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447,067</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350,000</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334,725</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147,485</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151,105</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61,495</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31,248</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58,320</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126,223</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127,325</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1,133</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111,845</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7,999</w:t>
            </w:r>
          </w:p>
        </w:tc>
      </w:tr>
      <w:tr>
        <w:trPr>
          <w:trHeight w:val="241"/>
        </w:trPr>
        <w:tc>
          <w:tcPr>
            <w:tcW w:w="4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45"/>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 (note 5.2)</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136,943</w:t>
            </w:r>
          </w:p>
        </w:tc>
        <w:tc>
          <w:tcPr>
            <w:tcW w:w="1800" w:type="dxa"/>
            <w:vAlign w:val="bottom"/>
            <w:gridSpan w:val="2"/>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125,000</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 (note 5.3)</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6,028,177</w:t>
            </w:r>
          </w:p>
        </w:tc>
        <w:tc>
          <w:tcPr>
            <w:tcW w:w="18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5,587,343</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6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1,260,417</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220" w:type="dxa"/>
            <w:vAlign w:val="bottom"/>
            <w:shd w:val="clear" w:color="auto" w:fill="CFF0FC"/>
          </w:tcPr>
          <w:p>
            <w:pPr>
              <w:spacing w:after="0"/>
              <w:rPr>
                <w:sz w:val="21"/>
                <w:szCs w:val="21"/>
                <w:color w:val="auto"/>
              </w:rPr>
            </w:pPr>
          </w:p>
        </w:tc>
        <w:tc>
          <w:tcPr>
            <w:tcW w:w="158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220" w:type="dxa"/>
            <w:vAlign w:val="bottom"/>
          </w:tcPr>
          <w:p>
            <w:pPr>
              <w:spacing w:after="0"/>
              <w:rPr>
                <w:sz w:val="20"/>
                <w:szCs w:val="20"/>
                <w:color w:val="auto"/>
              </w:rPr>
            </w:pPr>
          </w:p>
        </w:tc>
        <w:tc>
          <w:tcPr>
            <w:tcW w:w="15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r>
    </w:tbl>
    <w:p>
      <w:pPr>
        <w:spacing w:after="0" w:line="337" w:lineRule="exact"/>
        <w:rPr>
          <w:sz w:val="20"/>
          <w:szCs w:val="20"/>
          <w:color w:val="auto"/>
        </w:rPr>
      </w:pPr>
    </w:p>
    <w:p>
      <w:pPr>
        <w:ind w:left="520" w:hanging="512"/>
        <w:spacing w:after="0"/>
        <w:tabs>
          <w:tab w:leader="none" w:pos="52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280" w:lineRule="exact"/>
        <w:rPr>
          <w:sz w:val="20"/>
          <w:szCs w:val="20"/>
          <w:color w:val="auto"/>
        </w:rPr>
      </w:pPr>
    </w:p>
    <w:p>
      <w:pPr>
        <w:ind w:left="520" w:hanging="512"/>
        <w:spacing w:after="0"/>
        <w:tabs>
          <w:tab w:leader="none" w:pos="5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Close of business combination with Armada Acquisition Corp I. (“Armada”)</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to the Yorkville Note</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020"/>
      </w:cols>
      <w:pgMar w:left="320" w:top="7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abstractNum>
  <w:abstractNum w:abstractNumId="1">
    <w:nsid w:val="515F007C"/>
    <w:multiLevelType w:val="hybridMultilevel"/>
    <w:lvl w:ilvl="0">
      <w:lvlJc w:val="left"/>
      <w:lvlText w:val="%1."/>
      <w:numFmt w:val="decimal"/>
      <w:start w:val="2"/>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lvl w:ilvl="1">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lowerRoman"/>
      <w:start w:val="1"/>
    </w:lvl>
  </w:abstractNum>
  <w:abstractNum w:abstractNumId="10">
    <w:nsid w:val="3352255A"/>
    <w:multiLevelType w:val="hybridMultilevel"/>
    <w:lvl w:ilvl="0">
      <w:lvlJc w:val="left"/>
      <w:lvlText w:val="%1."/>
      <w:numFmt w:val="decimal"/>
      <w:start w:val="7"/>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1"/>
    </w:lvl>
  </w:abstractNum>
  <w:abstractNum w:abstractNumId="13">
    <w:nsid w:val="7FDCC233"/>
    <w:multiLevelType w:val="hybridMultilevel"/>
    <w:lvl w:ilvl="0">
      <w:lvlJc w:val="left"/>
      <w:lvlText w:val="%1."/>
      <w:numFmt w:val="decimal"/>
      <w:start w:val="9"/>
    </w:lvl>
  </w:abstractNum>
  <w:abstractNum w:abstractNumId="14">
    <w:nsid w:val="1BEFD79F"/>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2024-10-29T05:12:19Z</dcterms:created>
  <dcterms:modified xsi:type="dcterms:W3CDTF">2024-10-29T05:12:19Z</dcterms:modified>
</cp:coreProperties>
</file>