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22"/>
          <w:szCs w:val="22"/>
          <w:b w:val="1"/>
          <w:bCs w:val="1"/>
          <w:color w:val="auto"/>
        </w:rPr>
        <w:t>For the month of March 2026</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left="240" w:right="27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2241550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342265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788035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March 30, 2026, Rezolve AI plc (the "Company") issued a press release announcing its results of operations for the quarter and year ended December 31, 2025, a copy of which is furnished herewith as Exhibit 99.1 and incorporated in this report on Form 6-K by reference.</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also released its glossy Annual Report &amp; Results 2025 on March 30, 2026, a copy of which is furnished herewith as Exhibit 99.2 and incorporated in this report on Form 6-K by reference.</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report on Form 6-K, including Exhibit 99.1 and Exhibit 99.2, are being furnished and shall not be deemed "filed" for purposes of Section 18 of the Securities and Exchange Act 1934, as amended (the "Exchange Act"), or otherwise subject to the liabilities of that section, nor shall it be deemed incorporated by reference in any filing under the Securities Act of 1933,as amended, or the Exchange Act, except as otherwise set forth herein or as shall be expressly set forth by specific reference in such filing.</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180" w:type="dxa"/>
            <w:vAlign w:val="bottom"/>
          </w:tcPr>
          <w:p>
            <w:pPr>
              <w:spacing w:after="0"/>
              <w:rPr>
                <w:sz w:val="24"/>
                <w:szCs w:val="24"/>
                <w:color w:val="auto"/>
              </w:rPr>
            </w:pPr>
          </w:p>
        </w:tc>
        <w:tc>
          <w:tcPr>
            <w:tcW w:w="9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Press Release dated March 30, 2026</w:t>
            </w:r>
          </w:p>
        </w:tc>
      </w:tr>
      <w:tr>
        <w:trPr>
          <w:trHeight w:val="20"/>
        </w:trPr>
        <w:tc>
          <w:tcPr>
            <w:tcW w:w="9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196"/>
        </w:trPr>
        <w:tc>
          <w:tcPr>
            <w:tcW w:w="9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180" w:type="dxa"/>
            <w:vAlign w:val="bottom"/>
          </w:tcPr>
          <w:p>
            <w:pPr>
              <w:spacing w:after="0"/>
              <w:rPr>
                <w:sz w:val="17"/>
                <w:szCs w:val="17"/>
                <w:color w:val="auto"/>
              </w:rPr>
            </w:pPr>
          </w:p>
        </w:tc>
        <w:tc>
          <w:tcPr>
            <w:tcW w:w="91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Annual Report and Accounts 2025 of Rezolve AI plc</w:t>
            </w:r>
          </w:p>
        </w:tc>
      </w:tr>
      <w:tr>
        <w:trPr>
          <w:trHeight w:val="925"/>
        </w:trPr>
        <w:tc>
          <w:tcPr>
            <w:tcW w:w="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880" w:type="dxa"/>
            <w:vAlign w:val="bottom"/>
            <w:tcBorders>
              <w:top w:val="single" w:sz="8" w:color="0000FF"/>
              <w:bottom w:val="single" w:sz="8" w:color="808080"/>
            </w:tcBorders>
          </w:tcPr>
          <w:p>
            <w:pPr>
              <w:spacing w:after="0"/>
              <w:rPr>
                <w:sz w:val="24"/>
                <w:szCs w:val="24"/>
                <w:color w:val="auto"/>
              </w:rPr>
            </w:pPr>
          </w:p>
        </w:tc>
        <w:tc>
          <w:tcPr>
            <w:tcW w:w="1720" w:type="dxa"/>
            <w:vAlign w:val="bottom"/>
            <w:tcBorders>
              <w:top w:val="single" w:sz="8" w:color="0000FF"/>
              <w:bottom w:val="single" w:sz="8" w:color="808080"/>
            </w:tcBorders>
          </w:tcPr>
          <w:p>
            <w:pPr>
              <w:spacing w:after="0"/>
              <w:rPr>
                <w:sz w:val="24"/>
                <w:szCs w:val="24"/>
                <w:color w:val="auto"/>
              </w:rPr>
            </w:pPr>
          </w:p>
        </w:tc>
        <w:tc>
          <w:tcPr>
            <w:tcW w:w="1220" w:type="dxa"/>
            <w:vAlign w:val="bottom"/>
            <w:tcBorders>
              <w:top w:val="single" w:sz="8" w:color="0000FF"/>
              <w:bottom w:val="single" w:sz="8" w:color="808080"/>
            </w:tcBorders>
          </w:tcPr>
          <w:p>
            <w:pPr>
              <w:spacing w:after="0"/>
              <w:rPr>
                <w:sz w:val="24"/>
                <w:szCs w:val="24"/>
                <w:color w:val="auto"/>
              </w:rPr>
            </w:pPr>
          </w:p>
        </w:tc>
        <w:tc>
          <w:tcPr>
            <w:tcW w:w="5340" w:type="dxa"/>
            <w:vAlign w:val="bottom"/>
            <w:tcBorders>
              <w:bottom w:val="single" w:sz="8" w:color="808080"/>
            </w:tcBorders>
          </w:tcPr>
          <w:p>
            <w:pPr>
              <w:spacing w:after="0"/>
              <w:rPr>
                <w:sz w:val="24"/>
                <w:szCs w:val="24"/>
                <w:color w:val="auto"/>
              </w:rPr>
            </w:pPr>
          </w:p>
        </w:tc>
      </w:tr>
      <w:tr>
        <w:trPr>
          <w:trHeight w:val="1863"/>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1391920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30, 2026</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92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688"/>
        </w:trPr>
        <w:tc>
          <w:tcPr>
            <w:tcW w:w="196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404"/>
        </w:trPr>
        <w:tc>
          <w:tcPr>
            <w:tcW w:w="19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11" w:lineRule="exact"/>
        <w:rPr>
          <w:sz w:val="20"/>
          <w:szCs w:val="20"/>
          <w:color w:val="auto"/>
        </w:rPr>
      </w:pPr>
    </w:p>
    <w:p>
      <w:pPr>
        <w:jc w:val="center"/>
        <w:ind w:right="60"/>
        <w:spacing w:after="0" w:line="278" w:lineRule="auto"/>
        <w:rPr>
          <w:sz w:val="20"/>
          <w:szCs w:val="20"/>
          <w:color w:val="auto"/>
        </w:rPr>
      </w:pPr>
      <w:r>
        <w:rPr>
          <w:rFonts w:ascii="Times New Roman" w:cs="Times New Roman" w:eastAsia="Times New Roman" w:hAnsi="Times New Roman"/>
          <w:sz w:val="29"/>
          <w:szCs w:val="29"/>
          <w:b w:val="1"/>
          <w:bCs w:val="1"/>
          <w:color w:val="auto"/>
        </w:rPr>
        <w:t>Rezolve Ai Delivers 543% H2 Growth; Raises 2026 Revenue Guidance to $360M as Platform Achieves Global Infrastructure Scale</w:t>
      </w:r>
    </w:p>
    <w:p>
      <w:pPr>
        <w:spacing w:after="0" w:line="251" w:lineRule="exact"/>
        <w:rPr>
          <w:sz w:val="20"/>
          <w:szCs w:val="20"/>
          <w:color w:val="auto"/>
        </w:rPr>
      </w:pPr>
    </w:p>
    <w:p>
      <w:pPr>
        <w:ind w:left="2680" w:right="1820" w:hanging="852"/>
        <w:spacing w:after="0" w:line="211" w:lineRule="auto"/>
        <w:rPr>
          <w:sz w:val="20"/>
          <w:szCs w:val="20"/>
          <w:color w:val="auto"/>
        </w:rPr>
      </w:pPr>
      <w:r>
        <w:rPr>
          <w:rFonts w:ascii="Times New Roman" w:cs="Times New Roman" w:eastAsia="Times New Roman" w:hAnsi="Times New Roman"/>
          <w:sz w:val="25"/>
          <w:szCs w:val="25"/>
          <w:i w:val="1"/>
          <w:iCs w:val="1"/>
          <w:color w:val="auto"/>
        </w:rPr>
        <w:t>Reports $46.8M Revenue for 2025 materially ahead of market expectations Exits 2025 at $232M ARR</w:t>
      </w:r>
      <w:r>
        <w:rPr>
          <w:rFonts w:ascii="Times New Roman" w:cs="Times New Roman" w:eastAsia="Times New Roman" w:hAnsi="Times New Roman"/>
          <w:sz w:val="33"/>
          <w:szCs w:val="33"/>
          <w:i w:val="1"/>
          <w:iCs w:val="1"/>
          <w:color w:val="auto"/>
          <w:vertAlign w:val="superscript"/>
        </w:rPr>
        <w:t>1</w:t>
      </w:r>
      <w:r>
        <w:rPr>
          <w:rFonts w:ascii="Times New Roman" w:cs="Times New Roman" w:eastAsia="Times New Roman" w:hAnsi="Times New Roman"/>
          <w:sz w:val="25"/>
          <w:szCs w:val="25"/>
          <w:i w:val="1"/>
          <w:iCs w:val="1"/>
          <w:color w:val="auto"/>
        </w:rPr>
        <w:t xml:space="preserve"> with $19.4M December MRR</w:t>
      </w:r>
      <w:r>
        <w:rPr>
          <w:rFonts w:ascii="Times New Roman" w:cs="Times New Roman" w:eastAsia="Times New Roman" w:hAnsi="Times New Roman"/>
          <w:sz w:val="33"/>
          <w:szCs w:val="33"/>
          <w:i w:val="1"/>
          <w:iCs w:val="1"/>
          <w:color w:val="auto"/>
          <w:vertAlign w:val="superscript"/>
        </w:rPr>
        <w:t>1</w:t>
      </w:r>
      <w:r>
        <w:rPr>
          <w:rFonts w:ascii="Times New Roman" w:cs="Times New Roman" w:eastAsia="Times New Roman" w:hAnsi="Times New Roman"/>
          <w:sz w:val="25"/>
          <w:szCs w:val="25"/>
          <w:i w:val="1"/>
          <w:iCs w:val="1"/>
          <w:color w:val="auto"/>
        </w:rPr>
        <w:t xml:space="preserve"> Contracted Revenue</w:t>
      </w:r>
      <w:r>
        <w:rPr>
          <w:rFonts w:ascii="Times New Roman" w:cs="Times New Roman" w:eastAsia="Times New Roman" w:hAnsi="Times New Roman"/>
          <w:sz w:val="33"/>
          <w:szCs w:val="33"/>
          <w:i w:val="1"/>
          <w:iCs w:val="1"/>
          <w:color w:val="auto"/>
          <w:vertAlign w:val="superscript"/>
        </w:rPr>
        <w:t>1</w:t>
      </w:r>
      <w:r>
        <w:rPr>
          <w:rFonts w:ascii="Times New Roman" w:cs="Times New Roman" w:eastAsia="Times New Roman" w:hAnsi="Times New Roman"/>
          <w:sz w:val="25"/>
          <w:szCs w:val="25"/>
          <w:i w:val="1"/>
          <w:iCs w:val="1"/>
          <w:color w:val="auto"/>
        </w:rPr>
        <w:t xml:space="preserve"> Underpins 2026 Growth Trajectory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i w:val="1"/>
          <w:iCs w:val="1"/>
          <w:color w:val="auto"/>
        </w:rPr>
        <w:t>FY 2026 revenue guidance raised to $360 million; Reiterated 2026 exit ARR</w:t>
      </w:r>
      <w:r>
        <w:rPr>
          <w:rFonts w:ascii="Times New Roman" w:cs="Times New Roman" w:eastAsia="Times New Roman" w:hAnsi="Times New Roman"/>
          <w:sz w:val="33"/>
          <w:szCs w:val="33"/>
          <w:i w:val="1"/>
          <w:iCs w:val="1"/>
          <w:color w:val="auto"/>
          <w:vertAlign w:val="superscript"/>
        </w:rPr>
        <w:t>1</w:t>
      </w:r>
      <w:r>
        <w:rPr>
          <w:rFonts w:ascii="Times New Roman" w:cs="Times New Roman" w:eastAsia="Times New Roman" w:hAnsi="Times New Roman"/>
          <w:sz w:val="25"/>
          <w:szCs w:val="25"/>
          <w:i w:val="1"/>
          <w:iCs w:val="1"/>
          <w:color w:val="auto"/>
        </w:rPr>
        <w:t xml:space="preserve"> of $500 million</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New York – March 30, 2026 </w:t>
      </w:r>
      <w:r>
        <w:rPr>
          <w:rFonts w:ascii="Times New Roman" w:cs="Times New Roman" w:eastAsia="Times New Roman" w:hAnsi="Times New Roman"/>
          <w:sz w:val="20"/>
          <w:szCs w:val="20"/>
          <w:color w:val="auto"/>
        </w:rPr>
        <w:t>– Rezolve Ai (NASDAQ: RZLV), a global leader in Agentic Commerce and AI-powered retail infrastructure,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today announced its full-year 2025 results, delivering performance </w:t>
      </w:r>
      <w:r>
        <w:rPr>
          <w:rFonts w:ascii="Times New Roman" w:cs="Times New Roman" w:eastAsia="Times New Roman" w:hAnsi="Times New Roman"/>
          <w:sz w:val="20"/>
          <w:szCs w:val="20"/>
          <w:b w:val="1"/>
          <w:bCs w:val="1"/>
          <w:color w:val="auto"/>
        </w:rPr>
        <w:t>materially ahead of market expectations</w:t>
      </w:r>
      <w:r>
        <w:rPr>
          <w:rFonts w:ascii="Times New Roman" w:cs="Times New Roman" w:eastAsia="Times New Roman" w:hAnsi="Times New Roman"/>
          <w:sz w:val="20"/>
          <w:szCs w:val="20"/>
          <w:color w:val="auto"/>
        </w:rPr>
        <w:t xml:space="preserve"> and moving the business into </w:t>
      </w:r>
      <w:r>
        <w:rPr>
          <w:rFonts w:ascii="Times New Roman" w:cs="Times New Roman" w:eastAsia="Times New Roman" w:hAnsi="Times New Roman"/>
          <w:sz w:val="20"/>
          <w:szCs w:val="20"/>
          <w:b w:val="1"/>
          <w:bCs w:val="1"/>
          <w:color w:val="auto"/>
        </w:rPr>
        <w:t>live, scaled global deployment</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Record Revenue: </w:t>
      </w:r>
      <w:r>
        <w:rPr>
          <w:rFonts w:ascii="Times New Roman" w:cs="Times New Roman" w:eastAsia="Times New Roman" w:hAnsi="Times New Roman"/>
          <w:sz w:val="20"/>
          <w:szCs w:val="20"/>
          <w:color w:val="auto"/>
        </w:rPr>
        <w:t>Reported GAAP revenue of</w:t>
      </w:r>
      <w:r>
        <w:rPr>
          <w:rFonts w:ascii="Times New Roman" w:cs="Times New Roman" w:eastAsia="Times New Roman" w:hAnsi="Times New Roman"/>
          <w:sz w:val="20"/>
          <w:szCs w:val="20"/>
          <w:b w:val="1"/>
          <w:bCs w:val="1"/>
          <w:color w:val="auto"/>
        </w:rPr>
        <w:t xml:space="preserve"> $46.8 million </w:t>
      </w:r>
      <w:r>
        <w:rPr>
          <w:rFonts w:ascii="Times New Roman" w:cs="Times New Roman" w:eastAsia="Times New Roman" w:hAnsi="Times New Roman"/>
          <w:sz w:val="20"/>
          <w:szCs w:val="20"/>
          <w:color w:val="auto"/>
        </w:rPr>
        <w:t>for the year.</w:t>
      </w:r>
    </w:p>
    <w:p>
      <w:pPr>
        <w:spacing w:after="0" w:line="25" w:lineRule="exact"/>
        <w:rPr>
          <w:rFonts w:ascii="Times New Roman" w:cs="Times New Roman" w:eastAsia="Times New Roman" w:hAnsi="Times New Roman"/>
          <w:sz w:val="20"/>
          <w:szCs w:val="20"/>
          <w:color w:val="auto"/>
        </w:rPr>
      </w:pPr>
    </w:p>
    <w:p>
      <w:pPr>
        <w:ind w:left="760" w:hanging="378"/>
        <w:spacing w:after="0" w:line="243"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Explosive Exit Velocity: </w:t>
      </w:r>
      <w:r>
        <w:rPr>
          <w:rFonts w:ascii="Times New Roman" w:cs="Times New Roman" w:eastAsia="Times New Roman" w:hAnsi="Times New Roman"/>
          <w:sz w:val="20"/>
          <w:szCs w:val="20"/>
          <w:color w:val="auto"/>
        </w:rPr>
        <w:t>Exited 2025 with a record</w:t>
      </w:r>
      <w:r>
        <w:rPr>
          <w:rFonts w:ascii="Times New Roman" w:cs="Times New Roman" w:eastAsia="Times New Roman" w:hAnsi="Times New Roman"/>
          <w:sz w:val="20"/>
          <w:szCs w:val="20"/>
          <w:b w:val="1"/>
          <w:bCs w:val="1"/>
          <w:color w:val="auto"/>
        </w:rPr>
        <w:t xml:space="preserve"> $19.4M December MRR</w:t>
      </w:r>
      <w:r>
        <w:rPr>
          <w:rFonts w:ascii="Times New Roman" w:cs="Times New Roman" w:eastAsia="Times New Roman" w:hAnsi="Times New Roman"/>
          <w:sz w:val="20"/>
          <w:szCs w:val="20"/>
          <w:color w:val="auto"/>
        </w:rPr>
        <w:t>, representing a</w:t>
      </w:r>
      <w:r>
        <w:rPr>
          <w:rFonts w:ascii="Times New Roman" w:cs="Times New Roman" w:eastAsia="Times New Roman" w:hAnsi="Times New Roman"/>
          <w:sz w:val="20"/>
          <w:szCs w:val="20"/>
          <w:b w:val="1"/>
          <w:bCs w:val="1"/>
          <w:color w:val="auto"/>
        </w:rPr>
        <w:t xml:space="preserve"> $232M+ Annualized Run Rate (ARR)</w:t>
      </w:r>
      <w:r>
        <w:rPr>
          <w:rFonts w:ascii="Times New Roman" w:cs="Times New Roman" w:eastAsia="Times New Roman" w:hAnsi="Times New Roman"/>
          <w:sz w:val="20"/>
          <w:szCs w:val="20"/>
          <w:color w:val="auto"/>
        </w:rPr>
        <w:t>, exceeding original guidance of $100 million.</w:t>
      </w:r>
    </w:p>
    <w:p>
      <w:pPr>
        <w:ind w:left="760" w:right="20" w:hanging="378"/>
        <w:spacing w:after="0" w:line="217"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Structural Profitability: </w:t>
      </w:r>
      <w:r>
        <w:rPr>
          <w:rFonts w:ascii="Times New Roman" w:cs="Times New Roman" w:eastAsia="Times New Roman" w:hAnsi="Times New Roman"/>
          <w:sz w:val="20"/>
          <w:szCs w:val="20"/>
          <w:color w:val="auto"/>
        </w:rPr>
        <w:t>Achieved a</w:t>
      </w:r>
      <w:r>
        <w:rPr>
          <w:rFonts w:ascii="Times New Roman" w:cs="Times New Roman" w:eastAsia="Times New Roman" w:hAnsi="Times New Roman"/>
          <w:sz w:val="20"/>
          <w:szCs w:val="20"/>
          <w:b w:val="1"/>
          <w:bCs w:val="1"/>
          <w:color w:val="auto"/>
        </w:rPr>
        <w:t xml:space="preserve"> 66% GAAP gross margin</w:t>
      </w:r>
      <w:r>
        <w:rPr>
          <w:rFonts w:ascii="Times New Roman" w:cs="Times New Roman" w:eastAsia="Times New Roman" w:hAnsi="Times New Roman"/>
          <w:sz w:val="20"/>
          <w:szCs w:val="20"/>
          <w:color w:val="auto"/>
        </w:rPr>
        <w:t>, with core software margins exceeding</w:t>
      </w:r>
      <w:r>
        <w:rPr>
          <w:rFonts w:ascii="Times New Roman" w:cs="Times New Roman" w:eastAsia="Times New Roman" w:hAnsi="Times New Roman"/>
          <w:sz w:val="20"/>
          <w:szCs w:val="20"/>
          <w:b w:val="1"/>
          <w:bCs w:val="1"/>
          <w:color w:val="auto"/>
        </w:rPr>
        <w:t xml:space="preserve"> 90%</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the platform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achieves structural scale.</w:t>
      </w:r>
    </w:p>
    <w:p>
      <w:pPr>
        <w:ind w:left="760" w:hanging="378"/>
        <w:spacing w:after="0" w:line="239"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Fully Funded for Mission Success: </w:t>
      </w:r>
      <w:r>
        <w:rPr>
          <w:rFonts w:ascii="Times New Roman" w:cs="Times New Roman" w:eastAsia="Times New Roman" w:hAnsi="Times New Roman"/>
          <w:sz w:val="20"/>
          <w:szCs w:val="20"/>
          <w:color w:val="auto"/>
        </w:rPr>
        <w:t>Over</w:t>
      </w:r>
      <w:r>
        <w:rPr>
          <w:rFonts w:ascii="Times New Roman" w:cs="Times New Roman" w:eastAsia="Times New Roman" w:hAnsi="Times New Roman"/>
          <w:sz w:val="20"/>
          <w:szCs w:val="20"/>
          <w:b w:val="1"/>
          <w:bCs w:val="1"/>
          <w:color w:val="auto"/>
        </w:rPr>
        <w:t xml:space="preserve"> $750M in total funding </w:t>
      </w:r>
      <w:r>
        <w:rPr>
          <w:rFonts w:ascii="Times New Roman" w:cs="Times New Roman" w:eastAsia="Times New Roman" w:hAnsi="Times New Roman"/>
          <w:sz w:val="20"/>
          <w:szCs w:val="20"/>
          <w:color w:val="auto"/>
        </w:rPr>
        <w:t>secured, including January’s oversubscribed</w:t>
      </w:r>
      <w:r>
        <w:rPr>
          <w:rFonts w:ascii="Times New Roman" w:cs="Times New Roman" w:eastAsia="Times New Roman" w:hAnsi="Times New Roman"/>
          <w:sz w:val="20"/>
          <w:szCs w:val="20"/>
          <w:b w:val="1"/>
          <w:bCs w:val="1"/>
          <w:color w:val="auto"/>
        </w:rPr>
        <w:t xml:space="preserve"> $250M raise</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has </w:t>
      </w:r>
      <w:r>
        <w:rPr>
          <w:rFonts w:ascii="Times New Roman" w:cs="Times New Roman" w:eastAsia="Times New Roman" w:hAnsi="Times New Roman"/>
          <w:sz w:val="20"/>
          <w:szCs w:val="20"/>
          <w:b w:val="1"/>
          <w:bCs w:val="1"/>
          <w:color w:val="auto"/>
        </w:rPr>
        <w:t>zero requirement for additional operational equity</w:t>
      </w:r>
      <w:r>
        <w:rPr>
          <w:rFonts w:ascii="Times New Roman" w:cs="Times New Roman" w:eastAsia="Times New Roman" w:hAnsi="Times New Roman"/>
          <w:sz w:val="20"/>
          <w:szCs w:val="20"/>
          <w:color w:val="auto"/>
        </w:rPr>
        <w:t xml:space="preserve"> to execute its 2026 mission.</w:t>
      </w: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Unmatched Market Penetration: </w:t>
      </w:r>
      <w:r>
        <w:rPr>
          <w:rFonts w:ascii="Times New Roman" w:cs="Times New Roman" w:eastAsia="Times New Roman" w:hAnsi="Times New Roman"/>
          <w:sz w:val="20"/>
          <w:szCs w:val="20"/>
          <w:color w:val="auto"/>
        </w:rPr>
        <w:t>950+ enterprise customers across sectors, including retail, hospitality, QSR, and luxury.</w:t>
      </w:r>
    </w:p>
    <w:p>
      <w:pPr>
        <w:ind w:left="760" w:right="20" w:hanging="378"/>
        <w:spacing w:after="0" w:line="246"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Exceptional Revenue Visibility: </w:t>
      </w:r>
      <w:r>
        <w:rPr>
          <w:rFonts w:ascii="Times New Roman" w:cs="Times New Roman" w:eastAsia="Times New Roman" w:hAnsi="Times New Roman"/>
          <w:sz w:val="20"/>
          <w:szCs w:val="20"/>
          <w:color w:val="auto"/>
        </w:rPr>
        <w:t>Total group contracted revenue base has surged to</w:t>
      </w:r>
      <w:r>
        <w:rPr>
          <w:rFonts w:ascii="Times New Roman" w:cs="Times New Roman" w:eastAsia="Times New Roman" w:hAnsi="Times New Roman"/>
          <w:sz w:val="20"/>
          <w:szCs w:val="20"/>
          <w:b w:val="1"/>
          <w:bCs w:val="1"/>
          <w:color w:val="auto"/>
        </w:rPr>
        <w:t xml:space="preserve"> $232M</w:t>
      </w:r>
      <w:r>
        <w:rPr>
          <w:rFonts w:ascii="Times New Roman" w:cs="Times New Roman" w:eastAsia="Times New Roman" w:hAnsi="Times New Roman"/>
          <w:sz w:val="20"/>
          <w:szCs w:val="20"/>
          <w:color w:val="auto"/>
        </w:rPr>
        <w:t>, providing a high-conviction floor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our raised </w:t>
      </w:r>
      <w:r>
        <w:rPr>
          <w:rFonts w:ascii="Times New Roman" w:cs="Times New Roman" w:eastAsia="Times New Roman" w:hAnsi="Times New Roman"/>
          <w:sz w:val="20"/>
          <w:szCs w:val="20"/>
          <w:b w:val="1"/>
          <w:bCs w:val="1"/>
          <w:color w:val="auto"/>
        </w:rPr>
        <w:t>$360M 2026 guidance</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Discipline: Fully Funded for the Agentic Era</w:t>
      </w:r>
    </w:p>
    <w:p>
      <w:pPr>
        <w:spacing w:after="0" w:line="26"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Rezolve Ai enters 2026 with its strongest-ever capital position. Our current cash reserves provide more than sufficient runway for all day-to-day operations and organic growth. Moving forward, the Company is committed to a disciplined approach to capital:</w:t>
      </w:r>
    </w:p>
    <w:p>
      <w:pPr>
        <w:spacing w:after="0" w:line="191" w:lineRule="exact"/>
        <w:rPr>
          <w:sz w:val="20"/>
          <w:szCs w:val="20"/>
          <w:color w:val="auto"/>
        </w:rPr>
      </w:pPr>
    </w:p>
    <w:p>
      <w:pPr>
        <w:ind w:left="1140" w:hanging="383"/>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Zero Operational Dilution: </w:t>
      </w:r>
      <w:r>
        <w:rPr>
          <w:rFonts w:ascii="Times New Roman" w:cs="Times New Roman" w:eastAsia="Times New Roman" w:hAnsi="Times New Roman"/>
          <w:sz w:val="20"/>
          <w:szCs w:val="20"/>
          <w:color w:val="auto"/>
        </w:rPr>
        <w:t>We do not intend to raise new equity for operational needs.</w:t>
      </w:r>
    </w:p>
    <w:p>
      <w:pPr>
        <w:spacing w:after="0" w:line="25" w:lineRule="exact"/>
        <w:rPr>
          <w:rFonts w:ascii="Times New Roman" w:cs="Times New Roman" w:eastAsia="Times New Roman" w:hAnsi="Times New Roman"/>
          <w:sz w:val="18"/>
          <w:szCs w:val="18"/>
          <w:color w:val="auto"/>
        </w:rPr>
      </w:pPr>
    </w:p>
    <w:p>
      <w:pPr>
        <w:ind w:left="1140" w:right="480" w:hanging="383"/>
        <w:spacing w:after="0" w:line="239" w:lineRule="auto"/>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Accretive Acquisitions Only: </w:t>
      </w:r>
      <w:r>
        <w:rPr>
          <w:rFonts w:ascii="Times New Roman" w:cs="Times New Roman" w:eastAsia="Times New Roman" w:hAnsi="Times New Roman"/>
          <w:sz w:val="20"/>
          <w:szCs w:val="20"/>
          <w:color w:val="auto"/>
        </w:rPr>
        <w:t>Use of equity (other than under Rezolve’s LTIP) is expected to be restricted to high-value,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profitable acquisitions, such as Reward, which bring immediate, self-financing revenue to Rezolve.</w:t>
      </w:r>
    </w:p>
    <w:p>
      <w:pPr>
        <w:ind w:left="1140" w:right="300" w:hanging="383"/>
        <w:spacing w:after="0" w:line="246" w:lineRule="auto"/>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Capital-Light Scalability: </w:t>
      </w:r>
      <w:r>
        <w:rPr>
          <w:rFonts w:ascii="Times New Roman" w:cs="Times New Roman" w:eastAsia="Times New Roman" w:hAnsi="Times New Roman"/>
          <w:sz w:val="20"/>
          <w:szCs w:val="20"/>
          <w:color w:val="auto"/>
        </w:rPr>
        <w:t>As core infrastructure, our platform has and will achieve outsized sequential growth without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heavy capital expenditure required by legacy software firms.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year that changed the shape of the business</w:t>
      </w:r>
    </w:p>
    <w:p>
      <w:pPr>
        <w:spacing w:after="0" w:line="2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Throughout 2025, the Company successfully executed an accelerated program of strategic acquisitions, enterprise deployments and platform integration, fundamentally enhancing its scale, capabilities and competitive positioning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16884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56" w:lineRule="exact"/>
        <w:rPr>
          <w:sz w:val="20"/>
          <w:szCs w:val="20"/>
          <w:color w:val="auto"/>
        </w:rPr>
      </w:pPr>
    </w:p>
    <w:p>
      <w:pPr>
        <w:ind w:right="200" w:firstLine="8"/>
        <w:spacing w:after="0" w:line="193" w:lineRule="auto"/>
        <w:tabs>
          <w:tab w:leader="none" w:pos="104"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The definition of ARR and ARR exit, MRR, contracted revenue, blended gross margin and core software margins can be found in the Use of Non-GAAP Financial Measures section of this release, and a reconciliation of ARR can be found in the back of this release</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 w:name="page5"/>
    <w:bookmarkEnd w:id="4"/>
    <w:p>
      <w:pPr>
        <w:spacing w:after="0" w:line="269" w:lineRule="auto"/>
        <w:rPr>
          <w:sz w:val="20"/>
          <w:szCs w:val="20"/>
          <w:color w:val="auto"/>
        </w:rPr>
      </w:pPr>
      <w:r>
        <w:rPr>
          <w:rFonts w:ascii="Times New Roman" w:cs="Times New Roman" w:eastAsia="Times New Roman" w:hAnsi="Times New Roman"/>
          <w:sz w:val="20"/>
          <w:szCs w:val="20"/>
          <w:color w:val="auto"/>
        </w:rPr>
        <w:t>within AI-driven commerce. As a result, Rezolve delivered revenue growth that exceeded both consensus estimates and its previously issued 2025 guidance.</w:t>
      </w:r>
    </w:p>
    <w:p>
      <w:pPr>
        <w:spacing w:after="0" w:line="16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 xml:space="preserve">Revenue reached </w:t>
      </w:r>
      <w:r>
        <w:rPr>
          <w:rFonts w:ascii="Times New Roman" w:cs="Times New Roman" w:eastAsia="Times New Roman" w:hAnsi="Times New Roman"/>
          <w:sz w:val="20"/>
          <w:szCs w:val="20"/>
          <w:b w:val="1"/>
          <w:bCs w:val="1"/>
          <w:color w:val="auto"/>
        </w:rPr>
        <w:t>$46.8 million</w:t>
      </w:r>
      <w:r>
        <w:rPr>
          <w:rFonts w:ascii="Times New Roman" w:cs="Times New Roman" w:eastAsia="Times New Roman" w:hAnsi="Times New Roman"/>
          <w:sz w:val="20"/>
          <w:szCs w:val="20"/>
          <w:color w:val="auto"/>
        </w:rPr>
        <w:t xml:space="preserve"> for the year, with the more important shift coming in the second half. As deployments went live, growth accelerated rapidly with second-half revenue increasing </w:t>
      </w:r>
      <w:r>
        <w:rPr>
          <w:rFonts w:ascii="Times New Roman" w:cs="Times New Roman" w:eastAsia="Times New Roman" w:hAnsi="Times New Roman"/>
          <w:sz w:val="20"/>
          <w:szCs w:val="20"/>
          <w:b w:val="1"/>
          <w:bCs w:val="1"/>
          <w:color w:val="auto"/>
        </w:rPr>
        <w:t>543% over the first half</w:t>
      </w:r>
      <w:r>
        <w:rPr>
          <w:rFonts w:ascii="Times New Roman" w:cs="Times New Roman" w:eastAsia="Times New Roman" w:hAnsi="Times New Roman"/>
          <w:sz w:val="20"/>
          <w:szCs w:val="20"/>
          <w:color w:val="auto"/>
        </w:rPr>
        <w:t xml:space="preserve"> revenue of $6.3 million.</w:t>
      </w:r>
    </w:p>
    <w:p>
      <w:pPr>
        <w:spacing w:after="0" w:line="16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20"/>
          <w:szCs w:val="20"/>
          <w:color w:val="auto"/>
        </w:rPr>
        <w:t xml:space="preserve">That acceleration culminated in </w:t>
      </w:r>
      <w:r>
        <w:rPr>
          <w:rFonts w:ascii="Times New Roman" w:cs="Times New Roman" w:eastAsia="Times New Roman" w:hAnsi="Times New Roman"/>
          <w:sz w:val="20"/>
          <w:szCs w:val="20"/>
          <w:b w:val="1"/>
          <w:bCs w:val="1"/>
          <w:color w:val="auto"/>
        </w:rPr>
        <w:t>$19.4 million of revenue in December alone</w:t>
      </w:r>
      <w:r>
        <w:rPr>
          <w:rFonts w:ascii="Times New Roman" w:cs="Times New Roman" w:eastAsia="Times New Roman" w:hAnsi="Times New Roman"/>
          <w:sz w:val="20"/>
          <w:szCs w:val="20"/>
          <w:color w:val="auto"/>
        </w:rPr>
        <w:t xml:space="preserve">, establishing an annualized run rate of more than </w:t>
      </w:r>
      <w:r>
        <w:rPr>
          <w:rFonts w:ascii="Times New Roman" w:cs="Times New Roman" w:eastAsia="Times New Roman" w:hAnsi="Times New Roman"/>
          <w:sz w:val="20"/>
          <w:szCs w:val="20"/>
          <w:b w:val="1"/>
          <w:bCs w:val="1"/>
          <w:color w:val="auto"/>
        </w:rPr>
        <w:t>$232 million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exiting the year</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providing a high level of forward visibility into 2026.</w:t>
      </w:r>
    </w:p>
    <w:p>
      <w:pPr>
        <w:spacing w:after="0" w:line="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financial results presented herein are derived from the Company’s Annual Report on Form 20-F for the fiscal year ended December 31, 2025, which is being filed with the Securities and Exchange Commission today.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Daniel M. Wagner, CEO</w:t>
      </w:r>
    </w:p>
    <w:p>
      <w:pPr>
        <w:spacing w:after="0" w:line="26"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20"/>
          <w:szCs w:val="20"/>
          <w:color w:val="auto"/>
        </w:rPr>
        <w:t xml:space="preserve">“The shift from search-based to agentic commerce represents an overhaul of how global retail transacts. 2025 was the year Rezolve became the essential logic of global commerce. We have moved beyond the 'experimentation' phase of AI into live, production-grade infrastructure. We are the natural consolidator in this category, with both the technological and capital advantage to extend that lead. By exiting the year at a </w:t>
      </w:r>
      <w:r>
        <w:rPr>
          <w:rFonts w:ascii="Times New Roman" w:cs="Times New Roman" w:eastAsia="Times New Roman" w:hAnsi="Times New Roman"/>
          <w:sz w:val="20"/>
          <w:szCs w:val="20"/>
          <w:b w:val="1"/>
          <w:bCs w:val="1"/>
          <w:color w:val="auto"/>
        </w:rPr>
        <w:t>$232 million run rate</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20"/>
          <w:szCs w:val="20"/>
          <w:color w:val="auto"/>
        </w:rPr>
        <w:t>, we have validated our 'Hockey Stick' trajectory. We are no longer building for the future of Agentic Commerce; we are the engine currently powering it.”</w:t>
      </w:r>
    </w:p>
    <w:p>
      <w:pPr>
        <w:spacing w:after="0" w:line="20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The Company’s 2025 Annual Report, </w:t>
      </w:r>
      <w:r>
        <w:rPr>
          <w:rFonts w:ascii="Times New Roman" w:cs="Times New Roman" w:eastAsia="Times New Roman" w:hAnsi="Times New Roman"/>
          <w:sz w:val="20"/>
          <w:szCs w:val="20"/>
          <w:b w:val="1"/>
          <w:bCs w:val="1"/>
          <w:i w:val="1"/>
          <w:iCs w:val="1"/>
          <w:color w:val="auto"/>
        </w:rPr>
        <w:t>Architecting Agentic Commerce</w:t>
      </w:r>
      <w:r>
        <w:rPr>
          <w:rFonts w:ascii="Times New Roman" w:cs="Times New Roman" w:eastAsia="Times New Roman" w:hAnsi="Times New Roman"/>
          <w:sz w:val="20"/>
          <w:szCs w:val="20"/>
          <w:b w:val="1"/>
          <w:bCs w:val="1"/>
          <w:color w:val="auto"/>
        </w:rPr>
        <w:t>, sets out in detail how Rezolve has transitioned into a core infrastructure layer for global commerce and is available here.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Architecting the Transaction Engine for the Agentic Era</w:t>
      </w:r>
    </w:p>
    <w:p>
      <w:pPr>
        <w:spacing w:after="0" w:line="2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Rezolve Ai's platform is structured around three interlocking components — intelligence, discovery and execution — that together form a differentiated, end-to-end agentic commerce architecture, unifying layers at enterprise scale today:</w:t>
      </w:r>
    </w:p>
    <w:p>
      <w:pPr>
        <w:spacing w:after="0" w:line="191" w:lineRule="exact"/>
        <w:rPr>
          <w:sz w:val="20"/>
          <w:szCs w:val="20"/>
          <w:color w:val="auto"/>
        </w:rPr>
      </w:pPr>
    </w:p>
    <w:p>
      <w:pPr>
        <w:jc w:val="both"/>
        <w:ind w:left="760" w:hanging="378"/>
        <w:spacing w:after="0" w:line="256"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brainpowa </w:t>
      </w:r>
      <w:r>
        <w:rPr>
          <w:rFonts w:ascii="Times New Roman" w:cs="Times New Roman" w:eastAsia="Times New Roman" w:hAnsi="Times New Roman"/>
          <w:sz w:val="20"/>
          <w:szCs w:val="20"/>
          <w:color w:val="auto"/>
        </w:rPr>
        <w:t>is Rezolve Ai's proprietary retail LLM, purpose-built for near-zero hallucination risk and SKU-level precision in live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production environments, serving as the intelligence layer that interprets consumer intent, powers natural-language product discovery and delivers deterministic outputs that enterprise retailers can trust at global scale.</w:t>
      </w:r>
    </w:p>
    <w:p>
      <w:pPr>
        <w:spacing w:after="0" w:line="182" w:lineRule="exact"/>
        <w:rPr>
          <w:rFonts w:ascii="Times New Roman" w:cs="Times New Roman" w:eastAsia="Times New Roman" w:hAnsi="Times New Roman"/>
          <w:sz w:val="20"/>
          <w:szCs w:val="20"/>
          <w:color w:val="auto"/>
        </w:rPr>
      </w:pPr>
    </w:p>
    <w:p>
      <w:pPr>
        <w:jc w:val="both"/>
        <w:ind w:left="760" w:hanging="378"/>
        <w:spacing w:after="0" w:line="256"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Brain Commerce </w:t>
      </w:r>
      <w:r>
        <w:rPr>
          <w:rFonts w:ascii="Times New Roman" w:cs="Times New Roman" w:eastAsia="Times New Roman" w:hAnsi="Times New Roman"/>
          <w:sz w:val="20"/>
          <w:szCs w:val="20"/>
          <w:color w:val="auto"/>
        </w:rPr>
        <w:t>is the discovery and merchandising engine that converts natural language into margin-aware, real-time product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recommendations across enterprise retail catalogues, integrating search, personalization and visual merchandising into a unified surface embedded directly inside retailers' existing systems and workflows.</w:t>
      </w:r>
    </w:p>
    <w:p>
      <w:pPr>
        <w:spacing w:after="0" w:line="182" w:lineRule="exact"/>
        <w:rPr>
          <w:rFonts w:ascii="Times New Roman" w:cs="Times New Roman" w:eastAsia="Times New Roman" w:hAnsi="Times New Roman"/>
          <w:sz w:val="20"/>
          <w:szCs w:val="20"/>
          <w:color w:val="auto"/>
        </w:rPr>
      </w:pPr>
    </w:p>
    <w:p>
      <w:pPr>
        <w:jc w:val="both"/>
        <w:ind w:left="760" w:hanging="378"/>
        <w:spacing w:after="0" w:line="256"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Brain Checkout </w:t>
      </w:r>
      <w:r>
        <w:rPr>
          <w:rFonts w:ascii="Times New Roman" w:cs="Times New Roman" w:eastAsia="Times New Roman" w:hAnsi="Times New Roman"/>
          <w:sz w:val="20"/>
          <w:szCs w:val="20"/>
          <w:color w:val="auto"/>
        </w:rPr>
        <w:t>is the execution layer that ensures every AI-initiated transaction completes securely within merchant-approved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parameters from intent to settled payment, closing the loop between agentic discovery and revenue without friction, error or leakage.</w:t>
      </w:r>
    </w:p>
    <w:p>
      <w:pPr>
        <w:spacing w:after="0" w:line="18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2025, Rezolve transitioned from a technology pioneer to the essential operating system for global commerce. While general AI is limited to language generation, Rezolve’s infrastructure is engineered for precision and execution.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year, the platform demonstrated unprecedented scale and utility:</w:t>
      </w:r>
    </w:p>
    <w:p>
      <w:pPr>
        <w:spacing w:after="0" w:line="225"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112.7 billion API calls </w:t>
      </w:r>
      <w:r>
        <w:rPr>
          <w:rFonts w:ascii="Times New Roman" w:cs="Times New Roman" w:eastAsia="Times New Roman" w:hAnsi="Times New Roman"/>
          <w:sz w:val="20"/>
          <w:szCs w:val="20"/>
          <w:color w:val="auto"/>
        </w:rPr>
        <w:t>processed across more than 950 enterprise clients.</w:t>
      </w:r>
    </w:p>
    <w:p>
      <w:pPr>
        <w:spacing w:after="0" w:line="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59.8 million consumer devices </w:t>
      </w:r>
      <w:r>
        <w:rPr>
          <w:rFonts w:ascii="Times New Roman" w:cs="Times New Roman" w:eastAsia="Times New Roman" w:hAnsi="Times New Roman"/>
          <w:sz w:val="20"/>
          <w:szCs w:val="20"/>
          <w:color w:val="auto"/>
        </w:rPr>
        <w:t>reached via the Rezolve SDK.</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306.7 million physical-to-digital geofence triggers </w:t>
      </w:r>
      <w:r>
        <w:rPr>
          <w:rFonts w:ascii="Times New Roman" w:cs="Times New Roman" w:eastAsia="Times New Roman" w:hAnsi="Times New Roman"/>
          <w:sz w:val="20"/>
          <w:szCs w:val="20"/>
          <w:color w:val="auto"/>
        </w:rPr>
        <w:t>detected.</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The underlying economics are now becoming clear. Blended gross margins reached </w:t>
      </w:r>
      <w:r>
        <w:rPr>
          <w:rFonts w:ascii="Times New Roman" w:cs="Times New Roman" w:eastAsia="Times New Roman" w:hAnsi="Times New Roman"/>
          <w:sz w:val="20"/>
          <w:szCs w:val="20"/>
          <w:b w:val="1"/>
          <w:bCs w:val="1"/>
          <w:color w:val="auto"/>
        </w:rPr>
        <w:t>66%</w:t>
      </w:r>
      <w:r>
        <w:rPr>
          <w:rFonts w:ascii="Times New Roman" w:cs="Times New Roman" w:eastAsia="Times New Roman" w:hAnsi="Times New Roman"/>
          <w:sz w:val="20"/>
          <w:szCs w:val="20"/>
          <w:color w:val="auto"/>
        </w:rPr>
        <w:t>, with core software margins above 90%. As deployments scale, operating leverage is beginning to emerge, supported by a growing base of contracted revenues.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This platform velocity demonstrates Rezolve’s unique position as the leading infrastructure layer capable of turning conversational intent into revenue on a global scale. By bypassing legacy "toll bridges" through </w:t>
      </w:r>
      <w:r>
        <w:rPr>
          <w:rFonts w:ascii="Times New Roman" w:cs="Times New Roman" w:eastAsia="Times New Roman" w:hAnsi="Times New Roman"/>
          <w:sz w:val="20"/>
          <w:szCs w:val="20"/>
          <w:b w:val="1"/>
          <w:bCs w:val="1"/>
          <w:color w:val="auto"/>
        </w:rPr>
        <w:t>RezolvePay</w:t>
      </w:r>
      <w:r>
        <w:rPr>
          <w:rFonts w:ascii="Times New Roman" w:cs="Times New Roman" w:eastAsia="Times New Roman" w:hAnsi="Times New Roman"/>
          <w:sz w:val="20"/>
          <w:szCs w:val="20"/>
          <w:color w:val="auto"/>
        </w:rPr>
        <w:t>, the Company is returning economic autonomy to the merchant and redefining the core logic of digital retail.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Extending into payments and loyalty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the year end, the acquisition of Reward further strengthens this position.</w:t>
      </w:r>
    </w:p>
    <w:p>
      <w:pPr>
        <w:spacing w:after="0" w:line="2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The transaction adds significant high-margin </w:t>
      </w:r>
      <w:r>
        <w:rPr>
          <w:rFonts w:ascii="Times New Roman" w:cs="Times New Roman" w:eastAsia="Times New Roman" w:hAnsi="Times New Roman"/>
          <w:sz w:val="20"/>
          <w:szCs w:val="20"/>
          <w:b w:val="1"/>
          <w:bCs w:val="1"/>
          <w:color w:val="auto"/>
        </w:rPr>
        <w:t>revenue</w:t>
      </w:r>
      <w:r>
        <w:rPr>
          <w:rFonts w:ascii="Times New Roman" w:cs="Times New Roman" w:eastAsia="Times New Roman" w:hAnsi="Times New Roman"/>
          <w:sz w:val="20"/>
          <w:szCs w:val="20"/>
          <w:color w:val="auto"/>
        </w:rPr>
        <w:t>, while extending Rezolve’s reach across global banks, retailers and payment networks and accelerating adoption of its transaction ecosystem.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2026 outlook</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Rezolve Ai enters 2026 with unprecedented momentum and a clear, high-conviction path to category leadership. The Company has raised its full-year 2026 revenue guidance to </w:t>
      </w:r>
      <w:r>
        <w:rPr>
          <w:rFonts w:ascii="Times New Roman" w:cs="Times New Roman" w:eastAsia="Times New Roman" w:hAnsi="Times New Roman"/>
          <w:sz w:val="20"/>
          <w:szCs w:val="20"/>
          <w:b w:val="1"/>
          <w:bCs w:val="1"/>
          <w:color w:val="auto"/>
        </w:rPr>
        <w:t>$360 million</w:t>
      </w:r>
      <w:r>
        <w:rPr>
          <w:rFonts w:ascii="Times New Roman" w:cs="Times New Roman" w:eastAsia="Times New Roman" w:hAnsi="Times New Roman"/>
          <w:sz w:val="20"/>
          <w:szCs w:val="20"/>
          <w:color w:val="auto"/>
        </w:rPr>
        <w:t xml:space="preserve">, a figure underpinned by more than </w:t>
      </w:r>
      <w:r>
        <w:rPr>
          <w:rFonts w:ascii="Times New Roman" w:cs="Times New Roman" w:eastAsia="Times New Roman" w:hAnsi="Times New Roman"/>
          <w:sz w:val="20"/>
          <w:szCs w:val="20"/>
          <w:b w:val="1"/>
          <w:bCs w:val="1"/>
          <w:color w:val="auto"/>
        </w:rPr>
        <w:t>$232 million</w:t>
      </w:r>
      <w:r>
        <w:rPr>
          <w:rFonts w:ascii="Times New Roman" w:cs="Times New Roman" w:eastAsia="Times New Roman" w:hAnsi="Times New Roman"/>
          <w:sz w:val="20"/>
          <w:szCs w:val="20"/>
          <w:color w:val="auto"/>
        </w:rPr>
        <w:t xml:space="preserve"> in already contracted revenue as we exited 2025 and major enterprise deployments now in live production.</w:t>
      </w:r>
    </w:p>
    <w:p>
      <w:pPr>
        <w:spacing w:after="0" w:line="19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While this target represents an extraordinary </w:t>
      </w:r>
      <w:r>
        <w:rPr>
          <w:rFonts w:ascii="Times New Roman" w:cs="Times New Roman" w:eastAsia="Times New Roman" w:hAnsi="Times New Roman"/>
          <w:sz w:val="20"/>
          <w:szCs w:val="20"/>
          <w:b w:val="1"/>
          <w:bCs w:val="1"/>
          <w:color w:val="auto"/>
        </w:rPr>
        <w:t>7.5x year-over-year revenue growth</w:t>
      </w:r>
      <w:r>
        <w:rPr>
          <w:rFonts w:ascii="Times New Roman" w:cs="Times New Roman" w:eastAsia="Times New Roman" w:hAnsi="Times New Roman"/>
          <w:sz w:val="20"/>
          <w:szCs w:val="20"/>
          <w:color w:val="auto"/>
        </w:rPr>
        <w:t xml:space="preserve"> from our 2025 base, the Company views this as a conservative baseline. This confidence is driven by:</w:t>
      </w:r>
    </w:p>
    <w:p>
      <w:pPr>
        <w:spacing w:after="0" w:line="165" w:lineRule="exact"/>
        <w:rPr>
          <w:sz w:val="20"/>
          <w:szCs w:val="20"/>
          <w:color w:val="auto"/>
        </w:rPr>
      </w:pPr>
    </w:p>
    <w:p>
      <w:pPr>
        <w:ind w:left="760" w:right="20" w:hanging="378"/>
        <w:spacing w:after="0" w:line="253"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Accelerated Deployment Cycles: </w:t>
      </w:r>
      <w:r>
        <w:rPr>
          <w:rFonts w:ascii="Times New Roman" w:cs="Times New Roman" w:eastAsia="Times New Roman" w:hAnsi="Times New Roman"/>
          <w:sz w:val="20"/>
          <w:szCs w:val="20"/>
          <w:color w:val="auto"/>
        </w:rPr>
        <w:t>Our ability to reduce enterprise AI adoption from 18 months to 4-6 weeks via native cloud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integrations.</w:t>
      </w: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Superior Unit Economics: </w:t>
      </w:r>
      <w:r>
        <w:rPr>
          <w:rFonts w:ascii="Times New Roman" w:cs="Times New Roman" w:eastAsia="Times New Roman" w:hAnsi="Times New Roman"/>
          <w:sz w:val="20"/>
          <w:szCs w:val="20"/>
          <w:color w:val="auto"/>
        </w:rPr>
        <w:t>A structural model delivering over</w:t>
      </w:r>
      <w:r>
        <w:rPr>
          <w:rFonts w:ascii="Times New Roman" w:cs="Times New Roman" w:eastAsia="Times New Roman" w:hAnsi="Times New Roman"/>
          <w:sz w:val="20"/>
          <w:szCs w:val="20"/>
          <w:b w:val="1"/>
          <w:bCs w:val="1"/>
          <w:color w:val="auto"/>
        </w:rPr>
        <w:t xml:space="preserve"> 90% core software margins</w:t>
      </w:r>
      <w:r>
        <w:rPr>
          <w:rFonts w:ascii="Times New Roman" w:cs="Times New Roman" w:eastAsia="Times New Roman" w:hAnsi="Times New Roman"/>
          <w:sz w:val="20"/>
          <w:szCs w:val="20"/>
          <w:color w:val="auto"/>
        </w:rPr>
        <w:t>.</w:t>
      </w:r>
    </w:p>
    <w:p>
      <w:pPr>
        <w:ind w:left="760" w:hanging="378"/>
        <w:spacing w:after="0" w:line="27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A Fortified Balance Sheet: </w:t>
      </w:r>
      <w:r>
        <w:rPr>
          <w:rFonts w:ascii="Times New Roman" w:cs="Times New Roman" w:eastAsia="Times New Roman" w:hAnsi="Times New Roman"/>
          <w:sz w:val="20"/>
          <w:szCs w:val="20"/>
          <w:color w:val="auto"/>
        </w:rPr>
        <w:t>With over</w:t>
      </w:r>
      <w:r>
        <w:rPr>
          <w:rFonts w:ascii="Times New Roman" w:cs="Times New Roman" w:eastAsia="Times New Roman" w:hAnsi="Times New Roman"/>
          <w:sz w:val="20"/>
          <w:szCs w:val="20"/>
          <w:b w:val="1"/>
          <w:bCs w:val="1"/>
          <w:color w:val="auto"/>
        </w:rPr>
        <w:t xml:space="preserve"> $750 million </w:t>
      </w:r>
      <w:r>
        <w:rPr>
          <w:rFonts w:ascii="Times New Roman" w:cs="Times New Roman" w:eastAsia="Times New Roman" w:hAnsi="Times New Roman"/>
          <w:sz w:val="20"/>
          <w:szCs w:val="20"/>
          <w:color w:val="auto"/>
        </w:rPr>
        <w:t>in total funding secured, Rezolve Ai is fully funded to execute its 2026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mission and capture the structural shift toward a projected $144 billion AI-driven eCommerce market</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w:t>
      </w:r>
    </w:p>
    <w:p>
      <w:pPr>
        <w:spacing w:after="0" w:line="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Rezolve Ai is aggressively architecting toward a targeted </w:t>
      </w:r>
      <w:r>
        <w:rPr>
          <w:rFonts w:ascii="Times New Roman" w:cs="Times New Roman" w:eastAsia="Times New Roman" w:hAnsi="Times New Roman"/>
          <w:sz w:val="20"/>
          <w:szCs w:val="20"/>
          <w:b w:val="1"/>
          <w:bCs w:val="1"/>
          <w:color w:val="auto"/>
        </w:rPr>
        <w:t>ARR exit rate of more than $500 million</w:t>
      </w:r>
      <w:r>
        <w:rPr>
          <w:rFonts w:ascii="Times New Roman" w:cs="Times New Roman" w:eastAsia="Times New Roman" w:hAnsi="Times New Roman"/>
          <w:sz w:val="20"/>
          <w:szCs w:val="20"/>
          <w:color w:val="auto"/>
        </w:rPr>
        <w:t xml:space="preserve"> for 2026, cementing its position as the essential execution infrastructure for the global agentic era.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Conference Call</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Rezolve Ai will host a live conference call to discuss its Full Year 2025 Financial Results on Monday, March 30, 2026, at 8:30 a.m. ET. The live webcast will be available on Rezolve Ai's Investor Relations website at https://investor.rezolve.com. Participants can also access the call by registering through the webcast link (here) or participant call link (here). Following the live call, a replay of the webcast will be available on the Company's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355600</wp:posOffset>
            </wp:positionV>
            <wp:extent cx="16884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hanging="112"/>
        <w:spacing w:after="0"/>
        <w:tabs>
          <w:tab w:leader="none" w:pos="120" w:val="left"/>
        </w:tabs>
        <w:numPr>
          <w:ilvl w:val="0"/>
          <w:numId w:val="8"/>
        </w:numPr>
        <w:rPr>
          <w:rFonts w:ascii="Arial" w:cs="Arial" w:eastAsia="Arial" w:hAnsi="Arial"/>
          <w:sz w:val="24"/>
          <w:szCs w:val="24"/>
          <w:color w:val="auto"/>
          <w:vertAlign w:val="superscript"/>
        </w:rPr>
      </w:pPr>
      <w:r>
        <w:rPr>
          <w:rFonts w:ascii="Times New Roman" w:cs="Times New Roman" w:eastAsia="Times New Roman" w:hAnsi="Times New Roman"/>
          <w:sz w:val="14"/>
          <w:szCs w:val="14"/>
          <w:color w:val="auto"/>
        </w:rPr>
        <w:t>Source: EMARKETER Forecast, December 2025. Market size projections relate to US ecommerce sales driven through AI platforms</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Rezolve Ai</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Rezolve Ai (NASDAQ: RZLV) is building the execution infrastructure powering global AI business. Through its Brain Suite platform, Rezolve enables retailers, brands and financial institutions to engage consumers in real time and execute transactions directly through AI-powered systems.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more information, visit www.rezolve.com.</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investors@rezolve.com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Rezolve Ai</w:t>
      </w:r>
    </w:p>
    <w:p>
      <w:pPr>
        <w:spacing w:after="0"/>
        <w:rPr>
          <w:sz w:val="20"/>
          <w:szCs w:val="20"/>
          <w:color w:val="auto"/>
        </w:rPr>
      </w:pPr>
      <w:r>
        <w:rPr>
          <w:rFonts w:ascii="Times New Roman" w:cs="Times New Roman" w:eastAsia="Times New Roman" w:hAnsi="Times New Roman"/>
          <w:sz w:val="20"/>
          <w:szCs w:val="20"/>
          <w:color w:val="auto"/>
        </w:rPr>
        <w:t>Urmee Khan - Global Head of Communications</w:t>
      </w:r>
    </w:p>
    <w:p>
      <w:pPr>
        <w:spacing w:after="0"/>
        <w:rPr>
          <w:sz w:val="20"/>
          <w:szCs w:val="20"/>
          <w:color w:val="auto"/>
        </w:rPr>
      </w:pPr>
      <w:r>
        <w:rPr>
          <w:rFonts w:ascii="Times New Roman" w:cs="Times New Roman" w:eastAsia="Times New Roman" w:hAnsi="Times New Roman"/>
          <w:sz w:val="20"/>
          <w:szCs w:val="20"/>
          <w:color w:val="auto"/>
        </w:rPr>
        <w:t>urmeekhan@rezolve.com</w:t>
      </w:r>
    </w:p>
    <w:p>
      <w:pPr>
        <w:spacing w:after="0"/>
        <w:rPr>
          <w:sz w:val="20"/>
          <w:szCs w:val="20"/>
          <w:color w:val="auto"/>
        </w:rPr>
      </w:pPr>
      <w:r>
        <w:rPr>
          <w:rFonts w:ascii="Times New Roman" w:cs="Times New Roman" w:eastAsia="Times New Roman" w:hAnsi="Times New Roman"/>
          <w:sz w:val="20"/>
          <w:szCs w:val="20"/>
          <w:color w:val="auto"/>
        </w:rPr>
        <w:t>+44 7576 094 040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This press release includes "forward-looking statements" within the meaning of the "safe harbor" provisions of the Private Securities Litigation Reform Act of 1996. The actual results of Rezolve Ai PLC ("Rezolve")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"design" and similar expressions are intended to identify such forward-looking statements. These forward-looking statements include, without limitation, Rezolve's guidance and expectations with respect to anticipated annual revenue, ARR and ARR Exit Rate for 2026 and MRR. ARR, ARR Exit Rates and MRR are projections and Rezolve's customers may not renew their outstanding contracts or maintain their usage rates, which would cause Rezolve's recognized revenue in future periods to decrease. These forward-looking statements involve significant risks and uncertainties that could cause the actual results to differ materially from the expected results. You should carefully consider the risks and uncertainties described in the "Risk Factors" section of Rezolve's Annual Report on Form 20-F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Except as required by applicable law, Rezolve does</w:t>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69" w:lineRule="auto"/>
        <w:rPr>
          <w:sz w:val="20"/>
          <w:szCs w:val="20"/>
          <w:color w:val="auto"/>
        </w:rPr>
      </w:pPr>
      <w:r>
        <w:rPr>
          <w:rFonts w:ascii="Times New Roman" w:cs="Times New Roman" w:eastAsia="Times New Roman" w:hAnsi="Times New Roman"/>
          <w:sz w:val="20"/>
          <w:szCs w:val="20"/>
          <w:color w:val="auto"/>
        </w:rPr>
        <w:t>not plan to publicly update or revise any forward-looking statements contained herein, whether as a result of any new information, future events, changed circumstances, or otherwise.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Use of Non-GAAP Financial Measures</w:t>
      </w:r>
    </w:p>
    <w:p>
      <w:pPr>
        <w:spacing w:after="0" w:line="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Company uses certain non-GAAP financial measures, which include Annual Recurring Revenue (ARR) [or “ARR exit rate”] MRR, contracted revenue, blended gross margins and software margins, as we believe these measures can provide meaningful information regarding our operating performance. These non-GAAP measures should be evaluated in addition to and not as a substitute for our financial results presented in accordance with U.S. GAAP.</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Annual Recurring Revenue (“ARR”) is a non-GAAP operating metric that represents the annualized value of recurring subscription and contract revenue under customer agreements in effect at the measurement date. A contract is included in ARR or contracted revenue for an applicable period if it is active at the end of that applicable period and is excluded if it is not active at the end of that applicable period. This measure includes revenue from subscription contracts as well as recurring professional services agreements. While ARR represents the annualized revenue the Company would expect to receive from customers assuming no increases or reductions in contractual arrangements, the measure can be affected by contract start and end dates and should be viewed independently of the Company’s GAAP revenue as ARR is an operating metric and is not intended to be combined with or to replace revenue. ARR is not a forecast of future revenue and does not consider other sources of revenue that are not recurring in nature. ARR does not have a standardized meaning and is not necessarily comparable to similarly titled measures presented by other companies. ARR is forward-looking and differs from GAAP revenue, which is recognized over time in accordance with ASC 606 based on delivery of services. As a result, ARR is not directly reconcilable to GAAP revenue because it includes the value of contracted future revenues that have not yet been recognized and excludes non-recurring and usage-based revenue recognized under GAAP.</w:t>
      </w:r>
    </w:p>
    <w:p>
      <w:pPr>
        <w:spacing w:after="0" w:line="2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EBITDA is defined as net income (loss) adjusted for interest expense, income tax, depreciation of property and equipment and amortization of acquired intangibles. EBITDA should not be considered as a substitute for other measures of financial performance reported in accordance with GAAP. Adjusted EBITDA is defined as EBITDA adjusted for unrealized foreign exchange gains (losses); share-based compensation related to employees, consultants and related parties; loss (gain) resulting from the remeasurement of derivative assets and derivative liabilities at fair value at the end of each reporting period; loss (gain) resulting from the extinguishment of debt obligations; loss (gain) resulting from the remeasurement of financial assets carried at fair value; ordinary shares issued in lieu of cash payment for services; ordinary shares issued to Radio Group to settle termination of any acquisition in Germany; legal costs incurred in connection with the Company’s SPAC transaction; costs related to the demerger of Rezolve Limited; legal and professional costs associated with acquisitions; and, costs incurred within business development expenses to close former businesses. Although it is frequently used by investors and securities analysts in their evaluations of companies, Adjusted EBITDA has limitations which we compensate by providing a reconciliation to the most directly comparable GAAP measure, net income (loss). Adjusted EBITDA is used by management to understand and track underlying earnings performance by excluding one-time and non-recurring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REZOLVE AI PLC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Combined Consolidated Balance Sheets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778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auto"/>
            </w:tcBorders>
            <w:shd w:val="clear" w:color="auto" w:fill="CFF0FC"/>
          </w:tcPr>
          <w:p>
            <w:pPr>
              <w:spacing w:after="0"/>
              <w:rPr>
                <w:sz w:val="12"/>
                <w:szCs w:val="12"/>
                <w:color w:val="auto"/>
              </w:rPr>
            </w:pPr>
          </w:p>
        </w:tc>
        <w:tc>
          <w:tcPr>
            <w:tcW w:w="1520" w:type="dxa"/>
            <w:vAlign w:val="bottom"/>
            <w:tcBorders>
              <w:top w:val="single" w:sz="8" w:color="auto"/>
            </w:tcBorders>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52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80" w:type="dxa"/>
            <w:vAlign w:val="bottom"/>
            <w:tcBorders>
              <w:right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111,112,251</w:t>
            </w:r>
          </w:p>
        </w:tc>
        <w:tc>
          <w:tcPr>
            <w:tcW w:w="200" w:type="dxa"/>
            <w:vAlign w:val="bottom"/>
            <w:tcBorders>
              <w:left w:val="single" w:sz="8" w:color="CFF0FC"/>
            </w:tcBorders>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9,729,546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receivable and unbilled receivable, net</w:t>
            </w: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39,176,319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703,706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Borders>
              <w:right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20,040,251</w:t>
            </w:r>
          </w:p>
        </w:tc>
        <w:tc>
          <w:tcPr>
            <w:tcW w:w="1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1,002,117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receivables</w:t>
            </w: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4,621,928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780" w:type="dxa"/>
            <w:vAlign w:val="bottom"/>
            <w:tcBorders>
              <w:right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Derivative asset</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2,587,581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80" w:type="dxa"/>
            <w:vAlign w:val="bottom"/>
            <w:tcBorders>
              <w:top w:val="single" w:sz="8" w:color="CFF0FC"/>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0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174,950,749</w:t>
            </w: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14,022,950</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80" w:type="dxa"/>
            <w:vAlign w:val="bottom"/>
            <w:tcBorders>
              <w:right w:val="single" w:sz="8" w:color="CFF0FC"/>
            </w:tcBorders>
            <w:shd w:val="clear" w:color="auto" w:fill="CFF0FC"/>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510,745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239,200,952</w:t>
            </w:r>
          </w:p>
        </w:tc>
        <w:tc>
          <w:tcPr>
            <w:tcW w:w="1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6,750,178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Crypto intangible assets, net</w:t>
            </w: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102,801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78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digital assets, net</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16,373,705</w:t>
            </w:r>
          </w:p>
        </w:tc>
        <w:tc>
          <w:tcPr>
            <w:tcW w:w="1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168,396,367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78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2,985,757</w:t>
            </w:r>
          </w:p>
        </w:tc>
        <w:tc>
          <w:tcPr>
            <w:tcW w:w="1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method investments</w:t>
            </w: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5,517,613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780" w:type="dxa"/>
            <w:vAlign w:val="bottom"/>
            <w:tcBorders>
              <w:bottom w:val="single" w:sz="8" w:color="CFF0FC"/>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10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3,695,701</w:t>
            </w:r>
          </w:p>
        </w:tc>
        <w:tc>
          <w:tcPr>
            <w:tcW w:w="100" w:type="dxa"/>
            <w:vAlign w:val="bottom"/>
            <w:tcBorders>
              <w:left w:val="single" w:sz="8" w:color="CFF0FC"/>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373,445</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8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1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436,783,641</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7,145,942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78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611,734,390</w:t>
            </w:r>
          </w:p>
        </w:tc>
        <w:tc>
          <w:tcPr>
            <w:tcW w:w="200" w:type="dxa"/>
            <w:vAlign w:val="bottom"/>
            <w:tcBorders>
              <w:left w:val="single" w:sz="8" w:color="CFF0FC"/>
            </w:tcBorders>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21,168,892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7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Shareholders’ Equity/(Deficit)</w:t>
            </w:r>
          </w:p>
        </w:tc>
        <w:tc>
          <w:tcPr>
            <w:tcW w:w="1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80" w:type="dxa"/>
            <w:vAlign w:val="bottom"/>
            <w:tcBorders>
              <w:right w:val="single" w:sz="8" w:color="CFF0FC"/>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35,714,363</w:t>
            </w: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8,061,598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80" w:type="dxa"/>
            <w:vAlign w:val="bottom"/>
            <w:tcBorders>
              <w:right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Due to related party</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32,918</w:t>
            </w:r>
          </w:p>
        </w:tc>
        <w:tc>
          <w:tcPr>
            <w:tcW w:w="1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1,639,418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Accrued expenses and other payables</w:t>
            </w: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20,443,717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9,513,932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Borders>
              <w:right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Short term debt</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102,142,933</w:t>
            </w:r>
          </w:p>
        </w:tc>
        <w:tc>
          <w:tcPr>
            <w:tcW w:w="1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Short term debt to related party</w:t>
            </w: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5,102,211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Borders>
              <w:right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Short term convertible debt</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1,800,000</w:t>
            </w:r>
          </w:p>
        </w:tc>
        <w:tc>
          <w:tcPr>
            <w:tcW w:w="1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10,288,123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Short term convertible debt to related party</w:t>
            </w: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95,309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Borders>
              <w:right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Convertible promissory notes</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426,537</w:t>
            </w:r>
          </w:p>
        </w:tc>
        <w:tc>
          <w:tcPr>
            <w:tcW w:w="1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6,428,825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Ordinary Shares Payable</w:t>
            </w: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10,660,000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1,206,609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Borders>
              <w:right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Share-based payment liability</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1,400,000</w:t>
            </w:r>
          </w:p>
        </w:tc>
        <w:tc>
          <w:tcPr>
            <w:tcW w:w="1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Advisors loans</w:t>
            </w: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12,812,366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Borders>
              <w:right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Derivative liabilities</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2,881,469</w:t>
            </w:r>
          </w:p>
        </w:tc>
        <w:tc>
          <w:tcPr>
            <w:tcW w:w="1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2,579,875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622,496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780" w:type="dxa"/>
            <w:vAlign w:val="bottom"/>
            <w:tcBorders>
              <w:right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46,500,843</w:t>
            </w:r>
          </w:p>
        </w:tc>
        <w:tc>
          <w:tcPr>
            <w:tcW w:w="1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1,172,056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Warrant liability</w:t>
            </w: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718,625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780" w:type="dxa"/>
            <w:vAlign w:val="bottom"/>
            <w:tcBorders>
              <w:right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Lease liabilities, current portion</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1,977,211</w:t>
            </w:r>
          </w:p>
        </w:tc>
        <w:tc>
          <w:tcPr>
            <w:tcW w:w="1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Contingent consideration, current portion</w:t>
            </w: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27,772,675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780" w:type="dxa"/>
            <w:vAlign w:val="bottom"/>
            <w:tcBorders>
              <w:bottom w:val="single" w:sz="8" w:color="CFF0FC"/>
              <w:right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100" w:type="dxa"/>
            <w:vAlign w:val="bottom"/>
            <w:tcBorders>
              <w:bottom w:val="single" w:sz="8" w:color="CFF0FC"/>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8,967,140</w:t>
            </w:r>
          </w:p>
        </w:tc>
        <w:tc>
          <w:tcPr>
            <w:tcW w:w="100" w:type="dxa"/>
            <w:vAlign w:val="bottom"/>
            <w:tcBorders>
              <w:left w:val="single" w:sz="8" w:color="CFF0FC"/>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2,138,314</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8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262,072,900</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62,438,636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80" w:type="dxa"/>
            <w:vAlign w:val="bottom"/>
            <w:tcBorders>
              <w:right w:val="single" w:sz="8" w:color="CFF0FC"/>
            </w:tcBorders>
            <w:shd w:val="clear" w:color="auto" w:fill="CFF0FC"/>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Long term debt</w:t>
            </w: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50,092,029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780" w:type="dxa"/>
            <w:vAlign w:val="bottom"/>
            <w:tcBorders>
              <w:right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Lease liabilities, non-current portion</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827,038</w:t>
            </w:r>
          </w:p>
        </w:tc>
        <w:tc>
          <w:tcPr>
            <w:tcW w:w="1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tax liabilities</w:t>
            </w: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28,249,835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780" w:type="dxa"/>
            <w:vAlign w:val="bottom"/>
            <w:tcBorders>
              <w:right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Contingent consideration, non-current portion</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23,277,895</w:t>
            </w:r>
          </w:p>
        </w:tc>
        <w:tc>
          <w:tcPr>
            <w:tcW w:w="1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100" w:type="dxa"/>
            <w:vAlign w:val="bottom"/>
          </w:tcPr>
          <w:p>
            <w:pPr>
              <w:spacing w:after="0"/>
              <w:rPr>
                <w:sz w:val="12"/>
                <w:szCs w:val="12"/>
                <w:color w:val="auto"/>
              </w:rPr>
            </w:pPr>
          </w:p>
        </w:tc>
        <w:tc>
          <w:tcPr>
            <w:tcW w:w="1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399,161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80" w:type="dxa"/>
            <w:vAlign w:val="bottom"/>
            <w:tcBorders>
              <w:right w:val="single" w:sz="8" w:color="CFF0FC"/>
            </w:tcBorders>
            <w:shd w:val="clear" w:color="auto" w:fill="CFF0FC"/>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Total non current liabilities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102,845,958</w:t>
            </w:r>
          </w:p>
        </w:tc>
        <w:tc>
          <w:tcPr>
            <w:tcW w:w="200" w:type="dxa"/>
            <w:vAlign w:val="bottom"/>
            <w:tcBorders>
              <w:left w:val="single" w:sz="8" w:color="CFF0FC"/>
            </w:tcBorders>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77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364,918,858</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62,438,636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780" w:type="dxa"/>
            <w:vAlign w:val="bottom"/>
            <w:tcBorders>
              <w:right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Commitments (refer to note 18)</w:t>
            </w:r>
          </w:p>
        </w:tc>
        <w:tc>
          <w:tcPr>
            <w:tcW w:w="10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 Equity/(Deficit)</w:t>
            </w: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7780" w:type="dxa"/>
            <w:vAlign w:val="bottom"/>
            <w:tcBorders>
              <w:right w:val="single" w:sz="8" w:color="CFF0FC"/>
            </w:tcBorders>
            <w:shd w:val="clear" w:color="auto" w:fill="CFF0FC"/>
          </w:tcPr>
          <w:p>
            <w:pPr>
              <w:ind w:left="80"/>
              <w:spacing w:after="0" w:line="124" w:lineRule="exact"/>
              <w:rPr>
                <w:sz w:val="20"/>
                <w:szCs w:val="20"/>
                <w:color w:val="auto"/>
              </w:rPr>
            </w:pPr>
            <w:r>
              <w:rPr>
                <w:rFonts w:ascii="Times New Roman" w:cs="Times New Roman" w:eastAsia="Times New Roman" w:hAnsi="Times New Roman"/>
                <w:sz w:val="14"/>
                <w:szCs w:val="14"/>
                <w:color w:val="auto"/>
              </w:rPr>
              <w:t xml:space="preserve">Ordinary shares, £0.0001 nominal value </w:t>
            </w:r>
            <w:r>
              <w:rPr>
                <w:rFonts w:ascii="Times New Roman" w:cs="Times New Roman" w:eastAsia="Times New Roman" w:hAnsi="Times New Roman"/>
                <w:sz w:val="14"/>
                <w:szCs w:val="14"/>
                <w:b w:val="1"/>
                <w:bCs w:val="1"/>
                <w:color w:val="auto"/>
              </w:rPr>
              <w:t>336,327,587</w:t>
            </w:r>
            <w:r>
              <w:rPr>
                <w:rFonts w:ascii="Times New Roman" w:cs="Times New Roman" w:eastAsia="Times New Roman" w:hAnsi="Times New Roman"/>
                <w:sz w:val="14"/>
                <w:szCs w:val="14"/>
                <w:color w:val="auto"/>
              </w:rPr>
              <w:t xml:space="preserve"> shares issued and outstanding as of December 31, 2025; 208,260,754 shares</w:t>
            </w:r>
          </w:p>
        </w:tc>
        <w:tc>
          <w:tcPr>
            <w:tcW w:w="100" w:type="dxa"/>
            <w:vAlign w:val="bottom"/>
            <w:shd w:val="clear" w:color="auto" w:fill="CFF0FC"/>
          </w:tcPr>
          <w:p>
            <w:pPr>
              <w:spacing w:after="0"/>
              <w:rPr>
                <w:sz w:val="10"/>
                <w:szCs w:val="10"/>
                <w:color w:val="auto"/>
              </w:rPr>
            </w:pPr>
          </w:p>
        </w:tc>
        <w:tc>
          <w:tcPr>
            <w:tcW w:w="1520" w:type="dxa"/>
            <w:vAlign w:val="bottom"/>
            <w:shd w:val="clear" w:color="auto" w:fill="CFF0FC"/>
          </w:tcPr>
          <w:p>
            <w:pPr>
              <w:spacing w:after="0"/>
              <w:rPr>
                <w:sz w:val="10"/>
                <w:szCs w:val="10"/>
                <w:color w:val="auto"/>
              </w:rPr>
            </w:pPr>
          </w:p>
        </w:tc>
        <w:tc>
          <w:tcPr>
            <w:tcW w:w="10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780" w:type="dxa"/>
            <w:vAlign w:val="bottom"/>
            <w:tcBorders>
              <w:right w:val="single" w:sz="8" w:color="CFF0FC"/>
            </w:tcBorders>
            <w:shd w:val="clear" w:color="auto" w:fill="CFF0FC"/>
          </w:tcPr>
          <w:p>
            <w:pPr>
              <w:ind w:left="80"/>
              <w:spacing w:after="0" w:line="151" w:lineRule="exact"/>
              <w:rPr>
                <w:sz w:val="20"/>
                <w:szCs w:val="20"/>
                <w:color w:val="auto"/>
              </w:rPr>
            </w:pPr>
            <w:r>
              <w:rPr>
                <w:rFonts w:ascii="Times New Roman" w:cs="Times New Roman" w:eastAsia="Times New Roman" w:hAnsi="Times New Roman"/>
                <w:sz w:val="14"/>
                <w:szCs w:val="14"/>
                <w:color w:val="auto"/>
              </w:rPr>
              <w:t xml:space="preserve">issued and outstanding as of December 31, 2024; </w:t>
            </w:r>
            <w:r>
              <w:rPr>
                <w:rFonts w:ascii="Times New Roman" w:cs="Times New Roman" w:eastAsia="Times New Roman" w:hAnsi="Times New Roman"/>
                <w:sz w:val="14"/>
                <w:szCs w:val="14"/>
                <w:b w:val="1"/>
                <w:bCs w:val="1"/>
                <w:color w:val="auto"/>
              </w:rPr>
              <w:t>423,495,449</w:t>
            </w:r>
            <w:r>
              <w:rPr>
                <w:rFonts w:ascii="Times New Roman" w:cs="Times New Roman" w:eastAsia="Times New Roman" w:hAnsi="Times New Roman"/>
                <w:sz w:val="14"/>
                <w:szCs w:val="14"/>
                <w:color w:val="auto"/>
              </w:rPr>
              <w:t xml:space="preserve"> and 256,365,817 shares authorized as of December 31, 2025 and 2024</w:t>
            </w:r>
          </w:p>
        </w:tc>
        <w:tc>
          <w:tcPr>
            <w:tcW w:w="100" w:type="dxa"/>
            <w:vAlign w:val="bottom"/>
            <w:shd w:val="clear" w:color="auto" w:fill="CFF0FC"/>
          </w:tcPr>
          <w:p>
            <w:pPr>
              <w:spacing w:after="0"/>
              <w:rPr>
                <w:sz w:val="13"/>
                <w:szCs w:val="13"/>
                <w:color w:val="auto"/>
              </w:rPr>
            </w:pPr>
          </w:p>
        </w:tc>
        <w:tc>
          <w:tcPr>
            <w:tcW w:w="1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43,817</w:t>
            </w:r>
          </w:p>
        </w:tc>
        <w:tc>
          <w:tcPr>
            <w:tcW w:w="100" w:type="dxa"/>
            <w:vAlign w:val="bottom"/>
            <w:tcBorders>
              <w:lef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26,919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78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(refer to note 2.22)</w:t>
            </w:r>
          </w:p>
        </w:tc>
        <w:tc>
          <w:tcPr>
            <w:tcW w:w="100" w:type="dxa"/>
            <w:vAlign w:val="bottom"/>
            <w:shd w:val="clear" w:color="auto" w:fill="CFF0FC"/>
          </w:tcPr>
          <w:p>
            <w:pPr>
              <w:spacing w:after="0"/>
              <w:rPr>
                <w:sz w:val="14"/>
                <w:szCs w:val="14"/>
                <w:color w:val="auto"/>
              </w:rPr>
            </w:pPr>
          </w:p>
        </w:tc>
        <w:tc>
          <w:tcPr>
            <w:tcW w:w="1520" w:type="dxa"/>
            <w:vAlign w:val="bottom"/>
            <w:vMerge w:val="continue"/>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605,583,785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216,879,496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Borders>
              <w:right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Share subscription receivable</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w:t>
            </w:r>
          </w:p>
        </w:tc>
        <w:tc>
          <w:tcPr>
            <w:tcW w:w="10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48"/>
        </w:trPr>
        <w:tc>
          <w:tcPr>
            <w:tcW w:w="7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(359,619,973)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(258,209,745)</w:t>
            </w:r>
          </w:p>
        </w:tc>
        <w:tc>
          <w:tcPr>
            <w:tcW w:w="0" w:type="dxa"/>
            <w:vAlign w:val="bottom"/>
          </w:tcPr>
          <w:p>
            <w:pPr>
              <w:spacing w:after="0"/>
              <w:rPr>
                <w:sz w:val="1"/>
                <w:szCs w:val="1"/>
                <w:color w:val="auto"/>
              </w:rPr>
            </w:pPr>
          </w:p>
        </w:tc>
      </w:tr>
      <w:tr>
        <w:trPr>
          <w:trHeight w:val="149"/>
        </w:trPr>
        <w:tc>
          <w:tcPr>
            <w:tcW w:w="7780" w:type="dxa"/>
            <w:vAlign w:val="bottom"/>
            <w:tcBorders>
              <w:bottom w:val="single" w:sz="8" w:color="CFF0FC"/>
              <w:right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00" w:type="dxa"/>
            <w:vAlign w:val="bottom"/>
            <w:tcBorders>
              <w:bottom w:val="single" w:sz="8" w:color="CFF0FC"/>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809,046</w:t>
            </w:r>
          </w:p>
        </w:tc>
        <w:tc>
          <w:tcPr>
            <w:tcW w:w="100" w:type="dxa"/>
            <w:vAlign w:val="bottom"/>
            <w:tcBorders>
              <w:left w:val="single" w:sz="8" w:color="CFF0FC"/>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33,666</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Shareholders’ Equity/(Deficit)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246,815,532</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(41,269,744)</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8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shareholders’ equity/(deficit)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611,734,390</w:t>
            </w:r>
          </w:p>
        </w:tc>
        <w:tc>
          <w:tcPr>
            <w:tcW w:w="200" w:type="dxa"/>
            <w:vAlign w:val="bottom"/>
            <w:tcBorders>
              <w:left w:val="single" w:sz="8" w:color="CFF0FC"/>
            </w:tcBorders>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21,168,892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621"/>
        </w:trPr>
        <w:tc>
          <w:tcPr>
            <w:tcW w:w="7780" w:type="dxa"/>
            <w:vAlign w:val="bottom"/>
            <w:tcBorders>
              <w:top w:val="single" w:sz="8" w:color="CFF0FC"/>
            </w:tcBorders>
          </w:tcPr>
          <w:p>
            <w:pPr>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987"/>
        </w:trPr>
        <w:tc>
          <w:tcPr>
            <w:tcW w:w="7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-6111240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-6111240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-5151120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-5151120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-4945380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-4928235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-4945380</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-4928235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-3034030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-3034030</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-2253615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-2253615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-1276350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-1276350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-1071245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-1053465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 w:name="page10"/>
    <w:bookmarkEnd w:id="9"/>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REZOLVE AI PLC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Combined Consolidated Statements of Operations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19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46,800,099</w:t>
            </w:r>
          </w:p>
        </w:tc>
        <w:tc>
          <w:tcPr>
            <w:tcW w:w="1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2,013,567</w:t>
            </w: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Operating expenses/(income)</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15,922,202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192,829</w:t>
            </w: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Sales and marketing expenses (including related party transactions of $1,833,486 and $1,011,119, see note 14)</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12,062,375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6,684,870</w:t>
            </w:r>
          </w:p>
        </w:tc>
        <w:tc>
          <w:tcPr>
            <w:tcW w:w="120" w:type="dxa"/>
            <w:vAlign w:val="bottom"/>
          </w:tcPr>
          <w:p>
            <w:pPr>
              <w:spacing w:after="0"/>
              <w:rPr>
                <w:sz w:val="17"/>
                <w:szCs w:val="17"/>
                <w:color w:val="auto"/>
              </w:rPr>
            </w:pPr>
          </w:p>
        </w:tc>
      </w:tr>
      <w:tr>
        <w:trPr>
          <w:trHeight w:val="189"/>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General and administrative expenses (including related party transactions of $8,120,684 and $68,413,399, see</w:t>
            </w: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note 14)</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90,366,226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132,022,084</w:t>
            </w:r>
          </w:p>
        </w:tc>
        <w:tc>
          <w:tcPr>
            <w:tcW w:w="120" w:type="dxa"/>
            <w:vAlign w:val="bottom"/>
            <w:shd w:val="clear" w:color="auto" w:fill="CFF0FC"/>
          </w:tcPr>
          <w:p>
            <w:pPr>
              <w:spacing w:after="0"/>
              <w:rPr>
                <w:sz w:val="18"/>
                <w:szCs w:val="18"/>
                <w:color w:val="auto"/>
              </w:rPr>
            </w:pPr>
          </w:p>
        </w:tc>
      </w:tr>
      <w:tr>
        <w:trPr>
          <w:trHeight w:val="203"/>
        </w:trPr>
        <w:tc>
          <w:tcPr>
            <w:tcW w:w="7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 expenses</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6,965,148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226,305</w:t>
            </w:r>
          </w:p>
        </w:tc>
        <w:tc>
          <w:tcPr>
            <w:tcW w:w="120" w:type="dxa"/>
            <w:vAlign w:val="bottom"/>
          </w:tcPr>
          <w:p>
            <w:pPr>
              <w:spacing w:after="0"/>
              <w:rPr>
                <w:sz w:val="17"/>
                <w:szCs w:val="17"/>
                <w:color w:val="auto"/>
              </w:rPr>
            </w:pPr>
          </w:p>
        </w:tc>
      </w:tr>
      <w:tr>
        <w:trPr>
          <w:trHeight w:val="203"/>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11,198,074</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1,152,807</w:t>
            </w: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operating (income)/expense, net</w:t>
            </w:r>
          </w:p>
        </w:tc>
        <w:tc>
          <w:tcPr>
            <w:tcW w:w="14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(2,857,071)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255,412</w:t>
            </w:r>
          </w:p>
        </w:tc>
        <w:tc>
          <w:tcPr>
            <w:tcW w:w="12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operating expenses/(income)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133,656,954</w:t>
            </w:r>
          </w:p>
        </w:tc>
        <w:tc>
          <w:tcPr>
            <w:tcW w:w="1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140,534,307</w:t>
            </w:r>
          </w:p>
        </w:tc>
        <w:tc>
          <w:tcPr>
            <w:tcW w:w="120" w:type="dxa"/>
            <w:vAlign w:val="bottom"/>
            <w:shd w:val="clear" w:color="auto" w:fill="CFF0FC"/>
          </w:tcPr>
          <w:p>
            <w:pPr>
              <w:spacing w:after="0"/>
              <w:rPr>
                <w:sz w:val="17"/>
                <w:szCs w:val="17"/>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7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(86,856,855)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(138,520,740)</w:t>
            </w:r>
          </w:p>
        </w:tc>
      </w:tr>
      <w:tr>
        <w:trPr>
          <w:trHeight w:val="20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(expense)/income</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(3,507,201)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(10,645,464)</w:t>
            </w:r>
          </w:p>
        </w:tc>
      </w:tr>
      <w:tr>
        <w:trPr>
          <w:trHeight w:val="203"/>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(Loss)/gain on derivatives</w:t>
            </w:r>
          </w:p>
        </w:tc>
        <w:tc>
          <w:tcPr>
            <w:tcW w:w="1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(2,889,175)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19,001,681</w:t>
            </w: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Loss on extinguishment</w:t>
            </w:r>
          </w:p>
        </w:tc>
        <w:tc>
          <w:tcPr>
            <w:tcW w:w="14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(29,950,161)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(44,332,819)</w:t>
            </w:r>
          </w:p>
        </w:tc>
      </w:tr>
      <w:tr>
        <w:trPr>
          <w:trHeight w:val="203"/>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Gain on revaluation of financial asset</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5,645,839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Gain on bargain purchase</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61,298,445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Impairment loss</w:t>
            </w:r>
          </w:p>
        </w:tc>
        <w:tc>
          <w:tcPr>
            <w:tcW w:w="1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(63,345,577)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non-operating income, net</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465,518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1,289,944</w:t>
            </w:r>
          </w:p>
        </w:tc>
        <w:tc>
          <w:tcPr>
            <w:tcW w:w="120" w:type="dxa"/>
            <w:vAlign w:val="bottom"/>
          </w:tcPr>
          <w:p>
            <w:pPr>
              <w:spacing w:after="0"/>
              <w:rPr>
                <w:sz w:val="17"/>
                <w:szCs w:val="17"/>
                <w:color w:val="auto"/>
              </w:rPr>
            </w:pPr>
          </w:p>
        </w:tc>
      </w:tr>
      <w:tr>
        <w:trPr>
          <w:trHeight w:val="19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other expenses, net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(32,282,312)</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(34,686,658)</w:t>
            </w:r>
          </w:p>
        </w:tc>
      </w:tr>
      <w:tr>
        <w:trPr>
          <w:trHeight w:val="20"/>
        </w:trPr>
        <w:tc>
          <w:tcPr>
            <w:tcW w:w="77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7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before provision for income taxes</w:t>
            </w:r>
          </w:p>
        </w:tc>
        <w:tc>
          <w:tcPr>
            <w:tcW w:w="14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(119,139,167)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(173,207,398)</w:t>
            </w:r>
          </w:p>
        </w:tc>
      </w:tr>
      <w:tr>
        <w:trPr>
          <w:trHeight w:val="20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17,728,939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(243,735)</w:t>
            </w:r>
          </w:p>
        </w:tc>
      </w:tr>
      <w:tr>
        <w:trPr>
          <w:trHeight w:val="20"/>
        </w:trPr>
        <w:tc>
          <w:tcPr>
            <w:tcW w:w="77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7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and comprehensive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(101,410,228)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(173,451,133)</w:t>
            </w:r>
          </w:p>
        </w:tc>
      </w:tr>
      <w:tr>
        <w:trPr>
          <w:trHeight w:val="20"/>
        </w:trPr>
        <w:tc>
          <w:tcPr>
            <w:tcW w:w="7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loss per share, basic and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(0.38)</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(1.06)</w:t>
            </w:r>
          </w:p>
        </w:tc>
      </w:tr>
      <w:tr>
        <w:trPr>
          <w:trHeight w:val="196"/>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Weighted average shares, basic and diluted</w:t>
            </w:r>
          </w:p>
        </w:tc>
        <w:tc>
          <w:tcPr>
            <w:tcW w:w="1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267,981,256</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163,674,883</w:t>
            </w:r>
          </w:p>
        </w:tc>
        <w:tc>
          <w:tcPr>
            <w:tcW w:w="120" w:type="dxa"/>
            <w:vAlign w:val="bottom"/>
            <w:tcBorders>
              <w:top w:val="single" w:sz="8" w:color="CFF0FC"/>
            </w:tcBorders>
          </w:tcPr>
          <w:p>
            <w:pPr>
              <w:spacing w:after="0"/>
              <w:rPr>
                <w:sz w:val="17"/>
                <w:szCs w:val="17"/>
                <w:color w:val="auto"/>
              </w:rPr>
            </w:pPr>
          </w:p>
        </w:tc>
      </w:tr>
      <w:tr>
        <w:trPr>
          <w:trHeight w:val="782"/>
        </w:trPr>
        <w:tc>
          <w:tcPr>
            <w:tcW w:w="7700" w:type="dxa"/>
            <w:vAlign w:val="bottom"/>
          </w:tcPr>
          <w:p>
            <w:pPr>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87"/>
        </w:trPr>
        <w:tc>
          <w:tcPr>
            <w:tcW w:w="7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-3145155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-3145155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-1842770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-1842770</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-1576705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-1576705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-1285240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-1285240</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REZOLVE AI PLC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Combined Consolidated Statements of Cash Flows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60" w:type="dxa"/>
            <w:vAlign w:val="bottom"/>
          </w:tcPr>
          <w:p>
            <w:pPr>
              <w:spacing w:after="0"/>
              <w:rPr>
                <w:sz w:val="17"/>
                <w:szCs w:val="17"/>
                <w:color w:val="auto"/>
              </w:rPr>
            </w:pPr>
          </w:p>
        </w:tc>
        <w:tc>
          <w:tcPr>
            <w:tcW w:w="17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5"/>
        </w:trPr>
        <w:tc>
          <w:tcPr>
            <w:tcW w:w="6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20" w:type="dxa"/>
            <w:vAlign w:val="bottom"/>
            <w:shd w:val="clear" w:color="auto" w:fill="CFF0FC"/>
          </w:tcPr>
          <w:p>
            <w:pPr>
              <w:spacing w:after="0"/>
              <w:rPr>
                <w:sz w:val="17"/>
                <w:szCs w:val="17"/>
                <w:color w:val="auto"/>
              </w:rPr>
            </w:pPr>
          </w:p>
        </w:tc>
        <w:tc>
          <w:tcPr>
            <w:tcW w:w="17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(101,410,228)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(173,451,133)</w:t>
            </w:r>
          </w:p>
        </w:tc>
      </w:tr>
      <w:tr>
        <w:trPr>
          <w:trHeight w:val="203"/>
        </w:trPr>
        <w:tc>
          <w:tcPr>
            <w:tcW w:w="6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2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6,965,163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226,305</w:t>
            </w:r>
          </w:p>
        </w:tc>
        <w:tc>
          <w:tcPr>
            <w:tcW w:w="120" w:type="dxa"/>
            <w:vAlign w:val="bottom"/>
          </w:tcPr>
          <w:p>
            <w:pPr>
              <w:spacing w:after="0"/>
              <w:rPr>
                <w:sz w:val="17"/>
                <w:szCs w:val="17"/>
                <w:color w:val="auto"/>
              </w:rPr>
            </w:pPr>
          </w:p>
        </w:tc>
      </w:tr>
      <w:tr>
        <w:trPr>
          <w:trHeight w:val="203"/>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Impairment of loans receivable</w:t>
            </w:r>
          </w:p>
        </w:tc>
        <w:tc>
          <w:tcPr>
            <w:tcW w:w="82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255,412</w:t>
            </w:r>
          </w:p>
        </w:tc>
        <w:tc>
          <w:tcPr>
            <w:tcW w:w="120" w:type="dxa"/>
            <w:vAlign w:val="bottom"/>
            <w:shd w:val="clear" w:color="auto" w:fill="CFF0FC"/>
          </w:tcPr>
          <w:p>
            <w:pPr>
              <w:spacing w:after="0"/>
              <w:rPr>
                <w:sz w:val="17"/>
                <w:szCs w:val="17"/>
                <w:color w:val="auto"/>
              </w:rPr>
            </w:pP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 employees shares restrictions lifted</w:t>
            </w:r>
          </w:p>
        </w:tc>
        <w:tc>
          <w:tcPr>
            <w:tcW w:w="820" w:type="dxa"/>
            <w:vAlign w:val="bottom"/>
          </w:tcPr>
          <w:p>
            <w:pPr>
              <w:spacing w:after="0"/>
              <w:rPr>
                <w:sz w:val="17"/>
                <w:szCs w:val="17"/>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18,836,099</w:t>
            </w:r>
          </w:p>
        </w:tc>
        <w:tc>
          <w:tcPr>
            <w:tcW w:w="120" w:type="dxa"/>
            <w:vAlign w:val="bottom"/>
          </w:tcPr>
          <w:p>
            <w:pPr>
              <w:spacing w:after="0"/>
              <w:rPr>
                <w:sz w:val="17"/>
                <w:szCs w:val="17"/>
                <w:color w:val="auto"/>
              </w:rPr>
            </w:pPr>
          </w:p>
        </w:tc>
      </w:tr>
      <w:tr>
        <w:trPr>
          <w:trHeight w:val="203"/>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 based compensation for employees</w:t>
            </w:r>
          </w:p>
        </w:tc>
        <w:tc>
          <w:tcPr>
            <w:tcW w:w="82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3,804,637</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4,314,649</w:t>
            </w:r>
          </w:p>
        </w:tc>
        <w:tc>
          <w:tcPr>
            <w:tcW w:w="120" w:type="dxa"/>
            <w:vAlign w:val="bottom"/>
            <w:shd w:val="clear" w:color="auto" w:fill="CFF0FC"/>
          </w:tcPr>
          <w:p>
            <w:pPr>
              <w:spacing w:after="0"/>
              <w:rPr>
                <w:sz w:val="17"/>
                <w:szCs w:val="17"/>
                <w:color w:val="auto"/>
              </w:rPr>
            </w:pP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based compensation issued to related parties</w:t>
            </w:r>
          </w:p>
        </w:tc>
        <w:tc>
          <w:tcPr>
            <w:tcW w:w="8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5,325,000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63,001,392</w:t>
            </w:r>
          </w:p>
        </w:tc>
        <w:tc>
          <w:tcPr>
            <w:tcW w:w="120" w:type="dxa"/>
            <w:vAlign w:val="bottom"/>
          </w:tcPr>
          <w:p>
            <w:pPr>
              <w:spacing w:after="0"/>
              <w:rPr>
                <w:sz w:val="17"/>
                <w:szCs w:val="17"/>
                <w:color w:val="auto"/>
              </w:rPr>
            </w:pPr>
          </w:p>
        </w:tc>
      </w:tr>
      <w:tr>
        <w:trPr>
          <w:trHeight w:val="203"/>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 based compensation for consultancy services</w:t>
            </w:r>
          </w:p>
        </w:tc>
        <w:tc>
          <w:tcPr>
            <w:tcW w:w="82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217,365</w:t>
            </w:r>
          </w:p>
        </w:tc>
        <w:tc>
          <w:tcPr>
            <w:tcW w:w="120" w:type="dxa"/>
            <w:vAlign w:val="bottom"/>
            <w:shd w:val="clear" w:color="auto" w:fill="CFF0FC"/>
          </w:tcPr>
          <w:p>
            <w:pPr>
              <w:spacing w:after="0"/>
              <w:rPr>
                <w:sz w:val="17"/>
                <w:szCs w:val="17"/>
                <w:color w:val="auto"/>
              </w:rPr>
            </w:pP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Ordinary shares issued in lieu of cash payment for services</w:t>
            </w:r>
          </w:p>
        </w:tc>
        <w:tc>
          <w:tcPr>
            <w:tcW w:w="8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484,120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279,006</w:t>
            </w:r>
          </w:p>
        </w:tc>
        <w:tc>
          <w:tcPr>
            <w:tcW w:w="120" w:type="dxa"/>
            <w:vAlign w:val="bottom"/>
          </w:tcPr>
          <w:p>
            <w:pPr>
              <w:spacing w:after="0"/>
              <w:rPr>
                <w:sz w:val="17"/>
                <w:szCs w:val="17"/>
                <w:color w:val="auto"/>
              </w:rPr>
            </w:pPr>
          </w:p>
        </w:tc>
      </w:tr>
      <w:tr>
        <w:trPr>
          <w:trHeight w:val="203"/>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 Northlands Securities</w:t>
            </w:r>
          </w:p>
        </w:tc>
        <w:tc>
          <w:tcPr>
            <w:tcW w:w="82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5,141,250</w:t>
            </w:r>
          </w:p>
        </w:tc>
        <w:tc>
          <w:tcPr>
            <w:tcW w:w="120" w:type="dxa"/>
            <w:vAlign w:val="bottom"/>
            <w:shd w:val="clear" w:color="auto" w:fill="CFF0FC"/>
          </w:tcPr>
          <w:p>
            <w:pPr>
              <w:spacing w:after="0"/>
              <w:rPr>
                <w:sz w:val="17"/>
                <w:szCs w:val="17"/>
                <w:color w:val="auto"/>
              </w:rPr>
            </w:pPr>
          </w:p>
        </w:tc>
      </w:tr>
      <w:tr>
        <w:trPr>
          <w:trHeight w:val="202"/>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 J.V.B. Financial Group</w:t>
            </w:r>
          </w:p>
        </w:tc>
        <w:tc>
          <w:tcPr>
            <w:tcW w:w="820" w:type="dxa"/>
            <w:vAlign w:val="bottom"/>
          </w:tcPr>
          <w:p>
            <w:pPr>
              <w:spacing w:after="0"/>
              <w:rPr>
                <w:sz w:val="17"/>
                <w:szCs w:val="17"/>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7,500,000</w:t>
            </w:r>
          </w:p>
        </w:tc>
        <w:tc>
          <w:tcPr>
            <w:tcW w:w="120" w:type="dxa"/>
            <w:vAlign w:val="bottom"/>
          </w:tcPr>
          <w:p>
            <w:pPr>
              <w:spacing w:after="0"/>
              <w:rPr>
                <w:sz w:val="17"/>
                <w:szCs w:val="17"/>
                <w:color w:val="auto"/>
              </w:rPr>
            </w:pPr>
          </w:p>
        </w:tc>
      </w:tr>
      <w:tr>
        <w:trPr>
          <w:trHeight w:val="203"/>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Cantor Fitzgerald</w:t>
            </w:r>
          </w:p>
        </w:tc>
        <w:tc>
          <w:tcPr>
            <w:tcW w:w="82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16,000,000</w:t>
            </w:r>
          </w:p>
        </w:tc>
        <w:tc>
          <w:tcPr>
            <w:tcW w:w="120" w:type="dxa"/>
            <w:vAlign w:val="bottom"/>
            <w:shd w:val="clear" w:color="auto" w:fill="CFF0FC"/>
          </w:tcPr>
          <w:p>
            <w:pPr>
              <w:spacing w:after="0"/>
              <w:rPr>
                <w:sz w:val="17"/>
                <w:szCs w:val="17"/>
                <w:color w:val="auto"/>
              </w:rPr>
            </w:pP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8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2,912,116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10,557,714</w:t>
            </w:r>
          </w:p>
        </w:tc>
        <w:tc>
          <w:tcPr>
            <w:tcW w:w="120" w:type="dxa"/>
            <w:vAlign w:val="bottom"/>
          </w:tcPr>
          <w:p>
            <w:pPr>
              <w:spacing w:after="0"/>
              <w:rPr>
                <w:sz w:val="17"/>
                <w:szCs w:val="17"/>
                <w:color w:val="auto"/>
              </w:rPr>
            </w:pPr>
          </w:p>
        </w:tc>
      </w:tr>
      <w:tr>
        <w:trPr>
          <w:trHeight w:val="203"/>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Loss/(gain) on derivatives</w:t>
            </w:r>
          </w:p>
        </w:tc>
        <w:tc>
          <w:tcPr>
            <w:tcW w:w="82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2,889,175</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(19,001,681)</w:t>
            </w: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w:t>
            </w:r>
          </w:p>
        </w:tc>
        <w:tc>
          <w:tcPr>
            <w:tcW w:w="8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29,950,161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44,332,819</w:t>
            </w:r>
          </w:p>
        </w:tc>
        <w:tc>
          <w:tcPr>
            <w:tcW w:w="120" w:type="dxa"/>
            <w:vAlign w:val="bottom"/>
          </w:tcPr>
          <w:p>
            <w:pPr>
              <w:spacing w:after="0"/>
              <w:rPr>
                <w:sz w:val="17"/>
                <w:szCs w:val="17"/>
                <w:color w:val="auto"/>
              </w:rPr>
            </w:pPr>
          </w:p>
        </w:tc>
      </w:tr>
      <w:tr>
        <w:trPr>
          <w:trHeight w:val="203"/>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Unrealized foreign exchange (gain)/loss</w:t>
            </w:r>
          </w:p>
        </w:tc>
        <w:tc>
          <w:tcPr>
            <w:tcW w:w="82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516,776</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(1,329,775)</w:t>
            </w: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revaluation of financial asset</w:t>
            </w:r>
          </w:p>
        </w:tc>
        <w:tc>
          <w:tcPr>
            <w:tcW w:w="820" w:type="dxa"/>
            <w:vAlign w:val="bottom"/>
          </w:tcPr>
          <w:p>
            <w:pPr>
              <w:spacing w:after="0"/>
              <w:rPr>
                <w:sz w:val="17"/>
                <w:szCs w:val="17"/>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(5,710,714)</w:t>
            </w:r>
          </w:p>
        </w:tc>
        <w:tc>
          <w:tcPr>
            <w:tcW w:w="1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Movement in deferred tax liabilities</w:t>
            </w:r>
          </w:p>
        </w:tc>
        <w:tc>
          <w:tcPr>
            <w:tcW w:w="82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(18,591,588)</w:t>
            </w: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Impairment loss</w:t>
            </w:r>
          </w:p>
        </w:tc>
        <w:tc>
          <w:tcPr>
            <w:tcW w:w="8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63,345,577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Gain on bargain purchase</w:t>
            </w:r>
          </w:p>
        </w:tc>
        <w:tc>
          <w:tcPr>
            <w:tcW w:w="82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(61,298,445)</w:t>
            </w: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Ordinary shares issued to Radio Group to settle termination of ANY acquisition in Germany</w:t>
            </w:r>
          </w:p>
        </w:tc>
        <w:tc>
          <w:tcPr>
            <w:tcW w:w="8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876,000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Non-cash component of lease expense</w:t>
            </w:r>
          </w:p>
        </w:tc>
        <w:tc>
          <w:tcPr>
            <w:tcW w:w="82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1,343,438</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Non-cash component of transaction related expenses</w:t>
            </w:r>
          </w:p>
        </w:tc>
        <w:tc>
          <w:tcPr>
            <w:tcW w:w="8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Non-cash component of warrant expense</w:t>
            </w:r>
          </w:p>
        </w:tc>
        <w:tc>
          <w:tcPr>
            <w:tcW w:w="82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2,199,625</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Loss on share issuance</w:t>
            </w:r>
          </w:p>
        </w:tc>
        <w:tc>
          <w:tcPr>
            <w:tcW w:w="8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690,093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 non-cash expenses</w:t>
            </w:r>
          </w:p>
        </w:tc>
        <w:tc>
          <w:tcPr>
            <w:tcW w:w="82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225,301</w:t>
            </w:r>
          </w:p>
        </w:tc>
        <w:tc>
          <w:tcPr>
            <w:tcW w:w="120" w:type="dxa"/>
            <w:vAlign w:val="bottom"/>
            <w:shd w:val="clear" w:color="auto" w:fill="CFF0FC"/>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Increase in accounts receivable</w:t>
            </w:r>
          </w:p>
        </w:tc>
        <w:tc>
          <w:tcPr>
            <w:tcW w:w="82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(18,528,451)</w:t>
            </w: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(632,120)</w:t>
            </w: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prepaid expense and other current assets with related parties</w:t>
            </w:r>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Decrease/(Increase) in prepaid expense and other current assets</w:t>
            </w:r>
          </w:p>
        </w:tc>
        <w:tc>
          <w:tcPr>
            <w:tcW w:w="82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(4,052,038)</w:t>
            </w: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(1,016,289)</w:t>
            </w: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accounts payable, accrued expenses and other payables</w:t>
            </w:r>
          </w:p>
        </w:tc>
        <w:tc>
          <w:tcPr>
            <w:tcW w:w="8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15,007,034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1,108,241</w:t>
            </w:r>
          </w:p>
        </w:tc>
        <w:tc>
          <w:tcPr>
            <w:tcW w:w="120" w:type="dxa"/>
            <w:vAlign w:val="bottom"/>
          </w:tcPr>
          <w:p>
            <w:pPr>
              <w:spacing w:after="0"/>
              <w:rPr>
                <w:sz w:val="17"/>
                <w:szCs w:val="17"/>
                <w:color w:val="auto"/>
              </w:rPr>
            </w:pPr>
          </w:p>
        </w:tc>
      </w:tr>
      <w:tr>
        <w:trPr>
          <w:trHeight w:val="203"/>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(Decrease)/Increase in payables due to related parties</w:t>
            </w:r>
          </w:p>
        </w:tc>
        <w:tc>
          <w:tcPr>
            <w:tcW w:w="82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(1,052,585)</w:t>
            </w:r>
          </w:p>
        </w:tc>
        <w:tc>
          <w:tcPr>
            <w:tcW w:w="16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473,567</w:t>
            </w:r>
          </w:p>
        </w:tc>
        <w:tc>
          <w:tcPr>
            <w:tcW w:w="120" w:type="dxa"/>
            <w:vAlign w:val="bottom"/>
            <w:shd w:val="clear" w:color="auto" w:fill="CFF0FC"/>
          </w:tcPr>
          <w:p>
            <w:pPr>
              <w:spacing w:after="0"/>
              <w:rPr>
                <w:sz w:val="17"/>
                <w:szCs w:val="17"/>
                <w:color w:val="auto"/>
              </w:rPr>
            </w:pP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deferred revenue</w:t>
            </w:r>
          </w:p>
        </w:tc>
        <w:tc>
          <w:tcPr>
            <w:tcW w:w="8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4,437,533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579,208</w:t>
            </w:r>
          </w:p>
        </w:tc>
        <w:tc>
          <w:tcPr>
            <w:tcW w:w="120" w:type="dxa"/>
            <w:vAlign w:val="bottom"/>
          </w:tcPr>
          <w:p>
            <w:pPr>
              <w:spacing w:after="0"/>
              <w:rPr>
                <w:sz w:val="17"/>
                <w:szCs w:val="17"/>
                <w:color w:val="auto"/>
              </w:rPr>
            </w:pPr>
          </w:p>
        </w:tc>
      </w:tr>
      <w:tr>
        <w:trPr>
          <w:trHeight w:val="203"/>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Increase in other current liabilities</w:t>
            </w:r>
          </w:p>
        </w:tc>
        <w:tc>
          <w:tcPr>
            <w:tcW w:w="82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5,314,779</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non-current liabilities</w:t>
            </w:r>
          </w:p>
        </w:tc>
        <w:tc>
          <w:tcPr>
            <w:tcW w:w="8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2,307,354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Decrease in lease liabilities</w:t>
            </w:r>
          </w:p>
        </w:tc>
        <w:tc>
          <w:tcPr>
            <w:tcW w:w="82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(1,571,787)</w:t>
            </w: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74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(63,147,255)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(22,382,670)</w:t>
            </w:r>
          </w:p>
        </w:tc>
      </w:tr>
      <w:tr>
        <w:trPr>
          <w:trHeight w:val="20"/>
        </w:trPr>
        <w:tc>
          <w:tcPr>
            <w:tcW w:w="50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8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480" w:type="dxa"/>
            <w:vAlign w:val="bottom"/>
          </w:tcPr>
          <w:p>
            <w:pPr>
              <w:spacing w:after="0"/>
              <w:rPr>
                <w:sz w:val="17"/>
                <w:szCs w:val="17"/>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(90,217)</w:t>
            </w:r>
          </w:p>
        </w:tc>
        <w:tc>
          <w:tcPr>
            <w:tcW w:w="160" w:type="dxa"/>
            <w:vAlign w:val="bottom"/>
          </w:tcPr>
          <w:p>
            <w:pPr>
              <w:spacing w:after="0"/>
              <w:rPr>
                <w:sz w:val="17"/>
                <w:szCs w:val="17"/>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(8,258)</w:t>
            </w:r>
          </w:p>
        </w:tc>
      </w:tr>
      <w:tr>
        <w:trPr>
          <w:trHeight w:val="203"/>
        </w:trPr>
        <w:tc>
          <w:tcPr>
            <w:tcW w:w="5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Additions to intangible assets</w:t>
            </w:r>
          </w:p>
        </w:tc>
        <w:tc>
          <w:tcPr>
            <w:tcW w:w="24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(4,088,403)</w:t>
            </w: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(3,523,852)</w:t>
            </w:r>
          </w:p>
        </w:tc>
      </w:tr>
      <w:tr>
        <w:trPr>
          <w:trHeight w:val="202"/>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to other digital assets</w:t>
            </w:r>
          </w:p>
        </w:tc>
        <w:tc>
          <w:tcPr>
            <w:tcW w:w="2480" w:type="dxa"/>
            <w:vAlign w:val="bottom"/>
          </w:tcPr>
          <w:p>
            <w:pPr>
              <w:spacing w:after="0"/>
              <w:rPr>
                <w:sz w:val="17"/>
                <w:szCs w:val="17"/>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(19,767,087)</w:t>
            </w:r>
          </w:p>
        </w:tc>
        <w:tc>
          <w:tcPr>
            <w:tcW w:w="1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Acquisition of Prediqt</w:t>
            </w:r>
          </w:p>
        </w:tc>
        <w:tc>
          <w:tcPr>
            <w:tcW w:w="24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Subsquid</w:t>
            </w:r>
          </w:p>
        </w:tc>
        <w:tc>
          <w:tcPr>
            <w:tcW w:w="2480" w:type="dxa"/>
            <w:vAlign w:val="bottom"/>
          </w:tcPr>
          <w:p>
            <w:pPr>
              <w:spacing w:after="0"/>
              <w:rPr>
                <w:sz w:val="17"/>
                <w:szCs w:val="17"/>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(3,560,000)</w:t>
            </w:r>
          </w:p>
        </w:tc>
        <w:tc>
          <w:tcPr>
            <w:tcW w:w="1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Investment in Art Equities</w:t>
            </w:r>
          </w:p>
        </w:tc>
        <w:tc>
          <w:tcPr>
            <w:tcW w:w="24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(5,464,513)</w:t>
            </w: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acquired in business combinations</w:t>
            </w:r>
          </w:p>
        </w:tc>
        <w:tc>
          <w:tcPr>
            <w:tcW w:w="248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8,361,981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36"/>
        </w:trPr>
        <w:tc>
          <w:tcPr>
            <w:tcW w:w="5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(24,708,239)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(3,532,110)</w:t>
            </w:r>
          </w:p>
        </w:tc>
      </w:tr>
      <w:tr>
        <w:trPr>
          <w:trHeight w:val="621"/>
        </w:trPr>
        <w:tc>
          <w:tcPr>
            <w:tcW w:w="5080" w:type="dxa"/>
            <w:vAlign w:val="bottom"/>
            <w:tcBorders>
              <w:top w:val="single" w:sz="8" w:color="CFF0FC"/>
            </w:tcBorders>
          </w:tcPr>
          <w:p>
            <w:pPr>
              <w:spacing w:after="0"/>
              <w:rPr>
                <w:sz w:val="20"/>
                <w:szCs w:val="20"/>
                <w:color w:val="auto"/>
              </w:rPr>
            </w:pPr>
            <w:r>
              <w:rPr>
                <w:rFonts w:ascii="Arial" w:cs="Arial" w:eastAsia="Arial" w:hAnsi="Arial"/>
                <w:sz w:val="14"/>
                <w:szCs w:val="14"/>
                <w:color w:val="auto"/>
              </w:rPr>
              <w:t>8</w:t>
            </w:r>
          </w:p>
        </w:tc>
        <w:tc>
          <w:tcPr>
            <w:tcW w:w="2480" w:type="dxa"/>
            <w:vAlign w:val="bottom"/>
            <w:tcBorders>
              <w:top w:val="single" w:sz="8" w:color="CFF0FC"/>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987"/>
        </w:trPr>
        <w:tc>
          <w:tcPr>
            <w:tcW w:w="50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-1071245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-1053465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REZOLVE AI PLC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Combined Consolidated Statements of Cash Flows (continued)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7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8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5"/>
                <w:szCs w:val="15"/>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700" w:type="dxa"/>
            <w:vAlign w:val="bottom"/>
            <w:shd w:val="clear" w:color="auto" w:fill="CFF0FC"/>
          </w:tcPr>
          <w:p>
            <w:pPr>
              <w:spacing w:after="0"/>
              <w:rPr>
                <w:sz w:val="17"/>
                <w:szCs w:val="17"/>
                <w:color w:val="auto"/>
              </w:rPr>
            </w:pPr>
          </w:p>
        </w:tc>
        <w:tc>
          <w:tcPr>
            <w:tcW w:w="17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merger with Armada</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120" w:type="dxa"/>
            <w:vAlign w:val="bottom"/>
          </w:tcPr>
          <w:p>
            <w:pPr>
              <w:spacing w:after="0"/>
              <w:rPr>
                <w:sz w:val="17"/>
                <w:szCs w:val="17"/>
                <w:color w:val="auto"/>
              </w:rPr>
            </w:pPr>
          </w:p>
        </w:tc>
      </w:tr>
      <w:tr>
        <w:trPr>
          <w:trHeight w:val="203"/>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rights issuance</w:t>
            </w:r>
          </w:p>
        </w:tc>
        <w:tc>
          <w:tcPr>
            <w:tcW w:w="170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1,405,592</w:t>
            </w:r>
          </w:p>
        </w:tc>
        <w:tc>
          <w:tcPr>
            <w:tcW w:w="120" w:type="dxa"/>
            <w:vAlign w:val="bottom"/>
            <w:shd w:val="clear" w:color="auto" w:fill="CFF0FC"/>
          </w:tcPr>
          <w:p>
            <w:pPr>
              <w:spacing w:after="0"/>
              <w:rPr>
                <w:sz w:val="17"/>
                <w:szCs w:val="17"/>
                <w:color w:val="auto"/>
              </w:rPr>
            </w:pPr>
          </w:p>
        </w:tc>
      </w:tr>
      <w:tr>
        <w:trPr>
          <w:trHeight w:val="203"/>
        </w:trPr>
        <w:tc>
          <w:tcPr>
            <w:tcW w:w="5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short-term debt from related party</w:t>
            </w:r>
          </w:p>
        </w:tc>
        <w:tc>
          <w:tcPr>
            <w:tcW w:w="1700" w:type="dxa"/>
            <w:vAlign w:val="bottom"/>
          </w:tcPr>
          <w:p>
            <w:pPr>
              <w:spacing w:after="0"/>
              <w:rPr>
                <w:sz w:val="17"/>
                <w:szCs w:val="17"/>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6,623,541</w:t>
            </w:r>
          </w:p>
        </w:tc>
        <w:tc>
          <w:tcPr>
            <w:tcW w:w="120" w:type="dxa"/>
            <w:vAlign w:val="bottom"/>
          </w:tcPr>
          <w:p>
            <w:pPr>
              <w:spacing w:after="0"/>
              <w:rPr>
                <w:sz w:val="17"/>
                <w:szCs w:val="17"/>
                <w:color w:val="auto"/>
              </w:rPr>
            </w:pPr>
          </w:p>
        </w:tc>
      </w:tr>
      <w:tr>
        <w:trPr>
          <w:trHeight w:val="203"/>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short-term debt obligation from related parties</w:t>
            </w:r>
          </w:p>
        </w:tc>
        <w:tc>
          <w:tcPr>
            <w:tcW w:w="170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(4,744,287)</w:t>
            </w: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(1,153,750)</w:t>
            </w:r>
          </w:p>
        </w:tc>
      </w:tr>
      <w:tr>
        <w:trPr>
          <w:trHeight w:val="203"/>
        </w:trPr>
        <w:tc>
          <w:tcPr>
            <w:tcW w:w="5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convertible promissory loans</w:t>
            </w:r>
          </w:p>
        </w:tc>
        <w:tc>
          <w:tcPr>
            <w:tcW w:w="1700" w:type="dxa"/>
            <w:vAlign w:val="bottom"/>
          </w:tcPr>
          <w:p>
            <w:pPr>
              <w:spacing w:after="0"/>
              <w:rPr>
                <w:sz w:val="17"/>
                <w:szCs w:val="17"/>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11,859,249</w:t>
            </w:r>
          </w:p>
        </w:tc>
        <w:tc>
          <w:tcPr>
            <w:tcW w:w="120" w:type="dxa"/>
            <w:vAlign w:val="bottom"/>
          </w:tcPr>
          <w:p>
            <w:pPr>
              <w:spacing w:after="0"/>
              <w:rPr>
                <w:sz w:val="17"/>
                <w:szCs w:val="17"/>
                <w:color w:val="auto"/>
              </w:rPr>
            </w:pPr>
          </w:p>
        </w:tc>
      </w:tr>
      <w:tr>
        <w:trPr>
          <w:trHeight w:val="203"/>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promissory notes</w:t>
            </w:r>
          </w:p>
        </w:tc>
        <w:tc>
          <w:tcPr>
            <w:tcW w:w="170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(1,471,852)</w:t>
            </w:r>
          </w:p>
        </w:tc>
      </w:tr>
      <w:tr>
        <w:trPr>
          <w:trHeight w:val="203"/>
        </w:trPr>
        <w:tc>
          <w:tcPr>
            <w:tcW w:w="5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promissory notes</w:t>
            </w:r>
          </w:p>
        </w:tc>
        <w:tc>
          <w:tcPr>
            <w:tcW w:w="17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399,982</w:t>
            </w:r>
          </w:p>
        </w:tc>
        <w:tc>
          <w:tcPr>
            <w:tcW w:w="120" w:type="dxa"/>
            <w:vAlign w:val="bottom"/>
          </w:tcPr>
          <w:p>
            <w:pPr>
              <w:spacing w:after="0"/>
              <w:rPr>
                <w:sz w:val="17"/>
                <w:szCs w:val="17"/>
                <w:color w:val="auto"/>
              </w:rPr>
            </w:pPr>
          </w:p>
        </w:tc>
      </w:tr>
      <w:tr>
        <w:trPr>
          <w:trHeight w:val="203"/>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Repayments of rights issue</w:t>
            </w:r>
          </w:p>
        </w:tc>
        <w:tc>
          <w:tcPr>
            <w:tcW w:w="170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(100,000)</w:t>
            </w:r>
          </w:p>
        </w:tc>
      </w:tr>
      <w:tr>
        <w:trPr>
          <w:trHeight w:val="203"/>
        </w:trPr>
        <w:tc>
          <w:tcPr>
            <w:tcW w:w="5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ordinary shares</w:t>
            </w:r>
          </w:p>
        </w:tc>
        <w:tc>
          <w:tcPr>
            <w:tcW w:w="17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251,413,207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18,302,540</w:t>
            </w:r>
          </w:p>
        </w:tc>
        <w:tc>
          <w:tcPr>
            <w:tcW w:w="120" w:type="dxa"/>
            <w:vAlign w:val="bottom"/>
          </w:tcPr>
          <w:p>
            <w:pPr>
              <w:spacing w:after="0"/>
              <w:rPr>
                <w:sz w:val="17"/>
                <w:szCs w:val="17"/>
                <w:color w:val="auto"/>
              </w:rPr>
            </w:pPr>
          </w:p>
        </w:tc>
      </w:tr>
      <w:tr>
        <w:trPr>
          <w:trHeight w:val="203"/>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Payment of issuance costs related to issuance of ordinary shares</w:t>
            </w:r>
          </w:p>
        </w:tc>
        <w:tc>
          <w:tcPr>
            <w:tcW w:w="170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(15,873,000)</w:t>
            </w: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(994,450)</w:t>
            </w:r>
          </w:p>
        </w:tc>
      </w:tr>
      <w:tr>
        <w:trPr>
          <w:trHeight w:val="203"/>
        </w:trPr>
        <w:tc>
          <w:tcPr>
            <w:tcW w:w="5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17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120" w:type="dxa"/>
            <w:vAlign w:val="bottom"/>
          </w:tcPr>
          <w:p>
            <w:pPr>
              <w:spacing w:after="0"/>
              <w:rPr>
                <w:sz w:val="17"/>
                <w:szCs w:val="17"/>
                <w:color w:val="auto"/>
              </w:rPr>
            </w:pPr>
          </w:p>
        </w:tc>
      </w:tr>
      <w:tr>
        <w:trPr>
          <w:trHeight w:val="203"/>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long-term debt obligation</w:t>
            </w:r>
          </w:p>
        </w:tc>
        <w:tc>
          <w:tcPr>
            <w:tcW w:w="170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27,000,000</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of long-term debt obligation</w:t>
            </w:r>
          </w:p>
        </w:tc>
        <w:tc>
          <w:tcPr>
            <w:tcW w:w="1700" w:type="dxa"/>
            <w:vAlign w:val="bottom"/>
          </w:tcPr>
          <w:p>
            <w:pPr>
              <w:spacing w:after="0"/>
              <w:rPr>
                <w:sz w:val="17"/>
                <w:szCs w:val="17"/>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(33,500,000)</w:t>
            </w:r>
          </w:p>
        </w:tc>
        <w:tc>
          <w:tcPr>
            <w:tcW w:w="1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debt related to Crownpeak acquisition</w:t>
            </w:r>
          </w:p>
        </w:tc>
        <w:tc>
          <w:tcPr>
            <w:tcW w:w="170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(50,548,925)</w:t>
            </w: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86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flow generated from financing activities</w:t>
            </w:r>
          </w:p>
        </w:tc>
        <w:tc>
          <w:tcPr>
            <w:tcW w:w="17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188,814,700</w:t>
            </w: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35,449,213</w:t>
            </w:r>
          </w:p>
        </w:tc>
        <w:tc>
          <w:tcPr>
            <w:tcW w:w="120" w:type="dxa"/>
            <w:vAlign w:val="bottom"/>
            <w:tcBorders>
              <w:top w:val="single" w:sz="8" w:color="CFF0FC"/>
            </w:tcBorders>
          </w:tcPr>
          <w:p>
            <w:pPr>
              <w:spacing w:after="0"/>
              <w:rPr>
                <w:sz w:val="17"/>
                <w:szCs w:val="17"/>
                <w:color w:val="auto"/>
              </w:rPr>
            </w:pPr>
          </w:p>
        </w:tc>
      </w:tr>
      <w:tr>
        <w:trPr>
          <w:trHeight w:val="20"/>
        </w:trPr>
        <w:tc>
          <w:tcPr>
            <w:tcW w:w="58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700" w:type="dxa"/>
            <w:vAlign w:val="bottom"/>
            <w:shd w:val="clear" w:color="auto" w:fill="CFF0FC"/>
          </w:tcPr>
          <w:p>
            <w:pPr>
              <w:spacing w:after="0"/>
              <w:rPr>
                <w:sz w:val="15"/>
                <w:szCs w:val="15"/>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423,499</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38,527</w:t>
            </w:r>
          </w:p>
        </w:tc>
        <w:tc>
          <w:tcPr>
            <w:tcW w:w="120" w:type="dxa"/>
            <w:vAlign w:val="bottom"/>
            <w:shd w:val="clear" w:color="auto" w:fill="CFF0FC"/>
          </w:tcPr>
          <w:p>
            <w:pPr>
              <w:spacing w:after="0"/>
              <w:rPr>
                <w:sz w:val="15"/>
                <w:szCs w:val="15"/>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change in cash</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101,382,705</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9,572,960</w:t>
            </w:r>
          </w:p>
        </w:tc>
        <w:tc>
          <w:tcPr>
            <w:tcW w:w="120" w:type="dxa"/>
            <w:vAlign w:val="bottom"/>
          </w:tcPr>
          <w:p>
            <w:pPr>
              <w:spacing w:after="0"/>
              <w:rPr>
                <w:sz w:val="17"/>
                <w:szCs w:val="17"/>
                <w:color w:val="auto"/>
              </w:rPr>
            </w:pPr>
          </w:p>
        </w:tc>
      </w:tr>
      <w:tr>
        <w:trPr>
          <w:trHeight w:val="203"/>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9,729,546</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156,586</w:t>
            </w:r>
          </w:p>
        </w:tc>
        <w:tc>
          <w:tcPr>
            <w:tcW w:w="120" w:type="dxa"/>
            <w:vAlign w:val="bottom"/>
            <w:shd w:val="clear" w:color="auto" w:fill="CFF0FC"/>
          </w:tcPr>
          <w:p>
            <w:pPr>
              <w:spacing w:after="0"/>
              <w:rPr>
                <w:sz w:val="17"/>
                <w:szCs w:val="17"/>
                <w:color w:val="auto"/>
              </w:rPr>
            </w:pPr>
          </w:p>
        </w:tc>
      </w:tr>
      <w:tr>
        <w:trPr>
          <w:trHeight w:val="202"/>
        </w:trPr>
        <w:tc>
          <w:tcPr>
            <w:tcW w:w="5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year</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111,112,251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9,729,546</w:t>
            </w:r>
          </w:p>
        </w:tc>
        <w:tc>
          <w:tcPr>
            <w:tcW w:w="120" w:type="dxa"/>
            <w:vAlign w:val="bottom"/>
          </w:tcPr>
          <w:p>
            <w:pPr>
              <w:spacing w:after="0"/>
              <w:rPr>
                <w:sz w:val="17"/>
                <w:szCs w:val="17"/>
                <w:color w:val="auto"/>
              </w:rPr>
            </w:pPr>
          </w:p>
        </w:tc>
      </w:tr>
      <w:tr>
        <w:trPr>
          <w:trHeight w:val="20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170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Share-based payment for development of intangible asset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1,275,000</w:t>
            </w:r>
          </w:p>
        </w:tc>
        <w:tc>
          <w:tcPr>
            <w:tcW w:w="120" w:type="dxa"/>
            <w:vAlign w:val="bottom"/>
          </w:tcPr>
          <w:p>
            <w:pPr>
              <w:spacing w:after="0"/>
              <w:rPr>
                <w:sz w:val="17"/>
                <w:szCs w:val="17"/>
                <w:color w:val="auto"/>
              </w:rPr>
            </w:pPr>
          </w:p>
        </w:tc>
      </w:tr>
      <w:tr>
        <w:trPr>
          <w:trHeight w:val="203"/>
        </w:trPr>
        <w:tc>
          <w:tcPr>
            <w:tcW w:w="5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Cash paid for interest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3,000,000</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114,966</w:t>
            </w:r>
          </w:p>
        </w:tc>
        <w:tc>
          <w:tcPr>
            <w:tcW w:w="120" w:type="dxa"/>
            <w:vAlign w:val="bottom"/>
            <w:shd w:val="clear" w:color="auto" w:fill="CFF0FC"/>
          </w:tcPr>
          <w:p>
            <w:pPr>
              <w:spacing w:after="0"/>
              <w:rPr>
                <w:sz w:val="17"/>
                <w:szCs w:val="17"/>
                <w:color w:val="auto"/>
              </w:rPr>
            </w:pPr>
          </w:p>
        </w:tc>
      </w:tr>
      <w:tr>
        <w:trPr>
          <w:trHeight w:val="203"/>
        </w:trPr>
        <w:tc>
          <w:tcPr>
            <w:tcW w:w="5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paid for taxes</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111,788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Debt acquired in Crownpeak acquisition</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151,921,625</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Number of shares issued as consideration for acquisitions</w:t>
            </w:r>
          </w:p>
        </w:tc>
        <w:tc>
          <w:tcPr>
            <w:tcW w:w="17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19,264,956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632"/>
        </w:trPr>
        <w:tc>
          <w:tcPr>
            <w:tcW w:w="5860" w:type="dxa"/>
            <w:vAlign w:val="bottom"/>
          </w:tcPr>
          <w:p>
            <w:pPr>
              <w:spacing w:after="0"/>
              <w:rPr>
                <w:sz w:val="20"/>
                <w:szCs w:val="20"/>
                <w:color w:val="auto"/>
              </w:rPr>
            </w:pPr>
            <w:r>
              <w:rPr>
                <w:rFonts w:ascii="Arial" w:cs="Arial" w:eastAsia="Arial" w:hAnsi="Arial"/>
                <w:sz w:val="14"/>
                <w:szCs w:val="14"/>
                <w:color w:val="auto"/>
              </w:rPr>
              <w:t>9</w:t>
            </w: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87"/>
        </w:trPr>
        <w:tc>
          <w:tcPr>
            <w:tcW w:w="58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-2493645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-2493645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REZOLVE AI PLC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Reconciliation of Adjusted EBITDA</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9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(101,410,228)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(173,451,133)</w:t>
            </w: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Add (subtract)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3,507,201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10,645,464</w:t>
            </w: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 expense</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(17,728,939)</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243,735</w:t>
            </w:r>
          </w:p>
        </w:tc>
        <w:tc>
          <w:tcPr>
            <w:tcW w:w="100" w:type="dxa"/>
            <w:vAlign w:val="bottom"/>
          </w:tcPr>
          <w:p>
            <w:pPr>
              <w:spacing w:after="0"/>
              <w:rPr>
                <w:sz w:val="17"/>
                <w:szCs w:val="17"/>
                <w:color w:val="auto"/>
              </w:rPr>
            </w:pPr>
          </w:p>
        </w:tc>
      </w:tr>
      <w:tr>
        <w:trPr>
          <w:trHeight w:val="203"/>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6,965,148</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226,305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EBITDA (non-GAAP)</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(108,666,818)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(162,335,629)</w:t>
            </w:r>
          </w:p>
        </w:tc>
      </w:tr>
      <w:tr>
        <w:trPr>
          <w:trHeight w:val="19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Add (subtract)</w:t>
            </w:r>
          </w:p>
        </w:tc>
        <w:tc>
          <w:tcPr>
            <w:tcW w:w="7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Unrealized foreign exchange (gain) loss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(516,654)</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1,289,938</w:t>
            </w:r>
          </w:p>
        </w:tc>
        <w:tc>
          <w:tcPr>
            <w:tcW w:w="100" w:type="dxa"/>
            <w:vAlign w:val="bottom"/>
          </w:tcPr>
          <w:p>
            <w:pPr>
              <w:spacing w:after="0"/>
              <w:rPr>
                <w:sz w:val="17"/>
                <w:szCs w:val="17"/>
                <w:color w:val="auto"/>
              </w:rPr>
            </w:pPr>
          </w:p>
        </w:tc>
      </w:tr>
      <w:tr>
        <w:trPr>
          <w:trHeight w:val="20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Business development expenses</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195,008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4,750,430</w:t>
            </w: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Share based compensation issued to related parties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5,325,000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63,001,392</w:t>
            </w:r>
          </w:p>
        </w:tc>
        <w:tc>
          <w:tcPr>
            <w:tcW w:w="100" w:type="dxa"/>
            <w:vAlign w:val="bottom"/>
          </w:tcPr>
          <w:p>
            <w:pPr>
              <w:spacing w:after="0"/>
              <w:rPr>
                <w:sz w:val="17"/>
                <w:szCs w:val="17"/>
                <w:color w:val="auto"/>
              </w:rPr>
            </w:pPr>
          </w:p>
        </w:tc>
      </w:tr>
      <w:tr>
        <w:trPr>
          <w:trHeight w:val="20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based compensation for consultancy services</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217,365</w:t>
            </w: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for employees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3,804,637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4,314,649</w:t>
            </w:r>
          </w:p>
        </w:tc>
        <w:tc>
          <w:tcPr>
            <w:tcW w:w="100" w:type="dxa"/>
            <w:vAlign w:val="bottom"/>
          </w:tcPr>
          <w:p>
            <w:pPr>
              <w:spacing w:after="0"/>
              <w:rPr>
                <w:sz w:val="17"/>
                <w:szCs w:val="17"/>
                <w:color w:val="auto"/>
              </w:rPr>
            </w:pPr>
          </w:p>
        </w:tc>
      </w:tr>
      <w:tr>
        <w:trPr>
          <w:trHeight w:val="20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 (gain) on derivatives</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2,889,175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(19,001,681)</w:t>
            </w: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Loss on extinguishment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29,950,161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44,332,819</w:t>
            </w:r>
          </w:p>
        </w:tc>
        <w:tc>
          <w:tcPr>
            <w:tcW w:w="100" w:type="dxa"/>
            <w:vAlign w:val="bottom"/>
          </w:tcPr>
          <w:p>
            <w:pPr>
              <w:spacing w:after="0"/>
              <w:rPr>
                <w:sz w:val="17"/>
                <w:szCs w:val="17"/>
                <w:color w:val="auto"/>
              </w:rPr>
            </w:pPr>
          </w:p>
        </w:tc>
      </w:tr>
      <w:tr>
        <w:trPr>
          <w:trHeight w:val="20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Share-based compensation - employees shares restrictions lifted</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18,836,099</w:t>
            </w: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Gain on revaluation of financial asset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(5,645,839)</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Gain on bargain purchase</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(61,298,445)</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63,345,577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Ordinary shares issued in lieu of cash payment for services</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222,486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Ordinary shares issued to Radio Group to settle termination of ANY acquisition in Germany</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Legal costs incurred in connection with the Company's SPAC transaction</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1,398,866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Costs related to the demerger of Rezolve Limited</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517,798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Legal and professional cost associated with acquisitions</w:t>
            </w:r>
          </w:p>
        </w:tc>
        <w:tc>
          <w:tcPr>
            <w:tcW w:w="7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8,623,127</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(58,979,921)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(44,594,618)</w:t>
            </w:r>
          </w:p>
        </w:tc>
      </w:tr>
      <w:tr>
        <w:trPr>
          <w:trHeight w:val="633"/>
        </w:trPr>
        <w:tc>
          <w:tcPr>
            <w:tcW w:w="6700" w:type="dxa"/>
            <w:vAlign w:val="bottom"/>
          </w:tcPr>
          <w:p>
            <w:pPr>
              <w:spacing w:after="0"/>
              <w:rPr>
                <w:sz w:val="20"/>
                <w:szCs w:val="20"/>
                <w:color w:val="auto"/>
              </w:rPr>
            </w:pPr>
            <w:r>
              <w:rPr>
                <w:rFonts w:ascii="Arial" w:cs="Arial" w:eastAsia="Arial" w:hAnsi="Arial"/>
                <w:sz w:val="14"/>
                <w:szCs w:val="14"/>
                <w:color w:val="auto"/>
              </w:rPr>
              <w:t>10</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987"/>
        </w:trPr>
        <w:tc>
          <w:tcPr>
            <w:tcW w:w="67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-3522345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-3522345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-1190625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Rezolve Al</w:t>
      </w:r>
    </w:p>
    <w:p>
      <w:pPr>
        <w:spacing w:after="0" w:line="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2025 ARR</w:t>
      </w:r>
    </w:p>
    <w:p>
      <w:pPr>
        <w:spacing w:after="0" w:line="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in millions of USD</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December 2025 MRR</w:t>
      </w:r>
    </w:p>
    <w:p>
      <w:pPr>
        <w:spacing w:after="0" w:line="3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2025 Exit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br w:type="column"/>
      </w:r>
    </w:p>
    <w:p>
      <w:pPr>
        <w:jc w:val="center"/>
        <w:ind w:right="2119"/>
        <w:spacing w:after="0"/>
        <w:rPr>
          <w:sz w:val="20"/>
          <w:szCs w:val="20"/>
          <w:color w:val="auto"/>
        </w:rPr>
      </w:pPr>
      <w:r>
        <w:rPr>
          <w:rFonts w:ascii="Times New Roman" w:cs="Times New Roman" w:eastAsia="Times New Roman" w:hAnsi="Times New Roman"/>
          <w:sz w:val="22"/>
          <w:szCs w:val="22"/>
          <w:b w:val="1"/>
          <w:bCs w:val="1"/>
          <w:color w:val="auto"/>
        </w:rPr>
        <w:t>REZOLVE AI PLC AND SUBSIDIARIES</w:t>
      </w:r>
    </w:p>
    <w:p>
      <w:pPr>
        <w:spacing w:after="0" w:line="18" w:lineRule="exact"/>
        <w:rPr>
          <w:sz w:val="20"/>
          <w:szCs w:val="20"/>
          <w:color w:val="auto"/>
        </w:rPr>
      </w:pPr>
    </w:p>
    <w:p>
      <w:pPr>
        <w:jc w:val="center"/>
        <w:ind w:right="2119"/>
        <w:spacing w:after="0"/>
        <w:rPr>
          <w:sz w:val="20"/>
          <w:szCs w:val="20"/>
          <w:color w:val="auto"/>
        </w:rPr>
      </w:pPr>
      <w:r>
        <w:rPr>
          <w:rFonts w:ascii="Times New Roman" w:cs="Times New Roman" w:eastAsia="Times New Roman" w:hAnsi="Times New Roman"/>
          <w:sz w:val="21"/>
          <w:szCs w:val="21"/>
          <w:b w:val="1"/>
          <w:bCs w:val="1"/>
          <w:color w:val="auto"/>
        </w:rPr>
        <w:t>Reconciliation of Annual Recurring Revenue (ARR)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457200</wp:posOffset>
            </wp:positionV>
            <wp:extent cx="3274695"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7469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5079"/>
        <w:spacing w:after="0"/>
        <w:rPr>
          <w:sz w:val="20"/>
          <w:szCs w:val="20"/>
          <w:color w:val="auto"/>
        </w:rPr>
      </w:pPr>
      <w:r>
        <w:rPr>
          <w:rFonts w:ascii="Times New Roman" w:cs="Times New Roman" w:eastAsia="Times New Roman" w:hAnsi="Times New Roman"/>
          <w:sz w:val="20"/>
          <w:szCs w:val="20"/>
          <w:b w:val="1"/>
          <w:bCs w:val="1"/>
          <w:color w:val="auto"/>
        </w:rPr>
        <w: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16510</wp:posOffset>
            </wp:positionV>
            <wp:extent cx="3274695"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74695" cy="179705"/>
                    </a:xfrm>
                    <a:prstGeom prst="rect">
                      <a:avLst/>
                    </a:prstGeom>
                    <a:noFill/>
                  </pic:spPr>
                </pic:pic>
              </a:graphicData>
            </a:graphic>
          </wp:anchor>
        </w:drawing>
      </w:r>
    </w:p>
    <w:p>
      <w:pPr>
        <w:spacing w:after="0" w:line="34" w:lineRule="exact"/>
        <w:rPr>
          <w:sz w:val="20"/>
          <w:szCs w:val="20"/>
          <w:color w:val="auto"/>
        </w:rPr>
      </w:pPr>
    </w:p>
    <w:p>
      <w:pPr>
        <w:jc w:val="right"/>
        <w:ind w:right="5079"/>
        <w:spacing w:after="0"/>
        <w:rPr>
          <w:sz w:val="20"/>
          <w:szCs w:val="20"/>
          <w:color w:val="auto"/>
        </w:rPr>
      </w:pPr>
      <w:r>
        <w:rPr>
          <w:rFonts w:ascii="Times New Roman" w:cs="Times New Roman" w:eastAsia="Times New Roman" w:hAnsi="Times New Roman"/>
          <w:sz w:val="20"/>
          <w:szCs w:val="20"/>
          <w:b w:val="1"/>
          <w:bCs w:val="1"/>
          <w:color w:val="auto"/>
        </w:rPr>
        <w:t>19.4</w:t>
      </w:r>
    </w:p>
    <w:p>
      <w:pPr>
        <w:spacing w:after="0" w:line="31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b w:val="1"/>
          <w:bCs w:val="1"/>
          <w:color w:val="auto"/>
        </w:rPr>
        <w:t>232.8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1384300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-137160</wp:posOffset>
            </wp:positionV>
            <wp:extent cx="3274695"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74695" cy="188595"/>
                    </a:xfrm>
                    <a:prstGeom prst="rect">
                      <a:avLst/>
                    </a:prstGeom>
                    <a:noFill/>
                  </pic:spPr>
                </pic:pic>
              </a:graphicData>
            </a:graphic>
          </wp:anchor>
        </w:drawing>
      </w:r>
    </w:p>
    <w:p>
      <w:pPr>
        <w:sectPr>
          <w:pgSz w:w="11900" w:h="16838" w:orient="portrait"/>
          <w:cols w:equalWidth="0" w:num="2">
            <w:col w:w="2500" w:space="720"/>
            <w:col w:w="6919"/>
          </w:cols>
          <w:pgMar w:left="320" w:top="1404" w:right="1440"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2026-03-30T07:37:08Z</dcterms:created>
  <dcterms:modified xsi:type="dcterms:W3CDTF">2026-03-30T07:37:08Z</dcterms:modified>
</cp:coreProperties>
</file>