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September 30, 2025</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Attention:</w:t>
      </w:r>
      <w:r>
        <w:rPr>
          <w:sz w:val="20"/>
          <w:szCs w:val="20"/>
          <w:color w:val="auto"/>
        </w:rPr>
        <w:tab/>
      </w:r>
      <w:r>
        <w:rPr>
          <w:rFonts w:ascii="Times New Roman" w:cs="Times New Roman" w:eastAsia="Times New Roman" w:hAnsi="Times New Roman"/>
          <w:sz w:val="18"/>
          <w:szCs w:val="18"/>
          <w:color w:val="auto"/>
        </w:rPr>
        <w:t>Jeff Kauten</w:t>
      </w:r>
    </w:p>
    <w:p>
      <w:pPr>
        <w:sectPr>
          <w:pgSz w:w="11900" w:h="16838" w:orient="portrait"/>
          <w:cols w:equalWidth="0" w:num="1">
            <w:col w:w="11240"/>
          </w:cols>
          <w:pgMar w:left="320" w:top="1440" w:right="33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F-3</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File No. 333-290523</w:t>
      </w:r>
    </w:p>
    <w:p>
      <w:pPr>
        <w:spacing w:after="0" w:line="200" w:lineRule="exact"/>
        <w:rPr>
          <w:sz w:val="24"/>
          <w:szCs w:val="24"/>
          <w:color w:val="auto"/>
        </w:rPr>
      </w:pPr>
    </w:p>
    <w:p>
      <w:pPr>
        <w:sectPr>
          <w:pgSz w:w="11900" w:h="16838" w:orient="portrait"/>
          <w:cols w:equalWidth="0" w:num="2">
            <w:col w:w="460" w:space="700"/>
            <w:col w:w="10080"/>
          </w:cols>
          <w:pgMar w:left="320" w:top="1440"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4"/>
          <w:szCs w:val="24"/>
          <w:color w:val="auto"/>
        </w:rPr>
      </w:pPr>
    </w:p>
    <w:p>
      <w:pPr>
        <w:jc w:val="both"/>
        <w:ind w:firstLine="749"/>
        <w:spacing w:after="0" w:line="262" w:lineRule="auto"/>
        <w:rPr>
          <w:sz w:val="20"/>
          <w:szCs w:val="20"/>
          <w:color w:val="auto"/>
        </w:rPr>
      </w:pPr>
      <w:r>
        <w:rPr>
          <w:rFonts w:ascii="Times New Roman" w:cs="Times New Roman" w:eastAsia="Times New Roman" w:hAnsi="Times New Roman"/>
          <w:sz w:val="18"/>
          <w:szCs w:val="18"/>
          <w:color w:val="auto"/>
        </w:rPr>
        <w:t>Pursuant to Rule 461 under the Securities Act of 1933, as amended, Rezolve AI plc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hereby requests acceleration of the effective date of the above referenced Registration Statement to 4:30 p.m., Eastern Time, on September 30, 2025, or as soon thereafter as practicable, or at such other time as the Company, or their outside counsel, DLA Piper LLP (US), requests by telephone that such Registration Statement be declared effective.</w:t>
      </w:r>
    </w:p>
    <w:p>
      <w:pPr>
        <w:spacing w:after="0" w:line="180" w:lineRule="exact"/>
        <w:rPr>
          <w:sz w:val="24"/>
          <w:szCs w:val="24"/>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Please contact Penny Minna of DLA Piper LLP (US) at (410) 580-4228 as soon as the Registration Statement has been declared effective, or if you have any other questions or concerns regarding this matter.</w:t>
      </w:r>
    </w:p>
    <w:p>
      <w:pPr>
        <w:spacing w:after="0" w:line="162"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231F20"/>
        </w:rPr>
        <w:t>Sincerely,</w:t>
      </w:r>
    </w:p>
    <w:p>
      <w:pPr>
        <w:spacing w:after="0" w:line="221"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229"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/s/ Daniel Wagner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150495</wp:posOffset>
            </wp:positionH>
            <wp:positionV relativeFrom="paragraph">
              <wp:posOffset>17145</wp:posOffset>
            </wp:positionV>
            <wp:extent cx="69862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line="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Name: Daniel Wagner</w:t>
      </w:r>
    </w:p>
    <w:p>
      <w:pPr>
        <w:spacing w:after="0" w:line="23"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4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2025-12-15T00:16:51Z</dcterms:created>
  <dcterms:modified xsi:type="dcterms:W3CDTF">2025-12-15T00:16:51Z</dcterms:modified>
</cp:coreProperties>
</file>