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09194df4a.htm"/>
        <w:bookmarkStart w:id="1" w:name="ksd309194df4a"/>
        <w:bookmarkEnd w:id="0"/>
        <w:bookmarkEnd w:id="1"/>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Securities and Exchange Commission on August 9, 2023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333-272751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32"/>
        </w:rPr>
      </w:pPr>
      <w:r>
        <w:rPr>
          <w:rFonts w:ascii="Times New Roman" w:hAnsi="Times New Roman"/>
          <w:b/>
          <w:sz w:val="32"/>
        </w:rPr>
        <w:t xml:space="preserve">Amendment No. 1 </w:t>
      </w:r>
    </w:p>
    <w:p>
      <w:pPr>
        <w:pStyle w:val="TextBody"/>
        <w:bidi w:val="0"/>
        <w:spacing w:before="0" w:after="0"/>
        <w:jc w:val="center"/>
        <w:rPr>
          <w:rFonts w:ascii="Times New Roman" w:hAnsi="Times New Roman"/>
          <w:b/>
          <w:sz w:val="32"/>
        </w:rPr>
      </w:pPr>
      <w:r>
        <w:rPr>
          <w:rFonts w:ascii="Times New Roman" w:hAnsi="Times New Roman"/>
          <w:b/>
          <w:sz w:val="32"/>
        </w:rPr>
        <w:t xml:space="preserve">to </w:t>
      </w:r>
    </w:p>
    <w:p>
      <w:pPr>
        <w:pStyle w:val="TextBody"/>
        <w:bidi w:val="0"/>
        <w:spacing w:before="0" w:after="0"/>
        <w:jc w:val="center"/>
        <w:rPr>
          <w:rFonts w:ascii="Times New Roman" w:hAnsi="Times New Roman"/>
          <w:b/>
          <w:sz w:val="32"/>
        </w:rPr>
      </w:pPr>
      <w:r>
        <w:rPr>
          <w:rFonts w:ascii="Times New Roman" w:hAnsi="Times New Roman"/>
          <w:b/>
          <w:sz w:val="32"/>
        </w:rPr>
        <w:t xml:space="preserve">Form F-4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44"/>
        </w:rPr>
      </w:pPr>
      <w:r>
        <w:rPr>
          <w:rFonts w:ascii="Times New Roman" w:hAnsi="Times New Roman"/>
          <w:b/>
          <w:sz w:val="44"/>
        </w:rPr>
        <w:t xml:space="preserve">REZOLVE AI LIMITED[1] </w:t>
      </w:r>
    </w:p>
    <w:p>
      <w:pPr>
        <w:pStyle w:val="TextBody"/>
        <w:bidi w:val="0"/>
        <w:spacing w:before="0" w:after="0"/>
        <w:jc w:val="center"/>
        <w:rPr>
          <w:rFonts w:ascii="Times New Roman" w:hAnsi="Times New Roman"/>
          <w:b/>
          <w:sz w:val="20"/>
        </w:rPr>
      </w:pPr>
      <w:r>
        <w:rPr>
          <w:rFonts w:ascii="Times New Roman" w:hAnsi="Times New Roman"/>
          <w:b/>
          <w:sz w:val="20"/>
        </w:rPr>
        <w:t xml:space="preserve">(Company number: 14573691)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Articles of Association)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United Kingdom</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7370</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Not Applicable</w:t>
            </w:r>
          </w:p>
        </w:tc>
      </w:tr>
      <w:tr>
        <w:trPr/>
        <w:tc>
          <w:tcPr>
            <w:tcW w:w="3470"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(Primary Standard Industrial</w:t>
            </w:r>
          </w:p>
          <w:p>
            <w:pPr>
              <w:pStyle w:val="TableContents"/>
              <w:bidi w:val="0"/>
              <w:spacing w:before="0" w:after="20"/>
              <w:jc w:val="center"/>
              <w:rPr>
                <w:rFonts w:ascii="Times New Roman" w:hAnsi="Times New Roman"/>
                <w:b/>
                <w:sz w:val="16"/>
              </w:rPr>
            </w:pPr>
            <w:r>
              <w:rPr>
                <w:rFonts w:ascii="Times New Roman" w:hAnsi="Times New Roman"/>
                <w:b/>
                <w:sz w:val="16"/>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20"/>
        </w:rPr>
      </w:pPr>
      <w:r>
        <w:rPr>
          <w:rFonts w:ascii="Times New Roman" w:hAnsi="Times New Roman"/>
          <w:b/>
          <w:sz w:val="20"/>
        </w:rPr>
        <w:t xml:space="preserve">3rd Floor, 80 New Bond Street </w:t>
      </w:r>
    </w:p>
    <w:p>
      <w:pPr>
        <w:pStyle w:val="TextBody"/>
        <w:bidi w:val="0"/>
        <w:spacing w:before="0" w:after="0"/>
        <w:jc w:val="center"/>
        <w:rPr>
          <w:rFonts w:ascii="Times New Roman" w:hAnsi="Times New Roman"/>
          <w:b/>
          <w:sz w:val="20"/>
        </w:rPr>
      </w:pPr>
      <w:r>
        <w:rPr>
          <w:rFonts w:ascii="Times New Roman" w:hAnsi="Times New Roman"/>
          <w:b/>
          <w:sz w:val="20"/>
        </w:rPr>
        <w:t xml:space="preserve">London, W1S 1SB </w:t>
      </w:r>
    </w:p>
    <w:p>
      <w:pPr>
        <w:pStyle w:val="TextBody"/>
        <w:bidi w:val="0"/>
        <w:spacing w:before="0" w:after="0"/>
        <w:jc w:val="center"/>
        <w:rPr>
          <w:rFonts w:ascii="Times New Roman" w:hAnsi="Times New Roman"/>
          <w:b/>
          <w:sz w:val="20"/>
        </w:rPr>
      </w:pPr>
      <w:r>
        <w:rPr>
          <w:rFonts w:ascii="Times New Roman" w:hAnsi="Times New Roman"/>
          <w:b/>
          <w:sz w:val="20"/>
        </w:rPr>
        <w:t xml:space="preserve">United Kingdom </w:t>
      </w:r>
    </w:p>
    <w:p>
      <w:pPr>
        <w:pStyle w:val="TextBody"/>
        <w:bidi w:val="0"/>
        <w:spacing w:before="0" w:after="0"/>
        <w:jc w:val="center"/>
        <w:rPr>
          <w:rFonts w:ascii="Times New Roman" w:hAnsi="Times New Roman"/>
          <w:b/>
          <w:sz w:val="20"/>
        </w:rPr>
      </w:pPr>
      <w:r>
        <w:rPr>
          <w:rFonts w:ascii="Times New Roman" w:hAnsi="Times New Roman"/>
          <w:b/>
          <w:sz w:val="20"/>
        </w:rPr>
        <w:t xml:space="preserve">(+44 77 8095 7233)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20"/>
        </w:rPr>
      </w:pPr>
      <w:r>
        <w:rPr>
          <w:rFonts w:ascii="Times New Roman" w:hAnsi="Times New Roman"/>
          <w:b/>
          <w:sz w:val="20"/>
        </w:rPr>
        <w:t xml:space="preserve">Cogency Global Inc. </w:t>
      </w:r>
    </w:p>
    <w:p>
      <w:pPr>
        <w:pStyle w:val="TextBody"/>
        <w:bidi w:val="0"/>
        <w:spacing w:before="0" w:after="0"/>
        <w:jc w:val="center"/>
        <w:rPr>
          <w:rFonts w:ascii="Times New Roman" w:hAnsi="Times New Roman"/>
          <w:b/>
          <w:sz w:val="20"/>
        </w:rPr>
      </w:pPr>
      <w:r>
        <w:rPr>
          <w:rFonts w:ascii="Times New Roman" w:hAnsi="Times New Roman"/>
          <w:b/>
          <w:sz w:val="20"/>
        </w:rPr>
        <w:t xml:space="preserve">122 East 42nd Street, 18th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10016 </w:t>
      </w:r>
    </w:p>
    <w:p>
      <w:pPr>
        <w:pStyle w:val="TextBody"/>
        <w:bidi w:val="0"/>
        <w:spacing w:before="0" w:after="0"/>
        <w:jc w:val="center"/>
        <w:rPr>
          <w:rFonts w:ascii="Times New Roman" w:hAnsi="Times New Roman"/>
          <w:b/>
          <w:sz w:val="20"/>
        </w:rPr>
      </w:pPr>
      <w:r>
        <w:rPr>
          <w:rFonts w:ascii="Times New Roman" w:hAnsi="Times New Roman"/>
          <w:b/>
          <w:sz w:val="20"/>
        </w:rPr>
        <w:t xml:space="preserve">Tel: +1 (212) 947-7200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center"/>
              <w:rPr>
                <w:rFonts w:ascii="Times New Roman" w:hAnsi="Times New Roman"/>
                <w:b/>
                <w:sz w:val="18"/>
              </w:rPr>
            </w:pPr>
            <w:r>
              <w:rPr>
                <w:rFonts w:ascii="Times New Roman" w:hAnsi="Times New Roman"/>
                <w:b/>
                <w:sz w:val="18"/>
              </w:rPr>
              <w:t>Gerry Williams</w:t>
            </w:r>
          </w:p>
          <w:p>
            <w:pPr>
              <w:pStyle w:val="TableContents"/>
              <w:bidi w:val="0"/>
              <w:spacing w:before="0" w:after="0"/>
              <w:jc w:val="center"/>
              <w:rPr>
                <w:rFonts w:ascii="Times New Roman" w:hAnsi="Times New Roman"/>
                <w:b/>
                <w:sz w:val="18"/>
              </w:rPr>
            </w:pPr>
            <w:r>
              <w:rPr>
                <w:rFonts w:ascii="Times New Roman" w:hAnsi="Times New Roman"/>
                <w:b/>
                <w:sz w:val="18"/>
              </w:rPr>
              <w:t>Penny Minna</w:t>
            </w:r>
          </w:p>
          <w:p>
            <w:pPr>
              <w:pStyle w:val="TableContents"/>
              <w:bidi w:val="0"/>
              <w:spacing w:before="0" w:after="0"/>
              <w:jc w:val="center"/>
              <w:rPr>
                <w:rFonts w:ascii="Times New Roman" w:hAnsi="Times New Roman"/>
                <w:b/>
                <w:sz w:val="18"/>
              </w:rPr>
            </w:pPr>
            <w:r>
              <w:rPr>
                <w:rFonts w:ascii="Times New Roman" w:hAnsi="Times New Roman"/>
                <w:b/>
                <w:sz w:val="18"/>
              </w:rPr>
              <w:t>DLA Piper LLP</w:t>
            </w:r>
          </w:p>
          <w:p>
            <w:pPr>
              <w:pStyle w:val="TableContents"/>
              <w:bidi w:val="0"/>
              <w:spacing w:before="0" w:after="0"/>
              <w:jc w:val="center"/>
              <w:rPr>
                <w:rFonts w:ascii="Times New Roman" w:hAnsi="Times New Roman"/>
                <w:b/>
                <w:sz w:val="18"/>
              </w:rPr>
            </w:pPr>
            <w:r>
              <w:rPr>
                <w:rFonts w:ascii="Times New Roman" w:hAnsi="Times New Roman"/>
                <w:b/>
                <w:sz w:val="18"/>
              </w:rPr>
              <w:t>1201 W Peachtree St NE #2800</w:t>
            </w:r>
          </w:p>
          <w:p>
            <w:pPr>
              <w:pStyle w:val="TableContents"/>
              <w:bidi w:val="0"/>
              <w:spacing w:before="0" w:after="0"/>
              <w:jc w:val="center"/>
              <w:rPr>
                <w:rFonts w:ascii="Times New Roman" w:hAnsi="Times New Roman"/>
                <w:b/>
                <w:sz w:val="18"/>
              </w:rPr>
            </w:pPr>
            <w:r>
              <w:rPr>
                <w:rFonts w:ascii="Times New Roman" w:hAnsi="Times New Roman"/>
                <w:b/>
                <w:sz w:val="18"/>
              </w:rPr>
              <w:t>Atlanta, GA 30309</w:t>
            </w:r>
          </w:p>
          <w:p>
            <w:pPr>
              <w:pStyle w:val="TableContents"/>
              <w:bidi w:val="0"/>
              <w:spacing w:before="0" w:after="20"/>
              <w:jc w:val="center"/>
              <w:rPr>
                <w:rFonts w:ascii="Times New Roman" w:hAnsi="Times New Roman"/>
                <w:b/>
                <w:sz w:val="18"/>
              </w:rPr>
            </w:pPr>
            <w:r>
              <w:rPr>
                <w:rFonts w:ascii="Times New Roman" w:hAnsi="Times New Roman"/>
                <w:b/>
                <w:sz w:val="18"/>
              </w:rPr>
              <w:t>(404) 736-7800</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8"/>
              </w:rPr>
            </w:pPr>
            <w:r>
              <w:rPr>
                <w:rFonts w:ascii="Times New Roman" w:hAnsi="Times New Roman"/>
                <w:b/>
                <w:sz w:val="18"/>
              </w:rPr>
              <w:t>Robert Fenner</w:t>
            </w:r>
          </w:p>
          <w:p>
            <w:pPr>
              <w:pStyle w:val="TableContents"/>
              <w:bidi w:val="0"/>
              <w:spacing w:before="0" w:after="0"/>
              <w:jc w:val="center"/>
              <w:rPr>
                <w:rFonts w:ascii="Times New Roman" w:hAnsi="Times New Roman"/>
                <w:b/>
                <w:sz w:val="18"/>
              </w:rPr>
            </w:pPr>
            <w:r>
              <w:rPr>
                <w:rFonts w:ascii="Times New Roman" w:hAnsi="Times New Roman"/>
                <w:b/>
                <w:sz w:val="18"/>
              </w:rPr>
              <w:t>Taylor Wessing LLP</w:t>
            </w:r>
          </w:p>
          <w:p>
            <w:pPr>
              <w:pStyle w:val="TableContents"/>
              <w:bidi w:val="0"/>
              <w:spacing w:before="0" w:after="0"/>
              <w:jc w:val="center"/>
              <w:rPr>
                <w:rFonts w:ascii="Times New Roman" w:hAnsi="Times New Roman"/>
                <w:b/>
                <w:sz w:val="18"/>
              </w:rPr>
            </w:pPr>
            <w:r>
              <w:rPr>
                <w:rFonts w:ascii="Times New Roman" w:hAnsi="Times New Roman"/>
                <w:b/>
                <w:sz w:val="18"/>
              </w:rPr>
              <w:t>5 New Street Square</w:t>
            </w:r>
          </w:p>
          <w:p>
            <w:pPr>
              <w:pStyle w:val="TableContents"/>
              <w:bidi w:val="0"/>
              <w:spacing w:before="0" w:after="0"/>
              <w:jc w:val="center"/>
              <w:rPr>
                <w:rFonts w:ascii="Times New Roman" w:hAnsi="Times New Roman"/>
                <w:b/>
                <w:sz w:val="18"/>
              </w:rPr>
            </w:pPr>
            <w:r>
              <w:rPr>
                <w:rFonts w:ascii="Times New Roman" w:hAnsi="Times New Roman"/>
                <w:b/>
                <w:sz w:val="18"/>
              </w:rPr>
              <w:t>London, EC4A 3TW</w:t>
            </w:r>
          </w:p>
          <w:p>
            <w:pPr>
              <w:pStyle w:val="TableContents"/>
              <w:bidi w:val="0"/>
              <w:spacing w:before="0" w:after="20"/>
              <w:jc w:val="center"/>
              <w:rPr>
                <w:rFonts w:ascii="Times New Roman" w:hAnsi="Times New Roman"/>
                <w:b/>
                <w:sz w:val="18"/>
              </w:rPr>
            </w:pPr>
            <w:r>
              <w:rPr>
                <w:rFonts w:ascii="Times New Roman" w:hAnsi="Times New Roman"/>
                <w:b/>
                <w:sz w:val="18"/>
              </w:rPr>
              <w:t>+44 20 7300 7000</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8"/>
              </w:rPr>
            </w:pPr>
            <w:r>
              <w:rPr>
                <w:rFonts w:ascii="Times New Roman" w:hAnsi="Times New Roman"/>
                <w:b/>
                <w:sz w:val="18"/>
              </w:rPr>
              <w:t>Michael C. Labriola</w:t>
            </w:r>
          </w:p>
          <w:p>
            <w:pPr>
              <w:pStyle w:val="TableContents"/>
              <w:bidi w:val="0"/>
              <w:spacing w:before="0" w:after="0"/>
              <w:jc w:val="center"/>
              <w:rPr>
                <w:rFonts w:ascii="Times New Roman" w:hAnsi="Times New Roman"/>
                <w:b/>
                <w:sz w:val="18"/>
              </w:rPr>
            </w:pPr>
            <w:r>
              <w:rPr>
                <w:rFonts w:ascii="Times New Roman" w:hAnsi="Times New Roman"/>
                <w:b/>
                <w:sz w:val="18"/>
              </w:rPr>
              <w:t>Mark Bass</w:t>
            </w:r>
          </w:p>
          <w:p>
            <w:pPr>
              <w:pStyle w:val="TableContents"/>
              <w:bidi w:val="0"/>
              <w:spacing w:before="0" w:after="0"/>
              <w:jc w:val="center"/>
              <w:rPr>
                <w:rFonts w:ascii="Times New Roman" w:hAnsi="Times New Roman"/>
                <w:b/>
                <w:sz w:val="18"/>
              </w:rPr>
            </w:pPr>
            <w:r>
              <w:rPr>
                <w:rFonts w:ascii="Times New Roman" w:hAnsi="Times New Roman"/>
                <w:b/>
                <w:sz w:val="18"/>
              </w:rPr>
              <w:t>Elisa Sielski</w:t>
            </w:r>
          </w:p>
          <w:p>
            <w:pPr>
              <w:pStyle w:val="TableContents"/>
              <w:bidi w:val="0"/>
              <w:spacing w:before="0" w:after="0"/>
              <w:jc w:val="center"/>
              <w:rPr>
                <w:rFonts w:ascii="Times New Roman" w:hAnsi="Times New Roman"/>
                <w:b/>
                <w:sz w:val="18"/>
              </w:rPr>
            </w:pPr>
            <w:r>
              <w:rPr>
                <w:rFonts w:ascii="Times New Roman" w:hAnsi="Times New Roman"/>
                <w:b/>
                <w:sz w:val="18"/>
              </w:rPr>
              <w:t>Wilson Sonsini Goodrich &amp; Rosati P.C.</w:t>
            </w:r>
          </w:p>
          <w:p>
            <w:pPr>
              <w:pStyle w:val="TableContents"/>
              <w:bidi w:val="0"/>
              <w:spacing w:before="0" w:after="0"/>
              <w:jc w:val="center"/>
              <w:rPr>
                <w:rFonts w:ascii="Times New Roman" w:hAnsi="Times New Roman"/>
                <w:b/>
                <w:sz w:val="18"/>
              </w:rPr>
            </w:pPr>
            <w:r>
              <w:rPr>
                <w:rFonts w:ascii="Times New Roman" w:hAnsi="Times New Roman"/>
                <w:b/>
                <w:sz w:val="18"/>
              </w:rPr>
              <w:t>41 Old Street</w:t>
            </w:r>
          </w:p>
          <w:p>
            <w:pPr>
              <w:pStyle w:val="TableContents"/>
              <w:bidi w:val="0"/>
              <w:spacing w:before="0" w:after="0"/>
              <w:jc w:val="center"/>
              <w:rPr>
                <w:rFonts w:ascii="Times New Roman" w:hAnsi="Times New Roman"/>
                <w:b/>
                <w:sz w:val="18"/>
              </w:rPr>
            </w:pPr>
            <w:r>
              <w:rPr>
                <w:rFonts w:ascii="Times New Roman" w:hAnsi="Times New Roman"/>
                <w:b/>
                <w:sz w:val="18"/>
              </w:rPr>
              <w:t>London, EC1V 9HX</w:t>
            </w:r>
          </w:p>
          <w:p>
            <w:pPr>
              <w:pStyle w:val="TableContents"/>
              <w:bidi w:val="0"/>
              <w:spacing w:before="0" w:after="20"/>
              <w:jc w:val="center"/>
              <w:rPr>
                <w:rFonts w:ascii="Times New Roman" w:hAnsi="Times New Roman"/>
                <w:b/>
                <w:sz w:val="18"/>
              </w:rPr>
            </w:pPr>
            <w:r>
              <w:rPr>
                <w:rFonts w:ascii="Times New Roman" w:hAnsi="Times New Roman"/>
                <w:b/>
                <w:sz w:val="18"/>
              </w:rPr>
              <w:t>+44 20 3963 4050</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left"/>
        <w:rPr>
          <w:rFonts w:ascii="Times New Roman" w:hAnsi="Times New Roman"/>
          <w:sz w:val="16"/>
        </w:rPr>
      </w:pPr>
      <w:r>
        <w:rPr>
          <w:rFonts w:ascii="Times New Roman" w:hAnsi="Times New Roman"/>
          <w:sz w:val="16"/>
        </w:rPr>
        <w:t xml:space="preserve">Approximate date of commencement of proposed sale of the securities to the public: </w:t>
      </w:r>
      <w:r>
        <w:rPr>
          <w:rFonts w:ascii="Times New Roman" w:hAnsi="Times New Roman"/>
          <w:b/>
          <w:sz w:val="16"/>
        </w:rPr>
        <w:t>As soon as practicable after this Registration Statement becomes effective and all other conditions to the business combination contemplated by the Business Combination Agreement described in the included proxy statement/prospectus have been satisfied or waived.</w:t>
      </w:r>
      <w:r>
        <w:rPr>
          <w:rFonts w:ascii="Times New Roman" w:hAnsi="Times New Roman"/>
          <w:sz w:val="16"/>
        </w:rPr>
        <w:t xml:space="preserve"> </w:t>
      </w:r>
    </w:p>
    <w:p>
      <w:pPr>
        <w:pStyle w:val="TextBody"/>
        <w:bidi w:val="0"/>
        <w:spacing w:before="4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6"/>
        </w:rPr>
      </w:pPr>
      <w:r>
        <w:rPr>
          <w:rFonts w:ascii="Times New Roman" w:hAnsi="Times New Roman"/>
          <w:sz w:val="16"/>
        </w:rPr>
        <w:t xml:space="preserve">If applicable, place an X in the box to designate the appropriate rule provision relied upon in conducting this transaction: </w:t>
      </w:r>
    </w:p>
    <w:p>
      <w:pPr>
        <w:pStyle w:val="TextBody"/>
        <w:bidi w:val="0"/>
        <w:spacing w:before="40" w:after="0"/>
        <w:jc w:val="left"/>
        <w:rPr>
          <w:rFonts w:ascii="Times New Roman" w:hAnsi="Times New Roman"/>
          <w:sz w:val="16"/>
        </w:rPr>
      </w:pPr>
      <w:r>
        <w:rPr>
          <w:rFonts w:ascii="Times New Roman" w:hAnsi="Times New Roman"/>
          <w:sz w:val="16"/>
        </w:rPr>
        <w:t xml:space="preserve">Exchange Act Rule 13e-4(i) (Cross-Border Issuer Tender Offer)  ☐ </w:t>
      </w:r>
    </w:p>
    <w:p>
      <w:pPr>
        <w:pStyle w:val="TextBody"/>
        <w:bidi w:val="0"/>
        <w:spacing w:before="40" w:after="0"/>
        <w:jc w:val="left"/>
        <w:rPr>
          <w:rFonts w:ascii="Times New Roman" w:hAnsi="Times New Roman"/>
          <w:sz w:val="16"/>
        </w:rPr>
      </w:pPr>
      <w:r>
        <w:rPr>
          <w:rFonts w:ascii="Times New Roman" w:hAnsi="Times New Roman"/>
          <w:sz w:val="16"/>
        </w:rPr>
        <w:t xml:space="preserve">Exchange Act Rule 14d-1(d) (Cross-Border Third-Party Tender Offer)  ☐ </w:t>
      </w:r>
    </w:p>
    <w:p>
      <w:pPr>
        <w:pStyle w:val="TextBody"/>
        <w:bidi w:val="0"/>
        <w:spacing w:before="40" w:after="0"/>
        <w:jc w:val="left"/>
        <w:rPr>
          <w:rFonts w:ascii="Times New Roman" w:hAnsi="Times New Roman"/>
          <w:sz w:val="16"/>
        </w:rPr>
      </w:pPr>
      <w:r>
        <w:rPr>
          <w:rFonts w:ascii="Times New Roman" w:hAnsi="Times New Roman"/>
          <w:sz w:val="16"/>
        </w:rPr>
        <w:t xml:space="preserve">Indicate by check mark whether the registrant is an emerging growth company as defined in Rule 405 of the Securities Act of 1933. </w:t>
      </w:r>
    </w:p>
    <w:p>
      <w:pPr>
        <w:pStyle w:val="TextBody"/>
        <w:bidi w:val="0"/>
        <w:spacing w:before="40" w:after="0"/>
        <w:jc w:val="left"/>
        <w:rPr>
          <w:rFonts w:ascii="Times New Roman" w:hAnsi="Times New Roman"/>
          <w:sz w:val="16"/>
        </w:rPr>
      </w:pPr>
      <w:r>
        <w:rPr>
          <w:rFonts w:ascii="Times New Roman" w:hAnsi="Times New Roman"/>
          <w:sz w:val="16"/>
        </w:rPr>
        <w:t xml:space="preserve">Emerging growth company  ☒ </w:t>
      </w:r>
    </w:p>
    <w:p>
      <w:pPr>
        <w:pStyle w:val="TextBody"/>
        <w:bidi w:val="0"/>
        <w:spacing w:before="40" w:after="0"/>
        <w:jc w:val="left"/>
        <w:rPr>
          <w:rFonts w:ascii="Times New Roman" w:hAnsi="Times New Roman"/>
          <w:sz w:val="16"/>
        </w:rPr>
      </w:pPr>
      <w:r>
        <w:rPr>
          <w:rFonts w:ascii="Times New Roman" w:hAnsi="Times New Roman"/>
          <w:sz w:val="16"/>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Note: Prior to the completion of this offering, Rezolve AI Limited expects to alter its legal status under English law from a private limited company and re-register as a public limited company and change its name from Rezolve AI Limited to Rezolve AI PLC. The term Rezolve PLC in this proxy statement/prospectus which forms a part of this registration statement refers to Rezolve AI Limited.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PRELIMINARY 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SUBJECT TO COMPLETION, DATED AUGUST 9, 2023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of Armada Acquisition Corp. I: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of Armada Acquisition Corp. I, a Delaware corporation (Armada) has unanimously approved the Business Combination Agreement, dated as of December 17, 2021, as amended on November 10, 2022 and further amended and restated pursuant to the terms of an amendment and restatement deed dated June 16, 2023 (and as may be amended from time to time, the Business Combination Agreement), by and among Armada, Rezolve Limited, a private limited company organized under the laws of England and Wales, Rezolve AI Limited, a private limited liability company registered under the laws of England and Wales with registration number 14573691 (Rezolve) and Rezolve Merger Sub, Inc., a Delaware corporation (Rezolve Merger Sub), which, among other things, provides for (i) a pre-Closing demerger (the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and (ii) the merger of Armada with and into Rezolve Merger Sub, with Armada continuing as the surviving entity (the Merger) such that after completion of the Pre-Closing Demerger and Merger, Armada will become a wholly owned subsidiary of Rezolve (collectively with the other transactions described in the Business Combination Agreement,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Business Combination Agreement, upon the consummation of the Business Combination, (i) each issued and outstanding share of common stock of Armada (Armada Common Stock) immediately prior to the effective time of the Merger (the Merger Effective Time) will be exchanged for                  Rezolve Ordinary Share; (ii) each issued and outstanding warrant of Armada (an Armada Warrant) immediately prior to the Merger Effective Time will be exchanged for                  warrant in the capital of Rezolve (a Rezolve Warrant); (iii) each issued and outstanding unit of Armada (an Armada Unit) immediately prior to the Merger Effective Time will be separated into its component parts (one share of Armada Common Stock and one-half of one Armada Warrant), with each share of Armada Common Stock to be exchanged for                  Rezolve Ordinary Share and each Armada Warrant to be exchanged for                 Rezolve Warrant. Accordingly, this proxy statement/prospectus covers the issuance by Rezolve of an aggregate of                  Rezolve Ordinary Shares,                  Rezolve Warrants and                  Rezolve Ordinary Shares issuable upon exercise of Rezolve Warrants. </w:t>
      </w:r>
    </w:p>
    <w:p>
      <w:pPr>
        <w:pStyle w:val="TextBody"/>
        <w:bidi w:val="0"/>
        <w:spacing w:before="240" w:after="0"/>
        <w:jc w:val="left"/>
        <w:rPr>
          <w:rFonts w:ascii="Times New Roman" w:hAnsi="Times New Roman"/>
          <w:sz w:val="20"/>
        </w:rPr>
      </w:pPr>
      <w:r>
        <w:rPr>
          <w:rFonts w:ascii="Times New Roman" w:hAnsi="Times New Roman"/>
          <w:sz w:val="20"/>
        </w:rPr>
        <w:t xml:space="preserve">Rezolve will issue Rezolve Ordinary Shares on the basis of one Ordinary Share for each existing share of Armada Common Stock registered in the name of Armada Stockholders immediately prior to the Merger Effective Time. Shortly prior to completion of the Business Combination, Rezolve will reregister as a public limited company. On Closing, it is intended that the Rezolve Ordinary Shares and Rezolve Warrants will become listed on The Nasdaq Stock Market LLC and, as a result of the Business Combination, Armada will become a wholly-owned subsidiary of Rezolve. The former security holders of Armada will become security holders of Rezolve. As a result of the Business Combination, assuming that no shareholders of Armada elect to convert their public shares into cash in connection therewith as permitted by Armadas amended and restated certificate of incorporation, the former shareholders of Armada and the current shareholders of Rezolve will own approximately     % and     %, respectively, of the Rezolve Ordinary Shares to be outstanding immediately after the Business Combination. If                  shares of Armadas Common Stock (the maximum number of Armada Common Stock that can be redeemed in order to consummate the Business Combination) are converted into cash, such percentages will be approximately     % and     %, respectively, of the voting power of the Rezolve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Proposals to approve the Business Combination Agreement and the other matters discussed in this proxy statement/prospectus will be presented at the Special Meeting of Armada scheduled to be held on                 , 2023 (the Armada Special Meeting).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Armada Units, Armada Common Stock and Armada Warrants are currently listed on The Nasdaq Stock Market LLC (the Nasdaq) under the symbols AACIU, AACI, and AACIW, respectively. Armada Units, Armada Common Stock and Armada Warrants will be delisted from Nasdaq upon the consummation of the Merger and will no longer be traded. Rezolve will apply for listing, to be effective at the time of the Business Combination, of the Rezolve Ordinary Shares and the Rezolve Warrants on the Nasdaq under the proposed symbols                  and                 , respectively. There is no assurance that Rezolve will be able to satisfy Nasdaq listing criteria necessary for listing or will be able to continue to satisfy such criteria following the consummation of the Business Combination. Rezolve will not have units traded following the consummation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Each of Armada and Rezolve is an emerging growth company as defined in the Jumpstart Our Business Startups Act of 2012 and has elected to comply with certain reduced public company reporting requirements. </w:t>
      </w:r>
    </w:p>
    <w:p>
      <w:pPr>
        <w:pStyle w:val="TextBody"/>
        <w:bidi w:val="0"/>
        <w:spacing w:before="240" w:after="0"/>
        <w:jc w:val="left"/>
        <w:rPr>
          <w:rFonts w:ascii="Times New Roman" w:hAnsi="Times New Roman"/>
          <w:b/>
          <w:sz w:val="20"/>
        </w:rPr>
      </w:pPr>
      <w:r>
        <w:rPr>
          <w:rFonts w:ascii="Times New Roman" w:hAnsi="Times New Roman"/>
          <w:b/>
          <w:sz w:val="20"/>
        </w:rPr>
        <w:t xml:space="preserve">More information about Armada, Rezolve, the Merger, the Business Combination Agreement, the Business Combination or the other transactions contemplated thereby is contained in this proxy statement/prospectus. Armada and Rezolve urge you to read the accompanying proxy statement/prospectus, including the financial statements and annexes and other documents referred to herein, carefully and in their entirety. IN PARTICULAR, YOU SHOULD CAREFULLY CONSIDER THE MATTERS DISCUSSED UNDER THE SECTION TITLED RISK FACTORS BEGINNING ON PAGE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or need assistance voting your shares of common stock, please contact                 , our proxy solicitor, by calling                 , or banks and brokers can call collect at                 , or by emailing                . The notice of meeting is and the proxy statement/prospectus relating to the Business Combination will be available at                 .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(THE SEC) NOR ANY STATE SECURITIES COMMISSION HAS APPROVED OR DISAPPROVED OF THE BUSINESS COMBINATION OR THE OTHER TRANSACTIONS DESCRIBED IN THIS PROXY STATEMENT/PROSPECTUS OR ANY OF THE SECURITIES TO BE ISSUED IN THE BUSINESS COMBINATION, PASSED UPON THE MERITS OR FAIRNESS OF THE BUSINESS COMBINATION OR RELATED TRANSACTIONS OR PASSED UPON THE ADEQUACY OR ACCURACY OF THE DISCLOSURE IN THIS PROXY STATEMENT/PROSPECTUS.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is dated                 , 2023, and is first being mailed to shareholders of Armada on or about                 ,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Stephen P. Herbert, Chief Executive Officer of Armada</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bidi w:val="0"/>
        <w:spacing w:before="0" w:after="0"/>
        <w:jc w:val="center"/>
        <w:rPr>
          <w:rFonts w:ascii="Times New Roman" w:hAnsi="Times New Roman"/>
          <w:b/>
          <w:sz w:val="20"/>
        </w:rPr>
      </w:pPr>
      <w:r>
        <w:rPr>
          <w:rFonts w:ascii="Times New Roman" w:hAnsi="Times New Roman"/>
          <w:b/>
          <w:sz w:val="20"/>
        </w:rPr>
        <w:t xml:space="preserve">2005 Market Street Suite 3120 </w:t>
      </w:r>
    </w:p>
    <w:p>
      <w:pPr>
        <w:pStyle w:val="TextBody"/>
        <w:bidi w:val="0"/>
        <w:spacing w:before="0" w:after="0"/>
        <w:jc w:val="center"/>
        <w:rPr>
          <w:rFonts w:ascii="Times New Roman" w:hAnsi="Times New Roman"/>
          <w:b/>
          <w:sz w:val="20"/>
        </w:rPr>
      </w:pPr>
      <w:r>
        <w:rPr>
          <w:rFonts w:ascii="Times New Roman" w:hAnsi="Times New Roman"/>
          <w:b/>
          <w:sz w:val="20"/>
        </w:rPr>
        <w:t xml:space="preserve">Philadelphia, PA 19103 </w:t>
      </w:r>
    </w:p>
    <w:p>
      <w:pPr>
        <w:pStyle w:val="TextBody"/>
        <w:bidi w:val="0"/>
        <w:spacing w:before="0" w:after="0"/>
        <w:jc w:val="center"/>
        <w:rPr>
          <w:rFonts w:ascii="Times New Roman" w:hAnsi="Times New Roman"/>
          <w:b/>
          <w:sz w:val="20"/>
        </w:rPr>
      </w:pPr>
      <w:r>
        <w:rPr>
          <w:rFonts w:ascii="Times New Roman" w:hAnsi="Times New Roman"/>
          <w:b/>
          <w:sz w:val="20"/>
        </w:rPr>
        <w:t xml:space="preserve">(215) 543-6886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SPECIAL MEETING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 2023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OF ARMADA ACQUISITION CORP. I: </w:t>
      </w:r>
    </w:p>
    <w:p>
      <w:pPr>
        <w:pStyle w:val="TextBody"/>
        <w:bidi w:val="0"/>
        <w:spacing w:before="240" w:after="0"/>
        <w:jc w:val="left"/>
        <w:rPr>
          <w:rFonts w:ascii="Times New Roman" w:hAnsi="Times New Roman"/>
          <w:sz w:val="20"/>
        </w:rPr>
      </w:pPr>
      <w:r>
        <w:rPr>
          <w:rFonts w:ascii="Times New Roman" w:hAnsi="Times New Roman"/>
          <w:sz w:val="20"/>
        </w:rPr>
        <w:t xml:space="preserve">NOTICE IS HEREBY GIVEN that a Special Meeting of the stockholders of Armada Acquisition Corp. I, a Delaware corporation (we, us, our, Armada or the Company), will be held on                 , 2023 at                , Eastern Time, virtually at </w:t>
      </w:r>
      <w:r>
        <w:rPr>
          <w:rFonts w:ascii="Times New Roman" w:hAnsi="Times New Roman"/>
          <w:i/>
          <w:sz w:val="20"/>
        </w:rPr>
        <w:t>http://www.cstproxy.com/armadaacquisition/2023</w:t>
      </w:r>
      <w:r>
        <w:rPr>
          <w:rFonts w:ascii="Times New Roman" w:hAnsi="Times New Roman"/>
          <w:sz w:val="20"/>
        </w:rPr>
        <w:t xml:space="preserve">. Armada has determined that the Special Meeting will be a virtual meeting in order to facilitate stockholder attendance and participation. You or your proxyholder will be able to attend and vote at the Special Meeting online by visiting </w:t>
      </w:r>
      <w:r>
        <w:rPr>
          <w:rFonts w:ascii="Times New Roman" w:hAnsi="Times New Roman"/>
          <w:i/>
          <w:sz w:val="20"/>
        </w:rPr>
        <w:t>http://www.cstproxy.com/armadaacquisition/2023</w:t>
      </w:r>
      <w:r>
        <w:rPr>
          <w:rFonts w:ascii="Times New Roman" w:hAnsi="Times New Roman"/>
          <w:sz w:val="20"/>
        </w:rPr>
        <w:t xml:space="preserve"> and using a control number assigned by the transfer agent, Continental Stock Transfer &amp; Trust Company. To register and receive access to the virtual meeting, registered stockholders and beneficial stockholders (those holding shares through a stock brokerage account or by a bank or other holder of record) will need to follow the instructions applicable to them provided in the proxy statement/prospectus. Please note that you will only be able to access the Special Meeting by means of remote communication. You are cordially invited to attend the Special Meeting to conduct the following items of business which you will be asked to consider and vote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  The Business Combination Proposal</w:t>
            </w:r>
            <w:r>
              <w:rPr>
                <w:rFonts w:ascii="Times New Roman" w:hAnsi="Times New Roman"/>
                <w:sz w:val="20"/>
              </w:rPr>
              <w:t xml:space="preserve">  To consider and vote upon a proposal to adopt and approve the business combination described in this proxy statement/prospectus (the Business Combination and such proposal, the Business Combination Proposal), including the Business Combination Agreement, dated as of December 17, 2021 as amended on November 10, 2022 and further amended and restated on June 16, 2023 (as the same may be further amended, supplemented or otherwise modified from time to time, the Business Combination Agreement), by and among Armada, Rezolve Limited, a company organized under the laws of England and Wales, Rezolve AI Limited, a company organized under the laws of England and Wales (Rezolve), and Rezolve Merger Sub, Inc., a Delaware corporation (Rezolve Merger Sub), pursuant to which Armada, Rezolve Limited, Rezolve and Rezolve Merger Sub will effect a series of transactions including, among other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pre-Closing demerger (the Pre-Closing Demerger) of Rezolve Limited, in preparation for the Nasdaq listing,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Company Reorganization: (a) Rezolve Merger Sub shall be merged with and into Armada whereupon Rezolve Merger Sub will cease to exist and with Armada surviving the Merger as a subsidiary of Rezolve; and (b) Armada shall loan all of its remaining cash in the Trust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283"/>
              <w:jc w:val="left"/>
              <w:rPr/>
            </w:pPr>
            <w:r>
              <w:rPr/>
              <w:t xml:space="preserve">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2  The Nasdaq Proposal</w:t>
            </w:r>
            <w:r>
              <w:rPr>
                <w:rFonts w:ascii="Times New Roman" w:hAnsi="Times New Roman"/>
                <w:sz w:val="20"/>
              </w:rPr>
              <w:t xml:space="preserve">  to consider and vote upon a proposal to adopt and approve, for the purposes of complying with the applicable listing rules of Nasdaq, the issuance of Rezolve Shares in connection with the Business Combination Agreement, including the Company Reorganization, the conversion of the Convertible Notes and, to the extent applicable, the Merger, in each case, as required by Nasdaq listing requirements (the Nasdaq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3  The Incentive Equity Plan Proposal</w:t>
            </w:r>
            <w:r>
              <w:rPr>
                <w:rFonts w:ascii="Times New Roman" w:hAnsi="Times New Roman"/>
                <w:sz w:val="20"/>
              </w:rPr>
              <w:t xml:space="preserve">  to consider and vote upon a proposal to adopt and approve, the Rezolve Incentive Equity Plan (the Rezolve Incentive Equity Plan), which will become effective on or before the Closing Date and will be used by Rezolve following the Closing (the Incentive Equity Plan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 4  The Charter Limitation Amendment Proposal</w:t>
            </w:r>
            <w:r>
              <w:rPr>
                <w:rFonts w:ascii="Times New Roman" w:hAnsi="Times New Roman"/>
                <w:sz w:val="20"/>
              </w:rPr>
              <w:t xml:space="preserve">  to consider and vote upon a proposal to amend Armadas second amended and restated certificate of incorporation (as amended, the Armada Charter) to eliminate from the Armada Charter the limitation that Armada may not consummate a business combination to the extent Armada would have net tangible assets of less than $5,000,001, which amendment will be effective immediately prior to or upon consummation of a business combination (the Charter Limitation) in order to allow Armada to consummate the Business Combination irrespective of whether Armada would exceed the Charter Limitation (the Charter Limitation Amendment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5  Adjournment Proposal</w:t>
            </w:r>
            <w:r>
              <w:rPr>
                <w:rFonts w:ascii="Times New Roman" w:hAnsi="Times New Roman"/>
                <w:sz w:val="20"/>
              </w:rPr>
              <w:t xml:space="preserve">  to approve, if necessary, the adjournment of the Special Meeting to a later date or dates to permit further solicitation and votes of proxies in the event that there are insufficient votes for, or otherwise in connection with, the approval of the Business Combination Proposal, the Nasdaq Proposal, the Incentive Equity Plan Proposal or the Charter Limitation Amendment Proposal. This proposal will only be presented at the Special Meeting if there are not sufficient votes to approve the Business Combination Proposal, the Nasdaq Proposal, the Incentive Equity Plan Proposal or the Charter Limitation Amendment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matters are more fully described in the accompanying proxy statement/prospectus, which also includes, as Annex A copy of the Business Combination Agreement. </w:t>
      </w:r>
      <w:r>
        <w:rPr>
          <w:rFonts w:ascii="Times New Roman" w:hAnsi="Times New Roman"/>
          <w:b/>
          <w:sz w:val="20"/>
        </w:rPr>
        <w:t>We urge you to read carefully the accompanying proxy statement/prospectus in its entirety, including the Annexes and accompanying financial statements of Armada and Rezolve.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record date for the Special Meeting is                 , 2023 (the Record Date). Only stockholders of record at the close of business on that date may vote at the Special Meeting or any adjournment thereof. A complete list of our stockholders of record entitled to vote at the Special Meeting will be available for ten (10) days before the Special Meeting at our principal executive offices for inspection by stockholders during ordinary business hours for any purpose germane to the Special Meeting and electronically during the Special Meeting at </w:t>
      </w:r>
    </w:p>
    <w:p>
      <w:pPr>
        <w:pStyle w:val="TextBody"/>
        <w:bidi w:val="0"/>
        <w:spacing w:before="0" w:after="0"/>
        <w:jc w:val="left"/>
        <w:rPr>
          <w:rFonts w:ascii="Times New Roman" w:hAnsi="Times New Roman"/>
          <w:sz w:val="20"/>
        </w:rPr>
      </w:pPr>
      <w:r>
        <w:rPr>
          <w:rFonts w:ascii="Times New Roman" w:hAnsi="Times New Roman"/>
          <w:i/>
          <w:sz w:val="20"/>
        </w:rPr>
        <w:t>http://www.cstproxy.com/armadaacquisition/2023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majority of the voting power of all outstanding shares of capital stock of Armada entitled to vote must be present via the virtual meeting platform or by proxy to constitute a quorum for the transaction of business at the Special Meeting. Approval of each of the Business Combination Proposal, the Nasdaq Proposal, the Incentive Equity Plan Proposal and the Charter Limitation Amendment Proposal require the affirmative vote of a majority of the votes cast at the Special Meeting. </w:t>
      </w:r>
      <w:r>
        <w:rPr>
          <w:rFonts w:ascii="Times New Roman" w:hAnsi="Times New Roman"/>
          <w:b/>
          <w:sz w:val="20"/>
        </w:rPr>
        <w:t>The Board unanimously recommends that you vote FOR each of these proposals.</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By Order of the Board of Directors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Stephen P. Herbert</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Stephen P. Herbert,</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proxy statement/prospectus is not complete and may be changed. We may not issue these securities until the registration statement filed with the Securities and Exchange Commissions, of which this proxy statement/prospectus is a part, is declared effective. This proxy statement/prospectus does not constitute an offer to sell these securities and it is not soliciting an offer to buy these securities in any state, country or territory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AUGUST 9, 2023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FOR SPECIAL MEETING OF </w:t>
      </w:r>
    </w:p>
    <w:p>
      <w:pPr>
        <w:pStyle w:val="TextBody"/>
        <w:bidi w:val="0"/>
        <w:spacing w:before="40" w:after="0"/>
        <w:jc w:val="center"/>
        <w:rPr>
          <w:rFonts w:ascii="Times New Roman" w:hAnsi="Times New Roman"/>
          <w:b/>
          <w:sz w:val="40"/>
        </w:rPr>
      </w:pPr>
      <w:r>
        <w:rPr>
          <w:rFonts w:ascii="Times New Roman" w:hAnsi="Times New Roman"/>
          <w:b/>
          <w:sz w:val="40"/>
        </w:rPr>
        <w:t xml:space="preserve">ARMADA ACQUISITION CORP. I </w:t>
      </w:r>
    </w:p>
    <w:p>
      <w:pPr>
        <w:pStyle w:val="TextBody"/>
        <w:bidi w:val="0"/>
        <w:spacing w:before="40" w:after="0"/>
        <w:jc w:val="center"/>
        <w:rPr>
          <w:rFonts w:ascii="Times New Roman" w:hAnsi="Times New Roman"/>
          <w:b/>
          <w:sz w:val="24"/>
        </w:rPr>
      </w:pPr>
      <w:r>
        <w:rPr>
          <w:rFonts w:ascii="Times New Roman" w:hAnsi="Times New Roman"/>
          <w:b/>
          <w:sz w:val="24"/>
        </w:rPr>
        <w:t xml:space="preserve">PROSPECTUS FOR UP TO              ORDINARY SHARES </w:t>
      </w:r>
    </w:p>
    <w:p>
      <w:pPr>
        <w:pStyle w:val="TextBody"/>
        <w:bidi w:val="0"/>
        <w:spacing w:before="0" w:after="0"/>
        <w:jc w:val="center"/>
        <w:rPr>
          <w:rFonts w:ascii="Times New Roman" w:hAnsi="Times New Roman"/>
          <w:b/>
          <w:sz w:val="24"/>
        </w:rPr>
      </w:pPr>
      <w:r>
        <w:rPr>
          <w:rFonts w:ascii="Times New Roman" w:hAnsi="Times New Roman"/>
          <w:b/>
          <w:sz w:val="24"/>
        </w:rPr>
        <w:t xml:space="preserve">AND              WARRANTS OF </w:t>
      </w:r>
    </w:p>
    <w:p>
      <w:pPr>
        <w:pStyle w:val="TextBody"/>
        <w:bidi w:val="0"/>
        <w:spacing w:before="40" w:after="0"/>
        <w:jc w:val="center"/>
        <w:rPr>
          <w:rFonts w:ascii="Times New Roman" w:hAnsi="Times New Roman"/>
          <w:b/>
          <w:sz w:val="40"/>
        </w:rPr>
      </w:pPr>
      <w:r>
        <w:rPr>
          <w:rFonts w:ascii="Times New Roman" w:hAnsi="Times New Roman"/>
          <w:b/>
          <w:sz w:val="40"/>
        </w:rPr>
        <w:t xml:space="preserve">REZOLVE AI LIMITED[2]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left"/>
        <w:rPr>
          <w:rFonts w:ascii="Times New Roman" w:hAnsi="Times New Roman"/>
          <w:sz w:val="16"/>
        </w:rPr>
      </w:pPr>
      <w:r>
        <w:rPr>
          <w:rFonts w:ascii="Times New Roman" w:hAnsi="Times New Roman"/>
          <w:sz w:val="16"/>
        </w:rPr>
        <w:t xml:space="preserve">The board of directors of Armada Acquisition Corp. I, a Delaware corporation (Armada), has unanimously approved the Business Combination Agreement dated as of December 17, 2021, as amended on November 10, 2022 and as further amended and restated on June 16, 2023, as amended on August 4, 2023 (and as further amended from time to time, the Business Combination Agreement), by and among Armada, Rezolve Limited, a private limited liability company registered under the laws of England and Wales, Rezolve AI Limited, a private limited company incorporated under the laws of England and Wales with registration number 14573691 (and prior to Closing, Rezolve AI Limited will re-register as Rezolve AI PLC, a public limited company) (Rezolve) and Rezolve Merger Sub, Inc., a Delaware corporation (Merger Sub). If the Business Combination Agreement is approved by Armadas stockholders and the transactions contemplated by the Business Combination Agreement are consummated, Merger Sub will merge with and into Armada, with Armada continuing as the surviving corporation and a wholly owned subsidiary of Rezolve (the Business Combination and together with the other transactions contemplated by the Business Combination Agreement, the Transactions). </w:t>
      </w:r>
    </w:p>
    <w:p>
      <w:pPr>
        <w:pStyle w:val="TextBody"/>
        <w:bidi w:val="0"/>
        <w:spacing w:before="40" w:after="0"/>
        <w:jc w:val="left"/>
        <w:rPr>
          <w:rFonts w:ascii="Times New Roman" w:hAnsi="Times New Roman"/>
          <w:sz w:val="16"/>
        </w:rPr>
      </w:pPr>
      <w:r>
        <w:rPr>
          <w:rFonts w:ascii="Times New Roman" w:hAnsi="Times New Roman"/>
          <w:sz w:val="16"/>
        </w:rPr>
        <w:t xml:space="preserve">Pursuant to the Business Combination Agreement, upon the consummation of the Business Combination, (i) each issued and outstanding share of common stock of Armada (an Armada Common Stock) immediately prior to the effective time of the Merger (the Merger Effective Time) will be exchanged for                 Rezolve ordinary share (an Ordinary Share); (ii) each issued and outstanding warrant of Armada (an Armada Warrant) immediately prior to the Merger Effective Time will be exchanged for                 warrant of Rezolve (a Rezolve Warrant); (iii) each issued and outstanding unit of Armada (an Armada Unit) immediately prior to the Merger Effective Time will be separated into one share of Armada common stock and one-half of one Armada Warrant, with each share of Armada Common Stock to be exchanged for                  Rezolve Ordinary Share and each Armada Warrant to be exchanged for                  Rezolve Warrant. Accordingly, this proxy statement/prospectus addresses the issuance by Rezolve of an aggregate of                  Rezolve Ordinary Shares,                  Rezolve Warrants and                  Rezolve Ordinary Shares issuable upon exercise of Rezolve Warrants. </w:t>
      </w:r>
    </w:p>
    <w:p>
      <w:pPr>
        <w:pStyle w:val="TextBody"/>
        <w:bidi w:val="0"/>
        <w:spacing w:before="40" w:after="0"/>
        <w:jc w:val="left"/>
        <w:rPr>
          <w:rFonts w:ascii="Times New Roman" w:hAnsi="Times New Roman"/>
          <w:sz w:val="16"/>
        </w:rPr>
      </w:pPr>
      <w:r>
        <w:rPr>
          <w:rFonts w:ascii="Times New Roman" w:hAnsi="Times New Roman"/>
          <w:sz w:val="16"/>
        </w:rPr>
        <w:t xml:space="preserve">As a result of the Business Combination, Rezolve will become a new listed company and Armada will become a wholly-owned subsidiary of Rezolve. </w:t>
      </w:r>
    </w:p>
    <w:p>
      <w:pPr>
        <w:pStyle w:val="TextBody"/>
        <w:bidi w:val="0"/>
        <w:spacing w:before="40" w:after="0"/>
        <w:jc w:val="left"/>
        <w:rPr>
          <w:rFonts w:ascii="Times New Roman" w:hAnsi="Times New Roman"/>
          <w:sz w:val="16"/>
        </w:rPr>
      </w:pPr>
      <w:r>
        <w:rPr>
          <w:rFonts w:ascii="Times New Roman" w:hAnsi="Times New Roman"/>
          <w:sz w:val="16"/>
        </w:rPr>
        <w:t xml:space="preserve">It is anticipated that, upon completion of the Business Combination: (i) Armadas public stockholders will own approximately     % of the Rezolve Shares; (ii) the Sponsor and current Armada directors will own approximately     % of the Rezolve Shares; and (iii) the existing Rezolve shareholders will own approximately     % of the Rezolve Shares with 75% of the voting power of Rezolve being held by Daniel Wagner as the Rezolve Founder. As a result of Daniel Wagners ownership of 75% of the voting power of Rezolve, Rezolve will be a controlled company within the meaning of the corporate governance standards of the Nasdaq. These levels of ownership interest: (a) exclude the impact of the warrants to purchase Rezolve Shares that will remain outstanding immediately following the Business Combination including the Rezolve Warrants; (b) assume that no Armada public stockholder exercises redemption rights with respect to its shares for a pro rata portion of the funds in Armadas trust account and (c) exclude the potential impact of any acquisition; and (d) exclude any warrants, options and any entitlements to be allocated by Rezolve pursuant to the terms of the Rezolve Long Term Incentive Plan or otherwise. </w:t>
      </w:r>
    </w:p>
    <w:p>
      <w:pPr>
        <w:pStyle w:val="TextBody"/>
        <w:bidi w:val="0"/>
        <w:spacing w:before="40" w:after="0"/>
        <w:jc w:val="left"/>
        <w:rPr>
          <w:rFonts w:ascii="Times New Roman" w:hAnsi="Times New Roman"/>
          <w:sz w:val="16"/>
        </w:rPr>
      </w:pPr>
      <w:r>
        <w:rPr>
          <w:rFonts w:ascii="Times New Roman" w:hAnsi="Times New Roman"/>
          <w:sz w:val="16"/>
        </w:rPr>
        <w:t xml:space="preserve">Proposals to approve the Business Combination Agreement and the other matters discussed in this proxy statement/prospectus will be presented at the special meeting of Armada Stockholders scheduled to be held on                 , 2023 in virtual format. </w:t>
      </w:r>
    </w:p>
    <w:p>
      <w:pPr>
        <w:pStyle w:val="TextBody"/>
        <w:bidi w:val="0"/>
        <w:spacing w:before="40" w:after="0"/>
        <w:jc w:val="left"/>
        <w:rPr>
          <w:rFonts w:ascii="Times New Roman" w:hAnsi="Times New Roman"/>
          <w:sz w:val="16"/>
        </w:rPr>
      </w:pPr>
      <w:r>
        <w:rPr>
          <w:rFonts w:ascii="Times New Roman" w:hAnsi="Times New Roman"/>
          <w:sz w:val="16"/>
        </w:rPr>
        <w:t>Although Rezolve is not currently a public reporting company, following the effectiveness of the registration statement of which this proxy statement/prospectus is a part and the Closing of the Business Combination, Rezolve will become subject to the reporting requirements of the Securities Exchange Act of 1934, as amended (the Exchange Act). Rezolve intends to apply for listing of the Rezolve Ordinary Shares and Rezolve Warrants on the Nasdaq Stock Market (the Nasdaq) under the proposed symbols                  and                 , respectively, to be effective at the consummation of the Business Combination. It is a condition of the consummation of the Transactions that the Rezolve Ordinary Shares are approved for listing on the Nasdaq (subject only to official notice of issuance thereof and round lot holder requirements). While trading on the Nasdaq is expected to begin on the first business day following the date of completion of the Business Combination, there can be no assurance that Rezolves securities will be listed on the Nasdaq or that a viable and active trading market will develop. See </w:t>
      </w:r>
      <w:r>
        <w:rPr>
          <w:rFonts w:ascii="Times New Roman" w:hAnsi="Times New Roman"/>
          <w:i/>
          <w:sz w:val="16"/>
        </w:rPr>
        <w:t>Risk Factors</w:t>
      </w:r>
      <w:r>
        <w:rPr>
          <w:rFonts w:ascii="Times New Roman" w:hAnsi="Times New Roman"/>
          <w:sz w:val="16"/>
        </w:rPr>
        <w:t xml:space="preserve"> beginning on page      for more information.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left"/>
        <w:rPr/>
      </w:pPr>
      <w:r>
        <w:rPr>
          <w:rFonts w:ascii="Times New Roman" w:hAnsi="Times New Roman"/>
          <w:sz w:val="16"/>
        </w:rPr>
        <w:t xml:space="preserve">This proxy statement/prospectus provides you with detailed information about the Business Combination and other matters to be considered at the Armada Special Meeting. We encourage you to carefully read this entire document. </w:t>
      </w:r>
      <w:r>
        <w:rPr>
          <w:rFonts w:ascii="Times New Roman" w:hAnsi="Times New Roman"/>
          <w:b/>
          <w:sz w:val="16"/>
        </w:rPr>
        <w:t>YOU SHOULD ALSO CAREFULLY CONSIDER THE RISK FACTORS DESCRIBED IN </w:t>
      </w:r>
      <w:hyperlink w:anchor="tx309194_10">
        <w:r>
          <w:rPr>
            <w:rStyle w:val="InternetLink"/>
            <w:rFonts w:ascii="Times New Roman" w:hAnsi="Times New Roman"/>
            <w:b/>
            <w:sz w:val="16"/>
          </w:rPr>
          <w:t>RISK FACTORS</w:t>
        </w:r>
      </w:hyperlink>
      <w:r>
        <w:rPr>
          <w:rFonts w:ascii="Times New Roman" w:hAnsi="Times New Roman"/>
          <w:b/>
          <w:sz w:val="16"/>
        </w:rPr>
        <w:t> BEGINNING ON PAGE</w:t>
      </w:r>
      <w:r>
        <w:rPr>
          <w:rFonts w:ascii="Times New Roman" w:hAnsi="Times New Roman"/>
          <w:sz w:val="16"/>
        </w:rPr>
        <w:t xml:space="preserve"> </w:t>
      </w:r>
      <w:r>
        <w:rPr>
          <w:rFonts w:ascii="Times New Roman" w:hAnsi="Times New Roman"/>
          <w:b/>
          <w:sz w:val="16"/>
        </w:rPr>
        <w:t xml:space="preserve">46 OF THIS PROXY STATEMENT/PROSPECTUS FOR A DISCUSSION OF INFORMATION THAT SHOULD BE CONSIDERED BEFORE VOTING ON THE PROPOSED BUSINESS COMBINATION AND EACH OF THE OTHER MATTERS TO BE PRESENTED AT THE ARMADA SPECIAL MEETING. </w:t>
      </w:r>
    </w:p>
    <w:p>
      <w:pPr>
        <w:pStyle w:val="TextBody"/>
        <w:bidi w:val="0"/>
        <w:spacing w:before="40" w:after="0"/>
        <w:jc w:val="left"/>
        <w:rPr>
          <w:rFonts w:ascii="Times New Roman" w:hAnsi="Times New Roman"/>
          <w:b/>
          <w:sz w:val="16"/>
        </w:rPr>
      </w:pPr>
      <w:r>
        <w:rPr>
          <w:rFonts w:ascii="Times New Roman" w:hAnsi="Times New Roman"/>
          <w:b/>
          <w:sz w:val="16"/>
        </w:rPr>
        <w:t xml:space="preserve">NEITHER THE U.S. SECURITIES AND EXCHANGE COMMISSION (THE SEC) NOR ANY STATE SECURITIES COMMISSION HAS APPROVED OR DISAPPROVED OF THE BUSINESS COMBINATION OR THE OTHER TRANSACTIONS DESCRIBED IN THIS PROXY STATEMENT/PROSPECTUS OR ANY OF THE SECURITIES TO BE ISSUED IN THE BUSINESS COMBINATION, PASSED UPON THE MERITS OR FAIRNESS OF THE BUSINESS COMBINATION OR RELATED TRANSACTIONS OR PASSED UPON THE ADEQUACY OR ACCURACY OF THE DISCLOSURE IN THIS PROXY STATEMENT/PROSPECTUS.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left"/>
        <w:rPr>
          <w:rFonts w:ascii="Times New Roman" w:hAnsi="Times New Roman"/>
          <w:sz w:val="16"/>
        </w:rPr>
      </w:pPr>
      <w:r>
        <w:rPr>
          <w:rFonts w:ascii="Times New Roman" w:hAnsi="Times New Roman"/>
          <w:sz w:val="16"/>
        </w:rPr>
        <w:t xml:space="preserve">This proxy statement/prospectus is dated                 , 2023, and is first being mailed to Armada security holders on or about                 , 2023.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2 </w:t>
            </w:r>
          </w:p>
        </w:tc>
        <w:tc>
          <w:tcPr>
            <w:tcW w:w="10002"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Note: Prior to the completion of this offering, Rezolve expects to alter its legal status under English law from a private limited company and re-register as a public limited company and change its name from Rezolve AI Limited to Rezolve AI PLC. The term Rezolve AI PLC in this proxy statement/prospectus which forms a part of this registration statement refers to Rezolve AI Limited.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4"/>
        <w:gridCol w:w="252"/>
        <w:gridCol w:w="70"/>
        <w:gridCol w:w="456"/>
        <w:gridCol w:w="63"/>
      </w:tblGrid>
      <w:tr>
        <w:trPr/>
        <w:tc>
          <w:tcPr>
            <w:tcW w:w="9364"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6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5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64" w:type="dxa"/>
            <w:tcBorders/>
          </w:tcPr>
          <w:p>
            <w:pPr>
              <w:pStyle w:val="TableContents"/>
              <w:bidi w:val="0"/>
              <w:spacing w:before="0" w:after="0"/>
              <w:jc w:val="left"/>
              <w:rPr/>
            </w:pPr>
            <w:hyperlink w:anchor="tx309194_1">
              <w:r>
                <w:rPr>
                  <w:rStyle w:val="InternetLink"/>
                  <w:rFonts w:ascii="Times New Roman" w:hAnsi="Times New Roman"/>
                  <w:sz w:val="20"/>
                </w:rPr>
                <w:t>About this Proxy Statement/Prospectus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2">
              <w:r>
                <w:rPr>
                  <w:rStyle w:val="InternetLink"/>
                  <w:rFonts w:ascii="Times New Roman" w:hAnsi="Times New Roman"/>
                  <w:sz w:val="20"/>
                </w:rPr>
                <w:t>Industry and Market Data</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3">
              <w:r>
                <w:rPr>
                  <w:rStyle w:val="InternetLink"/>
                  <w:rFonts w:ascii="Times New Roman" w:hAnsi="Times New Roman"/>
                  <w:sz w:val="20"/>
                </w:rPr>
                <w:t>Frequently Used Terms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4">
              <w:r>
                <w:rPr>
                  <w:rStyle w:val="InternetLink"/>
                  <w:rFonts w:ascii="Times New Roman" w:hAnsi="Times New Roman"/>
                  <w:sz w:val="20"/>
                </w:rPr>
                <w:t>Summary of the Material Terms of the Business Combination</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5">
              <w:r>
                <w:rPr>
                  <w:rStyle w:val="InternetLink"/>
                  <w:rFonts w:ascii="Times New Roman" w:hAnsi="Times New Roman"/>
                  <w:sz w:val="20"/>
                </w:rPr>
                <w:t>Cautionary Note Regarding Forward-Looking Statements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6">
              <w:r>
                <w:rPr>
                  <w:rStyle w:val="InternetLink"/>
                  <w:rFonts w:ascii="Times New Roman" w:hAnsi="Times New Roman"/>
                  <w:sz w:val="20"/>
                </w:rPr>
                <w:t>Summary of Risk Factors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7">
              <w:r>
                <w:rPr>
                  <w:rStyle w:val="InternetLink"/>
                  <w:rFonts w:ascii="Times New Roman" w:hAnsi="Times New Roman"/>
                  <w:sz w:val="20"/>
                </w:rPr>
                <w:t>Questions and Answers about the Proposals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8">
              <w:r>
                <w:rPr>
                  <w:rStyle w:val="InternetLink"/>
                  <w:rFonts w:ascii="Times New Roman" w:hAnsi="Times New Roman"/>
                  <w:sz w:val="20"/>
                </w:rPr>
                <w:t>Summary of the Proxy Statement/Prospectus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9">
              <w:r>
                <w:rPr>
                  <w:rStyle w:val="InternetLink"/>
                  <w:rFonts w:ascii="Times New Roman" w:hAnsi="Times New Roman"/>
                  <w:sz w:val="20"/>
                </w:rPr>
                <w:t>Summary Historical Financial Information</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10">
              <w:r>
                <w:rPr>
                  <w:rStyle w:val="InternetLink"/>
                  <w:rFonts w:ascii="Times New Roman" w:hAnsi="Times New Roman"/>
                  <w:sz w:val="20"/>
                </w:rPr>
                <w:t>Risk Factors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11">
              <w:r>
                <w:rPr>
                  <w:rStyle w:val="InternetLink"/>
                  <w:rFonts w:ascii="Times New Roman" w:hAnsi="Times New Roman"/>
                  <w:sz w:val="20"/>
                </w:rPr>
                <w:t>Selected Financial Information of Armada</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12">
              <w:r>
                <w:rPr>
                  <w:rStyle w:val="InternetLink"/>
                  <w:rFonts w:ascii="Times New Roman" w:hAnsi="Times New Roman"/>
                  <w:sz w:val="20"/>
                </w:rPr>
                <w:t>Selected Financial Information of Rezolve</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13">
              <w:r>
                <w:rPr>
                  <w:rStyle w:val="InternetLink"/>
                  <w:rFonts w:ascii="Times New Roman" w:hAnsi="Times New Roman"/>
                  <w:sz w:val="20"/>
                </w:rPr>
                <w:t>Unaudited Pro Forma Condensed Combined Financial Information</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14">
              <w:r>
                <w:rPr>
                  <w:rStyle w:val="InternetLink"/>
                  <w:rFonts w:ascii="Times New Roman" w:hAnsi="Times New Roman"/>
                  <w:sz w:val="20"/>
                </w:rPr>
                <w:t>Special Meeting of Armada Stockholders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15">
              <w:r>
                <w:rPr>
                  <w:rStyle w:val="InternetLink"/>
                  <w:rFonts w:ascii="Times New Roman" w:hAnsi="Times New Roman"/>
                  <w:sz w:val="20"/>
                </w:rPr>
                <w:t>The Business Combination Proposal</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16">
              <w:r>
                <w:rPr>
                  <w:rStyle w:val="InternetLink"/>
                  <w:rFonts w:ascii="Times New Roman" w:hAnsi="Times New Roman"/>
                  <w:sz w:val="20"/>
                </w:rPr>
                <w:t>Material Tax Considerations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165</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17">
              <w:r>
                <w:rPr>
                  <w:rStyle w:val="InternetLink"/>
                  <w:rFonts w:ascii="Times New Roman" w:hAnsi="Times New Roman"/>
                  <w:sz w:val="20"/>
                </w:rPr>
                <w:t>The Nasdaq Proposal</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179</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18">
              <w:r>
                <w:rPr>
                  <w:rStyle w:val="InternetLink"/>
                  <w:rFonts w:ascii="Times New Roman" w:hAnsi="Times New Roman"/>
                  <w:sz w:val="20"/>
                </w:rPr>
                <w:t>The Incentive Equity Plan Proposal</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181</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18a">
              <w:r>
                <w:rPr>
                  <w:rStyle w:val="InternetLink"/>
                  <w:rFonts w:ascii="Times New Roman" w:hAnsi="Times New Roman"/>
                  <w:sz w:val="20"/>
                </w:rPr>
                <w:t xml:space="preserve">The Charter Limitation Amendment Proposal </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187</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19">
              <w:r>
                <w:rPr>
                  <w:rStyle w:val="InternetLink"/>
                  <w:rFonts w:ascii="Times New Roman" w:hAnsi="Times New Roman"/>
                  <w:sz w:val="20"/>
                </w:rPr>
                <w:t>The Adjournment Proposal</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188</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20">
              <w:r>
                <w:rPr>
                  <w:rStyle w:val="InternetLink"/>
                  <w:rFonts w:ascii="Times New Roman" w:hAnsi="Times New Roman"/>
                  <w:sz w:val="20"/>
                </w:rPr>
                <w:t>Other Information Related to Armada</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189</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21">
              <w:r>
                <w:rPr>
                  <w:rStyle w:val="InternetLink"/>
                  <w:rFonts w:ascii="Times New Roman" w:hAnsi="Times New Roman"/>
                  <w:sz w:val="20"/>
                </w:rPr>
                <w:t>Armadas Managements Discussion and Analysis of Financial Condition and Results of Operations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203</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22">
              <w:r>
                <w:rPr>
                  <w:rStyle w:val="InternetLink"/>
                  <w:rFonts w:ascii="Times New Roman" w:hAnsi="Times New Roman"/>
                  <w:sz w:val="20"/>
                </w:rPr>
                <w:t>Business of Rezolve</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212</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23">
              <w:r>
                <w:rPr>
                  <w:rStyle w:val="InternetLink"/>
                  <w:rFonts w:ascii="Times New Roman" w:hAnsi="Times New Roman"/>
                  <w:sz w:val="20"/>
                </w:rPr>
                <w:t>Rezolves Managements Discussion and Analysis of Financial Condition and Results of Operations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227</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24">
              <w:r>
                <w:rPr>
                  <w:rStyle w:val="InternetLink"/>
                  <w:rFonts w:ascii="Times New Roman" w:hAnsi="Times New Roman"/>
                  <w:sz w:val="20"/>
                </w:rPr>
                <w:t>Management and Compensation of Rezolve</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243</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25">
              <w:r>
                <w:rPr>
                  <w:rStyle w:val="InternetLink"/>
                  <w:rFonts w:ascii="Times New Roman" w:hAnsi="Times New Roman"/>
                  <w:sz w:val="20"/>
                </w:rPr>
                <w:t>Beneficial Ownership of Securities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254</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26">
              <w:r>
                <w:rPr>
                  <w:rStyle w:val="InternetLink"/>
                  <w:rFonts w:ascii="Times New Roman" w:hAnsi="Times New Roman"/>
                  <w:sz w:val="20"/>
                </w:rPr>
                <w:t>Shares Eligible for Future Sale</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257</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27">
              <w:r>
                <w:rPr>
                  <w:rStyle w:val="InternetLink"/>
                  <w:rFonts w:ascii="Times New Roman" w:hAnsi="Times New Roman"/>
                  <w:sz w:val="20"/>
                </w:rPr>
                <w:t>Certain Relationships and Related Person Transactions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258</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28">
              <w:r>
                <w:rPr>
                  <w:rStyle w:val="InternetLink"/>
                  <w:rFonts w:ascii="Times New Roman" w:hAnsi="Times New Roman"/>
                  <w:sz w:val="20"/>
                </w:rPr>
                <w:t>Description of Rezolve Ordinary Shares, Articles of Association and Certain Legal Considerations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262</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29">
              <w:r>
                <w:rPr>
                  <w:rStyle w:val="InternetLink"/>
                  <w:rFonts w:ascii="Times New Roman" w:hAnsi="Times New Roman"/>
                  <w:sz w:val="20"/>
                </w:rPr>
                <w:t>Comparison of Rights of Armada Stockholders and Rezolve Shareholders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277</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30">
              <w:r>
                <w:rPr>
                  <w:rStyle w:val="InternetLink"/>
                  <w:rFonts w:ascii="Times New Roman" w:hAnsi="Times New Roman"/>
                  <w:sz w:val="20"/>
                </w:rPr>
                <w:t>Experts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286</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31">
              <w:r>
                <w:rPr>
                  <w:rStyle w:val="InternetLink"/>
                  <w:rFonts w:ascii="Times New Roman" w:hAnsi="Times New Roman"/>
                  <w:sz w:val="20"/>
                </w:rPr>
                <w:t>Legal Matters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286</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32">
              <w:r>
                <w:rPr>
                  <w:rStyle w:val="InternetLink"/>
                  <w:rFonts w:ascii="Times New Roman" w:hAnsi="Times New Roman"/>
                  <w:sz w:val="20"/>
                </w:rPr>
                <w:t>Enforcement of Civil Liabilities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286</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33">
              <w:r>
                <w:rPr>
                  <w:rStyle w:val="InternetLink"/>
                  <w:rFonts w:ascii="Times New Roman" w:hAnsi="Times New Roman"/>
                  <w:sz w:val="20"/>
                </w:rPr>
                <w:t>Where You Can Find More Information</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287</w:t>
            </w:r>
          </w:p>
        </w:tc>
        <w:tc>
          <w:tcPr>
            <w:tcW w:w="63" w:type="dxa"/>
            <w:tcBorders/>
            <w:vAlign w:val="bottom"/>
          </w:tcPr>
          <w:p>
            <w:pPr>
              <w:pStyle w:val="TableContents"/>
              <w:bidi w:val="0"/>
              <w:spacing w:before="0" w:after="283"/>
              <w:jc w:val="left"/>
              <w:rPr/>
            </w:pPr>
            <w:r>
              <w:rPr/>
              <w:t> </w:t>
            </w:r>
          </w:p>
        </w:tc>
      </w:tr>
      <w:tr>
        <w:trPr>
          <w:trHeight w:val="90" w:hRule="atLeast"/>
        </w:trPr>
        <w:tc>
          <w:tcPr>
            <w:tcW w:w="9364" w:type="dxa"/>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r>
      <w:tr>
        <w:trPr/>
        <w:tc>
          <w:tcPr>
            <w:tcW w:w="9364" w:type="dxa"/>
            <w:tcBorders/>
          </w:tcPr>
          <w:p>
            <w:pPr>
              <w:pStyle w:val="TableContents"/>
              <w:bidi w:val="0"/>
              <w:spacing w:before="0" w:after="0"/>
              <w:jc w:val="left"/>
              <w:rPr/>
            </w:pPr>
            <w:hyperlink w:anchor="tx309194_34">
              <w:r>
                <w:rPr>
                  <w:rStyle w:val="InternetLink"/>
                  <w:rFonts w:ascii="Times New Roman" w:hAnsi="Times New Roman"/>
                  <w:sz w:val="20"/>
                </w:rPr>
                <w:t>Index to Financial Statements</w:t>
              </w:r>
            </w:hyperlink>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tx309194_1"/>
      <w:bookmarkEnd w:id="3"/>
      <w:r>
        <w:rPr>
          <w:rFonts w:ascii="Times New Roman" w:hAnsi="Times New Roman"/>
          <w:b/>
          <w:sz w:val="20"/>
        </w:rPr>
        <w:t xml:space="preserve">ABOUT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which forms a part of a registration statement on Form F-4 filed with the SEC by Rezolve AI Limited, constitutes a prospectus of Rezolve AI Limited under Section 5 of the Securities Act with respect to the Rezolve Ordinary Shares to be issued to Armada Stockholders and Armada Sponsor LLC in connection with the Business Combination, as well as the warrants to acquire Rezolve Ordinary Shares to be issued to Armada Warrant holders. This document also constitutes a proxy statement of Armada under Section 14(a) of the Exchange Act, and the rules thereunder, and a notice of meeting with respect to the special meeting of Armada Stockholders to consider and vote upon the proposals to adopt and approve the Business Combination and the Rezolve Long Term Incentive Plan and to adjourn the meeting, if necessary, to permit further solicitation of proxies because there are not sufficient votes to adopt and approve the foregoing proposals.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the context otherwise requires, all references in this proxy statement/prospectus to the term Rezolve prior to January 1, 2022 refer to Rezolve Limited; all references in this proxy statement/prospectus to the term Rezolve as of and for any periods following January 1, 2022 refer to Rezolve AI Limited, together with its subsidiaries prior to Closing; and all references to the term Rezolve after Closing refer to Rezolve AI PLC, together with its subsidiaries after re-registration of Rezolve AI Limited as Rezolve AI PLC. All references in this proxy statement/prospectus to Armada refer to Armada Acquisition Corp. I. </w:t>
      </w:r>
    </w:p>
    <w:p>
      <w:pPr>
        <w:pStyle w:val="TextBody"/>
        <w:bidi w:val="0"/>
        <w:spacing w:before="240" w:after="0"/>
        <w:jc w:val="left"/>
        <w:rPr>
          <w:rFonts w:ascii="Times New Roman" w:hAnsi="Times New Roman"/>
          <w:sz w:val="20"/>
        </w:rPr>
      </w:pPr>
      <w:r>
        <w:rPr>
          <w:rFonts w:ascii="Times New Roman" w:hAnsi="Times New Roman"/>
          <w:sz w:val="20"/>
        </w:rPr>
        <w:t xml:space="preserve">Any reference to the website of Rezolve in this proxy statement/prospectus does not include or incorporate by reference the information on the website into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x309194_2"/>
      <w:bookmarkEnd w:id="4"/>
      <w:r>
        <w:rPr>
          <w:rFonts w:ascii="Times New Roman" w:hAnsi="Times New Roman"/>
          <w:b/>
          <w:sz w:val="20"/>
        </w:rPr>
        <w:t xml:space="preserve">INDUSTRY AND MARKET DATA </w:t>
      </w:r>
    </w:p>
    <w:p>
      <w:pPr>
        <w:pStyle w:val="TextBody"/>
        <w:bidi w:val="0"/>
        <w:spacing w:before="240" w:after="0"/>
        <w:jc w:val="left"/>
        <w:rPr>
          <w:rFonts w:ascii="Times New Roman" w:hAnsi="Times New Roman"/>
          <w:sz w:val="20"/>
        </w:rPr>
      </w:pPr>
      <w:r>
        <w:rPr>
          <w:rFonts w:ascii="Times New Roman" w:hAnsi="Times New Roman"/>
          <w:sz w:val="20"/>
        </w:rPr>
        <w:t>In this proxy statement/prospectus, Rezolve relies on and refers to industry data, information and statistics regarding the markets in which it competes from research as well as from publicly available information, industry and general publications and research and studies conducted by third parties. Rezolve has supplemented this information where necessary with its own internal estimates, considering publicly available information about other industry participants and Rezolve managements best view as to information that is not publicly available. This information appears in </w:t>
      </w:r>
      <w:r>
        <w:rPr>
          <w:rFonts w:ascii="Times New Roman" w:hAnsi="Times New Roman"/>
          <w:i/>
          <w:sz w:val="20"/>
        </w:rPr>
        <w:t>Rezolves Managements Discussion and Analysis of Financial Condition and Results of Operations</w:t>
      </w:r>
      <w:r>
        <w:rPr>
          <w:rFonts w:ascii="Times New Roman" w:hAnsi="Times New Roman"/>
          <w:sz w:val="20"/>
        </w:rPr>
        <w:t>, </w:t>
      </w:r>
      <w:r>
        <w:rPr>
          <w:rFonts w:ascii="Times New Roman" w:hAnsi="Times New Roman"/>
          <w:i/>
          <w:sz w:val="20"/>
        </w:rPr>
        <w:t>Business of Rezolve</w:t>
      </w:r>
      <w:r>
        <w:rPr>
          <w:rFonts w:ascii="Times New Roman" w:hAnsi="Times New Roman"/>
          <w:sz w:val="20"/>
        </w:rPr>
        <w:t xml:space="preserve"> and other sections of this proxy statement/prospectus. Rezolve has taken such care as we consider reasonable in the extraction and reproduction of information from such data from third party sources. </w:t>
      </w:r>
    </w:p>
    <w:p>
      <w:pPr>
        <w:pStyle w:val="TextBody"/>
        <w:bidi w:val="0"/>
        <w:spacing w:before="240" w:after="0"/>
        <w:jc w:val="left"/>
        <w:rPr>
          <w:rFonts w:ascii="Times New Roman" w:hAnsi="Times New Roman"/>
          <w:sz w:val="20"/>
        </w:rPr>
      </w:pPr>
      <w:r>
        <w:rPr>
          <w:rFonts w:ascii="Times New Roman" w:hAnsi="Times New Roman"/>
          <w:sz w:val="20"/>
        </w:rPr>
        <w:t>Industry publications, research,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proxy statement/prospectus. These forecasts and forward-looking information are subject to uncertainty and risk due to a variety of factors, including those described under </w:t>
      </w:r>
      <w:r>
        <w:rPr>
          <w:rFonts w:ascii="Times New Roman" w:hAnsi="Times New Roman"/>
          <w:i/>
          <w:sz w:val="20"/>
        </w:rPr>
        <w:t>Risk Factors</w:t>
      </w:r>
      <w:r>
        <w:rPr>
          <w:rFonts w:ascii="Times New Roman" w:hAnsi="Times New Roman"/>
          <w:sz w:val="20"/>
        </w:rPr>
        <w:t xml:space="preserve">. These and other factors could cause results to differ materially from those expressed in the forecasts or estimates from independent third parties and 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makes various references to the following industry publications, research, studies and forecasts: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BCG-Google, The Next Level of Personalization in Retail, dated June 4, 2019.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DataReportal (2022), Digital 2021 Global Digital Overview, dated January 26,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BCG-Google, The Next Frontier in Personalization, dated October 16,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Dynamic Yield, The State of Personalization in Mobile Commerce, dated July 3,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eMarketer, Amazon dominates US ecommerce, though its market share varies by category, dated April 27,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eMarketer, Infographic  Mobile e-Commerce Is up and Poised for Future Growth, Statista Infographics, dated March 2018.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eMarketer, Smartphone Users Worldwide Will Total 1.75 Billion in 2014, dated January 16, 2014.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PwC Global, February 2023 Global Consumer Insights Pulse Survey, dated February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Shopify, Consumer Trends 2023, dated January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2021 Promotion Industry Trends Analysis and 2023 Spring Commerce Report, INMAR Intelligence, dated October 6, 2021 and March 2023,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Retail Study, Google/Ipsos, dated February 2019.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State of Personalization 2022, Twilio Segment,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RetailMeNot Data Shows Mobile Devices Play a Critical Role for Consumers While Shopping in Physical Retail Stores, RetailMeNot, dated April 30, 2019.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x309194_3"/>
      <w:bookmarkEnd w:id="5"/>
      <w:r>
        <w:rPr>
          <w:rFonts w:ascii="Times New Roman" w:hAnsi="Times New Roman"/>
          <w:b/>
          <w:sz w:val="20"/>
        </w:rPr>
        <w:t xml:space="preserve">FREQUENTLY USED TERMS </w:t>
      </w:r>
    </w:p>
    <w:p>
      <w:pPr>
        <w:pStyle w:val="TextBody"/>
        <w:bidi w:val="0"/>
        <w:spacing w:before="240" w:after="0"/>
        <w:jc w:val="left"/>
        <w:rPr>
          <w:rFonts w:ascii="Times New Roman" w:hAnsi="Times New Roman"/>
          <w:sz w:val="20"/>
        </w:rPr>
      </w:pPr>
      <w:r>
        <w:rPr>
          <w:rFonts w:ascii="Times New Roman" w:hAnsi="Times New Roman"/>
          <w:sz w:val="20"/>
        </w:rPr>
        <w:t xml:space="preserve">Terms defined in the body of this document shall have the meanings attributed to them therein and in addition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 xml:space="preserve">Armada means Armada Acquisition Corp. I, a Delaware Corporation; </w:t>
      </w:r>
    </w:p>
    <w:p>
      <w:pPr>
        <w:pStyle w:val="TextBody"/>
        <w:bidi w:val="0"/>
        <w:spacing w:before="120" w:after="0"/>
        <w:jc w:val="left"/>
        <w:rPr>
          <w:rFonts w:ascii="Times New Roman" w:hAnsi="Times New Roman"/>
          <w:sz w:val="20"/>
        </w:rPr>
      </w:pPr>
      <w:r>
        <w:rPr>
          <w:rFonts w:ascii="Times New Roman" w:hAnsi="Times New Roman"/>
          <w:sz w:val="20"/>
        </w:rPr>
        <w:t xml:space="preserve">Armada Warrant Agreement means the warrant agreement, dated August 12, 2021, by and between Armada and Continental Stock Transfer &amp; Trust Company; </w:t>
      </w:r>
    </w:p>
    <w:p>
      <w:pPr>
        <w:pStyle w:val="TextBody"/>
        <w:bidi w:val="0"/>
        <w:spacing w:before="120" w:after="0"/>
        <w:jc w:val="left"/>
        <w:rPr>
          <w:rFonts w:ascii="Times New Roman" w:hAnsi="Times New Roman"/>
          <w:sz w:val="20"/>
        </w:rPr>
      </w:pPr>
      <w:r>
        <w:rPr>
          <w:rFonts w:ascii="Times New Roman" w:hAnsi="Times New Roman"/>
          <w:sz w:val="20"/>
        </w:rPr>
        <w:t xml:space="preserve">Armadas Public Shares means the Armada Common Stock held by public stockholders; </w:t>
      </w:r>
    </w:p>
    <w:p>
      <w:pPr>
        <w:pStyle w:val="TextBody"/>
        <w:bidi w:val="0"/>
        <w:spacing w:before="120" w:after="0"/>
        <w:jc w:val="left"/>
        <w:rPr>
          <w:rFonts w:ascii="Times New Roman" w:hAnsi="Times New Roman"/>
          <w:sz w:val="20"/>
        </w:rPr>
      </w:pPr>
      <w:r>
        <w:rPr>
          <w:rFonts w:ascii="Times New Roman" w:hAnsi="Times New Roman"/>
          <w:sz w:val="20"/>
        </w:rPr>
        <w:t>Adjournment Proposal has the meaning given to it in the section entitled </w:t>
      </w:r>
      <w:r>
        <w:rPr>
          <w:rFonts w:ascii="Times New Roman" w:hAnsi="Times New Roman"/>
          <w:i/>
          <w:sz w:val="20"/>
        </w:rPr>
        <w:t>The Adjournment Proposal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Aggregate Transaction Proceeds has the meaning given to it in the Business Combination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Armada Charter means the second amended and restated certificate of incorporation of Armada, as amended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Armada Common Stock means an issued and outstanding share of common stock of Armada; </w:t>
      </w:r>
    </w:p>
    <w:p>
      <w:pPr>
        <w:pStyle w:val="TextBody"/>
        <w:bidi w:val="0"/>
        <w:spacing w:before="120" w:after="0"/>
        <w:jc w:val="left"/>
        <w:rPr>
          <w:rFonts w:ascii="Times New Roman" w:hAnsi="Times New Roman"/>
          <w:sz w:val="20"/>
        </w:rPr>
      </w:pPr>
      <w:r>
        <w:rPr>
          <w:rFonts w:ascii="Times New Roman" w:hAnsi="Times New Roman"/>
          <w:sz w:val="20"/>
        </w:rPr>
        <w:t xml:space="preserve">Armada Initial Shareholders means the holders of Armada Common Stock and Founder Shares on the Record Date; </w:t>
      </w:r>
    </w:p>
    <w:p>
      <w:pPr>
        <w:pStyle w:val="TextBody"/>
        <w:bidi w:val="0"/>
        <w:spacing w:before="120" w:after="0"/>
        <w:jc w:val="left"/>
        <w:rPr>
          <w:rFonts w:ascii="Times New Roman" w:hAnsi="Times New Roman"/>
          <w:sz w:val="20"/>
        </w:rPr>
      </w:pPr>
      <w:r>
        <w:rPr>
          <w:rFonts w:ascii="Times New Roman" w:hAnsi="Times New Roman"/>
          <w:sz w:val="20"/>
        </w:rPr>
        <w:t xml:space="preserve">Armada Letter Agreement means that certain Letter Agreement, dated as of August 12, 2021, by and among Armada, its officers, its directors and the Sponsor; </w:t>
      </w:r>
    </w:p>
    <w:p>
      <w:pPr>
        <w:pStyle w:val="TextBody"/>
        <w:bidi w:val="0"/>
        <w:spacing w:before="120" w:after="0"/>
        <w:jc w:val="left"/>
        <w:rPr>
          <w:rFonts w:ascii="Times New Roman" w:hAnsi="Times New Roman"/>
          <w:sz w:val="20"/>
        </w:rPr>
      </w:pPr>
      <w:r>
        <w:rPr>
          <w:rFonts w:ascii="Times New Roman" w:hAnsi="Times New Roman"/>
          <w:sz w:val="20"/>
        </w:rPr>
        <w:t xml:space="preserve">Armada Share Redemptions means redemptions by Armada public stockholder (who are not Armada Initial Shareholders or an officer or director of Armada) holding; </w:t>
      </w:r>
    </w:p>
    <w:p>
      <w:pPr>
        <w:pStyle w:val="TextBody"/>
        <w:bidi w:val="0"/>
        <w:spacing w:before="120" w:after="0"/>
        <w:jc w:val="left"/>
        <w:rPr>
          <w:rFonts w:ascii="Times New Roman" w:hAnsi="Times New Roman"/>
          <w:sz w:val="20"/>
        </w:rPr>
      </w:pPr>
      <w:r>
        <w:rPr>
          <w:rFonts w:ascii="Times New Roman" w:hAnsi="Times New Roman"/>
          <w:sz w:val="20"/>
        </w:rPr>
        <w:t xml:space="preserve">Armada Stockholders means holders of shares of stock in the capital of Armada; </w:t>
      </w:r>
    </w:p>
    <w:p>
      <w:pPr>
        <w:pStyle w:val="TextBody"/>
        <w:bidi w:val="0"/>
        <w:spacing w:before="120" w:after="0"/>
        <w:jc w:val="left"/>
        <w:rPr>
          <w:rFonts w:ascii="Times New Roman" w:hAnsi="Times New Roman"/>
          <w:sz w:val="20"/>
        </w:rPr>
      </w:pPr>
      <w:r>
        <w:rPr>
          <w:rFonts w:ascii="Times New Roman" w:hAnsi="Times New Roman"/>
          <w:sz w:val="20"/>
        </w:rPr>
        <w:t xml:space="preserve">Armada Unit means an issued and outstanding unit of Armada; </w:t>
      </w:r>
    </w:p>
    <w:p>
      <w:pPr>
        <w:pStyle w:val="TextBody"/>
        <w:bidi w:val="0"/>
        <w:spacing w:before="120" w:after="0"/>
        <w:jc w:val="left"/>
        <w:rPr>
          <w:rFonts w:ascii="Times New Roman" w:hAnsi="Times New Roman"/>
          <w:sz w:val="20"/>
        </w:rPr>
      </w:pPr>
      <w:r>
        <w:rPr>
          <w:rFonts w:ascii="Times New Roman" w:hAnsi="Times New Roman"/>
          <w:sz w:val="20"/>
        </w:rPr>
        <w:t xml:space="preserve">Armada Warrant means an issued and outstanding warrant of Armada; </w:t>
      </w:r>
    </w:p>
    <w:p>
      <w:pPr>
        <w:pStyle w:val="TextBody"/>
        <w:bidi w:val="0"/>
        <w:spacing w:before="120" w:after="0"/>
        <w:jc w:val="left"/>
        <w:rPr>
          <w:rFonts w:ascii="Times New Roman" w:hAnsi="Times New Roman"/>
          <w:sz w:val="20"/>
        </w:rPr>
      </w:pPr>
      <w:r>
        <w:rPr>
          <w:rFonts w:ascii="Times New Roman" w:hAnsi="Times New Roman"/>
          <w:sz w:val="20"/>
        </w:rPr>
        <w:t xml:space="preserve">Articles means Rezolves articles of association as will be in force with effect from Closing; </w:t>
      </w:r>
    </w:p>
    <w:p>
      <w:pPr>
        <w:pStyle w:val="TextBody"/>
        <w:bidi w:val="0"/>
        <w:spacing w:before="120" w:after="0"/>
        <w:jc w:val="left"/>
        <w:rPr>
          <w:rFonts w:ascii="Times New Roman" w:hAnsi="Times New Roman"/>
          <w:sz w:val="20"/>
        </w:rPr>
      </w:pPr>
      <w:r>
        <w:rPr>
          <w:rFonts w:ascii="Times New Roman" w:hAnsi="Times New Roman"/>
          <w:sz w:val="20"/>
        </w:rPr>
        <w:t xml:space="preserve">Board means the board of directors of Armada; </w:t>
      </w:r>
    </w:p>
    <w:p>
      <w:pPr>
        <w:pStyle w:val="TextBody"/>
        <w:bidi w:val="0"/>
        <w:spacing w:before="120" w:after="0"/>
        <w:jc w:val="left"/>
        <w:rPr>
          <w:rFonts w:ascii="Times New Roman" w:hAnsi="Times New Roman"/>
          <w:sz w:val="20"/>
        </w:rPr>
      </w:pPr>
      <w:r>
        <w:rPr>
          <w:rFonts w:ascii="Times New Roman" w:hAnsi="Times New Roman"/>
          <w:sz w:val="20"/>
        </w:rPr>
        <w:t xml:space="preserve">Business Combination means the business combination between Armada, Rezolve, Rezolve Merger Sub and the Company as envisaged under the Business Combination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Business Combination Agreement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 </w:t>
      </w:r>
    </w:p>
    <w:p>
      <w:pPr>
        <w:pStyle w:val="TextBody"/>
        <w:bidi w:val="0"/>
        <w:spacing w:before="120" w:after="0"/>
        <w:jc w:val="left"/>
        <w:rPr>
          <w:rFonts w:ascii="Times New Roman" w:hAnsi="Times New Roman"/>
          <w:sz w:val="20"/>
        </w:rPr>
      </w:pPr>
      <w:r>
        <w:rPr>
          <w:rFonts w:ascii="Times New Roman" w:hAnsi="Times New Roman"/>
          <w:sz w:val="20"/>
        </w:rPr>
        <w:t xml:space="preserve">Business Combination Proposal means the proposal to adopt and approve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Channels means the Rezolves distribution partners who distribute Rezolves offerings and services; </w:t>
      </w:r>
    </w:p>
    <w:p>
      <w:pPr>
        <w:pStyle w:val="TextBody"/>
        <w:bidi w:val="0"/>
        <w:spacing w:before="120" w:after="0"/>
        <w:jc w:val="left"/>
        <w:rPr>
          <w:rFonts w:ascii="Times New Roman" w:hAnsi="Times New Roman"/>
          <w:sz w:val="20"/>
        </w:rPr>
      </w:pPr>
      <w:r>
        <w:rPr>
          <w:rFonts w:ascii="Times New Roman" w:hAnsi="Times New Roman"/>
          <w:sz w:val="20"/>
        </w:rPr>
        <w:t xml:space="preserve">Charter Limitation means the provision in the Armada Charter that prohibits Armada from consummating a business combination to the extent Armada would have net tangible assets of less than $5,000,001 immediately prior to or upon consummation of a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Charter Limitation Amendment means the amendment to the Armada Charter removing the Charter Limitation; </w:t>
      </w:r>
    </w:p>
    <w:p>
      <w:pPr>
        <w:pStyle w:val="TextBody"/>
        <w:bidi w:val="0"/>
        <w:spacing w:before="120" w:after="0"/>
        <w:jc w:val="left"/>
        <w:rPr>
          <w:rFonts w:ascii="Times New Roman" w:hAnsi="Times New Roman"/>
          <w:sz w:val="20"/>
        </w:rPr>
      </w:pPr>
      <w:r>
        <w:rPr>
          <w:rFonts w:ascii="Times New Roman" w:hAnsi="Times New Roman"/>
          <w:sz w:val="20"/>
        </w:rPr>
        <w:t xml:space="preserve">Charter Limitation Amendment Proposal means the proposal to adopt and approve the amendment to the Armada Charter to remove the Charter Limitation; </w:t>
      </w:r>
    </w:p>
    <w:p>
      <w:pPr>
        <w:pStyle w:val="TextBody"/>
        <w:bidi w:val="0"/>
        <w:spacing w:before="120" w:after="0"/>
        <w:jc w:val="left"/>
        <w:rPr>
          <w:rFonts w:ascii="Times New Roman" w:hAnsi="Times New Roman"/>
          <w:sz w:val="20"/>
        </w:rPr>
      </w:pPr>
      <w:r>
        <w:rPr>
          <w:rFonts w:ascii="Times New Roman" w:hAnsi="Times New Roman"/>
          <w:sz w:val="20"/>
        </w:rPr>
        <w:t xml:space="preserve">Closing has the meaning given to it in the Business Combination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Closing Date has the meaning given to it in the Business Combination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Combined Company means Rezolve following the Closing; </w:t>
      </w:r>
    </w:p>
    <w:p>
      <w:pPr>
        <w:pStyle w:val="TextBody"/>
        <w:bidi w:val="0"/>
        <w:spacing w:before="120" w:after="0"/>
        <w:jc w:val="left"/>
        <w:rPr>
          <w:rFonts w:ascii="Times New Roman" w:hAnsi="Times New Roman"/>
          <w:sz w:val="20"/>
        </w:rPr>
      </w:pPr>
      <w:r>
        <w:rPr>
          <w:rFonts w:ascii="Times New Roman" w:hAnsi="Times New Roman"/>
          <w:sz w:val="20"/>
        </w:rPr>
        <w:t>Company Reorganization has the meaning given to it in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1  The Business Combination Proposal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Company Reorganization Date means the first business day following the satisfaction (or, to the extent permitted by applicable law, waiver in writing) of the conditions set forth in Article VI of the Business Combination Agreement (other than those conditions that by their terms or nature can only be satisfied at or following the Company Reorganization, at the Merger Closing or at the Closing, as applicable), or on such other date and at such place or time as may be agreed to in the Business Combination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Company Series A Shares means the series A preferred shares in the capital of Rezolve; </w:t>
      </w:r>
    </w:p>
    <w:p>
      <w:pPr>
        <w:pStyle w:val="TextBody"/>
        <w:bidi w:val="0"/>
        <w:spacing w:before="120" w:after="0"/>
        <w:jc w:val="left"/>
        <w:rPr>
          <w:rFonts w:ascii="Times New Roman" w:hAnsi="Times New Roman"/>
          <w:sz w:val="20"/>
        </w:rPr>
      </w:pPr>
      <w:r>
        <w:rPr>
          <w:rFonts w:ascii="Times New Roman" w:hAnsi="Times New Roman"/>
          <w:sz w:val="20"/>
        </w:rPr>
        <w:t xml:space="preserve">Company Shareholder means a shareholder in Rezolve on the date of effecting the Company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Convertible Notes means the convertible loan notes issued on the terms of the Loan Note Instrument; </w:t>
      </w:r>
    </w:p>
    <w:p>
      <w:pPr>
        <w:pStyle w:val="TextBody"/>
        <w:bidi w:val="0"/>
        <w:spacing w:before="120" w:after="0"/>
        <w:jc w:val="left"/>
        <w:rPr>
          <w:rFonts w:ascii="Times New Roman" w:hAnsi="Times New Roman"/>
          <w:sz w:val="20"/>
        </w:rPr>
      </w:pPr>
      <w:r>
        <w:rPr>
          <w:rFonts w:ascii="Times New Roman" w:hAnsi="Times New Roman"/>
          <w:sz w:val="20"/>
        </w:rPr>
        <w:t xml:space="preserve">Founder Shares means, collectively, the shares of Armada Common Stock held by the Sponsor, the chief executive officer of Armada, the president of Armada and independent directors of Armada; </w:t>
      </w:r>
    </w:p>
    <w:p>
      <w:pPr>
        <w:pStyle w:val="TextBody"/>
        <w:bidi w:val="0"/>
        <w:spacing w:before="120" w:after="0"/>
        <w:jc w:val="left"/>
        <w:rPr>
          <w:rFonts w:ascii="Times New Roman" w:hAnsi="Times New Roman"/>
          <w:sz w:val="20"/>
        </w:rPr>
      </w:pPr>
      <w:r>
        <w:rPr>
          <w:rFonts w:ascii="Times New Roman" w:hAnsi="Times New Roman"/>
          <w:sz w:val="20"/>
        </w:rPr>
        <w:t xml:space="preserve">GeoZone means a location-based marketing tool which is a feature of Rezolves platform; </w:t>
      </w:r>
    </w:p>
    <w:p>
      <w:pPr>
        <w:pStyle w:val="TextBody"/>
        <w:bidi w:val="0"/>
        <w:spacing w:before="120" w:after="0"/>
        <w:jc w:val="left"/>
        <w:rPr>
          <w:rFonts w:ascii="Times New Roman" w:hAnsi="Times New Roman"/>
          <w:sz w:val="20"/>
        </w:rPr>
      </w:pPr>
      <w:r>
        <w:rPr>
          <w:rFonts w:ascii="Times New Roman" w:hAnsi="Times New Roman"/>
          <w:sz w:val="20"/>
        </w:rPr>
        <w:t>Incentive Equity Plan Proposal has the meaning given to it in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3  The Incentive Equity Plan Proposal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Investor Rights Agreement means the amended form investor rights agreements to be entered into by Rezolve, Armada, the Sponsor and certain stockholders of Rezolve; </w:t>
      </w:r>
    </w:p>
    <w:p>
      <w:pPr>
        <w:pStyle w:val="TextBody"/>
        <w:bidi w:val="0"/>
        <w:spacing w:before="120" w:after="0"/>
        <w:jc w:val="left"/>
        <w:rPr>
          <w:rFonts w:ascii="Times New Roman" w:hAnsi="Times New Roman"/>
          <w:sz w:val="20"/>
        </w:rPr>
      </w:pPr>
      <w:r>
        <w:rPr>
          <w:rFonts w:ascii="Times New Roman" w:hAnsi="Times New Roman"/>
          <w:sz w:val="20"/>
        </w:rPr>
        <w:t xml:space="preserve">Key Company Shareholders has the meaning given to it in the Business Combination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Loan Note Instrument means the secured convertible loan note instrument dated December 16, 2021, as amended and restated on November 21, 2022, and as further amended and restated on May 23, 2023, to which Rezolve Limited (or after the Pre-Closing Demerger, Rezolve) is party; </w:t>
      </w:r>
    </w:p>
    <w:p>
      <w:pPr>
        <w:pStyle w:val="TextBody"/>
        <w:bidi w:val="0"/>
        <w:spacing w:before="120" w:after="0"/>
        <w:jc w:val="left"/>
        <w:rPr>
          <w:rFonts w:ascii="Times New Roman" w:hAnsi="Times New Roman"/>
          <w:sz w:val="20"/>
        </w:rPr>
      </w:pPr>
      <w:r>
        <w:rPr>
          <w:rFonts w:ascii="Times New Roman" w:hAnsi="Times New Roman"/>
          <w:sz w:val="20"/>
        </w:rPr>
        <w:t xml:space="preserve">Memorandum and Articles of Association means the memorandum and articles of association of Rezolve to be adopted with effect from Closing; </w:t>
      </w:r>
    </w:p>
    <w:p>
      <w:pPr>
        <w:pStyle w:val="TextBody"/>
        <w:bidi w:val="0"/>
        <w:spacing w:before="120" w:after="0"/>
        <w:jc w:val="left"/>
        <w:rPr>
          <w:rFonts w:ascii="Times New Roman" w:hAnsi="Times New Roman"/>
          <w:sz w:val="20"/>
        </w:rPr>
      </w:pPr>
      <w:r>
        <w:rPr>
          <w:rFonts w:ascii="Times New Roman" w:hAnsi="Times New Roman"/>
          <w:sz w:val="20"/>
        </w:rPr>
        <w:t xml:space="preserve">Merger means the merger of Armada with and into Rezolve Merger Sub, with Armada continuing as the surviving entity; </w:t>
      </w:r>
    </w:p>
    <w:p>
      <w:pPr>
        <w:pStyle w:val="TextBody"/>
        <w:bidi w:val="0"/>
        <w:spacing w:before="120" w:after="0"/>
        <w:jc w:val="left"/>
        <w:rPr>
          <w:rFonts w:ascii="Times New Roman" w:hAnsi="Times New Roman"/>
          <w:sz w:val="20"/>
        </w:rPr>
      </w:pPr>
      <w:r>
        <w:rPr>
          <w:rFonts w:ascii="Times New Roman" w:hAnsi="Times New Roman"/>
          <w:sz w:val="20"/>
        </w:rPr>
        <w:t xml:space="preserve">Merger Closing means the closing of the Merger pursuant to the Business Combination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Merger Effective Time means the effective time of the Merger; </w:t>
      </w:r>
    </w:p>
    <w:p>
      <w:pPr>
        <w:pStyle w:val="TextBody"/>
        <w:bidi w:val="0"/>
        <w:spacing w:before="120" w:after="0"/>
        <w:jc w:val="left"/>
        <w:rPr>
          <w:rFonts w:ascii="Times New Roman" w:hAnsi="Times New Roman"/>
          <w:sz w:val="20"/>
        </w:rPr>
      </w:pPr>
      <w:r>
        <w:rPr>
          <w:rFonts w:ascii="Times New Roman" w:hAnsi="Times New Roman"/>
          <w:sz w:val="20"/>
        </w:rPr>
        <w:t>Nasdaq Proposal has the meaning given to it in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2  The Nasdaq Proposal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Ordinary Shares means the ordinary shares in the capital of Rezolve; </w:t>
      </w:r>
    </w:p>
    <w:p>
      <w:pPr>
        <w:pStyle w:val="TextBody"/>
        <w:bidi w:val="0"/>
        <w:spacing w:before="120" w:after="0"/>
        <w:jc w:val="left"/>
        <w:rPr>
          <w:rFonts w:ascii="Times New Roman" w:hAnsi="Times New Roman"/>
          <w:sz w:val="20"/>
        </w:rPr>
      </w:pPr>
      <w:r>
        <w:rPr>
          <w:rFonts w:ascii="Times New Roman" w:hAnsi="Times New Roman"/>
          <w:sz w:val="20"/>
        </w:rPr>
        <w:t xml:space="preserve">Platform Transactions means radio advertisement and ticketing transactions for the years ended December 31, 2021 and 2022 and following the year ended December 31, 2022, radio advertisement and ticketing transactions or an audio, visual, social media or watermark trigger which leads to the use of Rezolves platform; </w:t>
      </w:r>
    </w:p>
    <w:p>
      <w:pPr>
        <w:pStyle w:val="TextBody"/>
        <w:bidi w:val="0"/>
        <w:spacing w:before="120" w:after="0"/>
        <w:jc w:val="left"/>
        <w:rPr>
          <w:rFonts w:ascii="Times New Roman" w:hAnsi="Times New Roman"/>
          <w:sz w:val="20"/>
        </w:rPr>
      </w:pPr>
      <w:r>
        <w:rPr>
          <w:rFonts w:ascii="Times New Roman" w:hAnsi="Times New Roman"/>
          <w:sz w:val="20"/>
        </w:rPr>
        <w:t xml:space="preserve">Prior Rezolve Group means Rezolve Limited and its consolidated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Private Placement Shares means the 459,500 shares of Armada purchased simultaneously with the consummation of the Public Offering that are held by the Sponsor; </w:t>
      </w:r>
    </w:p>
    <w:p>
      <w:pPr>
        <w:pStyle w:val="TextBody"/>
        <w:bidi w:val="0"/>
        <w:spacing w:before="120" w:after="0"/>
        <w:jc w:val="left"/>
        <w:rPr>
          <w:rFonts w:ascii="Times New Roman" w:hAnsi="Times New Roman"/>
          <w:sz w:val="20"/>
        </w:rPr>
      </w:pPr>
      <w:r>
        <w:rPr>
          <w:rFonts w:ascii="Times New Roman" w:hAnsi="Times New Roman"/>
          <w:sz w:val="20"/>
        </w:rPr>
        <w:t xml:space="preserve">Proposals means, collectively, the Business Combination Proposal, the Nasdaq Proposal, the Incentive Equity Plan Proposal, the Charter Limitation Amendment Proposal and the Adjournment Proposal; </w:t>
      </w:r>
    </w:p>
    <w:p>
      <w:pPr>
        <w:pStyle w:val="TextBody"/>
        <w:bidi w:val="0"/>
        <w:spacing w:before="120" w:after="0"/>
        <w:jc w:val="left"/>
        <w:rPr>
          <w:rFonts w:ascii="Times New Roman" w:hAnsi="Times New Roman"/>
          <w:sz w:val="20"/>
        </w:rPr>
      </w:pPr>
      <w:r>
        <w:rPr>
          <w:rFonts w:ascii="Times New Roman" w:hAnsi="Times New Roman"/>
          <w:sz w:val="20"/>
        </w:rPr>
        <w:t xml:space="preserve">Proposed Transactions means the Business Combination (including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Public Offering means Armadas initial public offering; </w:t>
      </w:r>
    </w:p>
    <w:p>
      <w:pPr>
        <w:pStyle w:val="TextBody"/>
        <w:bidi w:val="0"/>
        <w:spacing w:before="120" w:after="0"/>
        <w:jc w:val="left"/>
        <w:rPr>
          <w:rFonts w:ascii="Times New Roman" w:hAnsi="Times New Roman"/>
          <w:sz w:val="20"/>
        </w:rPr>
      </w:pPr>
      <w:r>
        <w:rPr>
          <w:rFonts w:ascii="Times New Roman" w:hAnsi="Times New Roman"/>
          <w:sz w:val="20"/>
        </w:rPr>
        <w:t>Redemption Rights means the right of an Armada stockholder to redeem its rights as described in the section entitled </w:t>
      </w:r>
      <w:r>
        <w:rPr>
          <w:rFonts w:ascii="Times New Roman" w:hAnsi="Times New Roman"/>
          <w:i/>
          <w:sz w:val="20"/>
        </w:rPr>
        <w:t>Summary of the Proxy Statement/Prospectus  Redemption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Rezolve means Rezolve AI Limited, a private limited liability company registered under the laws of England and Wales with registration number 14573691 and, following its re-registration as a public limited company, Rezolve AI PLC; </w:t>
      </w:r>
    </w:p>
    <w:p>
      <w:pPr>
        <w:pStyle w:val="TextBody"/>
        <w:bidi w:val="0"/>
        <w:spacing w:before="120" w:after="0"/>
        <w:jc w:val="left"/>
        <w:rPr>
          <w:rFonts w:ascii="Times New Roman" w:hAnsi="Times New Roman"/>
          <w:sz w:val="20"/>
        </w:rPr>
      </w:pPr>
      <w:r>
        <w:rPr>
          <w:rFonts w:ascii="Times New Roman" w:hAnsi="Times New Roman"/>
          <w:sz w:val="20"/>
        </w:rPr>
        <w:t xml:space="preserve">Rezolve Founder means Daniel Wagner; </w:t>
      </w:r>
    </w:p>
    <w:p>
      <w:pPr>
        <w:pStyle w:val="TextBody"/>
        <w:bidi w:val="0"/>
        <w:spacing w:before="120" w:after="0"/>
        <w:jc w:val="left"/>
        <w:rPr>
          <w:rFonts w:ascii="Times New Roman" w:hAnsi="Times New Roman"/>
          <w:sz w:val="20"/>
        </w:rPr>
      </w:pPr>
      <w:r>
        <w:rPr>
          <w:rFonts w:ascii="Times New Roman" w:hAnsi="Times New Roman"/>
          <w:sz w:val="20"/>
        </w:rPr>
        <w:t xml:space="preserve">Rezolve Incentive Equity Plan means the incentive equity plan to be adopted under the Incentive Equity Plan Proposal; </w:t>
      </w:r>
    </w:p>
    <w:p>
      <w:pPr>
        <w:pStyle w:val="TextBody"/>
        <w:bidi w:val="0"/>
        <w:spacing w:before="120" w:after="0"/>
        <w:jc w:val="left"/>
        <w:rPr>
          <w:rFonts w:ascii="Times New Roman" w:hAnsi="Times New Roman"/>
          <w:sz w:val="20"/>
        </w:rPr>
      </w:pPr>
      <w:r>
        <w:rPr>
          <w:rFonts w:ascii="Times New Roman" w:hAnsi="Times New Roman"/>
          <w:sz w:val="20"/>
        </w:rPr>
        <w:t xml:space="preserve">Rezolve Merger Sub means Rezolve Merger Sub, Inc., a Delaware corporation; </w:t>
      </w:r>
    </w:p>
    <w:p>
      <w:pPr>
        <w:pStyle w:val="TextBody"/>
        <w:bidi w:val="0"/>
        <w:spacing w:before="120" w:after="0"/>
        <w:jc w:val="left"/>
        <w:rPr>
          <w:rFonts w:ascii="Times New Roman" w:hAnsi="Times New Roman"/>
          <w:sz w:val="20"/>
        </w:rPr>
      </w:pPr>
      <w:r>
        <w:rPr>
          <w:rFonts w:ascii="Times New Roman" w:hAnsi="Times New Roman"/>
          <w:sz w:val="20"/>
        </w:rPr>
        <w:t xml:space="preserve">Rezolve Ordinary Shares or Rezolve Shares means the ordinary shares in Rezolve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Rezolve Options means options to subscribe for Rezolve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Rezolve Shareholder means a holder of shares of stock in the capital of Rezolve; </w:t>
      </w:r>
    </w:p>
    <w:p>
      <w:pPr>
        <w:pStyle w:val="TextBody"/>
        <w:bidi w:val="0"/>
        <w:spacing w:before="120" w:after="0"/>
        <w:jc w:val="left"/>
        <w:rPr>
          <w:rFonts w:ascii="Times New Roman" w:hAnsi="Times New Roman"/>
          <w:sz w:val="20"/>
        </w:rPr>
      </w:pPr>
      <w:r>
        <w:rPr>
          <w:rFonts w:ascii="Times New Roman" w:hAnsi="Times New Roman"/>
          <w:sz w:val="20"/>
        </w:rPr>
        <w:t xml:space="preserve">Rezolve Warrant means a warrant to purchase one Rezolve Ordinary Share; </w:t>
      </w:r>
    </w:p>
    <w:p>
      <w:pPr>
        <w:pStyle w:val="TextBody"/>
        <w:bidi w:val="0"/>
        <w:spacing w:before="120" w:after="0"/>
        <w:jc w:val="left"/>
        <w:rPr>
          <w:rFonts w:ascii="Times New Roman" w:hAnsi="Times New Roman"/>
          <w:sz w:val="20"/>
        </w:rPr>
      </w:pPr>
      <w:r>
        <w:rPr>
          <w:rFonts w:ascii="Times New Roman" w:hAnsi="Times New Roman"/>
          <w:sz w:val="20"/>
        </w:rPr>
        <w:t xml:space="preserve">SMBs means small and medium-sized businesses; </w:t>
      </w:r>
    </w:p>
    <w:p>
      <w:pPr>
        <w:pStyle w:val="TextBody"/>
        <w:bidi w:val="0"/>
        <w:spacing w:before="120" w:after="0"/>
        <w:jc w:val="left"/>
        <w:rPr>
          <w:rFonts w:ascii="Times New Roman" w:hAnsi="Times New Roman"/>
          <w:sz w:val="20"/>
        </w:rPr>
      </w:pPr>
      <w:r>
        <w:rPr>
          <w:rFonts w:ascii="Times New Roman" w:hAnsi="Times New Roman"/>
          <w:sz w:val="20"/>
        </w:rPr>
        <w:t xml:space="preserve">Special Meeting means the Armada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Sponsor means Armada Sponsor LLC; </w:t>
      </w:r>
    </w:p>
    <w:p>
      <w:pPr>
        <w:pStyle w:val="TextBody"/>
        <w:bidi w:val="0"/>
        <w:spacing w:before="120" w:after="0"/>
        <w:jc w:val="left"/>
        <w:rPr>
          <w:rFonts w:ascii="Times New Roman" w:hAnsi="Times New Roman"/>
          <w:sz w:val="20"/>
        </w:rPr>
      </w:pPr>
      <w:r>
        <w:rPr>
          <w:rFonts w:ascii="Times New Roman" w:hAnsi="Times New Roman"/>
          <w:sz w:val="20"/>
        </w:rPr>
        <w:t xml:space="preserve">Termination Date means August 2, 2023; </w:t>
      </w:r>
    </w:p>
    <w:p>
      <w:pPr>
        <w:pStyle w:val="TextBody"/>
        <w:bidi w:val="0"/>
        <w:spacing w:before="120" w:after="0"/>
        <w:jc w:val="left"/>
        <w:rPr>
          <w:rFonts w:ascii="Times New Roman" w:hAnsi="Times New Roman"/>
          <w:sz w:val="20"/>
        </w:rPr>
      </w:pPr>
      <w:r>
        <w:rPr>
          <w:rFonts w:ascii="Times New Roman" w:hAnsi="Times New Roman"/>
          <w:sz w:val="20"/>
        </w:rPr>
        <w:t xml:space="preserve">Transaction Support Agreement means the transaction support agreement, as amended, pursuant to which, among other things, the Key Company Shareholders have agreed to (a) vote in favor of the Pre-Closing Demerger and the Company Reorganization (b) vote in favor of the Business Combination Agreement and the agreements contemplated thereby and the transactions contemplated hereby, (c) enter into the Investor Rights Agreement (as described below) at Closing and (d) the termination of certain agreements effective as of Closing; </w:t>
      </w:r>
    </w:p>
    <w:p>
      <w:pPr>
        <w:pStyle w:val="TextBody"/>
        <w:bidi w:val="0"/>
        <w:spacing w:before="120" w:after="0"/>
        <w:jc w:val="left"/>
        <w:rPr>
          <w:rFonts w:ascii="Times New Roman" w:hAnsi="Times New Roman"/>
          <w:sz w:val="20"/>
        </w:rPr>
      </w:pPr>
      <w:r>
        <w:rPr>
          <w:rFonts w:ascii="Times New Roman" w:hAnsi="Times New Roman"/>
          <w:sz w:val="20"/>
        </w:rPr>
        <w:t xml:space="preserve">Transfer Agent means Continental Stock Transfer &amp; Trust Company; </w:t>
      </w:r>
    </w:p>
    <w:p>
      <w:pPr>
        <w:pStyle w:val="TextBody"/>
        <w:bidi w:val="0"/>
        <w:spacing w:before="120" w:after="0"/>
        <w:jc w:val="left"/>
        <w:rPr>
          <w:rFonts w:ascii="Times New Roman" w:hAnsi="Times New Roman"/>
          <w:sz w:val="20"/>
        </w:rPr>
      </w:pPr>
      <w:r>
        <w:rPr>
          <w:rFonts w:ascii="Times New Roman" w:hAnsi="Times New Roman"/>
          <w:sz w:val="20"/>
        </w:rPr>
        <w:t xml:space="preserve">Trust Account means the trust account established by Armada containing the proceeds of its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UK means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UK Companies Act means the UK Companies Act 2006 (as amended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U.S. refers to the United States of America; and </w:t>
      </w:r>
    </w:p>
    <w:p>
      <w:pPr>
        <w:pStyle w:val="TextBody"/>
        <w:bidi w:val="0"/>
        <w:spacing w:before="120" w:after="0"/>
        <w:jc w:val="left"/>
        <w:rPr>
          <w:rFonts w:ascii="Times New Roman" w:hAnsi="Times New Roman"/>
          <w:sz w:val="20"/>
        </w:rPr>
      </w:pPr>
      <w:r>
        <w:rPr>
          <w:rFonts w:ascii="Times New Roman" w:hAnsi="Times New Roman"/>
          <w:sz w:val="20"/>
        </w:rPr>
        <w:t xml:space="preserve">USD refers to the U.S. Dollar.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tx309194_4"/>
      <w:bookmarkEnd w:id="6"/>
      <w:r>
        <w:rPr>
          <w:rFonts w:ascii="Times New Roman" w:hAnsi="Times New Roman"/>
          <w:b/>
          <w:sz w:val="20"/>
        </w:rPr>
        <w:t xml:space="preserve">SUMMARY OF THE MATERIAL TERMS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parties to the Business Combination Agreement are Armada, Rezolve Limited, Rezolve, and Rezolve Merger Sub. </w:t>
      </w:r>
    </w:p>
    <w:p>
      <w:pPr>
        <w:pStyle w:val="TextBody"/>
        <w:bidi w:val="0"/>
        <w:spacing w:before="120" w:after="0"/>
        <w:jc w:val="left"/>
        <w:rPr>
          <w:rFonts w:ascii="Times New Roman" w:hAnsi="Times New Roman"/>
          <w:sz w:val="20"/>
        </w:rPr>
      </w:pPr>
      <w:r>
        <w:rPr>
          <w:rFonts w:ascii="Times New Roman" w:hAnsi="Times New Roman"/>
          <w:sz w:val="20"/>
        </w:rPr>
        <w:t xml:space="preserve">Under the Business Combination Agreement it is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pre-Closing demerger (the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to enable Rezolve to fund working capital and transaction expenses. Each of the outstanding shares of Armada Common Stock held by the shareholders of Armada will be exchanged for one Ordinary Share of Rezolve.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diagram shows the current ownership of Armada, Rezolve Limited and Rezolve. </w:t>
      </w:r>
    </w:p>
    <w:p>
      <w:pPr>
        <w:pStyle w:val="TextBody"/>
        <w:bidi w:val="0"/>
        <w:spacing w:before="240" w:after="0"/>
        <w:jc w:val="center"/>
        <w:rPr>
          <w:rFonts w:ascii="Times New Roman" w:hAnsi="Times New Roman"/>
          <w:b/>
          <w:sz w:val="20"/>
        </w:rPr>
      </w:pPr>
      <w:r>
        <w:rPr>
          <w:rFonts w:ascii="Times New Roman" w:hAnsi="Times New Roman"/>
          <w:b/>
          <w:sz w:val="20"/>
        </w:rPr>
        <w:t xml:space="preserve">1. Current Ownership Structure1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2051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8485" cy="205105"/>
                    </a:xfrm>
                    <a:prstGeom prst="rect">
                      <a:avLst/>
                    </a:prstGeom>
                  </pic:spPr>
                </pic:pic>
              </a:graphicData>
            </a:graphic>
          </wp:inline>
        </w:drawing>
      </w:r>
      <w:r>
        <w:rPr/>
        <w:t xml:space="preserv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organization structures exclude ANY, which is a controlled Variable Interest Entity.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part of the Pre-Closing Demerger, Rezolve Limited will transfer all of its business and assets to Rezolve (except for certain shares in Rezolve Information Technology (Shanghai) Co Ltd and its wholly owned subsidiary Nine Stone (Shanghai) Ltd and Rezolve Information Technology (Shanghai) Co Ltd Beijing Branch) in exchange for the issue of shares in Rezolve to the shareholders of Rezolve Limited, as shown below. </w:t>
      </w:r>
    </w:p>
    <w:p>
      <w:pPr>
        <w:pStyle w:val="TextBody"/>
        <w:bidi w:val="0"/>
        <w:spacing w:before="240" w:after="0"/>
        <w:jc w:val="center"/>
        <w:rPr>
          <w:rFonts w:ascii="Times New Roman" w:hAnsi="Times New Roman"/>
          <w:b/>
          <w:sz w:val="20"/>
        </w:rPr>
      </w:pPr>
      <w:r>
        <w:rPr>
          <w:rFonts w:ascii="Times New Roman" w:hAnsi="Times New Roman"/>
          <w:b/>
          <w:sz w:val="20"/>
        </w:rPr>
        <w:t xml:space="preserve">2. Rezolve Pre-Closing Demerger2 </w:t>
      </w:r>
    </w:p>
    <w:p>
      <w:pPr>
        <w:pStyle w:val="TextBody"/>
        <w:bidi w:val="0"/>
        <w:spacing w:before="0" w:after="0"/>
        <w:jc w:val="left"/>
        <w:rPr/>
      </w:pPr>
      <w:r>
        <w:rPr/>
        <w:t> </w:t>
      </w:r>
    </w:p>
    <w:p>
      <w:pPr>
        <w:pStyle w:val="TextBody"/>
        <w:bidi w:val="0"/>
        <w:spacing w:before="0" w:after="0"/>
        <w:jc w:val="center"/>
        <w:rPr/>
      </w:pPr>
      <w:r>
        <w:rPr/>
        <w:drawing>
          <wp:inline distT="0" distB="0" distL="0" distR="0">
            <wp:extent cx="580390" cy="25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0390" cy="254000"/>
                    </a:xfrm>
                    <a:prstGeom prst="rect">
                      <a:avLst/>
                    </a:prstGeom>
                  </pic:spPr>
                </pic:pic>
              </a:graphicData>
            </a:graphic>
          </wp:inline>
        </w:drawing>
      </w:r>
      <w:r>
        <w:rPr/>
        <w:t xml:space="preserv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organization structures exclude ANY, which is a controlled Variable Interest Entity.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3. Rezolve AI Limited Post Pre-Closing Demerger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1797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7850" cy="1797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as shown below. </w:t>
      </w:r>
    </w:p>
    <w:p>
      <w:pPr>
        <w:pStyle w:val="TextBody"/>
        <w:bidi w:val="0"/>
        <w:spacing w:before="240" w:after="0"/>
        <w:jc w:val="center"/>
        <w:rPr>
          <w:rFonts w:ascii="Times New Roman" w:hAnsi="Times New Roman"/>
          <w:b/>
          <w:sz w:val="20"/>
        </w:rPr>
      </w:pPr>
      <w:r>
        <w:rPr>
          <w:rFonts w:ascii="Times New Roman" w:hAnsi="Times New Roman"/>
          <w:b/>
          <w:sz w:val="20"/>
        </w:rPr>
        <w:t xml:space="preserve">4. Armada Merges Into Rezolve Merger Sub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1276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8485" cy="1276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5. Post-Closing Structure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1885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8485" cy="18859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Rezolve Warrant that will entitle the holder to purchase one Rezolve Ordinary Share in lieu of one share of Armada Common Stock and otherwise on substantially the same terms and conditions as the Armada Warrants.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voting on the Business Combination, the shareholders of Armada will consider and vote upon (a) a proposal to approve the adoption of the Rezolve Incentive Equity Plan, (b) a proposal to approve, for purpose of complying with the Nasdaq Stock Market LLC Rules and Regulations (Nasdaq Rules) the issuance of more than        % of the issued and outstanding Rezolve Ordinary Shares upon the completion of the Business Combination, and (c) a proposal to adjourn the meeting to a later date or dates, if necessary, to permit further solicitation and vote of proxies if, based upon the tabulated vote at the time of the meeting, there are not sufficient votes to approve one or more proposals presented to stockholders for a vote.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Agreement may be terminated under certain customary and limited circumstances at any time prior to Closing, including, among other reasons: (i) by mutual written consent of Armada and Rezolve; (ii) by either Armada or Rezolve if the Closing has not occurred on or prior to August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2023; (iii) by either Armada or Rezolve if a governmental authority having competent jurisdiction will have issued an order or taken any other action permanently enjoining, restraining, or otherwise prohibiting the transactions contemplated by the Business Combination Agreement, and such order or other action has become final and non-appealable; (iv) by Armada for Rezolves uncured breach of the Business Combination Agreement, such that the related Closing condition would not be met; (v) by Rezolve for the uncured breach of the Business Combination Agreement by Armada such that the related Closing condition would not be met; (vi) by Armada or Rezolve if the Special Meeting is held and has concluded, and the Required Purchaser Shareholder Approval (as defined in the Business Combination Agreement) is not obtained; and (vii) by Armada if the required shareholder consent of Rezolve is not obtained. See the section entitled </w:t>
      </w:r>
      <w:r>
        <w:rPr>
          <w:rFonts w:ascii="Times New Roman" w:hAnsi="Times New Roman"/>
          <w:i/>
          <w:sz w:val="20"/>
        </w:rPr>
        <w:t>The Business Combination Proposal  The Business Combination Agreement 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After the Business Combination, the directors of Rezolve will be Daniel Wagner, Anthony Sharp, Sir David Wright, John Wagner, Stephen Perry, and Derek Smith, all of whom are designated by Rezolve; Douglas Lurio and Stephen Herbert, both of whom are designated by Armada. After the Merger,                 ,                 and                 will be considered independent directors under the rules of Nasdaq. See the section entitled </w:t>
      </w:r>
      <w:r>
        <w:rPr>
          <w:rFonts w:ascii="Times New Roman" w:hAnsi="Times New Roman"/>
          <w:i/>
          <w:sz w:val="20"/>
        </w:rPr>
        <w:t>Management and Compensation of RezolveManagement of Rezolve Following the Business Combination.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Upon completion of the Business Combination, the current officers of Rezolve will remain in their positions as officers of Rezolve. These officers are Daniel Wagner (Chief Executive Officer) and Richard Burchill (Chief Financial Officer). Daniel Wagner is also a director. Richard Burchill is not a director and will not become a director on Closing. See the section entitled </w:t>
      </w:r>
      <w:r>
        <w:rPr>
          <w:rFonts w:ascii="Times New Roman" w:hAnsi="Times New Roman"/>
          <w:i/>
          <w:sz w:val="20"/>
        </w:rPr>
        <w:t>Management and Compensation of RezolveManagement of Rezolve Following the Business Combination.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tx309194_5"/>
      <w:bookmarkEnd w:id="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Rezolve and Armada believe that certain of the information in this proxy statement/prospectus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 future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contain projections of future results of operations or financial condition;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other forward-looking information. </w:t>
            </w:r>
          </w:p>
        </w:tc>
      </w:tr>
    </w:tbl>
    <w:p>
      <w:pPr>
        <w:pStyle w:val="TextBody"/>
        <w:bidi w:val="0"/>
        <w:spacing w:before="240" w:after="0"/>
        <w:jc w:val="left"/>
        <w:rPr>
          <w:rFonts w:ascii="Times New Roman" w:hAnsi="Times New Roman"/>
          <w:sz w:val="20"/>
        </w:rPr>
      </w:pPr>
      <w:r>
        <w:rPr>
          <w:rFonts w:ascii="Times New Roman" w:hAnsi="Times New Roman"/>
          <w:sz w:val="20"/>
        </w:rPr>
        <w:t>Rezolve and Armada believe it is important to communicate their expectations to their security holders. However, there may be events in the future that they are not able to predict accurately or over which they have no control. The risk factors and cautionary language discussed in this proxy statement/prospectus, including in the section titled </w:t>
      </w:r>
      <w:r>
        <w:rPr>
          <w:rFonts w:ascii="Times New Roman" w:hAnsi="Times New Roman"/>
          <w:i/>
          <w:sz w:val="20"/>
        </w:rPr>
        <w:t>Risk Factors,</w:t>
      </w:r>
      <w:r>
        <w:rPr>
          <w:rFonts w:ascii="Times New Roman" w:hAnsi="Times New Roman"/>
          <w:sz w:val="20"/>
        </w:rPr>
        <w:t xml:space="preserve"> provide examples of risks, uncertainties and events that may cause actual results to differ materially from the expectations described by Rezolve or Armada in such forward-looking statements,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percentage of Armadas public shareholders voting against the Business Combination Proposal and/or seeking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event, change or other circumstances that could give rise to the termination of the Business Combination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ability to satisfy the listing criteria of the Nasdaq and to maintain the listing of its securities on Nasdaq following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adversely affecting the business in which Rezolve is engaged;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COVID-19 pandemic on Rezolves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Armada or Rezolve following the announcement of the proposed Business Combination and transactions contemplated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proposed Business Combination disrupts current plans and operations of Rezolve as a result of the announcement and consummation of the transactions described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Armadas ability to recognize the benefits of the Business Combination, which may be affected by, among other things, competition and the ability of Rezolve to grow and manage growth effectively following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conflict in Ukraine or other hostilities;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applicable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business strategy and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 of future financing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are cautioned not to place undue reliance on these forward-looking statements, which speak only as of the date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included herein attributable to any of Armada, Rezolve or any person acting on either partys behalf are expressly qualified in their entirety by the cautionary statements contained or 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in this section. Except to the extent required by applicable laws and regulations, Armada and Rezolve undertake no obligations to update these forward-looking statements to reflect events or circumstances after the date of this proxy statement/prospectus or to reflect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x309194_6"/>
      <w:bookmarkEnd w:id="8"/>
      <w:r>
        <w:rPr>
          <w:rFonts w:ascii="Times New Roman" w:hAnsi="Times New Roman"/>
          <w:b/>
          <w:sz w:val="20"/>
        </w:rPr>
        <w:t xml:space="preserve">SUMMARY OF RISK FACTORS </w:t>
      </w:r>
    </w:p>
    <w:p>
      <w:pPr>
        <w:pStyle w:val="TextBody"/>
        <w:bidi w:val="0"/>
        <w:spacing w:before="240" w:after="0"/>
        <w:jc w:val="left"/>
        <w:rPr>
          <w:rFonts w:ascii="Times New Roman" w:hAnsi="Times New Roman"/>
          <w:sz w:val="20"/>
        </w:rPr>
      </w:pPr>
      <w:r>
        <w:rPr>
          <w:rFonts w:ascii="Times New Roman" w:hAnsi="Times New Roman"/>
          <w:sz w:val="20"/>
        </w:rPr>
        <w:t>The consummation of the Business Combination and the business and financial condition of Rezolve subsequent to Closing are subject to numerous risks and uncertainties, including those highlighted in the section titled </w:t>
      </w:r>
      <w:r>
        <w:rPr>
          <w:rFonts w:ascii="Times New Roman" w:hAnsi="Times New Roman"/>
          <w:i/>
          <w:sz w:val="20"/>
        </w:rPr>
        <w:t>Risk Factors</w:t>
      </w:r>
      <w:r>
        <w:rPr>
          <w:rFonts w:ascii="Times New Roman" w:hAnsi="Times New Roman"/>
          <w:sz w:val="20"/>
        </w:rPr>
        <w:t xml:space="preserve">. The occurrence of one or more of the events or circumstances described below, alone or in combination with other events or circumstances, may adversely affect Armada and Rezolve Limiteds (prior to the Pre-Closing Demerger) and Rezolves (subsequent to the Pre-Closing Demerger) ability to effect a business combination, and may have an adverse effect on the business, cash flows, financial condition and results of operations of Rezolve Limited prior to the Pre-Closing Demerger and that of Rezolve subsequent to the Pre-Closing Demerger. Such risks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has generated limited revenues from existing Channels and there is no guarantee that it will be able to attract and retain new merchants and increase sales to new merchants.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is an early-stage company with a history of financial losses and expects to incur significant expenses and continuing losses for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worldwide economic conditions, including the resulting effect on spending by SMBs and spending on technology, may adversely affect Rezolves business, operating results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limited operating history in a new and developing market makes it difficult to evaluate its current business and future prospects and may increase the risk that it will not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growth depends in part on the success of its strategic relationships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radio advertising business in Germany is susceptible to risks associated with economic downturns and recession.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Non-performance under, termination, non-renewal or material modification of agreements with Rezolves business partners could have a material adverse effect on Rezolves business, financial condition and/or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business could be harmed if it fails to manage its growth effectively.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operating and financial results forecast relies in large part upon assumptions and analyses developed by Rezolve. If these assumptions or analyses prove to be incorrect, Rezolves actual operating results may be materially different from its forecasted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does not have the history with its solutions or pricing models necessary to accurately predict optimal pricing necessary to attract new merchants and retain existing merchants.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Rezolves business model, it may not be able to accurately assess its financial position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business is susceptible to risks associated with international sales and the use of its platform in various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rate fluctuations may negatively affect Rezolves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operating results are expected to be subject to seasonal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Rezolves estimates or judgments relating to Rezolves critical accounting policies are ultimately incorrect, Rezolves results of operations could be adversely affected.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may not be able to compete successfully against current and future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transactions on Rezolves platform may be subject to regulatory requirements and other risks that could be costly and difficult to comply with or that could harm Rezolves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is a party to the Loan Note Instrument, which contains a number of covenants that may restrict our current and future operations and could adversely affect our ability to execute business needs.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may need to raise additional funds to pursue its growth strategy or continue its operations, and Rezolve may be unable to raise capital when needed or on acceptable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effectively develop and expand Rezolves marketing, sales, customer service, and content management capabilities could harm its ability to increase Rezolves customer base and achieve broader market acceptance of Rezolves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availability of Rezolves platform does not meet its service-level commitments to customers, Rezolves current and future revenues may be negatively impacted.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will have broad discretion in the use of proceeds from this offering and may invest or spend the proceeds in ways with which you do not agree and in ways that may not yield a return.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does not intend to pay dividends for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regional or global health pandemic, including the global COVID-19 pandemic, may adversely impact Rezolves business, results of operations and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Rezolve is unable to hire, retain and motivate qualified personnel, its business will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is dependent on the continued services and performance of its senior management and other key employees, the loss of any of whom could adversely affect Rezolves business, operating results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is dependent upon consumers and merchants willingness to use the internet and internet-enabled mobile devices for commerce.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Rezolves software contains serious errors or defects, Rezolve may lose revenues and market acceptance and may incur costs to defend or settle claims with its merchants.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denial of service attack or security breach or incident could delay or interrupt service to Rezolves merchants and their customers, harm Rezolves reputation and subject Rezolve to significant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uses a limited number of data centers to deliver its services. Any disruption of service at these facilities could harm Rezolves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business and prospects would be harmed if changes to technologies used in Rezolves platform or new versions or upgrades of operating systems and internet browsers adversely impact the process by which merchants and consumers interface with Rezolves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relies on computer hardware, purchased or leased, and software licensed from and services rendered by third parties in order to provide its solutions and run its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Rezolve does not or cannot maintain the compatibility of its platform with third-party applications that its customers use in their businesses, Rezolves revenues will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Mobile devices are increasingly being used to conduct commerce, and if Rezolves solutions do not operate as effectively when accessed through these devices, Rezolves merchants and their customers may not be satisfied with Rezolves services, which could harm Rezolves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may store and process personal data of its merchants and their customers. If the security of this information is compromised or otherwise subjected to unauthorized access, Rezolves reputation may be harmed and Rezolve may be exposed to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brand is important to its success. If Rezolve fails to effectively maintain, promote and enhance Rezolves brand, Rezolves business and competitive advantage may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Activities of merchants or the content of their shops could damage Rezolves brand, subject Rezolve to liability and harm its business and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Rezolve fails to maintain a consistently high level of customer service, Rezolves brand, business and financial results may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may be unable to maintain or protect its intellectual property rights and proprietary information, or obtain registrations in such rights or information, or otherwise prevent third parties from making unauthorized use of the foregoing, including its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may be subject to claims by third parties of intellectual property infringement.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use of open source software could negatively affect its ability to sell its solutions and subject Rezolve to possible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financial accounting standards or practices may cause adverse, unexpected financial reporting fluctuations and adversely affect Rezolves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laws or tax rulings could materially affect Rezolves financial position, results of operations, and cash flows.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Claims for indemnification by Rezolves directors and officers may reduce Rezolves available funds to satisfy successful third-party claims against Rezolve and may reduce the amount of money available to Rezolve.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Enhanced trade tariffs, import restrictions, export restrictions, United States regulations or other trade barriers may materially harm Rezolves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time to time, Rezolve may be involved in legal proceedings and commercial or contractual disputes, which could have an adverse impact on Rezolves profitability and consolidated financial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provisions of the Articles and English law could deter takeover attempts.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x309194_7"/>
      <w:bookmarkEnd w:id="9"/>
      <w:r>
        <w:rPr>
          <w:rFonts w:ascii="Times New Roman" w:hAnsi="Times New Roman"/>
          <w:b/>
          <w:sz w:val="20"/>
        </w:rPr>
        <w:t xml:space="preserve">QUESTIONS AND ANSWERS ABOUT THE PROPOSALS </w:t>
      </w:r>
    </w:p>
    <w:p>
      <w:pPr>
        <w:pStyle w:val="TextBody"/>
        <w:bidi w:val="0"/>
        <w:spacing w:before="240" w:after="0"/>
        <w:jc w:val="left"/>
        <w:rPr>
          <w:rFonts w:ascii="Times New Roman" w:hAnsi="Times New Roman"/>
          <w:i/>
          <w:sz w:val="20"/>
        </w:rPr>
      </w:pPr>
      <w:r>
        <w:rPr>
          <w:rFonts w:ascii="Times New Roman" w:hAnsi="Times New Roman"/>
          <w:i/>
          <w:sz w:val="20"/>
        </w:rPr>
        <w:t xml:space="preserve">The questions and answers below highlight only selected information from this document and only briefly address some commonly asked questions about the proposals to be presented at the Special Meeting, including with respect to the proposed Business Combination. The following questions and answers do not include all the information that is important to our stockholders. We urge stockholders to read carefully this entire proxy statement/prospectus, including the Annexes and the other documents referred to herein, to fully understand the proposed Business Combination and the voting procedures for the Special Meeting, which will be held on                 , 2023 at                 , Eastern Time, virtually at http://www.cstproxy.com/armadaacquisition/2023.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being asked to consider and vote upon a proposal to adopt the Business Combination Agreement and approve the Business Combination and transactions contemplated thereby, among other proposals. We have entered into the Business Combination Agreement, pursuant to which: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to enable Rezolve to fund working capital and transaction expenses. Each of the outstanding shares of Armada Common Stock held by the shareholders of Armada will be exchanged for one Rezolve Ordinary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Accordingly, this proxy statement/prospectus covers the issuance by Rezolve of an aggregate of                  Rezolve Ordinary Shares,                  Rezolve Warrants and                  Rezolve Ordinary Shares issuable upon exercise of Rezolve Warrants. A copy of the Business Combination Agreement is attached to this proxy statement/prospectus as </w:t>
      </w:r>
      <w:r>
        <w:rPr>
          <w:rFonts w:ascii="Times New Roman" w:hAnsi="Times New Roman"/>
          <w:i/>
          <w:sz w:val="20"/>
        </w:rPr>
        <w:t>Annex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Business Combination, there are related matters that we are asking you to approve. This proxy statement/prospectus and its Annexes contain important information about the proposed Business Combination and the other matters to be acted upon at the Special Meeting. You should read this proxy statement/prospectus and its Annexes carefully and in their entirety.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u w:val="single"/>
        </w:rPr>
        <w:t>Your vote is important. You are encouraged to submit your proxy as soon as possible after carefully reviewing this proxy statement/prospectus and its Annexes</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where is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will be held at                  Eastern Time, on                 , 2023, in a virtual format. Armadas Stockholders may attend, vote, and examine the list of Stockholders entitled to vote at the Special Meeting by visiting </w:t>
            </w:r>
            <w:r>
              <w:rPr>
                <w:rFonts w:ascii="Times New Roman" w:hAnsi="Times New Roman"/>
                <w:i/>
                <w:sz w:val="20"/>
              </w:rPr>
              <w:t>http://www.cstproxy.com/armadaacquisition/2023</w:t>
            </w:r>
            <w:r>
              <w:rPr>
                <w:rFonts w:ascii="Times New Roman" w:hAnsi="Times New Roman"/>
                <w:sz w:val="20"/>
              </w:rPr>
              <w:t xml:space="preserve"> and entering the control number found on their proxy card, voting instruction form, or notice included in their proxy materials. You may also attend the meeting telephonically by dialing 1 877-770-3647 (toll-free within the United States and Canada) or +1 312-780-0854 (outside of the United States and Canada, standard rates apply). The passcode for telephone access is                 , but please note that you will not be able to vote or ask questions if you choose to participate telephonically. The Special Meeting will be held in virtual meeting format only. You will not be able to attend the Special Meeting physically.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can I attend and vote at a virtual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registered stockholder, you received a Proxy Card from                 . The form contains instructions on how to attend the virtual annual meeting including the URL address, along with your control number. You will need your control number for access. If you do not have your control number, contact                  at the phone number or e-mail address below.                  support contact information is as follows:                 , or email                 .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can pre-register to attend the virtual meeting starting on                 , 2023, at                  Eastern Time. Enter the URL address into your browser </w:t>
      </w:r>
      <w:r>
        <w:rPr>
          <w:rFonts w:ascii="Times New Roman" w:hAnsi="Times New Roman"/>
          <w:i/>
          <w:sz w:val="20"/>
        </w:rPr>
        <w:t>http://www.cstproxy.com/armadaacquisition/2023</w:t>
      </w:r>
      <w:r>
        <w:rPr>
          <w:rFonts w:ascii="Times New Roman" w:hAnsi="Times New Roman"/>
          <w:sz w:val="20"/>
        </w:rPr>
        <w:t xml:space="preserve">, enter your control number, name, and email address. Once you pre-register, you can vote or enter questions in the chat box. At the start of the meeting, you will need to re-log in using your control number and will also be prompted to enter your control number if you vote during the meeting. Beneficial owners, who own their investments through a bank or broker, will need to contact                  to receive a control number. If you plan to vote at the meeting you will need to have a legal proxy from your bank or broker, or if you would like to join and not vote,                  will issue you a guest control number with proof of ownership. Either way, you must contact                  for specific instructions on how to receive the control number. They can be contacted at the number or email address above. Please allow up to 72 hours prior to the meeting for processing your control number. </w:t>
      </w:r>
    </w:p>
    <w:p>
      <w:pPr>
        <w:pStyle w:val="TextBody"/>
        <w:bidi w:val="0"/>
        <w:spacing w:before="120" w:after="0"/>
        <w:jc w:val="left"/>
        <w:rPr>
          <w:rFonts w:ascii="Times New Roman" w:hAnsi="Times New Roman"/>
          <w:sz w:val="20"/>
        </w:rPr>
      </w:pPr>
      <w:r>
        <w:rPr>
          <w:rFonts w:ascii="Times New Roman" w:hAnsi="Times New Roman"/>
          <w:sz w:val="20"/>
        </w:rPr>
        <w:t xml:space="preserve">If you do not have internet capabilities, you can listen only to the meeting by dialing +1                  inside the U.S. and Canada and +1                  outside the U.S. and Canada (standard rates apply); when prompted enter the pin number                 . This is listen-only, you will not be able to vote or enter questions during the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specific proposals on which I am being asked to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being asked to approve the following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  The Business Combination Proposal</w:t>
            </w:r>
            <w:r>
              <w:rPr>
                <w:rFonts w:ascii="Times New Roman" w:hAnsi="Times New Roman"/>
                <w:sz w:val="20"/>
              </w:rPr>
              <w:t xml:space="preserve">  To consider and vote upon a proposal to adopt and approve the Business Combination described in this proxy statement/prospectus including the Business Combination Agreement, by and among Armada, Rezolve Limited, Rezolve and Rezolve Merger Sub pursuant to which Armada, Rezolve and Rezolve Merger Sub will effect a series of transactions including, among other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283"/>
              <w:jc w:val="left"/>
              <w:rPr/>
            </w:pPr>
            <w:r>
              <w:rPr/>
              <w:t xml:space="preserve">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2  The Nasdaq Proposal</w:t>
            </w:r>
            <w:r>
              <w:rPr>
                <w:rFonts w:ascii="Times New Roman" w:hAnsi="Times New Roman"/>
                <w:sz w:val="20"/>
              </w:rPr>
              <w:t xml:space="preserve">  To consider and vote upon a proposal to adopt and approve, for the purposes of complying with the applicable listing rules of Nasdaq, the issuance of Rezolve Ordinary Shares in connection with the Business Combination Agreement, including the Company Reorganization, the conversion of the Convertible Notes and, to the extent applicable, the Merger, in each case, as required by Nasdaq listing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3  The Incentive Equity Plan Proposal</w:t>
            </w:r>
            <w:r>
              <w:rPr>
                <w:rFonts w:ascii="Times New Roman" w:hAnsi="Times New Roman"/>
                <w:sz w:val="20"/>
              </w:rPr>
              <w:t xml:space="preserve">  To consider and vote upon a proposal to adopt and approve, the Rezolve Incentive Equity Plan, which will become effective on the Closing Date and will be used by Rezolve following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 4 </w:t>
            </w:r>
            <w:r>
              <w:rPr>
                <w:rFonts w:ascii="Times New Roman" w:hAnsi="Times New Roman"/>
                <w:sz w:val="20"/>
              </w:rPr>
              <w:t xml:space="preserve"> </w:t>
            </w:r>
            <w:r>
              <w:rPr>
                <w:rFonts w:ascii="Times New Roman" w:hAnsi="Times New Roman"/>
                <w:b/>
                <w:sz w:val="20"/>
              </w:rPr>
              <w:t>The Charter Limitation Amendment</w:t>
            </w:r>
            <w:r>
              <w:rPr>
                <w:rFonts w:ascii="Times New Roman" w:hAnsi="Times New Roman"/>
                <w:sz w:val="20"/>
              </w:rPr>
              <w:t xml:space="preserve"> </w:t>
            </w:r>
            <w:r>
              <w:rPr>
                <w:rFonts w:ascii="Times New Roman" w:hAnsi="Times New Roman"/>
                <w:b/>
                <w:sz w:val="20"/>
              </w:rPr>
              <w:t xml:space="preserve">Proposal  </w:t>
            </w:r>
            <w:r>
              <w:rPr>
                <w:rFonts w:ascii="Times New Roman" w:hAnsi="Times New Roman"/>
                <w:sz w:val="20"/>
              </w:rPr>
              <w:t xml:space="preserve">to consider and vote upon a proposal to amend the Armada Charter to eliminate from the Armada Charter the limitation that Armada may not consummate a business combination to the extent Armada would have net tangible assets of less than $5,000,001, which charter amendment will be effective immediately prior to or upon consummation of a business combination in order to allow Armada to consummate the Business Combination irrespective of whether Armada would exceed the Charter Limitation;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5  Adjournment Proposal</w:t>
            </w:r>
            <w:r>
              <w:rPr>
                <w:rFonts w:ascii="Times New Roman" w:hAnsi="Times New Roman"/>
                <w:sz w:val="20"/>
              </w:rPr>
              <w:t xml:space="preserve">  To approve, if necessary, the adjournment of the Special Meeting to a later date or dates to permit further solicitation and votes of proxies in the event that there are insufficient votes for, or otherwise in connection with, the approval of the Business Combination Proposal, the Nasdaq Proposal, the Incentive Equity Plan Proposal or the Charter Limitation Amendment Proposal. This proposal will only be presented at the Special Meeting if there are not sufficient votes to approve the Business Combination Proposal, the Nasdaq Proposal, the Incentive Equity Plan Proposal or the Charter Limitation Amendment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 proposals conditioned on one another?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The Nasdaq Proposal and the Incentive Equity Plan Proposal in this proxy statement/prospectus (other than the Adjournment Proposal) are conditioned upon the stockholders approval of the Business Combination Proposal. Moreover, the transactions contemplated by the Business Combination Agreement will be consummated only if the Business Combination Proposal, the Nasdaq Proposal, and the Incentive Equity Plan Proposal are approved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 is important for you to note that in the event that the Business Combination Proposal, the Nasdaq Proposal, or the Incentive Equity Plan Proposal does not receive the requisite vote for approval, we will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the public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current deadline under our current amended and restated certificate of incorporation to consummate the Business Combination is August 17, 2023. The Business Combination Agreement may be terminated and the Business Combination may be abandoned by Armada or Rezolve, if the effective time of the Business Combination has not occurred prior to August 2, 2023; </w:t>
      </w:r>
      <w:r>
        <w:rPr>
          <w:rFonts w:ascii="Times New Roman" w:hAnsi="Times New Roman"/>
          <w:sz w:val="20"/>
          <w:u w:val="single"/>
        </w:rPr>
        <w:t>provided</w:t>
      </w:r>
      <w:r>
        <w:rPr>
          <w:rFonts w:ascii="Times New Roman" w:hAnsi="Times New Roman"/>
          <w:sz w:val="20"/>
        </w:rPr>
        <w:t xml:space="preserve">, that the right to terminate the Business Combination Agreement will not be available to Armada or Rezolve, respectively, if such partys respective breach of any of its respective covenants or obligations under the Business Combination Agreement shall have primarily caused the failure to consummate the transactions under the Business Combination Agreement on or before the Termination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are we providing stockholders with the opportunity to vote on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Armadas amended and restated certificate of incorporation, Armada must provide all holders of Armadas public shares with the opportunity to have their public shares redeemed upon the consummation of our initial business combination either in conjunction with a tender offer or in conjunction with a stockholder vote. For business and other reasons, we have elected to provide our stockholders with the opportunity to have their public shares redeemed in connection with a stockholder vote, rather than a tender offer. Therefore, we are seeking to obtain the approval of our stockholders to the Business Combination Proposal in order to allow our public stockholders to effectuate redemptions of their public shares in connection with the Closing. The adoption of the Business Combination Agreement is required under Delaware law and the approval of the Business Combination is required under our current amended and restated certificate of incorporation. In addition, such approval is also a condition to the Closing under the Business Combination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revenues and profits/losses has Rezolve generated in the last two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has generated total revenues of $3.9 million and $12.3 million for the years ended December 31, 2021 and December 31, 2022, respectively, and total losses of $37.7 million and $104.1 million for the years ended December 31, 2021 and December 31, 2022,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will Rezolve be acquired in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w:t>
            </w:r>
            <w:r>
              <w:rPr>
                <w:rFonts w:ascii="Times New Roman" w:hAnsi="Times New Roman"/>
                <w:i/>
                <w:sz w:val="20"/>
              </w:rPr>
              <w:t>The Business Combination Proposal</w:t>
            </w:r>
            <w:r>
              <w:rPr>
                <w:rFonts w:ascii="Times New Roman" w:hAnsi="Times New Roman"/>
                <w:sz w:val="20"/>
              </w:rPr>
              <w:t xml:space="preserve"> for more information. As a result of the Business Combination, Rezolve will become a new public company, and Armada will become a wholly-owned subsidiary of Rezolve.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Following the Business Combination, will my securities trade on a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We intend to apply for the listing of Rezolve Ordinary Shares and Rezolve Warrants on the Nasdaq under the symbols                  and                 , respectively, upon the Closing. Rezolve will not have units traded following the consummation of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has the announcement of the Business Combination affected the trading price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December 16, 2021, the last trading date immediately prior to the public announcement of the Business Combination, Armada Common Stock, Armada Warrants, and Armada Units closed at $9.75, $0.4899,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$10.01, respectively.                  , the last trading date immediately prior to the date of this proxy statement/prospectus, Armada Common Stock and Armada Units closed at $                 and $                 , respectively. On                  , the last trading day immediately prior to the date of this proxy statement/prospectus, the Armada Warrants closed at $                 per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Is the Business Combination the first step in a going private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We do not intend for the Business Combination to be the first step in a going private transaction. While Armada will not have securities listed on a national exchange following closing, one of the primary purposes of the Business Combination is to provide a platform for Rezolve to access the U.S. public markets and for the Rezolve Ordinary Shares and the Rezolve Warrants to trade on Nasdaq following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Did Armadas Board of Directors obtain a third-party fairness opinion in determining whether or not to proceed with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Yes. On June 11, 2023, at a meeting of Armadas board of directors held to evaluate the proposed Business Combination pursuant to the then-contemplated June 16, 2023 amendment to the Business Combination Agreement, Marshall &amp; Stevens Transaction Advisory Services LLC (Marshall &amp; Stevens) delivered an oral opinion, subsequently confirmed by delivery of a written opinion to our Board,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 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additional information, please see the section entitled </w:t>
            </w:r>
            <w:r>
              <w:rPr>
                <w:rFonts w:ascii="Times New Roman" w:hAnsi="Times New Roman"/>
                <w:i/>
                <w:sz w:val="20"/>
              </w:rPr>
              <w:t>The Business Combination Proposal  Opinion of Marshall</w:t>
            </w:r>
            <w:r>
              <w:rPr>
                <w:rFonts w:ascii="Times New Roman" w:hAnsi="Times New Roman"/>
                <w:sz w:val="20"/>
              </w:rPr>
              <w:t> </w:t>
            </w:r>
            <w:r>
              <w:rPr>
                <w:rFonts w:ascii="Times New Roman" w:hAnsi="Times New Roman"/>
                <w:i/>
                <w:sz w:val="20"/>
              </w:rPr>
              <w:t>&amp; Stevens</w:t>
            </w:r>
            <w:r>
              <w:rPr>
                <w:rFonts w:ascii="Times New Roman" w:hAnsi="Times New Roman"/>
                <w:sz w:val="20"/>
              </w:rPr>
              <w:t xml:space="preserve"> and the written opinion of Marshall &amp; Stevens attached as </w:t>
            </w:r>
            <w:r>
              <w:rPr>
                <w:rFonts w:ascii="Times New Roman" w:hAnsi="Times New Roman"/>
                <w:i/>
                <w:sz w:val="20"/>
              </w:rPr>
              <w:t xml:space="preserve">Annex </w:t>
            </w:r>
            <w:r>
              <w:rPr>
                <w:rFonts w:ascii="Times New Roman" w:hAnsi="Times New Roman"/>
                <w:sz w:val="20"/>
              </w:rPr>
              <w:t xml:space="preserve">                 hereto. </w:t>
            </w:r>
          </w:p>
        </w:tc>
      </w:tr>
    </w:tbl>
    <w:p>
      <w:pPr>
        <w:pStyle w:val="TextBody"/>
        <w:bidi w:val="0"/>
        <w:spacing w:before="120" w:after="0"/>
        <w:jc w:val="left"/>
        <w:rPr>
          <w:rFonts w:ascii="Times New Roman" w:hAnsi="Times New Roman"/>
          <w:sz w:val="20"/>
        </w:rPr>
      </w:pPr>
      <w:r>
        <w:rPr>
          <w:rFonts w:ascii="Times New Roman" w:hAnsi="Times New Roman"/>
          <w:sz w:val="20"/>
        </w:rPr>
        <w:t>On December 16, 2021, at a meeting of Armadas board of directors held to evaluate the proposed Business Combination, Northland Securities, Inc. delivered an oral opinion, subsequently confirmed by delivery of a written opinion to our Board,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 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additional information, please see the section entitled </w:t>
      </w:r>
      <w:r>
        <w:rPr>
          <w:rFonts w:ascii="Times New Roman" w:hAnsi="Times New Roman"/>
          <w:i/>
          <w:sz w:val="20"/>
        </w:rPr>
        <w:t>The Business Combination Proposal  Opinion of Northland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 management and board of directors of Rezolve change in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anticipate that all of the executive officers of Rezolve will remain with the post-combination company. Upon completion of the Business Combination, Stephen Herbert and Douglas Lurio will be appointed as members of the board of the directors of the post-combination company; none of our other current directors will serve as directors of the post-combination company. The board of directors of the post-combination company will be comprised of Daniel Wagner, John Wagner, Anthony Sharp, Sir David Wright, Stephen Perry, Derek Smith, Douglas Lurio, and Stephen Herbert (provided that Daniel Wagner shall have the right to appoint an additional director to the Board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equity stake will current stockholders of Armada and the Rezolve equity holders hold in the post-combination company after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anticipated that, upon completion of the Business Combination, assuming minimum redemptions: (i) the Armada public stockholders will have an ownership interest of approximately     % in Rezolve (not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including shares beneficially owned by our Sponsor); (ii) our Sponsor will own approximately     % of Rezolve; and (iii) the existing Rezolve equity holders will own approximately     % of Rezolve with 75% of the voting power of Rezolve being held by Daniel Wagner as the Rezolve Founder. The ownership percentage with respect to Rezolve following the Business Combination does not take into account (i) warrants to purchase Rezolve Ordinary Shares that will remain outstanding immediately following the Business Combination; (ii) the conversion of any of the outstanding secured Convertible Notes into shares in Rezolve and (iii) the issuance of any shares upon or after completion of the Business Combination under the Rezolve Incentive Equity Plan, a copy of which is attached to this proxy statement/prospectus as </w:t>
            </w:r>
            <w:r>
              <w:rPr>
                <w:i/>
              </w:rPr>
              <w:t>Annex</w:t>
            </w:r>
            <w:r>
              <w:rPr/>
              <w:t>                . If the actual facts are different than these assumptions, the percentage ownership retained by Armadas stockholders in the post-combination company will be different. For more information, please see the sections entitled </w:t>
            </w:r>
            <w:r>
              <w:rPr>
                <w:i/>
              </w:rPr>
              <w:t>Unaudited Pro Forma Condensed Combined Financial Information,</w:t>
            </w:r>
            <w:r>
              <w:rPr/>
              <w:t> and </w:t>
            </w:r>
            <w:r>
              <w:rPr>
                <w:i/>
              </w:rPr>
              <w:t>Proposal No.</w:t>
            </w:r>
            <w:r>
              <w:rPr/>
              <w:t> </w:t>
            </w:r>
            <w:r>
              <w:rPr>
                <w:i/>
              </w:rPr>
              <w:t>3  The Incentive Equity Plan Proposal</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we obtain new financing in connection with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execution of the Business Combination Agreement on December 17, 2021, Armada entered into certain subscription agreements with certain investors, pursuant to which such investors agreed to purchase ordinary shares of the public company resulting from the Business Combination to be issued substantially concurrently with the consummation of the Business Combination. The subscription agreements terminated once the transactions contemplated by the Business Combination Agreement were not consummated on or prior to August 31, 2022. </w:t>
            </w:r>
          </w:p>
        </w:tc>
      </w:tr>
    </w:tbl>
    <w:p>
      <w:pPr>
        <w:pStyle w:val="TextBody"/>
        <w:bidi w:val="0"/>
        <w:spacing w:before="120" w:after="0"/>
        <w:jc w:val="left"/>
        <w:rPr>
          <w:rFonts w:ascii="Times New Roman" w:hAnsi="Times New Roman"/>
          <w:sz w:val="20"/>
        </w:rPr>
      </w:pPr>
      <w:r>
        <w:rPr>
          <w:rFonts w:ascii="Times New Roman" w:hAnsi="Times New Roman"/>
          <w:sz w:val="20"/>
        </w:rPr>
        <w:t>On February 23, 2023, Armada, Rezolve and YA II PN, Ltd., a Cayman Islands exempted limited partnership (YA), entered into a Standby Equity Purchase Agreement (the Standby Purchase Agreement), pursuant to which, among other things, upon the closing of the Business Combination, Rezolve shall have the right to issue and sell to YA up to $250 million of the ordinary shares of Rezolve. For additional information, see </w:t>
      </w:r>
      <w:r>
        <w:rPr>
          <w:rFonts w:ascii="Times New Roman" w:hAnsi="Times New Roman"/>
          <w:i/>
          <w:sz w:val="20"/>
        </w:rPr>
        <w:t>Rezolves Managements Discussion and AnalysisLiquidity and Capital ResourcesYorkville Capital Commitment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financing available under the Standby Purchase Agreement, Armada or Rezolve may need to obtain additional financing to consummate the Business Combination, but there is no assurance that new financing will be available to us on commercially acceptable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conditions must be satisfied to complete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There are a number of closing conditions in the Business Combination Agreement, including the approval by the stockholders of Armada of the Business Combination Proposal, the Nasdaq Proposal, and the Incentive Equity Plan Proposal. For a summary of the conditions that must be satisfied or waived prior to completion of the Business Combination, please see the sections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 xml:space="preserve">1 </w:t>
            </w:r>
            <w:r>
              <w:rPr>
                <w:rFonts w:ascii="Times New Roman" w:hAnsi="Times New Roman"/>
                <w:sz w:val="20"/>
              </w:rPr>
              <w:t xml:space="preserve"> </w:t>
            </w:r>
            <w:r>
              <w:rPr>
                <w:rFonts w:ascii="Times New Roman" w:hAnsi="Times New Roman"/>
                <w:i/>
                <w:sz w:val="20"/>
              </w:rPr>
              <w:t>Approval of the Business Combination</w:t>
            </w:r>
            <w:r>
              <w:rPr>
                <w:rFonts w:ascii="Times New Roman" w:hAnsi="Times New Roman"/>
                <w:sz w:val="20"/>
              </w:rPr>
              <w:t xml:space="preserve"> </w:t>
            </w:r>
            <w:r>
              <w:rPr>
                <w:rFonts w:ascii="Times New Roman" w:hAnsi="Times New Roman"/>
                <w:i/>
                <w:sz w:val="20"/>
              </w:rPr>
              <w:t></w:t>
            </w:r>
            <w:r>
              <w:rPr>
                <w:rFonts w:ascii="Times New Roman" w:hAnsi="Times New Roman"/>
                <w:sz w:val="20"/>
              </w:rPr>
              <w:t xml:space="preserve"> </w:t>
            </w:r>
            <w:r>
              <w:rPr>
                <w:rFonts w:ascii="Times New Roman" w:hAnsi="Times New Roman"/>
                <w:i/>
                <w:sz w:val="20"/>
              </w:rPr>
              <w:t>The Business Combination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any arrangements to help ensure that Armada will have sufficient funds, together with the proceeds in its Trust Account, to fund the aggregate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Armada will use the funds in the Trust Account to: (i) pay Company stockholders who properly exercise their redemption rights; and, provided that there are funds remaining after this payment and (ii) pay certain other fees, costs and expenses (including deferred underwriting commissions, regulatory fees, legal fees, accounting fees, printer fees and other professional fees) that were incurred by Armada and other parties to the Business Combination Agreement in connection with the transactions contemplated by the Business Combination Agreement, including the Business Combination, and pursuant to the terms of the Business Combination Agreement. There are no assurances, however, that Armada or Rezolve will not require additional financing to consummate the Business Combination, or that such new financing will be available to on commercially acceptable terms, if at 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Armada proposing the Nasdaq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proposing the Nasdaq Proposal in order to comply with Nasdaq Listing Rule 5635, which requires stockholder approval of certain transactions that result in a change of control of Armada. </w:t>
            </w:r>
          </w:p>
        </w:tc>
      </w:tr>
    </w:tbl>
    <w:p>
      <w:pPr>
        <w:pStyle w:val="TextBody"/>
        <w:bidi w:val="0"/>
        <w:spacing w:before="120" w:after="0"/>
        <w:jc w:val="left"/>
        <w:rPr>
          <w:rFonts w:ascii="Times New Roman" w:hAnsi="Times New Roman"/>
          <w:sz w:val="20"/>
        </w:rPr>
      </w:pPr>
      <w:r>
        <w:rPr>
          <w:rFonts w:ascii="Times New Roman" w:hAnsi="Times New Roman"/>
          <w:sz w:val="20"/>
        </w:rPr>
        <w:t>In connection with the Business Combination, Rezolve expects, on a pro forma basis, to issue approximately                  Rezolve Ordinary Shares in the Business Combination, subject to certain adjustments. Because the issuance of the Rezolve Ordinary Shares in the Business Combination results in a change of control of Armada, we are required to obtain stockholder approval of such issuance pursuant to Nasdaq Listing Rule 5635. For more information, please see the section entitled </w:t>
      </w:r>
      <w:r>
        <w:rPr>
          <w:rFonts w:ascii="Times New Roman" w:hAnsi="Times New Roman"/>
          <w:i/>
          <w:sz w:val="20"/>
        </w:rPr>
        <w:t>The Nasdaq Proposal</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Armada proposing the Incentive Equity Plan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purpose of the Incentive Equity Plan Proposal is to further align the interests of the eligible participants with those of stockholders by providing long-term incentive compensation opportunities tied to the performance of Rezolve. Please see the section entitled </w:t>
            </w:r>
            <w:r>
              <w:rPr>
                <w:rFonts w:ascii="Times New Roman" w:hAnsi="Times New Roman"/>
                <w:i/>
                <w:sz w:val="20"/>
              </w:rPr>
              <w:t>The Incentive Equity Plan Proposal</w:t>
            </w:r>
            <w:r>
              <w:rPr>
                <w:rFonts w:ascii="Times New Roman" w:hAnsi="Times New Roman"/>
                <w:sz w:val="20"/>
              </w:rPr>
              <w:t xml:space="preserve"> for additional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Why is Armada proposing the Charter Limitation Amendment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We are proposing the Charter Limitation Amendment proposal Armada stockholders because, in the judgment of Armadas board of the directors, the adoption of the proposed amendments to the Armada Charter, prior to the Closing is necessary to facilitate the Business Combination. Please see the section entitled </w:t>
            </w:r>
            <w:r>
              <w:rPr>
                <w:rFonts w:ascii="Times New Roman" w:hAnsi="Times New Roman"/>
                <w:i/>
                <w:sz w:val="20"/>
              </w:rPr>
              <w:t>The Charter Limitation Amendment Proposal</w:t>
            </w:r>
            <w:r>
              <w:rPr>
                <w:rFonts w:ascii="Times New Roman" w:hAnsi="Times New Roman"/>
                <w:sz w:val="20"/>
              </w:rPr>
              <w:t xml:space="preserve"> for additional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Armada proposing 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We are proposing the Adjournment Proposal to allow our Board to adjourn the Special Meeting to a later date or dates to permit further solicitation of proxies in the event that there are insufficient votes for, or otherwise in connection with, the approval of the Business Combination Proposal, the Nasdaq Proposal, the Incentive Equity Plan Proposal or the Charter Limitation Amendment Proposal, but no other proposal if the Business Combination Proposal, the Nasdaq Proposal, the Incentive Equity Plan Proposal and the Charter Limitation Amendment Proposal are approved. Please see the section entitled </w:t>
            </w:r>
            <w:r>
              <w:rPr>
                <w:rFonts w:ascii="Times New Roman" w:hAnsi="Times New Roman"/>
                <w:i/>
                <w:sz w:val="20"/>
              </w:rPr>
              <w:t>The Adjournment Proposal</w:t>
            </w:r>
            <w:r>
              <w:rPr>
                <w:rFonts w:ascii="Times New Roman" w:hAnsi="Times New Roman"/>
                <w:sz w:val="20"/>
              </w:rPr>
              <w:t xml:space="preserve"> for additional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you sell your shares of Armada Common Stock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the Special Meeting is earlier than the date of the Special Meeting. If you transfer your shares of Armada Common Stock after the record date, but before the Special Meeting, unless the transferee obtains from you a proxy to vote those shares, you will retain your right to vote at the Special Meeting. However, you will not be able to seek redemption of your shares of Armada Common Stock because you will no longer be able to deliver them two business days prior to the Special Meeting. If you transfer your shares of Armada Common Stock prior to the record date, you will have no right to vote those shares at the Special Meeting or redeem those shares for a pro rata portion of the proceeds held in our Trust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constitutes a quorum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majority of the voting power of all outstanding shares of the capital stock of Armada entitled to vote must be present in person or by proxy (which would include presence at the virtual Special Meeting) to constitute a quorum for the transaction of business at the Special Meeting. Abstentions will be counted as present for the purpose of determining a quorum. Our Sponsor, who currently owns approximately                 % of our issued and outstanding shares of Armada Common Stock (including the Founder Shares), will count towards this quorum. In the absence of a quorum, the chairman of the Special Meeting has power to adjourn the Special Meeting. As of the record date for the Special Meeting,                  shares of Armada Common Stock (including the Founder Shares) would be required to achieve a quorum.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vote is required to approve the proposals presented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Proposal No.</w:t>
            </w:r>
            <w:r>
              <w:rPr>
                <w:rFonts w:ascii="Times New Roman" w:hAnsi="Times New Roman"/>
                <w:sz w:val="20"/>
              </w:rPr>
              <w:t> </w:t>
            </w:r>
            <w:r>
              <w:rPr>
                <w:rFonts w:ascii="Times New Roman" w:hAnsi="Times New Roman"/>
                <w:b/>
                <w:i/>
                <w:sz w:val="20"/>
              </w:rPr>
              <w:t xml:space="preserve">1 </w:t>
            </w:r>
            <w:r>
              <w:rPr>
                <w:rFonts w:ascii="Times New Roman" w:hAnsi="Times New Roman"/>
                <w:sz w:val="20"/>
              </w:rPr>
              <w:t xml:space="preserve"> </w:t>
            </w:r>
            <w:r>
              <w:rPr>
                <w:rFonts w:ascii="Times New Roman" w:hAnsi="Times New Roman"/>
                <w:b/>
                <w:i/>
                <w:sz w:val="20"/>
              </w:rPr>
              <w:t>The Business Combination Proposal:</w:t>
            </w:r>
            <w:r>
              <w:rPr>
                <w:rFonts w:ascii="Times New Roman" w:hAnsi="Times New Roman"/>
                <w:sz w:val="20"/>
              </w:rPr>
              <w:t xml:space="preserve"> The approval of the Business Combination Proposal requires the affirmative vote of a majority of the votes cast by the stockholders present in person or represented by proxy and entitled to vote at the Special Meeting. Accordingly, an Armada stockholders failure to vote, as well as an abstention from voting and a broker non-vote, will have no effect on the Business Combination Proposal. Abstentions will be counted in connection with the determination of whether a valid quorum is established but will have no effect on the Business Combination Proposal. Our Sponsor has agreed to vote their shares of Armada Common Stock </w:t>
            </w:r>
            <w:r>
              <w:rPr>
                <w:rFonts w:ascii="Times New Roman" w:hAnsi="Times New Roman"/>
                <w:b/>
                <w:sz w:val="20"/>
              </w:rPr>
              <w:t>FOR</w:t>
            </w:r>
            <w:r>
              <w:rPr>
                <w:rFonts w:ascii="Times New Roman" w:hAnsi="Times New Roman"/>
                <w:sz w:val="20"/>
              </w:rPr>
              <w:t xml:space="preserve"> the Business Combination Proposal. </w:t>
            </w:r>
          </w:p>
        </w:tc>
      </w:tr>
    </w:tbl>
    <w:p>
      <w:pPr>
        <w:pStyle w:val="TextBody"/>
        <w:bidi w:val="0"/>
        <w:spacing w:before="120" w:after="0"/>
        <w:jc w:val="left"/>
        <w:rPr>
          <w:rFonts w:ascii="Times New Roman" w:hAnsi="Times New Roman"/>
          <w:sz w:val="20"/>
        </w:rPr>
      </w:pPr>
      <w:r>
        <w:rPr>
          <w:rFonts w:ascii="Times New Roman" w:hAnsi="Times New Roman"/>
          <w:b/>
          <w:i/>
          <w:sz w:val="20"/>
        </w:rPr>
        <w:t>Proposal No.</w:t>
      </w:r>
      <w:r>
        <w:rPr>
          <w:rFonts w:ascii="Times New Roman" w:hAnsi="Times New Roman"/>
          <w:sz w:val="20"/>
        </w:rPr>
        <w:t> </w:t>
      </w:r>
      <w:r>
        <w:rPr>
          <w:rFonts w:ascii="Times New Roman" w:hAnsi="Times New Roman"/>
          <w:b/>
          <w:i/>
          <w:sz w:val="20"/>
        </w:rPr>
        <w:t xml:space="preserve">2 </w:t>
      </w:r>
      <w:r>
        <w:rPr>
          <w:rFonts w:ascii="Times New Roman" w:hAnsi="Times New Roman"/>
          <w:sz w:val="20"/>
        </w:rPr>
        <w:t xml:space="preserve"> </w:t>
      </w:r>
      <w:r>
        <w:rPr>
          <w:rFonts w:ascii="Times New Roman" w:hAnsi="Times New Roman"/>
          <w:b/>
          <w:i/>
          <w:sz w:val="20"/>
        </w:rPr>
        <w:t>The Nasdaq Proposal:</w:t>
      </w:r>
      <w:r>
        <w:rPr>
          <w:rFonts w:ascii="Times New Roman" w:hAnsi="Times New Roman"/>
          <w:sz w:val="20"/>
        </w:rPr>
        <w:t xml:space="preserve"> The approval of the Nasdaq Proposal requires the affirmative vote of a majority of the votes cast by the stockholders present in person or represented by proxy and entitled to vote at the Special Meeting. Accordingly, under Delaware law, an Armada stockholders failure to vote, as well as an abstention and broker non-vote, will have no effect on the Nasdaq Proposal. Abstentions will be counted in connection with the determination of whether a valid quorum is established but will have no effect on the Nasdaq Proposal. </w:t>
      </w:r>
    </w:p>
    <w:p>
      <w:pPr>
        <w:pStyle w:val="TextBody"/>
        <w:bidi w:val="0"/>
        <w:spacing w:before="120" w:after="0"/>
        <w:jc w:val="left"/>
        <w:rPr>
          <w:rFonts w:ascii="Times New Roman" w:hAnsi="Times New Roman"/>
          <w:sz w:val="20"/>
        </w:rPr>
      </w:pPr>
      <w:r>
        <w:rPr>
          <w:rFonts w:ascii="Times New Roman" w:hAnsi="Times New Roman"/>
          <w:b/>
          <w:i/>
          <w:sz w:val="20"/>
        </w:rPr>
        <w:t>Proposal No.</w:t>
      </w:r>
      <w:r>
        <w:rPr>
          <w:rFonts w:ascii="Times New Roman" w:hAnsi="Times New Roman"/>
          <w:sz w:val="20"/>
        </w:rPr>
        <w:t> </w:t>
      </w:r>
      <w:r>
        <w:rPr>
          <w:rFonts w:ascii="Times New Roman" w:hAnsi="Times New Roman"/>
          <w:b/>
          <w:i/>
          <w:sz w:val="20"/>
        </w:rPr>
        <w:t xml:space="preserve">3 </w:t>
      </w:r>
      <w:r>
        <w:rPr>
          <w:rFonts w:ascii="Times New Roman" w:hAnsi="Times New Roman"/>
          <w:sz w:val="20"/>
        </w:rPr>
        <w:t xml:space="preserve"> </w:t>
      </w:r>
      <w:r>
        <w:rPr>
          <w:rFonts w:ascii="Times New Roman" w:hAnsi="Times New Roman"/>
          <w:b/>
          <w:i/>
          <w:sz w:val="20"/>
        </w:rPr>
        <w:t>The Incentive Equity Plan Proposal:</w:t>
      </w:r>
      <w:r>
        <w:rPr>
          <w:rFonts w:ascii="Times New Roman" w:hAnsi="Times New Roman"/>
          <w:sz w:val="20"/>
        </w:rPr>
        <w:t xml:space="preserve"> The Incentive Equity Plan Proposal requires the affirmative vote of a majority of the votes cast by the stockholders present in person or represented by proxy and entitled to vote at the Special Meeting. Accordingly, under Delaware law, an Armada stockholders failure to vote by proxy, as well as an abstention and broker non-vote, will have no effect on the Incentive Equity Plan Proposal. </w:t>
      </w:r>
    </w:p>
    <w:p>
      <w:pPr>
        <w:pStyle w:val="TextBody"/>
        <w:bidi w:val="0"/>
        <w:spacing w:before="120" w:after="0"/>
        <w:jc w:val="left"/>
        <w:rPr>
          <w:rFonts w:ascii="Times New Roman" w:hAnsi="Times New Roman"/>
          <w:sz w:val="20"/>
        </w:rPr>
      </w:pPr>
      <w:r>
        <w:rPr>
          <w:rFonts w:ascii="Times New Roman" w:hAnsi="Times New Roman"/>
          <w:b/>
          <w:i/>
          <w:sz w:val="20"/>
        </w:rPr>
        <w:t>Proposal</w:t>
      </w:r>
      <w:r>
        <w:rPr>
          <w:rFonts w:ascii="Times New Roman" w:hAnsi="Times New Roman"/>
          <w:sz w:val="20"/>
        </w:rPr>
        <w:t xml:space="preserve"> </w:t>
      </w:r>
      <w:r>
        <w:rPr>
          <w:rFonts w:ascii="Times New Roman" w:hAnsi="Times New Roman"/>
          <w:b/>
          <w:i/>
          <w:sz w:val="20"/>
        </w:rPr>
        <w:t xml:space="preserve">No. 4 </w:t>
      </w:r>
      <w:r>
        <w:rPr>
          <w:rFonts w:ascii="Times New Roman" w:hAnsi="Times New Roman"/>
          <w:sz w:val="20"/>
        </w:rPr>
        <w:t xml:space="preserve"> </w:t>
      </w:r>
      <w:r>
        <w:rPr>
          <w:rFonts w:ascii="Times New Roman" w:hAnsi="Times New Roman"/>
          <w:b/>
          <w:i/>
          <w:sz w:val="20"/>
        </w:rPr>
        <w:t>The Charter Limitation Amendment Proposal</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The Charter Limitation Amendment Proposal requires the affirmative vote of a majority of the votes cast by the stockholders present in person or represented by proxy and entitled to vote at the Special Meeting. Accordingly, under Delaware law, an Armada stockholders failure to vote by proxy, as well as an abstention and broker non-vote, will have no effect on the Charter Limitation Amendment Proposal. </w:t>
      </w:r>
    </w:p>
    <w:p>
      <w:pPr>
        <w:pStyle w:val="TextBody"/>
        <w:bidi w:val="0"/>
        <w:spacing w:before="120" w:after="0"/>
        <w:jc w:val="left"/>
        <w:rPr>
          <w:rFonts w:ascii="Times New Roman" w:hAnsi="Times New Roman"/>
          <w:sz w:val="20"/>
        </w:rPr>
      </w:pPr>
      <w:r>
        <w:rPr>
          <w:rFonts w:ascii="Times New Roman" w:hAnsi="Times New Roman"/>
          <w:b/>
          <w:i/>
          <w:sz w:val="20"/>
        </w:rPr>
        <w:t xml:space="preserve">Proposal No. 5 </w:t>
      </w:r>
      <w:r>
        <w:rPr>
          <w:rFonts w:ascii="Times New Roman" w:hAnsi="Times New Roman"/>
          <w:sz w:val="20"/>
        </w:rPr>
        <w:t xml:space="preserve"> </w:t>
      </w:r>
      <w:r>
        <w:rPr>
          <w:rFonts w:ascii="Times New Roman" w:hAnsi="Times New Roman"/>
          <w:b/>
          <w:i/>
          <w:sz w:val="20"/>
        </w:rPr>
        <w:t>The Adjournment Proposal:</w:t>
      </w:r>
      <w:r>
        <w:rPr>
          <w:rFonts w:ascii="Times New Roman" w:hAnsi="Times New Roman"/>
          <w:sz w:val="20"/>
        </w:rPr>
        <w:t xml:space="preserve"> The approval of the Adjournment Proposal requires the affirmative vote of a majority of the votes cast by the stockholders present in person or represented by proxy and entitled to vote at the Special Meeting. Accordingly, an Armada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Armada, the Sponsor or Armadas directors or officers or their affiliates purchase shares in connection with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stockholder vote to approve the proposed Business Combination, our Sponsor, directors or officers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our directors or officers or their respective affiliates will make any such purchases when they are in possession of any material non-public information not disclosed to the seller or during a restricted period under Regulation M under the Exchange Act. Such a purchase may include a contractual acknowledgement that such selling stockholder, although still the record holder of our shares, is no longer the beneficial owner thereof and therefore agrees not to exercise its redemption rights, and could include a contractual provision that directs such selling stockholder to vote such shares in a manner directed by the purchaser. In the event that our Sponsor, directors or officers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 share pro rata portion of the Trust Account.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many votes do you have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stockholder is entitled to one vote on each proposal presented at the Special Meeting for each share of Armada Common Stock held of record by such stockholder as of                 , 2023, the record date for the Special Meeting. As of the close of business on the record date, there were                  outstanding shares of our Armada Common Stock and founder shares entitled to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will our Sponsor, directors and officers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our IPO, we entered into agreements with our Sponsor, pursuant to which the Sponsor agreed to vote any shares of Armada Common Stock owned by it in favor of the Business Combination Proposal. Currently, our Sponsor owns approximately     % of our issued and outstanding shares of Armada Common Stock and will be able to vote all such shares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were a stockholder of record at the close of business on                 , 2023, you may vote by granting a proxy. Specifically, you may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By Mail </w:t>
            </w:r>
            <w:r>
              <w:rPr>
                <w:rFonts w:ascii="Times New Roman" w:hAnsi="Times New Roman"/>
                <w:sz w:val="20"/>
              </w:rPr>
              <w:t xml:space="preserve"> You may vote by mail by completing, signing, dating and returning the enclosed proxy card in the postage-paid envelope provided. </w:t>
            </w:r>
            <w:r>
              <w:rPr>
                <w:rFonts w:ascii="Times New Roman" w:hAnsi="Times New Roman"/>
                <w:b/>
                <w:sz w:val="20"/>
              </w:rPr>
              <w:t>Votes submitted by mail must be received by</w:t>
            </w:r>
            <w:r>
              <w:rPr>
                <w:rFonts w:ascii="Times New Roman" w:hAnsi="Times New Roman"/>
                <w:sz w:val="20"/>
              </w:rPr>
              <w:t xml:space="preserve"> </w:t>
            </w:r>
            <w:r>
              <w:rPr>
                <w:rFonts w:ascii="Times New Roman" w:hAnsi="Times New Roman"/>
                <w:b/>
                <w:sz w:val="20"/>
              </w:rPr>
              <w:t xml:space="preserve">11:59 p.m. Eastern time on </w:t>
            </w:r>
            <w:r>
              <w:rPr>
                <w:rFonts w:ascii="Times New Roman" w:hAnsi="Times New Roman"/>
                <w:sz w:val="20"/>
              </w:rPr>
              <w:t>                </w:t>
            </w:r>
            <w:r>
              <w:rPr>
                <w:rFonts w:ascii="Times New Roman" w:hAnsi="Times New Roman"/>
                <w:b/>
                <w:sz w:val="20"/>
              </w:rPr>
              <w:t>, 2023.</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should sign your name exactly as it appears on the proxy card. If you are signing in a representative capacity (for example, as guardian, executor, trustee, custodian, attorney or officer of a corporation), indicate your name and title or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encourage you to sign and return the proxy card even if you plan to attend the Special Meeting so that your shares will be voted if you are unable to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receive more than one proxy card, it is an indication that your shares are held in multiple accounts. Please sign and return all proxy cards to ensure that all of your shares are voted.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Voting at the Special Meeting </w:t>
            </w:r>
            <w:r>
              <w:rPr>
                <w:rFonts w:ascii="Times New Roman" w:hAnsi="Times New Roman"/>
                <w:sz w:val="20"/>
              </w:rPr>
              <w:t xml:space="preserve"> We will be hosting the Special Meeting via live webcast. If you attend the Special Meeting, you may submit your vote at the Special Meeting online at </w:t>
            </w:r>
            <w:r>
              <w:rPr>
                <w:rFonts w:ascii="Times New Roman" w:hAnsi="Times New Roman"/>
                <w:i/>
                <w:sz w:val="20"/>
              </w:rPr>
              <w:t>http://www.cstproxy.com/armadaacquisition/2023</w:t>
            </w:r>
            <w:r>
              <w:rPr>
                <w:rFonts w:ascii="Times New Roman" w:hAnsi="Times New Roman"/>
                <w:sz w:val="20"/>
              </w:rPr>
              <w:t xml:space="preserve">, in which case any votes that you previously submitted will be superseded by the vote that you cast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hold your shares in street name, you must submit voting instructions to your broker, bank, or other nominee. In most instances, you will be able to do this over the Internet, by telephone, or by mail. Please refer to information from your bank, broker, or other nominee on how to submit voting instructions.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if I abstain from voting or fail to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At the Special Meeting, we will count a properly executed proxy marked </w:t>
            </w:r>
            <w:r>
              <w:rPr>
                <w:rFonts w:ascii="Times New Roman" w:hAnsi="Times New Roman"/>
                <w:b/>
                <w:sz w:val="20"/>
              </w:rPr>
              <w:t>ABSTAIN</w:t>
            </w:r>
            <w:r>
              <w:rPr>
                <w:rFonts w:ascii="Times New Roman" w:hAnsi="Times New Roman"/>
                <w:sz w:val="20"/>
              </w:rPr>
              <w:t xml:space="preserve"> with respect to a particular proposal as present for purposes of determining whether a quorum is present. For purposes of approval, a broker non-vote, or an abstention will have no effect on the Business Combination Proposal, the Nasdaq Proposal, the Incentive Equity Plan Proposal, and 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if I sign and return my proxy card without indicating how I wish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Signed and dated proxies received by us without an indication of how the stockholder intends to vote on a proposal will be voted </w:t>
            </w:r>
            <w:r>
              <w:rPr>
                <w:rFonts w:ascii="Times New Roman" w:hAnsi="Times New Roman"/>
                <w:b/>
                <w:sz w:val="20"/>
              </w:rPr>
              <w:t>FOR</w:t>
            </w:r>
            <w:r>
              <w:rPr>
                <w:rFonts w:ascii="Times New Roman" w:hAnsi="Times New Roman"/>
                <w:sz w:val="20"/>
              </w:rPr>
              <w:t xml:space="preserve"> each proposal presented to the stockholders. The proxyholders may use their discretion to vote on any other matters which properly come before the Special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I am not going to attend the Special Meeting, should I return my proxy card instead?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Whether you plan to attend the Special Meeting or not, please read the enclosed proxy statement/prospectus carefully. If you are a stockholder of record of Armada Common Stock as of the close of business on the record date, you can vote by proxy by mail by following the instructions provided in the enclosed proxy card. Please note that if you are a beneficial owner of Armada Common Stock, you may vote by submitting voting instructions to your broker, bank, or nominee, or otherwise by following instructions provided by your broker, bank, or nominee. Telephone and internet voting may be available to beneficial owners. Please refer to the vote instruction form provided by your broker, bank, or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difference between a stockholder of record and a street name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shares are registered directly in your name with Armadas transfer agent, Continental Stock Transfer &amp; Trust Company, you are considered the stockholder of record with respect to those shares, and access to proxy materials is being provided directly to you. If your shares are held in a stock brokerage account or by a bank, or other nominee, then you are considered the beneficial owner of those shares, which are considered to be held in street name. Access to proxy materials is being provided to you by your broker, bank, or other nominee who is considered the stockholder of record with respect to those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my shares are held in street name, will my broker, bank, or nominee automatically vote my shares for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 We believe the proposals presented to the stockholders at this Special Meeting will be considered non-routine and, therefore, your broker, bank, or nominee </w:t>
            </w:r>
            <w:r>
              <w:rPr>
                <w:rFonts w:ascii="Times New Roman" w:hAnsi="Times New Roman"/>
                <w:b/>
                <w:sz w:val="20"/>
                <w:u w:val="single"/>
              </w:rPr>
              <w:t>cannot vote your shares without your instruction</w:t>
            </w:r>
            <w:r>
              <w:rPr>
                <w:rFonts w:ascii="Times New Roman" w:hAnsi="Times New Roman"/>
                <w:sz w:val="20"/>
              </w:rPr>
              <w:t xml:space="preserve"> on any of the proposals presented at the Special Meeting. If you do not submit voting instructions, your broker, bank, or other nominee may deliver a proxy card expressly indicating that it is NOT voting your shares; this indication that a broker, bank, or nominee is not voting your shares is referred to as a broker non-vote. Broker non-votes will not be counted for the purposes of determining the existence of a quorum or for purposes of determining the number of votes cast at the Special Meeting. Your bank, broker, or other nominee can vote your shares only if you provide instructions on how to vote. You should instruct your broker to vote your shares in accordance with directions you provide.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will a broker non-vote impact the results of each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 non-votes will not have any effect on the outcome of any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change my vote after I have returned my signed proxy card or voting instruction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If you are a holder of record of Armada Common Stock as of the close of business on the record date, whether you vote by mail or in person, you can change or revoke your proxy before it is voted at the Special Meeting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a signed written notice of revocation to our Secretary at Armada Acquisition Corp. I, 2005 Market Street, Suite 3120, Philadelphia, Pennsylvania 19103, bearing a date later than the date of the proxy, stating that the proxy is revoked;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signing and delivering a new proxy, relating to the same shares and bearing a later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Special Meeting and voting, although attendance at the Special Meeting will not, by itself, revoke a proxy.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are a beneficial owner of Armada Common Stock as of the close of business on the record date, you must follow the instructions of your broker, bank, or other nominee to revoke or change your voting instructions.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I do if I receive more than one set of voting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interests do our Sponsor and our current officers and directors have in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interests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Armadas Sponsor and directors have agreed not to redeem any of the Founder Shares in connection with a stockholder vote to approve the Business Combination, as provided in the Armada Letter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continued indemnification of Armadas existing directors and officers and the continuation of Armadas directors and officers liability insurance after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Stephen Herbert and Douglas Lurio will be appointed as board members of Rezolve after the Business Combination and shall be entitled to receive compensation for serving on Rezolves board of directors after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                 and $                 , respectively, based upon the closing price of $                 per public share on the Nasdaq on                  ,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had to consummate a business combination, on January 20, 2023, Armada and its Sponsor, entered into one or more agreements (the Non-Redemption Agreements ) with one or more third parties (the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 Shares to the Non-Redeeming Stockholders, which shares will be transferred to the Non-Redeeming Stockholders at Closing,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Armadas Sponsor holds in the aggregate approximately                 % of the total shares outstanding as of the date of this proxy statement/prospectus. The Founder Shares will likely be worthless if Armada does not complete a business combination by the applicable deadline.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you vote against the Business Combination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vote against the Business Combination Proposal but the Business Combination Proposal still obtains the affirmative vote of a majority of the votes cast by holders of Armada Common Stock represented in person or by proxy and entitled to vote at the Special Meeting, then the Business Combination Proposal will be approved and, assuming the approval of the Nasdaq Proposal, the Incentive Equity Plan Proposal and the satisfaction or waiver of the other conditions to closing, the Business Combination will be consummated in accordance with the terms of the Business Combination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vote against the Business Combination Proposal and the Business Combination Proposal does not obtain the affirmative vote of a majority of the votes cast by holders of Armada Common Stock represented in person or by proxy and entitled to vote at the Special Meeting, then the Business Combination Proposal will fail and we will not consummate the Business Combination. If we do not consummate the Business Combination, we may continue to try to complete a business combination with a different target business until the applicable deadline. If we fail to complete an initial business combination by the applicable deadline, then we will be required to dissolve and liquidate the Trust Account by returning the then-remaining funds in such account to our public stockholders.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 you have Redemption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our amended and restated certificate of incorporation, we are providing our public stockholders with the opportunity to redeem, upon the Closing, shares of Armada Common Stock for cash equal to the pro rata share of the aggregate amount on deposit (as of two business days prior to the Closing) in the Trust Account that holds the proceeds of our IPO (including interest not previously released to Armada to pay franchise and income taxes), subject to certain limitations. For illustrative purposes, based on the approximate balance of the Trust Account of approximately $                million as of                 , the estimated per share redemption price would have been approximately $                . </w:t>
            </w:r>
            <w:r>
              <w:rPr>
                <w:rFonts w:ascii="Times New Roman" w:hAnsi="Times New Roman"/>
                <w:b/>
                <w:sz w:val="20"/>
              </w:rPr>
              <w:t>Public stockholders may elect to redeem their shares even if they vote for the Business Combination</w:t>
            </w:r>
            <w:r>
              <w:rPr>
                <w:rFonts w:ascii="Times New Roman" w:hAnsi="Times New Roman"/>
                <w:sz w:val="20"/>
              </w:rPr>
              <w:t xml:space="preserve">. Any request to redeem public shares, once made, may be withdrawn at any time until the deadline for exercising redemption requests and thereafter, with our consent, until the vote is taken with respect to the Business Combination. If we receive valid redemption requests from holders of public shares prior to the redemption deadline, we may, at our sole discretion, following the redemption deadline and until the vote is taken with respect to the Business Combination, seek and permit withdrawals by one or more of such holders of their redemption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requests. We may select which holders to seek such withdrawals of redemption requests from based on any factors we may deem relevant, and the purpose of seeking such withdrawals may be to increase the funds held in the Trust Account.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Sponsor agreed to waive its redemption rights with respect to its shares, which will be excluded from the pro rata calculation used to determine the per-share redemption price. Each redemption of shares of Armada Common Stock by our public stockholders will reduce the amount in the Trust Account. The Armada Charter does not provide a specified maximum redemption threshold. However, the Armada Charter prohibits Armada from closing the Business Combination if its net tangible assets would be less than $5,000,001, unless the Charter Limitation Amendment Proposal is approved and the Charter Limitation Amendment is implemented. Holders of our outstanding public warrants do not have redemption rights in connection with the Business Combination. Unless otherwise specified, the information in the accompanying proxy statement/prospectus assumes that none of our public stockholders exercise their redemption rights with respect to their shares of Armada Common Stock by the applicable deadline. </w:t>
      </w:r>
    </w:p>
    <w:p>
      <w:pPr>
        <w:pStyle w:val="TextBody"/>
        <w:bidi w:val="0"/>
        <w:spacing w:before="120" w:after="0"/>
        <w:jc w:val="left"/>
        <w:rPr>
          <w:rFonts w:ascii="Times New Roman" w:hAnsi="Times New Roman"/>
          <w:sz w:val="20"/>
        </w:rPr>
      </w:pPr>
      <w:r>
        <w:rPr>
          <w:rFonts w:ascii="Times New Roman" w:hAnsi="Times New Roman"/>
          <w:sz w:val="20"/>
        </w:rPr>
        <w:t xml:space="preserve">If you elect not to redeem your shares of Armada Common Stock you will become a stockholder of Rezolve following the Closing. If you elect to redeem your shares of Armada Common stock, such exercise will not result in the loss of any Armada Warrants that you may hold. The following table illustrates varying ownership levels, potential sources of dilution that may occur following the consummation of the Business Combination and, for each scenario, the book value per share of Rezolve, on a pro forma basis as of                 , 2023, assuming minimum redemptions by Armadas public stockholders, 50% of the maximum redemptions by Armadas public stockholders, and maximum redemptions by Armadas public stockholders: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60"/>
        <w:gridCol w:w="154"/>
        <w:gridCol w:w="148"/>
        <w:gridCol w:w="1345"/>
        <w:gridCol w:w="164"/>
        <w:gridCol w:w="101"/>
        <w:gridCol w:w="63"/>
        <w:gridCol w:w="615"/>
        <w:gridCol w:w="275"/>
        <w:gridCol w:w="98"/>
        <w:gridCol w:w="140"/>
        <w:gridCol w:w="1261"/>
        <w:gridCol w:w="156"/>
        <w:gridCol w:w="98"/>
        <w:gridCol w:w="59"/>
        <w:gridCol w:w="586"/>
        <w:gridCol w:w="282"/>
      </w:tblGrid>
      <w:tr>
        <w:trPr/>
        <w:tc>
          <w:tcPr>
            <w:tcW w:w="46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660" w:type="dxa"/>
            <w:vMerge w:val="restart"/>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Amounts in thousands, except share amounts per</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share amounts and percentages</w:t>
            </w:r>
          </w:p>
        </w:tc>
        <w:tc>
          <w:tcPr>
            <w:tcW w:w="154" w:type="dxa"/>
            <w:tcBorders/>
            <w:vAlign w:val="bottom"/>
          </w:tcPr>
          <w:p>
            <w:pPr>
              <w:pStyle w:val="TableContents"/>
              <w:bidi w:val="0"/>
              <w:spacing w:before="0" w:after="283"/>
              <w:jc w:val="left"/>
              <w:rPr/>
            </w:pPr>
            <w:r>
              <w:rPr/>
              <w:t>  </w:t>
            </w:r>
          </w:p>
        </w:tc>
        <w:tc>
          <w:tcPr>
            <w:tcW w:w="2436" w:type="dxa"/>
            <w:gridSpan w:val="6"/>
            <w:tcBorders>
              <w:bottom w:val="single" w:sz="8" w:space="0" w:color="000000"/>
            </w:tcBorders>
            <w:tcMar>
              <w:bottom w:w="28" w:type="dxa"/>
            </w:tcMar>
            <w:vAlign w:val="bottom"/>
          </w:tcPr>
          <w:p>
            <w:pPr>
              <w:pStyle w:val="TableContents"/>
              <w:bidi w:val="0"/>
              <w:spacing w:before="0" w:after="283"/>
              <w:jc w:val="center"/>
              <w:rPr/>
            </w:pPr>
            <w:r>
              <w:rPr>
                <w:b/>
              </w:rPr>
              <w:t>Minimum Redemption</w:t>
            </w:r>
            <w:r>
              <w:rPr/>
              <w:br/>
            </w:r>
            <w:r>
              <w:rPr>
                <w:b/>
              </w:rPr>
              <w:t>Scenario</w:t>
            </w:r>
          </w:p>
        </w:tc>
        <w:tc>
          <w:tcPr>
            <w:tcW w:w="27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300" w:type="dxa"/>
            <w:gridSpan w:val="6"/>
            <w:tcBorders>
              <w:bottom w:val="single" w:sz="8" w:space="0" w:color="000000"/>
            </w:tcBorders>
            <w:tcMar>
              <w:bottom w:w="28" w:type="dxa"/>
            </w:tcMar>
            <w:vAlign w:val="bottom"/>
          </w:tcPr>
          <w:p>
            <w:pPr>
              <w:pStyle w:val="TableContents"/>
              <w:bidi w:val="0"/>
              <w:spacing w:before="0" w:after="283"/>
              <w:jc w:val="center"/>
              <w:rPr/>
            </w:pPr>
            <w:r>
              <w:rPr>
                <w:b/>
              </w:rPr>
              <w:t>Maximum</w:t>
            </w:r>
            <w:r>
              <w:rPr/>
              <w:br/>
            </w:r>
            <w:r>
              <w:rPr>
                <w:b/>
              </w:rPr>
              <w:t>Redemption Scenario</w:t>
            </w:r>
          </w:p>
        </w:tc>
        <w:tc>
          <w:tcPr>
            <w:tcW w:w="282" w:type="dxa"/>
            <w:tcBorders/>
            <w:vAlign w:val="bottom"/>
          </w:tcPr>
          <w:p>
            <w:pPr>
              <w:pStyle w:val="TableContents"/>
              <w:bidi w:val="0"/>
              <w:spacing w:before="0" w:after="283"/>
              <w:jc w:val="left"/>
              <w:rPr/>
            </w:pPr>
            <w:r>
              <w:rPr/>
              <w:t> </w:t>
            </w:r>
          </w:p>
        </w:tc>
      </w:tr>
      <w:tr>
        <w:trPr/>
        <w:tc>
          <w:tcPr>
            <w:tcW w:w="4660" w:type="dxa"/>
            <w:vMerge w:val="continue"/>
            <w:tcBorders/>
            <w:vAlign w:val="bottom"/>
          </w:tcPr>
          <w:p>
            <w:pPr>
              <w:pStyle w:val="Normal"/>
              <w:bidi w:val="0"/>
              <w:jc w:val="left"/>
              <w:rPr/>
            </w:pPr>
            <w:r>
              <w:rPr/>
            </w:r>
          </w:p>
        </w:tc>
        <w:tc>
          <w:tcPr>
            <w:tcW w:w="154" w:type="dxa"/>
            <w:tcBorders/>
            <w:vAlign w:val="bottom"/>
          </w:tcPr>
          <w:p>
            <w:pPr>
              <w:pStyle w:val="TableContents"/>
              <w:bidi w:val="0"/>
              <w:spacing w:before="0" w:after="283"/>
              <w:jc w:val="left"/>
              <w:rPr/>
            </w:pPr>
            <w:r>
              <w:rPr/>
              <w:t>  </w:t>
            </w:r>
          </w:p>
        </w:tc>
        <w:tc>
          <w:tcPr>
            <w:tcW w:w="14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6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6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2" w:type="dxa"/>
            <w:tcBorders/>
            <w:vAlign w:val="bottom"/>
          </w:tcPr>
          <w:p>
            <w:pPr>
              <w:pStyle w:val="TableContents"/>
              <w:bidi w:val="0"/>
              <w:spacing w:before="0" w:after="283"/>
              <w:jc w:val="left"/>
              <w:rPr/>
            </w:pPr>
            <w:r>
              <w:rPr/>
              <w:t> </w:t>
            </w:r>
          </w:p>
        </w:tc>
      </w:tr>
      <w:tr>
        <w:trPr/>
        <w:tc>
          <w:tcPr>
            <w:tcW w:w="4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Rezolve Shareholders</w:t>
            </w:r>
          </w:p>
        </w:tc>
        <w:tc>
          <w:tcPr>
            <w:tcW w:w="15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167,999,291</w:t>
            </w:r>
          </w:p>
        </w:tc>
        <w:tc>
          <w:tcPr>
            <w:tcW w:w="16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95.42</w:t>
            </w:r>
          </w:p>
        </w:tc>
        <w:tc>
          <w:tcPr>
            <w:tcW w:w="27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167,999,291</w:t>
            </w:r>
          </w:p>
        </w:tc>
        <w:tc>
          <w:tcPr>
            <w:tcW w:w="15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96.71</w:t>
            </w:r>
          </w:p>
        </w:tc>
        <w:tc>
          <w:tcPr>
            <w:tcW w:w="282" w:type="dxa"/>
            <w:tcBorders/>
            <w:shd w:fill="CCEEFF" w:val="clear"/>
            <w:vAlign w:val="bottom"/>
          </w:tcPr>
          <w:p>
            <w:pPr>
              <w:pStyle w:val="TableContents"/>
              <w:bidi w:val="0"/>
              <w:spacing w:before="0" w:after="283"/>
              <w:jc w:val="left"/>
              <w:rPr/>
            </w:pPr>
            <w:r>
              <w:rPr/>
              <w:t>% </w:t>
            </w:r>
          </w:p>
        </w:tc>
      </w:tr>
      <w:tr>
        <w:trPr/>
        <w:tc>
          <w:tcPr>
            <w:tcW w:w="4660" w:type="dxa"/>
            <w:tcBorders/>
          </w:tcPr>
          <w:p>
            <w:pPr>
              <w:pStyle w:val="TableContents"/>
              <w:bidi w:val="0"/>
              <w:spacing w:before="0" w:after="0"/>
              <w:jc w:val="left"/>
              <w:rPr>
                <w:rFonts w:ascii="Times New Roman" w:hAnsi="Times New Roman"/>
                <w:sz w:val="20"/>
              </w:rPr>
            </w:pPr>
            <w:r>
              <w:rPr>
                <w:rFonts w:ascii="Times New Roman" w:hAnsi="Times New Roman"/>
                <w:sz w:val="20"/>
              </w:rPr>
              <w:t>Armada Stockholders</w:t>
            </w:r>
          </w:p>
        </w:tc>
        <w:tc>
          <w:tcPr>
            <w:tcW w:w="15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6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4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w:t>
            </w:r>
          </w:p>
        </w:tc>
        <w:tc>
          <w:tcPr>
            <w:tcW w:w="15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2,363,349</w:t>
            </w:r>
          </w:p>
        </w:tc>
        <w:tc>
          <w:tcPr>
            <w:tcW w:w="16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1.34</w:t>
            </w:r>
          </w:p>
        </w:tc>
        <w:tc>
          <w:tcPr>
            <w:tcW w:w="27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0.00</w:t>
            </w:r>
          </w:p>
        </w:tc>
        <w:tc>
          <w:tcPr>
            <w:tcW w:w="282" w:type="dxa"/>
            <w:tcBorders/>
            <w:shd w:fill="CCEEFF" w:val="clear"/>
            <w:vAlign w:val="bottom"/>
          </w:tcPr>
          <w:p>
            <w:pPr>
              <w:pStyle w:val="TableContents"/>
              <w:bidi w:val="0"/>
              <w:spacing w:before="0" w:after="283"/>
              <w:jc w:val="left"/>
              <w:rPr/>
            </w:pPr>
            <w:r>
              <w:rPr/>
              <w:t>% </w:t>
            </w:r>
          </w:p>
        </w:tc>
      </w:tr>
      <w:tr>
        <w:trPr/>
        <w:tc>
          <w:tcPr>
            <w:tcW w:w="4660" w:type="dxa"/>
            <w:tcBorders/>
          </w:tcPr>
          <w:p>
            <w:pPr>
              <w:pStyle w:val="TableContents"/>
              <w:bidi w:val="0"/>
              <w:spacing w:before="0" w:after="0"/>
              <w:jc w:val="left"/>
              <w:rPr>
                <w:rFonts w:ascii="Times New Roman" w:hAnsi="Times New Roman"/>
                <w:sz w:val="20"/>
              </w:rPr>
            </w:pPr>
            <w:r>
              <w:rPr>
                <w:rFonts w:ascii="Times New Roman" w:hAnsi="Times New Roman"/>
                <w:sz w:val="20"/>
              </w:rPr>
              <w:t>Sponsor</w:t>
            </w:r>
          </w:p>
        </w:tc>
        <w:tc>
          <w:tcPr>
            <w:tcW w:w="15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5,709,500</w:t>
            </w:r>
          </w:p>
        </w:tc>
        <w:tc>
          <w:tcPr>
            <w:tcW w:w="16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3.24</w:t>
            </w:r>
          </w:p>
        </w:tc>
        <w:tc>
          <w:tcPr>
            <w:tcW w:w="27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5,709,500</w:t>
            </w:r>
          </w:p>
        </w:tc>
        <w:tc>
          <w:tcPr>
            <w:tcW w:w="15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3.29</w:t>
            </w:r>
          </w:p>
        </w:tc>
        <w:tc>
          <w:tcPr>
            <w:tcW w:w="282" w:type="dxa"/>
            <w:tcBorders/>
            <w:vAlign w:val="bottom"/>
          </w:tcPr>
          <w:p>
            <w:pPr>
              <w:pStyle w:val="TableContents"/>
              <w:bidi w:val="0"/>
              <w:spacing w:before="0" w:after="283"/>
              <w:jc w:val="left"/>
              <w:rPr/>
            </w:pPr>
            <w:r>
              <w:rPr/>
              <w:t>% </w:t>
            </w:r>
          </w:p>
        </w:tc>
      </w:tr>
      <w:tr>
        <w:trPr/>
        <w:tc>
          <w:tcPr>
            <w:tcW w:w="466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6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Rezolve Ordinary Shares Outstanding</w:t>
            </w:r>
          </w:p>
        </w:tc>
        <w:tc>
          <w:tcPr>
            <w:tcW w:w="15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176,072,140</w:t>
            </w:r>
          </w:p>
        </w:tc>
        <w:tc>
          <w:tcPr>
            <w:tcW w:w="16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173,708,791</w:t>
            </w:r>
          </w:p>
        </w:tc>
        <w:tc>
          <w:tcPr>
            <w:tcW w:w="15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100</w:t>
            </w:r>
          </w:p>
        </w:tc>
        <w:tc>
          <w:tcPr>
            <w:tcW w:w="282" w:type="dxa"/>
            <w:tcBorders/>
            <w:shd w:fill="CCEEFF" w:val="clear"/>
            <w:vAlign w:val="bottom"/>
          </w:tcPr>
          <w:p>
            <w:pPr>
              <w:pStyle w:val="TableContents"/>
              <w:bidi w:val="0"/>
              <w:spacing w:before="0" w:after="283"/>
              <w:jc w:val="left"/>
              <w:rPr/>
            </w:pPr>
            <w:r>
              <w:rPr/>
              <w:t>% </w:t>
            </w:r>
          </w:p>
        </w:tc>
      </w:tr>
      <w:tr>
        <w:trPr/>
        <w:tc>
          <w:tcPr>
            <w:tcW w:w="466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double" w:sz="6" w:space="1" w:color="000000"/>
              </w:pBdr>
              <w:bidi w:val="0"/>
              <w:spacing w:before="0" w:after="0"/>
              <w:jc w:val="left"/>
              <w:rPr/>
            </w:pPr>
            <w:r>
              <w:rPr/>
              <w:t> </w:t>
            </w:r>
          </w:p>
        </w:tc>
        <w:tc>
          <w:tcPr>
            <w:tcW w:w="586"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660" w:type="dxa"/>
            <w:tcBorders/>
          </w:tcPr>
          <w:p>
            <w:pPr>
              <w:pStyle w:val="TableContents"/>
              <w:bidi w:val="0"/>
              <w:spacing w:before="0" w:after="0"/>
              <w:jc w:val="left"/>
              <w:rPr>
                <w:rFonts w:ascii="Times New Roman" w:hAnsi="Times New Roman"/>
                <w:sz w:val="20"/>
              </w:rPr>
            </w:pPr>
            <w:r>
              <w:rPr>
                <w:rFonts w:ascii="Times New Roman" w:hAnsi="Times New Roman"/>
                <w:sz w:val="20"/>
              </w:rPr>
              <w:t>Pro Forma Rezolve Book Value of Equity</w:t>
            </w:r>
          </w:p>
        </w:tc>
        <w:tc>
          <w:tcPr>
            <w:tcW w:w="15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345" w:type="dxa"/>
            <w:tcBorders/>
            <w:vAlign w:val="bottom"/>
          </w:tcPr>
          <w:p>
            <w:pPr>
              <w:pStyle w:val="TableContents"/>
              <w:bidi w:val="0"/>
              <w:spacing w:before="0" w:after="283"/>
              <w:jc w:val="right"/>
              <w:rPr/>
            </w:pPr>
            <w:r>
              <w:rPr/>
              <w:t>(2,168,686</w:t>
            </w:r>
          </w:p>
        </w:tc>
        <w:tc>
          <w:tcPr>
            <w:tcW w:w="16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1" w:type="dxa"/>
            <w:tcBorders/>
            <w:vAlign w:val="bottom"/>
          </w:tcPr>
          <w:p>
            <w:pPr>
              <w:pStyle w:val="TableContents"/>
              <w:bidi w:val="0"/>
              <w:spacing w:before="0" w:after="283"/>
              <w:jc w:val="right"/>
              <w:rPr/>
            </w:pPr>
            <w:r>
              <w:rPr/>
              <w:t>(2,168,686</w:t>
            </w:r>
          </w:p>
        </w:tc>
        <w:tc>
          <w:tcPr>
            <w:tcW w:w="15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466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6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Rezolve Book Value per Share</w:t>
            </w:r>
          </w:p>
        </w:tc>
        <w:tc>
          <w:tcPr>
            <w:tcW w:w="15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(0.01</w:t>
            </w:r>
          </w:p>
        </w:tc>
        <w:tc>
          <w:tcPr>
            <w:tcW w:w="16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1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1" w:type="dxa"/>
            <w:tcBorders/>
            <w:shd w:fill="CCEEFF" w:val="clear"/>
            <w:vAlign w:val="bottom"/>
          </w:tcPr>
          <w:p>
            <w:pPr>
              <w:pStyle w:val="TableContents"/>
              <w:bidi w:val="0"/>
              <w:spacing w:before="0" w:after="283"/>
              <w:jc w:val="right"/>
              <w:rPr/>
            </w:pPr>
            <w:r>
              <w:rPr/>
              <w:t>(0.01</w:t>
            </w:r>
          </w:p>
        </w:tc>
        <w:tc>
          <w:tcPr>
            <w:tcW w:w="15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586"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466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double" w:sz="6" w:space="1" w:color="000000"/>
              </w:pBdr>
              <w:bidi w:val="0"/>
              <w:spacing w:before="0" w:after="0"/>
              <w:jc w:val="left"/>
              <w:rPr/>
            </w:pPr>
            <w:r>
              <w:rPr/>
              <w:t> </w:t>
            </w:r>
          </w:p>
        </w:tc>
        <w:tc>
          <w:tcPr>
            <w:tcW w:w="586"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Potential Sources of Dilution: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14"/>
        <w:gridCol w:w="202"/>
        <w:gridCol w:w="60"/>
        <w:gridCol w:w="1304"/>
        <w:gridCol w:w="60"/>
        <w:gridCol w:w="202"/>
        <w:gridCol w:w="101"/>
        <w:gridCol w:w="813"/>
        <w:gridCol w:w="275"/>
        <w:gridCol w:w="153"/>
        <w:gridCol w:w="60"/>
        <w:gridCol w:w="1304"/>
        <w:gridCol w:w="60"/>
        <w:gridCol w:w="202"/>
        <w:gridCol w:w="101"/>
        <w:gridCol w:w="813"/>
        <w:gridCol w:w="281"/>
      </w:tblGrid>
      <w:tr>
        <w:trPr/>
        <w:tc>
          <w:tcPr>
            <w:tcW w:w="4214"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214"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bottom"/>
          </w:tcPr>
          <w:p>
            <w:pPr>
              <w:pStyle w:val="TableContents"/>
              <w:bidi w:val="0"/>
              <w:spacing w:before="0" w:after="283"/>
              <w:jc w:val="center"/>
              <w:rPr/>
            </w:pPr>
            <w:r>
              <w:rPr>
                <w:b/>
              </w:rPr>
              <w:t>% (1)</w:t>
            </w:r>
            <w:r>
              <w:rPr/>
              <w:br/>
            </w:r>
            <w:r>
              <w:rPr>
                <w:b/>
              </w:rPr>
              <w:t>Dilution</w:t>
            </w:r>
          </w:p>
        </w:tc>
        <w:tc>
          <w:tcPr>
            <w:tcW w:w="27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bottom"/>
          </w:tcPr>
          <w:p>
            <w:pPr>
              <w:pStyle w:val="TableContents"/>
              <w:bidi w:val="0"/>
              <w:spacing w:before="0" w:after="283"/>
              <w:jc w:val="center"/>
              <w:rPr/>
            </w:pPr>
            <w:r>
              <w:rPr>
                <w:b/>
              </w:rPr>
              <w:t>% (1)</w:t>
            </w:r>
            <w:r>
              <w:rPr/>
              <w:br/>
            </w:r>
            <w:r>
              <w:rPr>
                <w:b/>
              </w:rPr>
              <w:t>Dilution</w:t>
            </w:r>
          </w:p>
        </w:tc>
        <w:tc>
          <w:tcPr>
            <w:tcW w:w="281" w:type="dxa"/>
            <w:tcBorders/>
            <w:vAlign w:val="bottom"/>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Armada Warrants</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7,500,000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4.01</w:t>
            </w:r>
          </w:p>
        </w:tc>
        <w:tc>
          <w:tcPr>
            <w:tcW w:w="27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7,500,000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4.15</w:t>
            </w:r>
          </w:p>
        </w:tc>
        <w:tc>
          <w:tcPr>
            <w:tcW w:w="281" w:type="dxa"/>
            <w:tcBorders/>
            <w:shd w:fill="CCEEFF" w:val="clear"/>
            <w:vAlign w:val="bottom"/>
          </w:tcPr>
          <w:p>
            <w:pPr>
              <w:pStyle w:val="TableContents"/>
              <w:bidi w:val="0"/>
              <w:spacing w:before="0" w:after="283"/>
              <w:jc w:val="left"/>
              <w:rPr/>
            </w:pPr>
            <w:r>
              <w:rPr/>
              <w:t>% </w:t>
            </w:r>
          </w:p>
        </w:tc>
      </w:tr>
      <w:tr>
        <w:trPr/>
        <w:tc>
          <w:tcPr>
            <w:tcW w:w="4214"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Convertible Notes</w:t>
            </w:r>
          </w:p>
        </w:tc>
        <w:tc>
          <w:tcPr>
            <w:tcW w:w="2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3,614,673</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1.93</w:t>
            </w:r>
          </w:p>
        </w:tc>
        <w:tc>
          <w:tcPr>
            <w:tcW w:w="27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3,614,673</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1.96</w:t>
            </w:r>
          </w:p>
        </w:tc>
        <w:tc>
          <w:tcPr>
            <w:tcW w:w="281" w:type="dxa"/>
            <w:tcBorders/>
            <w:vAlign w:val="bottom"/>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Pro Forma Rezolve Ordinary Shares Outstanding</w:t>
            </w:r>
          </w:p>
        </w:tc>
        <w:tc>
          <w:tcPr>
            <w:tcW w:w="2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187,186,813</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184,823,464</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Book Value Impacts from Sources of Dilution: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79"/>
        <w:gridCol w:w="212"/>
        <w:gridCol w:w="140"/>
        <w:gridCol w:w="1119"/>
        <w:gridCol w:w="60"/>
        <w:gridCol w:w="212"/>
        <w:gridCol w:w="161"/>
        <w:gridCol w:w="645"/>
        <w:gridCol w:w="60"/>
        <w:gridCol w:w="212"/>
        <w:gridCol w:w="140"/>
        <w:gridCol w:w="1119"/>
        <w:gridCol w:w="60"/>
        <w:gridCol w:w="212"/>
        <w:gridCol w:w="161"/>
        <w:gridCol w:w="645"/>
        <w:gridCol w:w="68"/>
      </w:tblGrid>
      <w:tr>
        <w:trPr/>
        <w:tc>
          <w:tcPr>
            <w:tcW w:w="4979"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97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w:t>
            </w:r>
          </w:p>
        </w:tc>
        <w:tc>
          <w:tcPr>
            <w:tcW w:w="68" w:type="dxa"/>
            <w:tcBorders/>
            <w:vAlign w:val="bottom"/>
          </w:tcPr>
          <w:p>
            <w:pPr>
              <w:pStyle w:val="TableContents"/>
              <w:bidi w:val="0"/>
              <w:spacing w:before="0" w:after="283"/>
              <w:jc w:val="left"/>
              <w:rPr/>
            </w:pPr>
            <w:r>
              <w:rPr/>
              <w:t> </w:t>
            </w:r>
          </w:p>
        </w:tc>
      </w:tr>
      <w:tr>
        <w:trPr/>
        <w:tc>
          <w:tcPr>
            <w:tcW w:w="49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Armada Warrants (2)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86,250,000</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645" w:type="dxa"/>
            <w:tcBorders/>
            <w:shd w:fill="CCEEFF" w:val="clear"/>
            <w:vAlign w:val="bottom"/>
          </w:tcPr>
          <w:p>
            <w:pPr>
              <w:pStyle w:val="TableContents"/>
              <w:bidi w:val="0"/>
              <w:spacing w:before="0" w:after="283"/>
              <w:jc w:val="right"/>
              <w:rPr/>
            </w:pPr>
            <w:r>
              <w:rPr/>
              <w:t>11.50</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86,250,000</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645" w:type="dxa"/>
            <w:tcBorders/>
            <w:shd w:fill="CCEEFF" w:val="clear"/>
            <w:vAlign w:val="bottom"/>
          </w:tcPr>
          <w:p>
            <w:pPr>
              <w:pStyle w:val="TableContents"/>
              <w:bidi w:val="0"/>
              <w:spacing w:before="0" w:after="283"/>
              <w:jc w:val="right"/>
              <w:rPr/>
            </w:pPr>
            <w:r>
              <w:rPr/>
              <w:t>11.50</w:t>
            </w:r>
          </w:p>
        </w:tc>
        <w:tc>
          <w:tcPr>
            <w:tcW w:w="68" w:type="dxa"/>
            <w:tcBorders/>
            <w:shd w:fill="CCEEFF" w:val="clear"/>
            <w:vAlign w:val="bottom"/>
          </w:tcPr>
          <w:p>
            <w:pPr>
              <w:pStyle w:val="TableContents"/>
              <w:bidi w:val="0"/>
              <w:spacing w:before="0" w:after="283"/>
              <w:jc w:val="left"/>
              <w:rPr/>
            </w:pPr>
            <w:r>
              <w:rPr/>
              <w:t> </w:t>
            </w:r>
          </w:p>
        </w:tc>
      </w:tr>
      <w:tr>
        <w:trPr/>
        <w:tc>
          <w:tcPr>
            <w:tcW w:w="4979" w:type="dxa"/>
            <w:tcBorders/>
          </w:tcPr>
          <w:p>
            <w:pPr>
              <w:pStyle w:val="TableContents"/>
              <w:bidi w:val="0"/>
              <w:spacing w:before="0" w:after="0"/>
              <w:jc w:val="left"/>
              <w:rPr>
                <w:rFonts w:ascii="Times New Roman" w:hAnsi="Times New Roman"/>
                <w:sz w:val="20"/>
              </w:rPr>
            </w:pPr>
            <w:r>
              <w:rPr>
                <w:rFonts w:ascii="Times New Roman" w:hAnsi="Times New Roman"/>
                <w:sz w:val="20"/>
              </w:rPr>
              <w:t>Adjusted Pro Forma Rezolve Book Value</w:t>
            </w:r>
          </w:p>
          <w:p>
            <w:pPr>
              <w:pStyle w:val="TableContents"/>
              <w:bidi w:val="0"/>
              <w:spacing w:before="0" w:after="20"/>
              <w:jc w:val="left"/>
              <w:rPr>
                <w:rFonts w:ascii="Times New Roman" w:hAnsi="Times New Roman"/>
                <w:sz w:val="20"/>
              </w:rPr>
            </w:pPr>
            <w:r>
              <w:rPr>
                <w:rFonts w:ascii="Times New Roman" w:hAnsi="Times New Roman"/>
                <w:sz w:val="20"/>
              </w:rPr>
              <w:t>of Equity</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9" w:type="dxa"/>
            <w:tcBorders/>
            <w:vAlign w:val="bottom"/>
          </w:tcPr>
          <w:p>
            <w:pPr>
              <w:pStyle w:val="TableContents"/>
              <w:bidi w:val="0"/>
              <w:spacing w:before="0" w:after="283"/>
              <w:jc w:val="right"/>
              <w:rPr/>
            </w:pPr>
            <w:r>
              <w:rPr/>
              <w:t>84,081,314</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9" w:type="dxa"/>
            <w:tcBorders/>
            <w:vAlign w:val="bottom"/>
          </w:tcPr>
          <w:p>
            <w:pPr>
              <w:pStyle w:val="TableContents"/>
              <w:bidi w:val="0"/>
              <w:spacing w:before="0" w:after="283"/>
              <w:jc w:val="right"/>
              <w:rPr/>
            </w:pPr>
            <w:r>
              <w:rPr/>
              <w:t>84,081,314</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9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Pro Forma Rezolve Book Value per Share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0.45</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0.45</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illustrate the potential dilutive impacts to non-redeeming shareholders of Armada, the percentage dilution is calculated as the number of shares issued upon exercise of the dilutive instrument divided by the sum of (i) the pro forma Rezolve Ordinary Shares outstanding and (ii) the shares issued upon exercise of the dilutive instruments.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Proceeds reflect receipt of the exercise price of $11.50 per share, consistent with the Armada Warrant Agreement. </w:t>
            </w:r>
          </w:p>
        </w:tc>
      </w:tr>
    </w:tbl>
    <w:p>
      <w:pPr>
        <w:pStyle w:val="TextBody"/>
        <w:bidi w:val="0"/>
        <w:spacing w:before="120" w:after="0"/>
        <w:jc w:val="left"/>
        <w:rPr>
          <w:rFonts w:ascii="Times New Roman" w:hAnsi="Times New Roman"/>
          <w:sz w:val="20"/>
        </w:rPr>
      </w:pPr>
      <w:r>
        <w:rPr>
          <w:rFonts w:ascii="Times New Roman" w:hAnsi="Times New Roman"/>
          <w:sz w:val="20"/>
        </w:rPr>
        <w:t>The public warrants would have an aggregate market value of approximately $                 million based upon the closing price of $                 per warrant on the Nasdaq on                 , 2023. The shares of Armada Common Stock issuable upon exercise of the public warrants would have an aggregate market value of approximately $                 million based upon the closing price of $                 per share of Armada Common Stock on the Nasdaq on                 , 2023. Once the warrants become exercisable, though, Rezolve may redeem the outstanding warrants. For a discussion of the terms of redemption for the warrants, see </w:t>
      </w:r>
      <w:r>
        <w:rPr>
          <w:rFonts w:ascii="Times New Roman" w:hAnsi="Times New Roman"/>
          <w:i/>
          <w:sz w:val="20"/>
        </w:rPr>
        <w:t>Description of Securities  Warrants  Redemption of Warrants</w:t>
      </w:r>
      <w:r>
        <w:rPr>
          <w:rFonts w:ascii="Times New Roman" w:hAnsi="Times New Roman"/>
          <w:sz w:val="20"/>
        </w:rPr>
        <w:t> </w:t>
      </w:r>
      <w:r>
        <w:rPr>
          <w:rFonts w:ascii="Times New Roman" w:hAnsi="Times New Roman"/>
          <w:i/>
          <w:sz w:val="20"/>
        </w:rPr>
        <w:t> Redemption of Warrants for Armada Common Stock</w:t>
      </w:r>
      <w:r>
        <w:rPr>
          <w:rFonts w:ascii="Times New Roman" w:hAnsi="Times New Roman"/>
          <w:sz w:val="20"/>
        </w:rPr>
        <w:t>. and  Risks Relating to Armada and the Business Combination</w:t>
      </w:r>
      <w:r>
        <w:rPr>
          <w:rFonts w:ascii="Times New Roman" w:hAnsi="Times New Roman"/>
          <w:i/>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number of redemptions, the deferred underwriting commissions of $1,500,000 in connection with the Armadas initial public offering will remain constant and be released to the underwriters only on completion of the Business Combination.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you are a Company public warrant holder, can you exercise Redemption Rights with respect to your public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The holders of our public warrants have no Redemption Rights with respect to such public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the Sponsor redeem its Founder Shares in connection with consummation of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Our Sponsor, officers and directors have agreed to waive their redemption rights with respect to their shares of Armada Common Stock, as described in the Armada Letter Agreement in connection with the consummation of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Is there a limit on the number of shares you may redeem?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 specified maximum redemption threshold under our current amended and restated certificate of incorporation. Each redemption of shares of Armada Common Stock by our public stockholders will reduce the amount in the Trust Account. In the event we redeem shares of Armada Common Stock in an amount that would result in Armadas failure to have net tangible assets equaling or exceeding $5,000,001, we will not be able to consummate the Business Combination, unless the Charter Limitation Amendment Proposal is approved and the Charter Limitation Amendment is implemented prior to the closing of the Business Combination.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Is there a limit on the total number of shares that may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Our current amended and restated certificate of incorporation does not provide a specified maximum redemption threshold. However, the Armada Charter prohibits Armada from closing the Business Combination if its net tangible assets would be less than $5,000,001, unless the Charter Limitation Amendment Proposal is approved and the Charter Limitation Amendment is implemented prior to closing of the Business Combination. In the event the aggregate cash consideration we would be required to pay for all shares of Armada Common Stock that are validly submitted for redemption plus any amount required to satisfy cash conditions pursuant to the terms of the Business Combination Agreement exceed the aggregate amount of cash available to us, we may not complete the Business Combination or redeem any shares, all shares of Armada Common Stock submitted for redemption will be returned to the holders thereof, and we instead may search for an alternate business combination.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Based on the amount of cash and securities as of                 , 2023, including $                 in our Trust Account, approximately                  million shares of Armada Common Stock may be redeemed and still enable us to have sufficient cash to satisfy the cash closing conditions in the Business Combination Agreement. We refer to this as the maximum redemption scenario.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how you vote affect your ability to exercise Redemption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You may exercise your redemption rights whether you vote your shares of Armada Common Stock for or against, or whether you abstain from voting on, the Business Combination Proposal, or any other proposal described by this proxy statement/prospectus. As a result, the Business Combination Agreement can be approved by stockholders who will redeem their shares and no longer remain stockholders, leaving stockholders who choose not to redeem their shares holding shares in a company with a potentially less-liquid trading market, fewer stockholders, potentially less cash and the potential inability to meet the listing standards of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you exercise your Redemption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exercise your redemption rights, you must (i)(a) hold public shares or (b) hold public shares through units and elect to separate your units into the underlying public shares and public warrants prior to exercising your redemption rights with respect to the public shares; and (ii) prior to 5:00 p.m. Eastern time on                 , 2023 (two business days before the Special Meeting) (a) submit a written request to the Transfer Agent that Armada redeem your public shares for cash and (b) deliver your public shares to the Transfer Agent, physically or electronically through Depository Trust Company (DTC). Any demand for redemption, once made, may be withdrawn at any time until the deadline for exercising redemption requests and thereafter, with our consent, until the vote is taken with respect to the Business Combination. The Transfer Agents address is as follows: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Continental Stock Transfer &amp; Trust Company </w:t>
      </w:r>
    </w:p>
    <w:p>
      <w:pPr>
        <w:pStyle w:val="TextBody"/>
        <w:bidi w:val="0"/>
        <w:spacing w:before="0" w:after="0"/>
        <w:jc w:val="center"/>
        <w:rPr>
          <w:rFonts w:ascii="Times New Roman" w:hAnsi="Times New Roman"/>
          <w:sz w:val="20"/>
        </w:rPr>
      </w:pPr>
      <w:r>
        <w:rPr>
          <w:rFonts w:ascii="Times New Roman" w:hAnsi="Times New Roman"/>
          <w:sz w:val="20"/>
        </w:rPr>
        <w:t xml:space="preserve">1 State Street  30th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10004 </w:t>
      </w:r>
    </w:p>
    <w:p>
      <w:pPr>
        <w:pStyle w:val="TextBody"/>
        <w:bidi w:val="0"/>
        <w:spacing w:before="120" w:after="0"/>
        <w:jc w:val="left"/>
        <w:rPr>
          <w:rFonts w:ascii="Times New Roman" w:hAnsi="Times New Roman"/>
          <w:sz w:val="20"/>
        </w:rPr>
      </w:pPr>
      <w:r>
        <w:rPr>
          <w:rFonts w:ascii="Times New Roman" w:hAnsi="Times New Roman"/>
          <w:sz w:val="20"/>
        </w:rPr>
        <w:t xml:space="preserve">You must also affirmatively certify in your request to the Transfer Agent for redemption if you ARE or ARE NOT acting in concert or as a group (as defined in Section 13d-3 of the Exchange Act) with any other stockholder with respect to shares of Armada Common Stock. Notwithstanding the foregoing, a holder of public shares, together with any affiliate of his or any other person with whom he is acting in concert or as a group (as defined in Section 13d-3 of the Exchange Act) will be restricted from seeking Redemption Rights with respect to more than 15% of the public shares, which we refer to as the 15% threshold. Accordingly, all public shares in excess of the 15% threshold beneficially owned by a public stockholder or group (as defined in Section 13d-3 of the Exchange Act) will not be redeemed for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 </w:t>
      </w:r>
    </w:p>
    <w:p>
      <w:pPr>
        <w:pStyle w:val="TextBody"/>
        <w:bidi w:val="0"/>
        <w:spacing w:before="120" w:after="0"/>
        <w:jc w:val="left"/>
        <w:rPr>
          <w:rFonts w:ascii="Times New Roman" w:hAnsi="Times New Roman"/>
          <w:sz w:val="20"/>
        </w:rPr>
      </w:pPr>
      <w:r>
        <w:rPr>
          <w:rFonts w:ascii="Times New Roman" w:hAnsi="Times New Roman"/>
          <w:sz w:val="20"/>
        </w:rPr>
        <w:t xml:space="preserve">Stockholders seeking to exercise their Redemption Rights, whether they are record holders or hold their shares in street name, are required to either tender their certificates to our Transfer Agent prior to the date that is two business days prior to the Special Meeting, or to deliver their shares to the Transfer Agent electronically using DTC Deposit/Withdrawal At Custodian (DWAC) system, at such stockholders option. </w:t>
      </w:r>
      <w:r>
        <w:rPr>
          <w:rFonts w:ascii="Times New Roman" w:hAnsi="Times New Roman"/>
          <w:i/>
          <w:sz w:val="20"/>
        </w:rPr>
        <w:t>The requirement for physical or electronic delivery prior to the Special Meeting ensures that a redeeming stockholders election to redeem is irrevocable once the Business Combination is approved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such delivery must be effectuated. </w:t>
      </w:r>
    </w:p>
    <w:p>
      <w:pPr>
        <w:pStyle w:val="TextBody"/>
        <w:bidi w:val="0"/>
        <w:spacing w:before="120" w:after="0"/>
        <w:jc w:val="left"/>
        <w:rPr>
          <w:rFonts w:ascii="Times New Roman" w:hAnsi="Times New Roman"/>
          <w:sz w:val="20"/>
        </w:rPr>
      </w:pPr>
      <w:r>
        <w:rPr>
          <w:rFonts w:ascii="Times New Roman" w:hAnsi="Times New Roman"/>
          <w:sz w:val="20"/>
        </w:rPr>
        <w:t xml:space="preserve">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under the question Who can help answer my questions?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 you have appraisal rights if you object to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Appraisal rights are not available to holders of Armada Common Stock in connection with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to the funds held in the Trust Account upon consummation of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funds held in the Trust Account will be used to: (i) pay Armada stockholders who properly exercise their redemption rights; and, provided that there are funds remaining after this payment, (ii) pay certain other fees, costs and expenses (including regulatory fees, legal fees, accounting fees, printer fees and other professional fees) that were incurred by Armada and other parties to the Business Combination Agreement in connection with the transactions contemplated by the Business Combination Agreement, including the Business Combination, and pursuant to the terms of the Business Combination Agreement, and (iii) the Promissory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the Business Combination is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There are certain circumstances under which the Business Combination Agreement may be terminated. Please see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1</w:t>
            </w:r>
            <w:r>
              <w:rPr>
                <w:rFonts w:ascii="Times New Roman" w:hAnsi="Times New Roman"/>
                <w:sz w:val="20"/>
              </w:rPr>
              <w:t xml:space="preserve">  </w:t>
            </w:r>
            <w:r>
              <w:rPr>
                <w:rFonts w:ascii="Times New Roman" w:hAnsi="Times New Roman"/>
                <w:i/>
                <w:sz w:val="20"/>
              </w:rPr>
              <w:t>Approval of the Business Combination</w:t>
            </w:r>
            <w:r>
              <w:rPr>
                <w:rFonts w:ascii="Times New Roman" w:hAnsi="Times New Roman"/>
                <w:sz w:val="20"/>
              </w:rPr>
              <w:t xml:space="preserve"> </w:t>
            </w:r>
            <w:r>
              <w:rPr>
                <w:rFonts w:ascii="Times New Roman" w:hAnsi="Times New Roman"/>
                <w:i/>
                <w:sz w:val="20"/>
              </w:rPr>
              <w:t> The Business Combination Agreement</w:t>
            </w:r>
            <w:r>
              <w:rPr>
                <w:rFonts w:ascii="Times New Roman" w:hAnsi="Times New Roman"/>
                <w:sz w:val="20"/>
              </w:rPr>
              <w:t xml:space="preserve"> for information regarding the parties specific termination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we do not consummate the Business Combination, we may continue to try to complete a business combination with a different target business until the applicable deadline. If we fail to complete an initial business combination by the applicable deadline, then we will: (i) cease all operations except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purpose of winding up; (ii) as promptly as reasonably possible but not more than ten business days thereafter, redeem our public shares, at a per-share price, payable in cash, equal to the aggregate amount then on deposit in the Trust Account, including interest not previously released to Armada to pay its franchise and income taxes (less up to $100,000 of interest to pay dissolution expenses), divided by the number of then outstanding public shares, which redemption will completely extinguish our public stockholders rights as stockholders (including the right to receive further liquidating distributions, if any), subject to applicable law; (iii) dissolve and liquidate our Trust Account, unless we amend our certificate of incorporation to extend the time that we have to consummate a business combination; and (iv) as promptly as reasonably possible following such redemption, subject to the approval of our remaining stockholders and our Board, dissolve and liquidate, subject in each case to our obligations under Delaware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IPO. Please see the section entitled </w:t>
      </w:r>
      <w:r>
        <w:rPr>
          <w:rFonts w:ascii="Times New Roman" w:hAnsi="Times New Roman"/>
          <w:i/>
          <w:sz w:val="20"/>
        </w:rPr>
        <w:t>Risk Factors</w:t>
      </w:r>
      <w:r>
        <w:rPr>
          <w:rFonts w:ascii="Times New Roman" w:hAnsi="Times New Roman"/>
          <w:sz w:val="20"/>
        </w:rPr>
        <w:t xml:space="preserve"> </w:t>
      </w:r>
      <w:r>
        <w:rPr>
          <w:rFonts w:ascii="Times New Roman" w:hAnsi="Times New Roman"/>
          <w:i/>
          <w:sz w:val="20"/>
        </w:rPr>
        <w:t> Risks Relating to the Business Combination and Risks Relating to Armadas Due Diligence and Evaluation of Rezolve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Founder Shares have waived any right to any liquidation distribution with respect to such shares and the underwriters of our IPO agreed to waive their rights to the business combination marketing fee held in the Trust Account in the event we do not complete our initial business combination within the required period. In addition, if we fail to complete a business combination by the applicable deadline, there will be no redemption rights or liquidating distributions with respect to our outstanding warrants, which will expire worthless.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is the Business Combination expected to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closing of the Business Combination is expected to take place on or prior to the third business day following the satisfaction or waiver of the conditions described below in the subsection entitled </w:t>
            </w:r>
            <w:r>
              <w:rPr>
                <w:rFonts w:ascii="Times New Roman" w:hAnsi="Times New Roman"/>
                <w:i/>
                <w:sz w:val="20"/>
              </w:rPr>
              <w:t>Proposal</w:t>
            </w:r>
            <w:r>
              <w:rPr>
                <w:rFonts w:ascii="Times New Roman" w:hAnsi="Times New Roman"/>
                <w:sz w:val="20"/>
              </w:rPr>
              <w:t xml:space="preserve"> </w:t>
            </w:r>
            <w:r>
              <w:rPr>
                <w:rFonts w:ascii="Times New Roman" w:hAnsi="Times New Roman"/>
                <w:i/>
                <w:sz w:val="20"/>
              </w:rPr>
              <w:t>No.</w:t>
            </w:r>
            <w:r>
              <w:rPr>
                <w:rFonts w:ascii="Times New Roman" w:hAnsi="Times New Roman"/>
                <w:sz w:val="20"/>
              </w:rPr>
              <w:t> </w:t>
            </w:r>
            <w:r>
              <w:rPr>
                <w:rFonts w:ascii="Times New Roman" w:hAnsi="Times New Roman"/>
                <w:i/>
                <w:sz w:val="20"/>
              </w:rPr>
              <w:t xml:space="preserve">1 </w:t>
            </w:r>
            <w:r>
              <w:rPr>
                <w:rFonts w:ascii="Times New Roman" w:hAnsi="Times New Roman"/>
                <w:sz w:val="20"/>
              </w:rPr>
              <w:t xml:space="preserve"> </w:t>
            </w:r>
            <w:r>
              <w:rPr>
                <w:rFonts w:ascii="Times New Roman" w:hAnsi="Times New Roman"/>
                <w:i/>
                <w:sz w:val="20"/>
              </w:rPr>
              <w:t>Approval of the Business Combination</w:t>
            </w:r>
            <w:r>
              <w:rPr>
                <w:rFonts w:ascii="Times New Roman" w:hAnsi="Times New Roman"/>
                <w:sz w:val="20"/>
              </w:rPr>
              <w:t xml:space="preserve"> </w:t>
            </w:r>
            <w:r>
              <w:rPr>
                <w:rFonts w:ascii="Times New Roman" w:hAnsi="Times New Roman"/>
                <w:i/>
                <w:sz w:val="20"/>
              </w:rPr>
              <w:t> The Business Combination Agreement</w:t>
            </w:r>
            <w:r>
              <w:rPr>
                <w:rFonts w:ascii="Times New Roman" w:hAnsi="Times New Roman"/>
                <w:sz w:val="20"/>
              </w:rPr>
              <w:t xml:space="preserve"> </w:t>
            </w:r>
            <w:r>
              <w:rPr>
                <w:rFonts w:ascii="Times New Roman" w:hAnsi="Times New Roman"/>
                <w:i/>
                <w:sz w:val="20"/>
              </w:rPr>
              <w:t> Conditions to the Closing of the Business Combination.</w:t>
            </w:r>
            <w:r>
              <w:rPr>
                <w:rFonts w:ascii="Times New Roman" w:hAnsi="Times New Roman"/>
                <w:sz w:val="20"/>
              </w:rPr>
              <w:t xml:space="preserve"> The closing is expected to occur in                 , 2023. The Business Combination Agreement may be terminated by Armada, or Rezolve, as applicable if the Closing has not occurred by August 2, 2023. </w:t>
            </w:r>
          </w:p>
        </w:tc>
      </w:tr>
    </w:tbl>
    <w:p>
      <w:pPr>
        <w:pStyle w:val="TextBody"/>
        <w:bidi w:val="0"/>
        <w:spacing w:before="120" w:after="0"/>
        <w:jc w:val="left"/>
        <w:rPr>
          <w:rFonts w:ascii="Times New Roman" w:hAnsi="Times New Roman"/>
          <w:sz w:val="20"/>
        </w:rPr>
      </w:pPr>
      <w:r>
        <w:rPr>
          <w:rFonts w:ascii="Times New Roman" w:hAnsi="Times New Roman"/>
          <w:sz w:val="20"/>
        </w:rPr>
        <w:t>For a description of the conditions to the completion of the Business Combination, see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 xml:space="preserve">1 </w:t>
      </w:r>
      <w:r>
        <w:rPr>
          <w:rFonts w:ascii="Times New Roman" w:hAnsi="Times New Roman"/>
          <w:sz w:val="20"/>
        </w:rPr>
        <w:t xml:space="preserve"> </w:t>
      </w:r>
      <w:r>
        <w:rPr>
          <w:rFonts w:ascii="Times New Roman" w:hAnsi="Times New Roman"/>
          <w:i/>
          <w:sz w:val="20"/>
        </w:rPr>
        <w:t>Approval of the Business Combination</w:t>
      </w:r>
      <w:r>
        <w:rPr>
          <w:rFonts w:ascii="Times New Roman" w:hAnsi="Times New Roman"/>
          <w:sz w:val="20"/>
        </w:rPr>
        <w:t xml:space="preserve"> </w:t>
      </w:r>
      <w:r>
        <w:rPr>
          <w:rFonts w:ascii="Times New Roman" w:hAnsi="Times New Roman"/>
          <w:i/>
          <w:sz w:val="20"/>
        </w:rPr>
        <w:t> The Business Combination Agreement</w:t>
      </w:r>
      <w:r>
        <w:rPr>
          <w:rFonts w:ascii="Times New Roman" w:hAnsi="Times New Roman"/>
          <w:sz w:val="20"/>
        </w:rPr>
        <w:t xml:space="preserve"> </w:t>
      </w:r>
      <w:r>
        <w:rPr>
          <w:rFonts w:ascii="Times New Roman" w:hAnsi="Times New Roman"/>
          <w:i/>
          <w:sz w:val="20"/>
        </w:rPr>
        <w:t> Conditions to the Closing of the Business Combination.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you need to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urged to read carefully and consider the information contained in this proxy statement/prospectus, including the Annexes, and to consider how the Business Combination will affect you as a stockholder.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holders of record of Armada Common Stock, including those shares held as a constituent part of our units, at the close of business on                 , 2023, are entitled to have their vote counted at the Special Meeting and any adjournments or postponements thereof. On this record date,                 shares of Armada Common Stock were outstanding and entitled to vote. </w:t>
            </w:r>
          </w:p>
        </w:tc>
      </w:tr>
    </w:tbl>
    <w:p>
      <w:pPr>
        <w:pStyle w:val="TextBody"/>
        <w:bidi w:val="0"/>
        <w:spacing w:before="120" w:after="0"/>
        <w:jc w:val="left"/>
        <w:rPr>
          <w:rFonts w:ascii="Times New Roman" w:hAnsi="Times New Roman"/>
          <w:sz w:val="20"/>
        </w:rPr>
      </w:pPr>
      <w:r>
        <w:rPr>
          <w:rFonts w:ascii="Times New Roman" w:hAnsi="Times New Roman"/>
          <w:i/>
          <w:sz w:val="20"/>
        </w:rPr>
        <w:t>Stockholder of Record:</w:t>
      </w:r>
      <w:r>
        <w:rPr>
          <w:rFonts w:ascii="Times New Roman" w:hAnsi="Times New Roman"/>
          <w:sz w:val="20"/>
        </w:rPr>
        <w:t xml:space="preserve"> </w:t>
      </w:r>
      <w:r>
        <w:rPr>
          <w:rFonts w:ascii="Times New Roman" w:hAnsi="Times New Roman"/>
          <w:i/>
          <w:sz w:val="20"/>
        </w:rPr>
        <w:t>Shares Registered in Your Name</w:t>
      </w:r>
      <w:r>
        <w:rPr>
          <w:rFonts w:ascii="Times New Roman" w:hAnsi="Times New Roman"/>
          <w:sz w:val="20"/>
        </w:rPr>
        <w:t xml:space="preserve">. If on the record date your shares or units were registered directly in your name with Armadas transfer agent, Continental Stock Transfer &amp; Trust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then you are a stockholder of record. As a stockholder of record, you may vote in person at the Special Meeting or vote by proxy. Whether or not you plan to attend the Special Meeting in person, Armada urges you to fill out and return the enclosed proxy card to ensure your vote is counted. </w:t>
      </w:r>
    </w:p>
    <w:p>
      <w:pPr>
        <w:pStyle w:val="TextBody"/>
        <w:bidi w:val="0"/>
        <w:spacing w:before="120" w:after="0"/>
        <w:jc w:val="left"/>
        <w:rPr>
          <w:rFonts w:ascii="Times New Roman" w:hAnsi="Times New Roman"/>
          <w:sz w:val="20"/>
        </w:rPr>
      </w:pPr>
      <w:r>
        <w:rPr>
          <w:rFonts w:ascii="Times New Roman" w:hAnsi="Times New Roman"/>
          <w:i/>
          <w:sz w:val="20"/>
        </w:rPr>
        <w:t>Beneficial Owner:</w:t>
      </w:r>
      <w:r>
        <w:rPr>
          <w:rFonts w:ascii="Times New Roman" w:hAnsi="Times New Roman"/>
          <w:sz w:val="20"/>
        </w:rPr>
        <w:t xml:space="preserve"> </w:t>
      </w:r>
      <w:r>
        <w:rPr>
          <w:rFonts w:ascii="Times New Roman" w:hAnsi="Times New Roman"/>
          <w:i/>
          <w:sz w:val="20"/>
        </w:rPr>
        <w:t>Shares Registered in the Name of a Broker or Bank</w:t>
      </w:r>
      <w:r>
        <w:rPr>
          <w:rFonts w:ascii="Times New Roman" w:hAnsi="Times New Roman"/>
          <w:sz w:val="20"/>
        </w:rPr>
        <w:t xml:space="preserve">. If on the record date your shares or units were held, not in your 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However, since you are not the stockholder of record, you may not vote your shares in person at the Special Meeting unless you request and obtain a valid proxy from your broker or other agent.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solicit and pay the cost of soliciting proxies for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pay the cost of soliciting proxies for the Special Meeting. We have engaged                 to assist in the solicitation of proxies for the Special Meeting. We have agreed to pay                  a fee of $                , plus disbursements, and will reimburse                 for its reasonable out-of-pocket expenses and indemnify                 and its affiliates against certain claims, liabilities, losses, damages and expenses. We will also reimburse banks, brokers and other custodians, nominees, and fiduciaries representing beneficial owners of Armada Common Stock for their expenses in forwarding soliciting materials to beneficial owners of Armada Common Stock and in obtaining voting instructions from those owners. Our directors, officers, and employees may also solicit proxies by telephone, by facsimile, by mail, on the Internet, or in person. They will not be paid any additional amounts for soliciting proxies.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help answer my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have questions about the proposals or if you need additional copies of this proxy statement/prospectus or the enclosed proxy card you should contact: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 </w:t>
      </w:r>
    </w:p>
    <w:p>
      <w:pPr>
        <w:pStyle w:val="TextBody"/>
        <w:bidi w:val="0"/>
        <w:spacing w:before="480" w:after="0"/>
        <w:jc w:val="left"/>
        <w:rPr>
          <w:rFonts w:ascii="Times New Roman" w:hAnsi="Times New Roman"/>
          <w:sz w:val="20"/>
        </w:rPr>
      </w:pPr>
      <w:r>
        <w:rPr>
          <w:rFonts w:ascii="Times New Roman" w:hAnsi="Times New Roman"/>
          <w:sz w:val="20"/>
        </w:rPr>
        <w:t xml:space="preserve">You may also contact our proxy solicitor at: </w:t>
      </w:r>
    </w:p>
    <w:p>
      <w:pPr>
        <w:pStyle w:val="TextBody"/>
        <w:bidi w:val="0"/>
        <w:spacing w:before="480" w:after="0"/>
        <w:jc w:val="left"/>
        <w:rPr>
          <w:rFonts w:ascii="Times New Roman" w:hAnsi="Times New Roman"/>
          <w:sz w:val="20"/>
        </w:rPr>
      </w:pPr>
      <w:r>
        <w:rPr>
          <w:rFonts w:ascii="Times New Roman" w:hAnsi="Times New Roman"/>
          <w:sz w:val="20"/>
        </w:rPr>
        <w:t xml:space="preserve">To obtain timely delivery, our stockholders must request the materials no later than five business days prior to the Special Meeting. </w:t>
      </w:r>
    </w:p>
    <w:p>
      <w:pPr>
        <w:pStyle w:val="TextBody"/>
        <w:bidi w:val="0"/>
        <w:spacing w:before="240" w:after="0"/>
        <w:jc w:val="left"/>
        <w:rPr>
          <w:rFonts w:ascii="Times New Roman" w:hAnsi="Times New Roman"/>
          <w:sz w:val="20"/>
        </w:rPr>
      </w:pPr>
      <w:r>
        <w:rPr>
          <w:rFonts w:ascii="Times New Roman" w:hAnsi="Times New Roman"/>
          <w:sz w:val="20"/>
        </w:rPr>
        <w:t>You may also obtain additional information about us from documents filed with the SEC by following the instructions in the section entitled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intend to seek redemption of your public shares, you will need to send a letter demanding redemption and deliver your stock (either physically or electronically) to our Transfer Agent prior to the Special Meeting in accordance with the procedures detailed under the question How do I exercise my Redemption Rights? If you have questions regarding the certification of your position or delivery of your stock, please contact our Transfer Agent: </w:t>
      </w:r>
    </w:p>
    <w:p>
      <w:pPr>
        <w:pStyle w:val="TextBody"/>
        <w:bidi w:val="0"/>
        <w:spacing w:before="240" w:after="0"/>
        <w:jc w:val="center"/>
        <w:rPr>
          <w:rFonts w:ascii="Times New Roman" w:hAnsi="Times New Roman"/>
          <w:sz w:val="20"/>
        </w:rPr>
      </w:pPr>
      <w:r>
        <w:rPr>
          <w:rFonts w:ascii="Times New Roman" w:hAnsi="Times New Roman"/>
          <w:sz w:val="20"/>
        </w:rPr>
        <w:t xml:space="preserve">Continental Stock Transfer &amp; Trust Company </w:t>
      </w:r>
    </w:p>
    <w:p>
      <w:pPr>
        <w:pStyle w:val="TextBody"/>
        <w:bidi w:val="0"/>
        <w:spacing w:before="0" w:after="0"/>
        <w:jc w:val="center"/>
        <w:rPr>
          <w:rFonts w:ascii="Times New Roman" w:hAnsi="Times New Roman"/>
          <w:sz w:val="20"/>
        </w:rPr>
      </w:pPr>
      <w:r>
        <w:rPr>
          <w:rFonts w:ascii="Times New Roman" w:hAnsi="Times New Roman"/>
          <w:sz w:val="20"/>
        </w:rPr>
        <w:t xml:space="preserve">1 State Street  30th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10004 </w:t>
      </w:r>
    </w:p>
    <w:p>
      <w:pPr>
        <w:pStyle w:val="TextBody"/>
        <w:bidi w:val="0"/>
        <w:spacing w:before="0" w:after="0"/>
        <w:jc w:val="center"/>
        <w:rPr>
          <w:rFonts w:ascii="Times New Roman" w:hAnsi="Times New Roman"/>
          <w:sz w:val="20"/>
        </w:rPr>
      </w:pPr>
      <w:r>
        <w:rPr>
          <w:rFonts w:ascii="Times New Roman" w:hAnsi="Times New Roman"/>
          <w:sz w:val="20"/>
        </w:rPr>
        <w:t xml:space="preserve">Attention:                  </w:t>
      </w:r>
    </w:p>
    <w:p>
      <w:pPr>
        <w:pStyle w:val="TextBody"/>
        <w:bidi w:val="0"/>
        <w:spacing w:before="0" w:after="0"/>
        <w:jc w:val="center"/>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0" w:name="tx309194_8"/>
      <w:bookmarkEnd w:id="10"/>
      <w:r>
        <w:rPr>
          <w:rFonts w:ascii="Times New Roman" w:hAnsi="Times New Roman"/>
          <w:b/>
          <w:sz w:val="20"/>
          <w:bdr w:val="single" w:sz="8" w:space="1" w:color="000000"/>
        </w:rPr>
        <w:t xml:space="preserve">SUMMARY OF THE PROXY STATEMENT/PROSPECTUS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from this proxy statement/prospectus and does not contain all of the information that is important to you. To better understand the proposals to be submitted for a vote at the Armada Special Meeting, including the Business Combination, you should read this entire document carefully, including the Business Combination Agreement attached as </w:t>
      </w:r>
      <w:r>
        <w:rPr>
          <w:rFonts w:ascii="Times New Roman" w:hAnsi="Times New Roman"/>
          <w:i/>
          <w:sz w:val="20"/>
          <w:u w:val="single"/>
          <w:bdr w:val="single" w:sz="8" w:space="1" w:color="000000"/>
        </w:rPr>
        <w:t>Annex A</w:t>
      </w:r>
      <w:r>
        <w:rPr>
          <w:rFonts w:ascii="Times New Roman" w:hAnsi="Times New Roman"/>
          <w:i/>
          <w:sz w:val="20"/>
          <w:bdr w:val="single" w:sz="8" w:space="1" w:color="000000"/>
        </w:rPr>
        <w:t xml:space="preserve"> to this proxy statement/prospectus. The Business Combination Agreement is the legal document that governs the Merger and the other transactions that will be undertaken in connection with the Business Combination. It is also described in detail in this proxy statement/prospectus in the section entitled The Business Combination Agreement.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Parties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Rezolve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recognized1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Rezolve was incorporated in England and Wales as a private limited company on January 5, 2023 under the name Rezolve Group Limited with company number 14573691 and changed its name on June 5, 2023 to Rezolve AI Limited. Rezolve was re-registered as a public limited company on                 , 2023.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mailing address of Rezolves registered office is 3rd Floor, 80 New Bond Street, London, United Kingdom, W1S 1SB. After the consummation of the Business Combination, its principal executive office will be 3rd Floor, 80 New Bond Street, London, United Kingdom, W1S 1SB.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Armada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Armada is a blank check company or a special purpose acquisition company, incorporated on November 5, 2020, as a Delaware corporation and formed for the purpose of effecting a merger, capital stock exchange, asset </w:t>
      </w:r>
    </w:p>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5"/>
        <w:gridCol w:w="10000"/>
      </w:tblGrid>
      <w:tr>
        <w:trPr/>
        <w:tc>
          <w:tcPr>
            <w:tcW w:w="205" w:type="dxa"/>
            <w:tcBorders/>
          </w:tcPr>
          <w:p>
            <w:pPr>
              <w:pStyle w:val="TableContents"/>
              <w:bidi w:val="0"/>
              <w:spacing w:before="0" w:after="283"/>
              <w:jc w:val="left"/>
              <w:rPr/>
            </w:pPr>
            <w:r>
              <w:rPr/>
              <w:t>1 </w:t>
            </w:r>
          </w:p>
        </w:tc>
        <w:tc>
          <w:tcPr>
            <w:tcW w:w="100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see Rezolve Press Release dated July 25, 2023, available at </w:t>
            </w:r>
            <w:r>
              <w:rPr>
                <w:rFonts w:ascii="Times New Roman" w:hAnsi="Times New Roman"/>
                <w:sz w:val="20"/>
                <w:u w:val="single"/>
              </w:rPr>
              <w:t>www.rezolve.com</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acquisition, stock purchase, reorganization or similar business combination with one or more businesses. As of June 16, 2023, the Company had not commenced any operations.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public units began trading on the Nasdaq under the symbol AACIU on August 13, 2021. On November 16, 2021, Armada announced that the holders of Armadas units may elect to separately trade the securities underlying such units. On November 16, 2021, the shares and warrants began trading on the Nasdaq under the symbols AACI, and AACIW respectively.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mailing address of Armadas principal executive office is c/o Armada Acquisition Corp. I., 2005 Market Street, Suite 3120, Philadelphia, Pennsylvania 19103.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Business Combination Proposal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Business Combination Agreement, Armada will merge with and into Rezolve Merger Sub, with Armada continuing as the surviving entity and all the undertakings, properties and liabilities of Rezolve Merger Sub will vest in Armada by virtue of such merger pursuant to the Delaware General Corporation Law (the DGCL) and the plan of merger attached hereto as Annex                . Following completion of the Merger, Armada shall be a wholly-owned subsidiary of Rezolve.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Please see the section titled </w:t>
      </w:r>
      <w:r>
        <w:rPr>
          <w:rFonts w:ascii="Times New Roman" w:hAnsi="Times New Roman"/>
          <w:i/>
          <w:sz w:val="20"/>
          <w:bdr w:val="single" w:sz="8" w:space="1" w:color="000000"/>
        </w:rPr>
        <w:t>The Business Combination Proposal</w:t>
      </w:r>
      <w:r>
        <w:rPr>
          <w:rFonts w:ascii="Times New Roman" w:hAnsi="Times New Roman"/>
          <w:sz w:val="20"/>
          <w:bdr w:val="single" w:sz="8" w:space="1" w:color="000000"/>
        </w:rPr>
        <w:t xml:space="preserve"> for additional information regarding this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Nasdaq Proposal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Nasdaq listing rules require that its listed companies obtain shareholder approval for issuances of securities that result in a change of control of the company. In connection with the approval of the Business Combination Proposal, Armadas stockholders will be asked to consider and vote upon a proposal to approve, for purposes of complying with applicable Nasdaq listing rules, the issuance of securities which will result in a change of control of Armada.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Please see the section entitled </w:t>
      </w:r>
      <w:r>
        <w:rPr>
          <w:rFonts w:ascii="Times New Roman" w:hAnsi="Times New Roman"/>
          <w:i/>
          <w:sz w:val="20"/>
          <w:bdr w:val="single" w:sz="8" w:space="1" w:color="000000"/>
        </w:rPr>
        <w:t>The Nasdaq Proposal</w:t>
      </w:r>
      <w:r>
        <w:rPr>
          <w:rFonts w:ascii="Times New Roman" w:hAnsi="Times New Roman"/>
          <w:sz w:val="20"/>
          <w:bdr w:val="single" w:sz="8" w:space="1" w:color="000000"/>
        </w:rPr>
        <w:t xml:space="preserve"> for additional information regarding this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Incentive Equity Plan Proposal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Business Combination, the Rezolve and Armada boards approved the adoption by Rezolve of the Rezolve Long Term Incentive Plan, or the Rezolve Incentive Equity Plan, subject to Armada shareholder approval, in order to facilitate the grant of equity awards to attract, retain and incentive employees (including executive officers), independent contractors and directors of Rezolve and its affiliates, which is essential to Rezolves long-term success.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Please see the section titled </w:t>
      </w:r>
      <w:r>
        <w:rPr>
          <w:rFonts w:ascii="Times New Roman" w:hAnsi="Times New Roman"/>
          <w:i/>
          <w:sz w:val="20"/>
          <w:bdr w:val="single" w:sz="8" w:space="1" w:color="000000"/>
        </w:rPr>
        <w:t>The Incentive Equity Plan Proposal</w:t>
      </w:r>
      <w:r>
        <w:rPr>
          <w:rFonts w:ascii="Times New Roman" w:hAnsi="Times New Roman"/>
          <w:sz w:val="20"/>
          <w:bdr w:val="single" w:sz="8" w:space="1" w:color="000000"/>
        </w:rPr>
        <w:t xml:space="preserve"> for additional information regarding this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Charter Limitation Amendment Proposal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discussed in this proxy statement/prospectus, Armada is asking its shareholders to approve the Charter Limitation Amendment Proposal in order to facilitate the consummation of the Business Combination. Armada will ask its shareholders to approve the Charter Limitation Amendment Proposal to delete the limitation that Armada shall not consummate a business combination if Armada has net tangible of less than $5,000,001.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Please see the section titled </w:t>
      </w:r>
      <w:r>
        <w:rPr>
          <w:rFonts w:ascii="Times New Roman" w:hAnsi="Times New Roman"/>
          <w:i/>
          <w:sz w:val="20"/>
          <w:bdr w:val="single" w:sz="8" w:space="1" w:color="000000"/>
        </w:rPr>
        <w:t>The Charter Limitation Amendment</w:t>
      </w:r>
      <w:r>
        <w:rPr>
          <w:rFonts w:ascii="Times New Roman" w:hAnsi="Times New Roman"/>
          <w:sz w:val="20"/>
          <w:bdr w:val="single" w:sz="8" w:space="1" w:color="000000"/>
        </w:rPr>
        <w:t xml:space="preserve"> </w:t>
      </w:r>
      <w:r>
        <w:rPr>
          <w:rFonts w:ascii="Times New Roman" w:hAnsi="Times New Roman"/>
          <w:i/>
          <w:sz w:val="20"/>
          <w:bdr w:val="single" w:sz="8" w:space="1" w:color="000000"/>
        </w:rPr>
        <w:t>Proposal</w:t>
      </w:r>
      <w:r>
        <w:rPr>
          <w:rFonts w:ascii="Times New Roman" w:hAnsi="Times New Roman"/>
          <w:sz w:val="20"/>
          <w:bdr w:val="single" w:sz="8" w:space="1" w:color="000000"/>
        </w:rPr>
        <w:t xml:space="preserve"> for additional information regarding this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Adjournment Proposal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stockholders of Armada will be asked to vote on a proposal to adjourn the Special Meeting to a later date or dates, if necessary, to permit further solicitation and vote of proxies if there are insufficient votes for, or otherwise in connection with, the approval of the Business Combination Proposal, the Nasdaq Proposal, the Incentive Equity Plan Proposal or the Charter Limitation Amendment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Please see the section entitled </w:t>
      </w:r>
      <w:r>
        <w:rPr>
          <w:rFonts w:ascii="Times New Roman" w:hAnsi="Times New Roman"/>
          <w:i/>
          <w:sz w:val="20"/>
          <w:bdr w:val="single" w:sz="8" w:space="1" w:color="000000"/>
        </w:rPr>
        <w:t>The Adjournment Proposal</w:t>
      </w:r>
      <w:r>
        <w:rPr>
          <w:rFonts w:ascii="Times New Roman" w:hAnsi="Times New Roman"/>
          <w:sz w:val="20"/>
          <w:bdr w:val="single" w:sz="8" w:space="1" w:color="000000"/>
        </w:rPr>
        <w:t xml:space="preserve"> for additional information regarding this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Armada Initial Shareholders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Record Date, the Armada Initial Shareholders beneficially owned and are entitled to vote an aggregate of                 Founder Shares that were issued prior to the IPO of Armada. The Founder Shares currently constitute     % of the outstanding Armada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the Sponsor and officers and directors of Armada agreed to vote the Founder Shares, as well as any Armada Public Shares acquired in the aftermarket, in favor of the Business Combination Proposal, and all other proposals being presented at the Armada Special Meeting. If Armada does not consummate a Business Combination and must liquidate and its remaining net assets are insufficient to complete such liquidation, the Sponsor has agreed to advance such funds necessary to complete such liquidation and agrees not to seek repayment for such expenses.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Date, Time and Place of Armada Special Meeting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Special Meeting will be held on                 , 2023 at                  Eastern Time at </w:t>
      </w:r>
      <w:r>
        <w:rPr>
          <w:rFonts w:ascii="Times New Roman" w:hAnsi="Times New Roman"/>
          <w:i/>
          <w:sz w:val="20"/>
          <w:bdr w:val="single" w:sz="8" w:space="1" w:color="000000"/>
        </w:rPr>
        <w:t>http://www.cstproxy.com/armadaacquisition/2023</w:t>
      </w:r>
      <w:r>
        <w:rPr>
          <w:rFonts w:ascii="Times New Roman" w:hAnsi="Times New Roman"/>
          <w:sz w:val="20"/>
          <w:bdr w:val="single" w:sz="8" w:space="1" w:color="000000"/>
        </w:rPr>
        <w:t xml:space="preserve">, or at such other date, time and place to which such meeting may be adjourned or postponed, to consider and vote upon the proposals. The Special Meeting will be conducted exclusively via live webcast so stockholders will not be able to attend the meeting in person. Stockholders may attend the Special Meeting online and vote at the Special Meeting by visiting </w:t>
      </w:r>
      <w:r>
        <w:rPr>
          <w:rFonts w:ascii="Times New Roman" w:hAnsi="Times New Roman"/>
          <w:i/>
          <w:sz w:val="20"/>
          <w:bdr w:val="single" w:sz="8" w:space="1" w:color="000000"/>
        </w:rPr>
        <w:t>http://www.cstproxy.com/armadaacquisition/2023</w:t>
      </w:r>
      <w:r>
        <w:rPr>
          <w:rFonts w:ascii="Times New Roman" w:hAnsi="Times New Roman"/>
          <w:sz w:val="20"/>
          <w:bdr w:val="single" w:sz="8" w:space="1" w:color="000000"/>
        </w:rPr>
        <w:t xml:space="preserve"> and entering your 12-digit control number, which is either included on the proxy card you received or obtained through Continental Stock Transfer &amp; Trust Company.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Voting Instructions for the Special Meeting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vote upon the proposals included in this proxy statement/prospectus, please follow these instructions as applicable to the nature of your ownership of Armada Common Stock: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date and return the proxy card pursuant to the instructions on the card. If you return your signed proxy card before the Special Meeting, we will vote your shares as directed.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over the telephone, dial toll-free 1-800-690-6903 using a touch-tone phone and follow the recorded instructions. You will be asked to provide the company number and control number from the Notice. Your telephone vote must be received by 11:59 p.m. Eastern Time on                 , 2023 to be counted.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through the Internet before the meeting, go to </w:t>
            </w:r>
            <w:r>
              <w:rPr>
                <w:rFonts w:ascii="Times New Roman" w:hAnsi="Times New Roman"/>
                <w:i/>
                <w:sz w:val="20"/>
              </w:rPr>
              <w:t>www.cstproxyvote.com</w:t>
            </w:r>
            <w:r>
              <w:rPr>
                <w:rFonts w:ascii="Times New Roman" w:hAnsi="Times New Roman"/>
                <w:sz w:val="20"/>
              </w:rPr>
              <w:t>/</w:t>
            </w:r>
            <w:r>
              <w:rPr>
                <w:rFonts w:ascii="Times New Roman" w:hAnsi="Times New Roman"/>
                <w:i/>
                <w:sz w:val="20"/>
              </w:rPr>
              <w:t>armadaacquisition/2023</w:t>
            </w:r>
            <w:r>
              <w:rPr>
                <w:rFonts w:ascii="Times New Roman" w:hAnsi="Times New Roman"/>
                <w:sz w:val="20"/>
              </w:rPr>
              <w:t xml:space="preserve"> and follow the on-screen instructions. Your Internet vote must be received by 11:59 p.m. Eastern Time on                 , 2023 to be counted.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To vote through the Internet during the meeting, please visit </w:t>
      </w:r>
      <w:r>
        <w:rPr>
          <w:rFonts w:ascii="Times New Roman" w:hAnsi="Times New Roman"/>
          <w:i/>
          <w:sz w:val="20"/>
          <w:bdr w:val="single" w:sz="8" w:space="1" w:color="000000"/>
        </w:rPr>
        <w:t>http://www.cstproxy.com/armadaacquisition/2023</w:t>
      </w:r>
      <w:r>
        <w:rPr>
          <w:rFonts w:ascii="Times New Roman" w:hAnsi="Times New Roman"/>
          <w:sz w:val="20"/>
          <w:bdr w:val="single" w:sz="8" w:space="1" w:color="000000"/>
        </w:rPr>
        <w:t xml:space="preserve"> and have available the 12-digit control number included in your Notice, on your proxy card or on the instructions that accompanied your proxy materials.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Voting Power; Record Date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Only Armada stockholders of record at the close of business on                 , 2023, the record date for the Special Meeting, will be entitled to vote at the Special Meeting. You are entitled to one vote for each share of Armada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shares of Armada Common Stock and Founder Shares outstanding and entitled to vote, of which                  are public shares,                  are Private Placement Shares held by our Sponsor, and                  are Founder Shares held by our Sponsor, officers and directors.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Quorum and Vote of Armada Stockholders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approval of the Business Combination Proposal, the Nasdaq Proposal, the Incentive Equity Plan Proposal and the Adjournment Proposal requires the affirmative vote of a majority of votes cast by the stockholders present in person or represented by proxy and entitled to vote thereon at the Special Meeting. In order to establish the quorum for purposes of each of the Business Combination Proposal, the Nasdaq Proposal, the Incentive Equity Plan Proposal and the Adjournment Proposal, holders of at least a majority of the outstanding shares of Armada Common Stock must be present at the Special Meeting in person or by proxy. Accordingly, an Armada stockholders failure to vote by proxy or to vote in person at the Special Meeting will not be counted towards the number of shares of Armada Common Stock required to validly establish a quorum, and if a valid quorum is otherwise established, such failure to vote will have no effect on the outcome of any vote on the Business Combination Proposal, the Nasdaq Proposal, the Incentive Equity Plan Proposal and the Adjournment Proposal. Abstentions will be counted in connection with the determination of whether a valid quorum is established and will have no effect on the Business Combination Proposal, the Nasdaq Proposal, the Incentive Equity Plan Proposal and the Adjournment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these voting standards, a failure to vote or an abstention will have no effect on the Business Combination Proposal, the Nasdaq Proposal, the Incentive Equity Plan Proposal and the Adjournment Proposal. Broker non-votes will not have any effect on the outcome of any other Proposals.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transactions contemplated by the Business Combination Agreement will be consummated only if the Business Combination Proposal, the Nasdaq Proposal, and the Incentive Equity Plan Proposal are approved at the Special Meeting. The proposals in this proxy statement/prospectus (other than the Adjournment Proposal) are conditioned on the approval of the Business Combination Proposal.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It is important for you to note that in the event that the Business Combination Proposal, the Nasdaq Proposal or the Incentive Equity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Redemption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our current amended and restated certificate of incorporation, holders of public shares may elect to have their shares redeemed for cash at the applicable redemption price per share equal to the quotient obtained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by dividing (i) the aggregate amount on deposit in the Trust Account as of two business days prior to the consummation of the Business Combination, including interest not previously released to Armada to pay its franchise and income taxes, by (ii) the total number of then-outstanding public shares. Although the Armada Charter does not provide a specified maximum redemption threshold, the Armada Charter prohibits Armada from closing the Business Combination if its net tangible assets would be less than $5,000,001, unless the Charter Limitation Amendment Proposal is approved and implemented prior to the closing of the Business Combination. As of                 , the estimated per share redemption price would have been approximately $                .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If a holder exercises its redemption rights, then such holder will be exchanging its shares of Armada Common Stock for cash and will no longer own shares of the post-combination company. Such a holder will be entitled to receive cash for its public shares only if it properly demands redemption and delivers its shares (either physically or electronically) to our Transfer Agent in accordance with the procedures described herein. Please see the section entitled </w:t>
      </w:r>
      <w:r>
        <w:rPr>
          <w:rFonts w:ascii="Times New Roman" w:hAnsi="Times New Roman"/>
          <w:i/>
          <w:sz w:val="20"/>
          <w:bdr w:val="single" w:sz="8" w:space="1" w:color="000000"/>
        </w:rPr>
        <w:t>Special Meeting of Company Stockholders  Redemption Rights</w:t>
      </w:r>
      <w:r>
        <w:rPr>
          <w:rFonts w:ascii="Times New Roman" w:hAnsi="Times New Roman"/>
          <w:sz w:val="20"/>
          <w:bdr w:val="single" w:sz="8" w:space="1" w:color="000000"/>
        </w:rPr>
        <w:t xml:space="preserve"> for the procedures to be followed if you wish to redeem your shares for cash. Any request for redemption may be withdrawn until the deadline for submitting redemption requests and thereafter, with our consent, until the vote is taken with respect to the Business Combination.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Appraisal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Appraisal rights are not available to holders of shares of Armada Common Stock in connection with the Business Combination.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Proxy Solicitation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Proxies may be solicited by mail. Armada has engaged                  to assist in the solicitation of proxies.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If a stockholder grants a proxy, it may still vote its shares in person if it revokes its proxy before the Special Meeting. A stockholder may also change its vote by submitting a later-dated proxy, as described in the section entitled </w:t>
      </w:r>
      <w:r>
        <w:rPr>
          <w:rFonts w:ascii="Times New Roman" w:hAnsi="Times New Roman"/>
          <w:i/>
          <w:sz w:val="20"/>
          <w:bdr w:val="single" w:sz="8" w:space="1" w:color="000000"/>
        </w:rPr>
        <w:t>Special Meeting of Company Stockholders  Revoking Your Proxy</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Interests of Armada Directors and Officers in the Business Combination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interests include, among other things: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Armadas Sponsor has agreed not to redeem any of the Founder Shares in connection with a stockholder vote to approve the Business Combination, as provided in the Armada Letter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continued indemnification of Armadas existing directors and officers and the continuation of Armadas directors and officers liability insurance after the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Stephen Herbert and Douglas Lurio will be appointed as board members of Rezolve after the Business Combination and shall be entitled to receive compensation for serving on Rezolves board of directors after the Business Combination;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                 and $                 , respectively, based upon the closing price of $                 per public share on the Nasdaq on                  ,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Non-Redeeming Stockholders agreeing not to redeem Armadas public shares at the 2023 annual meeting of stockholders called by Armada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Armadas Sponsor holds in the aggregate approximately     % of the total shares outstanding as of the date of this proxy statement/prospectus. The Founder Shares will likely be worthless if Armada does not complete a business combination by the applicable deadline.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Recommendation to Stockholders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Board believes that the Business Combination Proposal, the Nasdaq Proposal, the Incentive Equity Plan Proposal and the Adjournment Proposal to be presented at the Special Meeting are each in the best interests of Armada and our stockholders and recommends that its stockholders vote FOR each of the proposals.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When you consider the recommendation of our Board in favor of approval of the Business Combination Proposal, you should keep in mind that our Sponsor and certain members of our Board and officers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the Business Combination Proposal. Please see </w:t>
      </w:r>
      <w:r>
        <w:rPr>
          <w:rFonts w:ascii="Times New Roman" w:hAnsi="Times New Roman"/>
          <w:i/>
          <w:sz w:val="20"/>
          <w:bdr w:val="single" w:sz="8" w:space="1" w:color="000000"/>
        </w:rPr>
        <w:t>Special Meeting of Company Stockholders  Recommendation to Company Stockholders</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Conditions to the Closing of the Business Combination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Reorganization is to occur on the first business day following the satisfaction of the specified conditions and following the Company Reorganization Date, the Merger Closing is to take place.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 (b) the registration statement of Rezolve shall have become effective; (c) Armadas stockholders shall have approved, among other things, the Business Combination; (d) the approval for listing on Nasdaq (subject to official notice of issuance) of the Rezolve Ordinary Shares held by the existing Rezolve Shareholders and those to be issued in connection with the Merger (the Nasdaq Listing Condition); (e) Rezolves board of directors receiving authorization from its shareholders to (A) allot the Rezolve Ordinary Shares and Rezolve Warrants in connection with the Merger in accordance with section 551 of the U.K. Companies Act, via ordinary resolution, (B) dis-apply pre-emption rights in accordance with section 561 of the U.K. Companies Act, via special resolution, and (C) amend Rezolves articles of association via special resolution; (f) the Pre-Closing Demerger, the Company Reorganization and Merger shall have occurred; (g) the Rezolve Incentive Equity Plan shall have been adopted; (h) each consent required by Armada and Rezolve has been obtained (i) the expiration or termination of any applicable waiting period under applicable anti-trust laws; (i) Rezolves fundamental representations remain true and correct; (j) Rezolve will have performed and complied in all material respects with the covenants and agreements required to be performed or complied with by it; (k) there has been no review under the National Security and Investment Act 2021; (l) no material adverse effect will have occurred in relation to Rezolve; and (m) certain documents are delivered by Rezolve to Armada, including the Investor Rights Agreement. The Armada Charter would prohibit Armada from closing the Business Combination if its net tangible assets would be less than $5,000,001, unless the Charter Limitation Amendment Proposal is approved and implemented prior to closing of the Business Combination.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Anticipated Accounting Treatment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Business Combination will be accounted for as a reverse recapitalization, with no goodwill or other intangible assets recorded, in accordance with GAAP. Under this method of accounting, Armada will be treated as the acquired company for financial reporting purposes. Accordingly, for accounting purposes, the Business Combination will be treated as the equivalent of Rezolve issuing stock for the net assets of Armada, accompanied by a recapitalization. The net assets of Armada will be stated at historical cost, with no goodwill or other intangible assets recorded.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Regulatory Matters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Business Combination and the transactions contemplated by the Business Combination Agreement are not subject to any additional federal or state regulatory requirement or approval, except for filings with the Registrar of Companies in England and Wales and such filings as are necessary to effectuate the Merger.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In evaluating the proposals to be presented at the Armada Special Meeting, a shareholder should carefully read this proxy statement/prospectus and especially consider the factors discussed in the section entitled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1" w:name="tx309194_9"/>
      <w:bookmarkEnd w:id="11"/>
      <w:r>
        <w:rPr>
          <w:rFonts w:ascii="Times New Roman" w:hAnsi="Times New Roman"/>
          <w:b/>
          <w:sz w:val="20"/>
          <w:bdr w:val="single" w:sz="8" w:space="1" w:color="000000"/>
        </w:rPr>
        <w:t xml:space="preserve">SUMMARY HISTORICAL FINANCIAL INFORMATION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Financial Information of Armada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Armada is providing the following summary historical financial information to assist you in your analysis of the financial aspects of the Business Combination.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contains summary financial information of Armada as of and for the twelve months ended September 30, 2022 and as of and for the period from November 5, 2020 (inception) to September 30, 2021, and as of and for the six months ended March 31, 2023 and March 31, 2022. Armadas summary financial information as of and for the twelve months ended September 30, 2022 and the period from November 5, 2020 (inception) through September 30, 2021, statements of operations for the twelve months ended September 30, 2022 and for the period from November 5, 2020 (inception) to September 30, 2021, statements of changes in stockholders equity (deficit) for the twelve months ended September 30, 2022 and the period from November 5, 2020 (inception) to September 30, 2021, and statements of cash flows for the twelve months ended September 30, 2022 and the period from November 5, 2020 (inception) to September 30, 2021 are derived from Armadas audited financial statements included elsewhere in this proxy statement/prospectus. Armadas summary financial information as of and for the six months ended March 31, 2023 and March 31, 2022, unaudited condensed statements of operations for the three months and six months ended March 31, 2023 and March 31, 2022, Armadas Condensed Statements of Changes in Stockholders Equity (Deficit) for the three months and six months ended March 31, 2023 and March 31, 2022 and the Unaudited Condensed Statements of Cash Flows for the six months ended March 31, 2023 and March 31, 2022 are derived from Armadas condensed financial statements included elsewhere in this proxy statement/prospectus.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financial statements of Armada are stated in U.S. dollars ($).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information in this section is only a summary and should be read in conjunction with each of Armadas financial statements and related notes and </w:t>
      </w:r>
      <w:r>
        <w:rPr>
          <w:rFonts w:ascii="Times New Roman" w:hAnsi="Times New Roman"/>
          <w:i/>
          <w:sz w:val="20"/>
          <w:bdr w:val="single" w:sz="8" w:space="1" w:color="000000"/>
        </w:rPr>
        <w:t>Other Information Related to Armada  Armadas Managements Discussion and Analysis of Financial Condition and Results of Operations</w:t>
      </w:r>
      <w:r>
        <w:rPr>
          <w:rFonts w:ascii="Times New Roman" w:hAnsi="Times New Roman"/>
          <w:sz w:val="20"/>
          <w:bdr w:val="single" w:sz="8" w:space="1" w:color="000000"/>
        </w:rPr>
        <w:t xml:space="preserve"> contained elsewhere herein. The historical results included below and elsewhere in this proxy statement/prospectus are not indicative of the future performance of Armada.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1678"/>
        <w:gridCol w:w="145"/>
        <w:gridCol w:w="140"/>
        <w:gridCol w:w="1067"/>
        <w:gridCol w:w="156"/>
        <w:gridCol w:w="92"/>
        <w:gridCol w:w="140"/>
        <w:gridCol w:w="1067"/>
        <w:gridCol w:w="156"/>
        <w:gridCol w:w="92"/>
        <w:gridCol w:w="140"/>
        <w:gridCol w:w="981"/>
        <w:gridCol w:w="156"/>
        <w:gridCol w:w="91"/>
        <w:gridCol w:w="140"/>
        <w:gridCol w:w="1067"/>
        <w:gridCol w:w="156"/>
        <w:gridCol w:w="92"/>
        <w:gridCol w:w="140"/>
        <w:gridCol w:w="1067"/>
        <w:gridCol w:w="156"/>
        <w:gridCol w:w="92"/>
        <w:gridCol w:w="140"/>
        <w:gridCol w:w="889"/>
        <w:gridCol w:w="165"/>
      </w:tblGrid>
      <w:tr>
        <w:trPr/>
        <w:tc>
          <w:tcPr>
            <w:tcW w:w="1678"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662"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March 31,</w:t>
            </w:r>
            <w:r>
              <w:rPr/>
              <w:br/>
              <w:t>(Unaudited)</w:t>
            </w:r>
          </w:p>
        </w:tc>
        <w:tc>
          <w:tcPr>
            <w:tcW w:w="15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575"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December 31,</w:t>
            </w:r>
            <w:r>
              <w:rPr/>
              <w:br/>
              <w:t>(Unaudited)</w:t>
            </w:r>
          </w:p>
        </w:tc>
        <w:tc>
          <w:tcPr>
            <w:tcW w:w="15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484"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September 30,</w:t>
            </w:r>
            <w:r>
              <w:rPr/>
              <w:br/>
              <w:t>(Audited)</w:t>
            </w:r>
          </w:p>
        </w:tc>
        <w:tc>
          <w:tcPr>
            <w:tcW w:w="165" w:type="dxa"/>
            <w:tcBorders/>
            <w:vAlign w:val="bottom"/>
          </w:tcPr>
          <w:p>
            <w:pPr>
              <w:pStyle w:val="TableContents"/>
              <w:bidi w:val="0"/>
              <w:spacing w:before="0" w:after="283"/>
              <w:jc w:val="left"/>
              <w:rPr/>
            </w:pPr>
            <w:r>
              <w:rPr/>
              <w:t> </w:t>
            </w:r>
          </w:p>
        </w:tc>
      </w:tr>
      <w:tr>
        <w:trPr/>
        <w:tc>
          <w:tcPr>
            <w:tcW w:w="167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2021(1)</w:t>
            </w:r>
          </w:p>
        </w:tc>
        <w:tc>
          <w:tcPr>
            <w:tcW w:w="165" w:type="dxa"/>
            <w:tcBorders/>
            <w:vAlign w:val="bottom"/>
          </w:tcPr>
          <w:p>
            <w:pPr>
              <w:pStyle w:val="TableContents"/>
              <w:bidi w:val="0"/>
              <w:spacing w:before="0" w:after="283"/>
              <w:jc w:val="left"/>
              <w:rPr/>
            </w:pPr>
            <w:r>
              <w:rPr/>
              <w:t> </w:t>
            </w:r>
          </w:p>
        </w:tc>
      </w:tr>
      <w:tr>
        <w:trPr/>
        <w:tc>
          <w:tcPr>
            <w:tcW w:w="1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Formation and operating costs</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 </w:t>
            </w:r>
            <w:r>
              <w:rPr/>
              <w:t>1,185,087</w:t>
            </w:r>
          </w:p>
        </w:tc>
        <w:tc>
          <w:tcPr>
            <w:tcW w:w="15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 </w:t>
            </w:r>
            <w:r>
              <w:rPr/>
              <w:t>2,367,661</w:t>
            </w:r>
          </w:p>
        </w:tc>
        <w:tc>
          <w:tcPr>
            <w:tcW w:w="15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 </w:t>
            </w:r>
            <w:r>
              <w:rPr/>
              <w:t>394,352</w:t>
            </w:r>
          </w:p>
        </w:tc>
        <w:tc>
          <w:tcPr>
            <w:tcW w:w="15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 </w:t>
            </w:r>
            <w:r>
              <w:rPr/>
              <w:t>2,010,995</w:t>
            </w:r>
          </w:p>
        </w:tc>
        <w:tc>
          <w:tcPr>
            <w:tcW w:w="15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 </w:t>
            </w:r>
            <w:r>
              <w:rPr/>
              <w:t>4,391,263</w:t>
            </w:r>
          </w:p>
        </w:tc>
        <w:tc>
          <w:tcPr>
            <w:tcW w:w="15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184,105</w:t>
            </w:r>
          </w:p>
        </w:tc>
        <w:tc>
          <w:tcPr>
            <w:tcW w:w="165" w:type="dxa"/>
            <w:tcBorders/>
            <w:shd w:fill="CCEEFF" w:val="clear"/>
            <w:vAlign w:val="bottom"/>
          </w:tcPr>
          <w:p>
            <w:pPr>
              <w:pStyle w:val="TableContents"/>
              <w:bidi w:val="0"/>
              <w:spacing w:before="0" w:after="283"/>
              <w:jc w:val="left"/>
              <w:rPr/>
            </w:pPr>
            <w:r>
              <w:rPr/>
              <w:t> </w:t>
            </w:r>
          </w:p>
        </w:tc>
      </w:tr>
      <w:tr>
        <w:trPr/>
        <w:tc>
          <w:tcPr>
            <w:tcW w:w="167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55,926</w:t>
            </w:r>
          </w:p>
        </w:tc>
        <w:tc>
          <w:tcPr>
            <w:tcW w:w="156"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55,926</w:t>
            </w:r>
          </w:p>
        </w:tc>
        <w:tc>
          <w:tcPr>
            <w:tcW w:w="15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27,963</w:t>
            </w:r>
          </w:p>
        </w:tc>
        <w:tc>
          <w:tcPr>
            <w:tcW w:w="15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27,963</w:t>
            </w:r>
          </w:p>
        </w:tc>
        <w:tc>
          <w:tcPr>
            <w:tcW w:w="15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111,852</w:t>
            </w:r>
          </w:p>
        </w:tc>
        <w:tc>
          <w:tcPr>
            <w:tcW w:w="15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285,846</w:t>
            </w:r>
          </w:p>
        </w:tc>
        <w:tc>
          <w:tcPr>
            <w:tcW w:w="165" w:type="dxa"/>
            <w:tcBorders/>
            <w:vAlign w:val="bottom"/>
          </w:tcPr>
          <w:p>
            <w:pPr>
              <w:pStyle w:val="TableContents"/>
              <w:bidi w:val="0"/>
              <w:spacing w:before="0" w:after="283"/>
              <w:jc w:val="left"/>
              <w:rPr/>
            </w:pPr>
            <w:r>
              <w:rPr/>
              <w:t> </w:t>
            </w:r>
          </w:p>
        </w:tc>
      </w:tr>
      <w:tr>
        <w:trPr/>
        <w:tc>
          <w:tcPr>
            <w:tcW w:w="167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6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from operation</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(1,241,013</w:t>
            </w:r>
          </w:p>
        </w:tc>
        <w:tc>
          <w:tcPr>
            <w:tcW w:w="15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(2,423,587</w:t>
            </w:r>
          </w:p>
        </w:tc>
        <w:tc>
          <w:tcPr>
            <w:tcW w:w="15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(422,315</w:t>
            </w:r>
          </w:p>
        </w:tc>
        <w:tc>
          <w:tcPr>
            <w:tcW w:w="15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(2,038,958</w:t>
            </w:r>
          </w:p>
        </w:tc>
        <w:tc>
          <w:tcPr>
            <w:tcW w:w="15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(4,503,115</w:t>
            </w:r>
          </w:p>
        </w:tc>
        <w:tc>
          <w:tcPr>
            <w:tcW w:w="15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(469,951</w:t>
            </w:r>
          </w:p>
        </w:tc>
        <w:tc>
          <w:tcPr>
            <w:tcW w:w="165" w:type="dxa"/>
            <w:tcBorders/>
            <w:shd w:fill="CCEEFF" w:val="clear"/>
            <w:vAlign w:val="bottom"/>
          </w:tcPr>
          <w:p>
            <w:pPr>
              <w:pStyle w:val="TableContents"/>
              <w:bidi w:val="0"/>
              <w:spacing w:before="0" w:after="283"/>
              <w:jc w:val="left"/>
              <w:rPr/>
            </w:pPr>
            <w:r>
              <w:rPr/>
              <w:t>) </w:t>
            </w:r>
          </w:p>
        </w:tc>
      </w:tr>
      <w:tr>
        <w:trPr/>
        <w:tc>
          <w:tcPr>
            <w:tcW w:w="167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67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Other income</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167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Trust interest income</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2,264,081</w:t>
            </w:r>
          </w:p>
        </w:tc>
        <w:tc>
          <w:tcPr>
            <w:tcW w:w="15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15,087</w:t>
            </w:r>
          </w:p>
        </w:tc>
        <w:tc>
          <w:tcPr>
            <w:tcW w:w="15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1,289,673</w:t>
            </w:r>
          </w:p>
        </w:tc>
        <w:tc>
          <w:tcPr>
            <w:tcW w:w="15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2,844</w:t>
            </w:r>
          </w:p>
        </w:tc>
        <w:tc>
          <w:tcPr>
            <w:tcW w:w="15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1,025,942</w:t>
            </w:r>
          </w:p>
        </w:tc>
        <w:tc>
          <w:tcPr>
            <w:tcW w:w="15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1,052</w:t>
            </w:r>
          </w:p>
        </w:tc>
        <w:tc>
          <w:tcPr>
            <w:tcW w:w="165" w:type="dxa"/>
            <w:tcBorders/>
            <w:shd w:fill="CCEEFF" w:val="clear"/>
            <w:vAlign w:val="bottom"/>
          </w:tcPr>
          <w:p>
            <w:pPr>
              <w:pStyle w:val="TableContents"/>
              <w:bidi w:val="0"/>
              <w:spacing w:before="0" w:after="283"/>
              <w:jc w:val="left"/>
              <w:rPr/>
            </w:pPr>
            <w:r>
              <w:rPr/>
              <w:t> </w:t>
            </w:r>
          </w:p>
        </w:tc>
      </w:tr>
      <w:tr>
        <w:trPr/>
        <w:tc>
          <w:tcPr>
            <w:tcW w:w="167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other income</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2,264,081</w:t>
            </w:r>
          </w:p>
        </w:tc>
        <w:tc>
          <w:tcPr>
            <w:tcW w:w="15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15,087</w:t>
            </w:r>
          </w:p>
        </w:tc>
        <w:tc>
          <w:tcPr>
            <w:tcW w:w="15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1,289,673</w:t>
            </w:r>
          </w:p>
        </w:tc>
        <w:tc>
          <w:tcPr>
            <w:tcW w:w="15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2,844</w:t>
            </w:r>
          </w:p>
        </w:tc>
        <w:tc>
          <w:tcPr>
            <w:tcW w:w="15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1,025,942</w:t>
            </w:r>
          </w:p>
        </w:tc>
        <w:tc>
          <w:tcPr>
            <w:tcW w:w="15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1,052</w:t>
            </w:r>
          </w:p>
        </w:tc>
        <w:tc>
          <w:tcPr>
            <w:tcW w:w="165" w:type="dxa"/>
            <w:tcBorders/>
            <w:vAlign w:val="bottom"/>
          </w:tcPr>
          <w:p>
            <w:pPr>
              <w:pStyle w:val="TableContents"/>
              <w:bidi w:val="0"/>
              <w:spacing w:before="0" w:after="283"/>
              <w:jc w:val="left"/>
              <w:rPr/>
            </w:pPr>
            <w:r>
              <w:rPr/>
              <w:t> </w:t>
            </w:r>
          </w:p>
        </w:tc>
      </w:tr>
      <w:tr>
        <w:trPr/>
        <w:tc>
          <w:tcPr>
            <w:tcW w:w="167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6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income</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 </w:t>
            </w:r>
            <w:r>
              <w:rPr/>
              <w:t>579,884</w:t>
            </w:r>
          </w:p>
        </w:tc>
        <w:tc>
          <w:tcPr>
            <w:tcW w:w="15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(2,408,500</w:t>
            </w:r>
          </w:p>
        </w:tc>
        <w:tc>
          <w:tcPr>
            <w:tcW w:w="15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 </w:t>
            </w:r>
            <w:r>
              <w:rPr/>
              <w:t>607,027</w:t>
            </w:r>
          </w:p>
        </w:tc>
        <w:tc>
          <w:tcPr>
            <w:tcW w:w="15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(2,036,114</w:t>
            </w:r>
          </w:p>
        </w:tc>
        <w:tc>
          <w:tcPr>
            <w:tcW w:w="15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(3,622,794</w:t>
            </w:r>
          </w:p>
        </w:tc>
        <w:tc>
          <w:tcPr>
            <w:tcW w:w="15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(468,899</w:t>
            </w:r>
          </w:p>
        </w:tc>
        <w:tc>
          <w:tcPr>
            <w:tcW w:w="165" w:type="dxa"/>
            <w:tcBorders/>
            <w:shd w:fill="CCEEFF" w:val="clear"/>
            <w:vAlign w:val="bottom"/>
          </w:tcPr>
          <w:p>
            <w:pPr>
              <w:pStyle w:val="TableContents"/>
              <w:bidi w:val="0"/>
              <w:spacing w:before="0" w:after="283"/>
              <w:jc w:val="left"/>
              <w:rPr/>
            </w:pPr>
            <w:r>
              <w:rPr/>
              <w:t>) </w:t>
            </w:r>
          </w:p>
        </w:tc>
      </w:tr>
      <w:tr>
        <w:trPr/>
        <w:tc>
          <w:tcPr>
            <w:tcW w:w="167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2" w:space="1" w:color="000000"/>
        </w:pBdr>
        <w:bidi w:val="0"/>
        <w:spacing w:lineRule="atLeast" w:line="160" w:before="0" w:after="4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period from November 5, 2020 (inception) through September 30, 2021. </w:t>
            </w:r>
          </w:p>
        </w:tc>
      </w:tr>
    </w:tbl>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1749"/>
        <w:gridCol w:w="234"/>
        <w:gridCol w:w="183"/>
        <w:gridCol w:w="1448"/>
        <w:gridCol w:w="155"/>
        <w:gridCol w:w="234"/>
        <w:gridCol w:w="201"/>
        <w:gridCol w:w="1781"/>
        <w:gridCol w:w="155"/>
        <w:gridCol w:w="234"/>
        <w:gridCol w:w="207"/>
        <w:gridCol w:w="1829"/>
        <w:gridCol w:w="162"/>
      </w:tblGrid>
      <w:tr>
        <w:trPr/>
        <w:tc>
          <w:tcPr>
            <w:tcW w:w="1749"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4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31"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March 31, 2023</w:t>
            </w:r>
            <w:r>
              <w:rPr/>
              <w:br/>
              <w:t>(Unaudited)</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982"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December 31, 2022</w:t>
            </w:r>
            <w:r>
              <w:rPr/>
              <w:br/>
              <w:t>(Unaudited)</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036"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September 30, 2022</w:t>
            </w:r>
            <w:r>
              <w:rPr/>
              <w:br/>
              <w:t>(Audited)</w:t>
            </w:r>
          </w:p>
        </w:tc>
        <w:tc>
          <w:tcPr>
            <w:tcW w:w="162" w:type="dxa"/>
            <w:tcBorders/>
            <w:vAlign w:val="bottom"/>
          </w:tcPr>
          <w:p>
            <w:pPr>
              <w:pStyle w:val="TableContents"/>
              <w:bidi w:val="0"/>
              <w:spacing w:before="0" w:after="283"/>
              <w:jc w:val="left"/>
              <w:rPr/>
            </w:pPr>
            <w:r>
              <w:rPr/>
              <w:t> </w:t>
            </w:r>
          </w:p>
        </w:tc>
      </w:tr>
      <w:tr>
        <w:trPr/>
        <w:tc>
          <w:tcPr>
            <w:tcW w:w="1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Sheet Data:</w:t>
            </w:r>
          </w:p>
        </w:tc>
        <w:tc>
          <w:tcPr>
            <w:tcW w:w="23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4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7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4"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829"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1749"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448" w:type="dxa"/>
            <w:tcBorders/>
            <w:vAlign w:val="bottom"/>
          </w:tcPr>
          <w:p>
            <w:pPr>
              <w:pStyle w:val="TableContents"/>
              <w:bidi w:val="0"/>
              <w:spacing w:before="0" w:after="283"/>
              <w:jc w:val="right"/>
              <w:rPr/>
            </w:pPr>
            <w:r>
              <w:rPr/>
              <w:t>235,949</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781" w:type="dxa"/>
            <w:tcBorders/>
            <w:vAlign w:val="bottom"/>
          </w:tcPr>
          <w:p>
            <w:pPr>
              <w:pStyle w:val="TableContents"/>
              <w:bidi w:val="0"/>
              <w:spacing w:before="0" w:after="283"/>
              <w:jc w:val="right"/>
              <w:rPr/>
            </w:pPr>
            <w:r>
              <w:rPr/>
              <w:t>363,247</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829" w:type="dxa"/>
            <w:tcBorders/>
            <w:vAlign w:val="bottom"/>
          </w:tcPr>
          <w:p>
            <w:pPr>
              <w:pStyle w:val="TableContents"/>
              <w:bidi w:val="0"/>
              <w:spacing w:before="0" w:after="283"/>
              <w:jc w:val="right"/>
              <w:rPr/>
            </w:pPr>
            <w:r>
              <w:rPr/>
              <w:t>177,578</w:t>
            </w:r>
          </w:p>
        </w:tc>
        <w:tc>
          <w:tcPr>
            <w:tcW w:w="162" w:type="dxa"/>
            <w:tcBorders/>
            <w:vAlign w:val="bottom"/>
          </w:tcPr>
          <w:p>
            <w:pPr>
              <w:pStyle w:val="TableContents"/>
              <w:bidi w:val="0"/>
              <w:spacing w:before="0" w:after="283"/>
              <w:jc w:val="left"/>
              <w:rPr/>
            </w:pPr>
            <w:r>
              <w:rPr/>
              <w:t> </w:t>
            </w:r>
          </w:p>
        </w:tc>
      </w:tr>
      <w:tr>
        <w:trPr/>
        <w:tc>
          <w:tcPr>
            <w:tcW w:w="1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3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36,964,740</w:t>
            </w:r>
          </w:p>
        </w:tc>
        <w:tc>
          <w:tcPr>
            <w:tcW w:w="15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781" w:type="dxa"/>
            <w:tcBorders/>
            <w:shd w:fill="CCEEFF" w:val="clear"/>
            <w:vAlign w:val="bottom"/>
          </w:tcPr>
          <w:p>
            <w:pPr>
              <w:pStyle w:val="TableContents"/>
              <w:bidi w:val="0"/>
              <w:spacing w:before="0" w:after="283"/>
              <w:jc w:val="right"/>
              <w:rPr/>
            </w:pPr>
            <w:r>
              <w:rPr/>
              <w:t>154,004,109</w:t>
            </w:r>
          </w:p>
        </w:tc>
        <w:tc>
          <w:tcPr>
            <w:tcW w:w="15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829" w:type="dxa"/>
            <w:tcBorders/>
            <w:shd w:fill="CCEEFF" w:val="clear"/>
            <w:vAlign w:val="bottom"/>
          </w:tcPr>
          <w:p>
            <w:pPr>
              <w:pStyle w:val="TableContents"/>
              <w:bidi w:val="0"/>
              <w:spacing w:before="0" w:after="283"/>
              <w:jc w:val="right"/>
              <w:rPr/>
            </w:pPr>
            <w:r>
              <w:rPr/>
              <w:t>151,084,445</w:t>
            </w:r>
          </w:p>
        </w:tc>
        <w:tc>
          <w:tcPr>
            <w:tcW w:w="162" w:type="dxa"/>
            <w:tcBorders/>
            <w:shd w:fill="CCEEFF" w:val="clear"/>
            <w:vAlign w:val="bottom"/>
          </w:tcPr>
          <w:p>
            <w:pPr>
              <w:pStyle w:val="TableContents"/>
              <w:bidi w:val="0"/>
              <w:spacing w:before="0" w:after="283"/>
              <w:jc w:val="left"/>
              <w:rPr/>
            </w:pPr>
            <w:r>
              <w:rPr/>
              <w:t> </w:t>
            </w:r>
          </w:p>
        </w:tc>
      </w:tr>
      <w:tr>
        <w:trPr/>
        <w:tc>
          <w:tcPr>
            <w:tcW w:w="174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7,180,073</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81" w:type="dxa"/>
            <w:tcBorders/>
            <w:vAlign w:val="bottom"/>
          </w:tcPr>
          <w:p>
            <w:pPr>
              <w:pStyle w:val="TableContents"/>
              <w:bidi w:val="0"/>
              <w:spacing w:before="0" w:after="283"/>
              <w:jc w:val="right"/>
              <w:rPr/>
            </w:pPr>
            <w:r>
              <w:rPr/>
              <w:t>5,969,584</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829" w:type="dxa"/>
            <w:tcBorders/>
            <w:vAlign w:val="bottom"/>
          </w:tcPr>
          <w:p>
            <w:pPr>
              <w:pStyle w:val="TableContents"/>
              <w:bidi w:val="0"/>
              <w:spacing w:before="0" w:after="283"/>
              <w:jc w:val="right"/>
              <w:rPr/>
            </w:pPr>
            <w:r>
              <w:rPr/>
              <w:t>3,684,910</w:t>
            </w:r>
          </w:p>
        </w:tc>
        <w:tc>
          <w:tcPr>
            <w:tcW w:w="162" w:type="dxa"/>
            <w:tcBorders/>
            <w:vAlign w:val="bottom"/>
          </w:tcPr>
          <w:p>
            <w:pPr>
              <w:pStyle w:val="TableContents"/>
              <w:bidi w:val="0"/>
              <w:spacing w:before="0" w:after="283"/>
              <w:jc w:val="left"/>
              <w:rPr/>
            </w:pPr>
            <w:r>
              <w:rPr/>
              <w:t> </w:t>
            </w:r>
          </w:p>
        </w:tc>
      </w:tr>
      <w:tr>
        <w:trPr/>
        <w:tc>
          <w:tcPr>
            <w:tcW w:w="1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23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448" w:type="dxa"/>
            <w:tcBorders/>
            <w:shd w:fill="CCEEFF" w:val="clear"/>
            <w:vAlign w:val="bottom"/>
          </w:tcPr>
          <w:p>
            <w:pPr>
              <w:pStyle w:val="TableContents"/>
              <w:bidi w:val="0"/>
              <w:spacing w:before="0" w:after="283"/>
              <w:jc w:val="right"/>
              <w:rPr/>
            </w:pPr>
            <w:r>
              <w:rPr/>
              <w:t>(6,832,733</w:t>
            </w:r>
          </w:p>
        </w:tc>
        <w:tc>
          <w:tcPr>
            <w:tcW w:w="15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81" w:type="dxa"/>
            <w:tcBorders/>
            <w:shd w:fill="CCEEFF" w:val="clear"/>
            <w:vAlign w:val="bottom"/>
          </w:tcPr>
          <w:p>
            <w:pPr>
              <w:pStyle w:val="TableContents"/>
              <w:bidi w:val="0"/>
              <w:spacing w:before="0" w:after="283"/>
              <w:jc w:val="right"/>
              <w:rPr/>
            </w:pPr>
            <w:r>
              <w:rPr/>
              <w:t>(4,993,680</w:t>
            </w:r>
          </w:p>
        </w:tc>
        <w:tc>
          <w:tcPr>
            <w:tcW w:w="15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829" w:type="dxa"/>
            <w:tcBorders/>
            <w:shd w:fill="CCEEFF" w:val="clear"/>
            <w:vAlign w:val="bottom"/>
          </w:tcPr>
          <w:p>
            <w:pPr>
              <w:pStyle w:val="TableContents"/>
              <w:bidi w:val="0"/>
              <w:spacing w:before="0" w:after="283"/>
              <w:jc w:val="right"/>
              <w:rPr/>
            </w:pPr>
            <w:r>
              <w:rPr/>
              <w:t>(3,149,327</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Historical Summary Financial Information of Rezolve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summarizes Rezolves financial data. Rezolve has derived the following statements of operations and comprehensive loss for the years ended December 31, 2022 and 2021 and balance sheet data as of December 31, 2022 from Rezolve AI Limiteds audited carve-out financial statements included elsewhere in this proxy statement/prospectus, which includes the financial statements of Rezolve AI Limited, Rezolve Limited, its consolidated subsidiaries, and any variable interest entity in which Rezolve is the primary beneficiary, with the exception of the subsidiaries Rezolve Information Technology (Shanghai) Co., Ltd. and Nine Stone (Shanghai) Ltd (the Rezolve Financial Statements).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Rezolve Financial Statements are stated in U.S. dollars ($).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information in this section is only a summary and should be read in conjunction with each of the Rezolve Financial Statements and related notes and </w:t>
      </w:r>
      <w:r>
        <w:rPr>
          <w:rFonts w:ascii="Times New Roman" w:hAnsi="Times New Roman"/>
          <w:i/>
          <w:sz w:val="20"/>
          <w:bdr w:val="single" w:sz="8" w:space="1" w:color="000000"/>
        </w:rPr>
        <w:t>Rezolves Managements Discussion and Analysis of Financial Condition and Results of Operations</w:t>
      </w:r>
      <w:r>
        <w:rPr>
          <w:rFonts w:ascii="Times New Roman" w:hAnsi="Times New Roman"/>
          <w:sz w:val="20"/>
          <w:bdr w:val="single" w:sz="8" w:space="1" w:color="000000"/>
        </w:rPr>
        <w:t xml:space="preserve"> contained elsewhere herein. The historical results included below and elsewhere in this proxy statement/prospectus are not indicative of the future performance of Rezolve. </w:t>
      </w:r>
    </w:p>
    <w:p>
      <w:pPr>
        <w:pStyle w:val="TextBody"/>
        <w:bidi w:val="0"/>
        <w:spacing w:before="0" w:after="0"/>
        <w:jc w:val="left"/>
        <w:rPr>
          <w:bdr w:val="single" w:sz="8" w:space="1" w:color="000000"/>
        </w:rPr>
      </w:pPr>
      <w:r>
        <w:rPr>
          <w:bdr w:val="single" w:sz="8" w:space="1" w:color="000000"/>
        </w:rPr>
        <w:t> </w:t>
      </w:r>
    </w:p>
    <w:tbl>
      <w:tblPr>
        <w:tblW w:w="3800" w:type="pct"/>
        <w:jc w:val="center"/>
        <w:tblInd w:w="0" w:type="dxa"/>
        <w:tblLayout w:type="fixed"/>
        <w:tblCellMar>
          <w:top w:w="0" w:type="dxa"/>
          <w:left w:w="0" w:type="dxa"/>
          <w:bottom w:w="0" w:type="dxa"/>
          <w:right w:w="0" w:type="dxa"/>
        </w:tblCellMar>
      </w:tblPr>
      <w:tblGrid>
        <w:gridCol w:w="3713"/>
        <w:gridCol w:w="316"/>
        <w:gridCol w:w="144"/>
        <w:gridCol w:w="1468"/>
        <w:gridCol w:w="155"/>
        <w:gridCol w:w="316"/>
        <w:gridCol w:w="144"/>
        <w:gridCol w:w="1337"/>
        <w:gridCol w:w="162"/>
      </w:tblGrid>
      <w:tr>
        <w:trPr/>
        <w:tc>
          <w:tcPr>
            <w:tcW w:w="3713"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3"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3564"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62" w:type="dxa"/>
            <w:tcBorders/>
            <w:vAlign w:val="bottom"/>
          </w:tcPr>
          <w:p>
            <w:pPr>
              <w:pStyle w:val="TableContents"/>
              <w:bidi w:val="0"/>
              <w:spacing w:before="0" w:after="283"/>
              <w:jc w:val="left"/>
              <w:rPr/>
            </w:pPr>
            <w:r>
              <w:rPr/>
              <w:t> </w:t>
            </w:r>
          </w:p>
        </w:tc>
      </w:tr>
      <w:tr>
        <w:trPr/>
        <w:tc>
          <w:tcPr>
            <w:tcW w:w="3713"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2" w:type="dxa"/>
            <w:tcBorders/>
            <w:vAlign w:val="bottom"/>
          </w:tcPr>
          <w:p>
            <w:pPr>
              <w:pStyle w:val="TableContents"/>
              <w:bidi w:val="0"/>
              <w:spacing w:before="0" w:after="283"/>
              <w:jc w:val="left"/>
              <w:rPr/>
            </w:pPr>
            <w:r>
              <w:rPr/>
              <w:t> </w:t>
            </w:r>
          </w:p>
        </w:tc>
      </w:tr>
      <w:tr>
        <w:trPr/>
        <w:tc>
          <w:tcPr>
            <w:tcW w:w="3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31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12,325,753</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337" w:type="dxa"/>
            <w:tcBorders/>
            <w:shd w:fill="CCEEFF" w:val="clear"/>
            <w:vAlign w:val="bottom"/>
          </w:tcPr>
          <w:p>
            <w:pPr>
              <w:pStyle w:val="TableContents"/>
              <w:bidi w:val="0"/>
              <w:spacing w:before="0" w:after="283"/>
              <w:jc w:val="right"/>
              <w:rPr/>
            </w:pPr>
            <w:r>
              <w:rPr/>
              <w:t>3,904,574</w:t>
            </w:r>
          </w:p>
        </w:tc>
        <w:tc>
          <w:tcPr>
            <w:tcW w:w="162" w:type="dxa"/>
            <w:tcBorders/>
            <w:shd w:fill="CCEEFF" w:val="clear"/>
            <w:vAlign w:val="bottom"/>
          </w:tcPr>
          <w:p>
            <w:pPr>
              <w:pStyle w:val="TableContents"/>
              <w:bidi w:val="0"/>
              <w:spacing w:before="0" w:after="283"/>
              <w:jc w:val="left"/>
              <w:rPr/>
            </w:pPr>
            <w:r>
              <w:rPr/>
              <w:t> </w:t>
            </w:r>
          </w:p>
        </w:tc>
      </w:tr>
      <w:tr>
        <w:trPr/>
        <w:tc>
          <w:tcPr>
            <w:tcW w:w="3713"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71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31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(99,584,867</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(36,233,946</w:t>
            </w:r>
          </w:p>
        </w:tc>
        <w:tc>
          <w:tcPr>
            <w:tcW w:w="162" w:type="dxa"/>
            <w:tcBorders/>
            <w:vAlign w:val="bottom"/>
          </w:tcPr>
          <w:p>
            <w:pPr>
              <w:pStyle w:val="TableContents"/>
              <w:bidi w:val="0"/>
              <w:spacing w:before="0" w:after="283"/>
              <w:jc w:val="left"/>
              <w:rPr/>
            </w:pPr>
            <w:r>
              <w:rPr/>
              <w:t>) </w:t>
            </w:r>
          </w:p>
        </w:tc>
      </w:tr>
      <w:tr>
        <w:trPr/>
        <w:tc>
          <w:tcPr>
            <w:tcW w:w="3713"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for the year</w:t>
            </w:r>
          </w:p>
        </w:tc>
        <w:tc>
          <w:tcPr>
            <w:tcW w:w="31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(104,105,438</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337" w:type="dxa"/>
            <w:tcBorders/>
            <w:shd w:fill="CCEEFF" w:val="clear"/>
            <w:vAlign w:val="bottom"/>
          </w:tcPr>
          <w:p>
            <w:pPr>
              <w:pStyle w:val="TableContents"/>
              <w:bidi w:val="0"/>
              <w:spacing w:before="0" w:after="283"/>
              <w:jc w:val="right"/>
              <w:rPr/>
            </w:pPr>
            <w:r>
              <w:rPr/>
              <w:t>(37,719,475</w:t>
            </w:r>
          </w:p>
        </w:tc>
        <w:tc>
          <w:tcPr>
            <w:tcW w:w="162" w:type="dxa"/>
            <w:tcBorders/>
            <w:shd w:fill="CCEEFF" w:val="clear"/>
            <w:vAlign w:val="bottom"/>
          </w:tcPr>
          <w:p>
            <w:pPr>
              <w:pStyle w:val="TableContents"/>
              <w:bidi w:val="0"/>
              <w:spacing w:before="0" w:after="283"/>
              <w:jc w:val="left"/>
              <w:rPr/>
            </w:pPr>
            <w:r>
              <w:rPr/>
              <w:t>) </w:t>
            </w:r>
          </w:p>
        </w:tc>
      </w:tr>
      <w:tr>
        <w:trPr/>
        <w:tc>
          <w:tcPr>
            <w:tcW w:w="3713"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713"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 net of tax</w:t>
            </w:r>
          </w:p>
        </w:tc>
        <w:tc>
          <w:tcPr>
            <w:tcW w:w="31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33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(loss)</w:t>
            </w:r>
          </w:p>
        </w:tc>
        <w:tc>
          <w:tcPr>
            <w:tcW w:w="31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(757,356</w:t>
            </w:r>
          </w:p>
        </w:tc>
        <w:tc>
          <w:tcPr>
            <w:tcW w:w="15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(501,130</w:t>
            </w:r>
          </w:p>
        </w:tc>
        <w:tc>
          <w:tcPr>
            <w:tcW w:w="162" w:type="dxa"/>
            <w:tcBorders/>
            <w:shd w:fill="CCEEFF" w:val="clear"/>
            <w:vAlign w:val="bottom"/>
          </w:tcPr>
          <w:p>
            <w:pPr>
              <w:pStyle w:val="TableContents"/>
              <w:bidi w:val="0"/>
              <w:spacing w:before="0" w:after="283"/>
              <w:jc w:val="left"/>
              <w:rPr/>
            </w:pPr>
            <w:r>
              <w:rPr/>
              <w:t>) </w:t>
            </w:r>
          </w:p>
        </w:tc>
      </w:tr>
      <w:tr>
        <w:trPr/>
        <w:tc>
          <w:tcPr>
            <w:tcW w:w="3713"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4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33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713"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31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468" w:type="dxa"/>
            <w:tcBorders/>
            <w:vAlign w:val="bottom"/>
          </w:tcPr>
          <w:p>
            <w:pPr>
              <w:pStyle w:val="TableContents"/>
              <w:bidi w:val="0"/>
              <w:spacing w:before="0" w:after="283"/>
              <w:jc w:val="right"/>
              <w:rPr/>
            </w:pPr>
            <w:r>
              <w:rPr/>
              <w:t>(104,862,794</w:t>
            </w:r>
          </w:p>
        </w:tc>
        <w:tc>
          <w:tcPr>
            <w:tcW w:w="15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337" w:type="dxa"/>
            <w:tcBorders/>
            <w:vAlign w:val="bottom"/>
          </w:tcPr>
          <w:p>
            <w:pPr>
              <w:pStyle w:val="TableContents"/>
              <w:bidi w:val="0"/>
              <w:spacing w:before="0" w:after="283"/>
              <w:jc w:val="right"/>
              <w:rPr/>
            </w:pPr>
            <w:r>
              <w:rPr/>
              <w:t>(38,220,605</w:t>
            </w:r>
          </w:p>
        </w:tc>
        <w:tc>
          <w:tcPr>
            <w:tcW w:w="162" w:type="dxa"/>
            <w:tcBorders/>
            <w:vAlign w:val="bottom"/>
          </w:tcPr>
          <w:p>
            <w:pPr>
              <w:pStyle w:val="TableContents"/>
              <w:bidi w:val="0"/>
              <w:spacing w:before="0" w:after="283"/>
              <w:jc w:val="left"/>
              <w:rPr/>
            </w:pPr>
            <w:r>
              <w:rPr/>
              <w:t>) </w:t>
            </w:r>
          </w:p>
        </w:tc>
      </w:tr>
      <w:tr>
        <w:trPr/>
        <w:tc>
          <w:tcPr>
            <w:tcW w:w="3713"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4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33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3400" w:type="pct"/>
        <w:jc w:val="center"/>
        <w:tblInd w:w="0" w:type="dxa"/>
        <w:tblLayout w:type="fixed"/>
        <w:tblCellMar>
          <w:top w:w="0" w:type="dxa"/>
          <w:left w:w="0" w:type="dxa"/>
          <w:bottom w:w="0" w:type="dxa"/>
          <w:right w:w="0" w:type="dxa"/>
        </w:tblCellMar>
      </w:tblPr>
      <w:tblGrid>
        <w:gridCol w:w="4632"/>
        <w:gridCol w:w="733"/>
        <w:gridCol w:w="150"/>
        <w:gridCol w:w="1267"/>
        <w:gridCol w:w="157"/>
      </w:tblGrid>
      <w:tr>
        <w:trPr/>
        <w:tc>
          <w:tcPr>
            <w:tcW w:w="4632" w:type="dxa"/>
            <w:tcBorders/>
            <w:vAlign w:val="center"/>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32"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December 31,</w:t>
            </w:r>
            <w:r>
              <w:rPr/>
              <w:br/>
            </w:r>
            <w:r>
              <w:rPr>
                <w:b/>
              </w:rPr>
              <w:t>2022</w:t>
            </w:r>
          </w:p>
        </w:tc>
        <w:tc>
          <w:tcPr>
            <w:tcW w:w="157" w:type="dxa"/>
            <w:tcBorders/>
            <w:vAlign w:val="bottom"/>
          </w:tcPr>
          <w:p>
            <w:pPr>
              <w:pStyle w:val="TableContents"/>
              <w:bidi w:val="0"/>
              <w:spacing w:before="0" w:after="283"/>
              <w:jc w:val="left"/>
              <w:rPr/>
            </w:pPr>
            <w:r>
              <w:rPr/>
              <w:t> </w:t>
            </w:r>
          </w:p>
        </w:tc>
      </w:tr>
      <w:tr>
        <w:trPr/>
        <w:tc>
          <w:tcPr>
            <w:tcW w:w="4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Sheet Data:</w:t>
            </w:r>
          </w:p>
        </w:tc>
        <w:tc>
          <w:tcPr>
            <w:tcW w:w="73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267"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4632"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73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267" w:type="dxa"/>
            <w:tcBorders/>
            <w:vAlign w:val="bottom"/>
          </w:tcPr>
          <w:p>
            <w:pPr>
              <w:pStyle w:val="TableContents"/>
              <w:bidi w:val="0"/>
              <w:spacing w:before="0" w:after="283"/>
              <w:jc w:val="right"/>
              <w:rPr/>
            </w:pPr>
            <w:r>
              <w:rPr/>
              <w:t>41,709</w:t>
            </w:r>
          </w:p>
        </w:tc>
        <w:tc>
          <w:tcPr>
            <w:tcW w:w="157" w:type="dxa"/>
            <w:tcBorders/>
            <w:vAlign w:val="bottom"/>
          </w:tcPr>
          <w:p>
            <w:pPr>
              <w:pStyle w:val="TableContents"/>
              <w:bidi w:val="0"/>
              <w:spacing w:before="0" w:after="283"/>
              <w:jc w:val="left"/>
              <w:rPr/>
            </w:pPr>
            <w:r>
              <w:rPr/>
              <w:t> </w:t>
            </w:r>
          </w:p>
        </w:tc>
      </w:tr>
      <w:tr>
        <w:trPr/>
        <w:tc>
          <w:tcPr>
            <w:tcW w:w="4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73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9,365,521</w:t>
            </w:r>
          </w:p>
        </w:tc>
        <w:tc>
          <w:tcPr>
            <w:tcW w:w="157" w:type="dxa"/>
            <w:tcBorders/>
            <w:shd w:fill="CCEEFF" w:val="clear"/>
            <w:vAlign w:val="bottom"/>
          </w:tcPr>
          <w:p>
            <w:pPr>
              <w:pStyle w:val="TableContents"/>
              <w:bidi w:val="0"/>
              <w:spacing w:before="0" w:after="283"/>
              <w:jc w:val="left"/>
              <w:rPr/>
            </w:pPr>
            <w:r>
              <w:rPr/>
              <w:t> </w:t>
            </w:r>
          </w:p>
        </w:tc>
      </w:tr>
      <w:tr>
        <w:trPr/>
        <w:tc>
          <w:tcPr>
            <w:tcW w:w="4632" w:type="dxa"/>
            <w:tcBorders/>
          </w:tcPr>
          <w:p>
            <w:pPr>
              <w:pStyle w:val="TableContents"/>
              <w:bidi w:val="0"/>
              <w:spacing w:before="0" w:after="0"/>
              <w:jc w:val="left"/>
              <w:rPr>
                <w:rFonts w:ascii="Times New Roman" w:hAnsi="Times New Roman"/>
                <w:sz w:val="20"/>
              </w:rPr>
            </w:pPr>
            <w:r>
              <w:rPr>
                <w:rFonts w:ascii="Times New Roman" w:hAnsi="Times New Roman"/>
                <w:sz w:val="20"/>
              </w:rPr>
              <w:t>Total non-current liabilities</w:t>
            </w:r>
          </w:p>
        </w:tc>
        <w:tc>
          <w:tcPr>
            <w:tcW w:w="73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28,006,947</w:t>
            </w:r>
          </w:p>
        </w:tc>
        <w:tc>
          <w:tcPr>
            <w:tcW w:w="157" w:type="dxa"/>
            <w:tcBorders/>
            <w:vAlign w:val="bottom"/>
          </w:tcPr>
          <w:p>
            <w:pPr>
              <w:pStyle w:val="TableContents"/>
              <w:bidi w:val="0"/>
              <w:spacing w:before="0" w:after="283"/>
              <w:jc w:val="left"/>
              <w:rPr/>
            </w:pPr>
            <w:r>
              <w:rPr/>
              <w:t> </w:t>
            </w:r>
          </w:p>
        </w:tc>
      </w:tr>
      <w:tr>
        <w:trPr/>
        <w:tc>
          <w:tcPr>
            <w:tcW w:w="4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equity (deficit)</w:t>
            </w:r>
          </w:p>
        </w:tc>
        <w:tc>
          <w:tcPr>
            <w:tcW w:w="73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(27,314,998</w:t>
            </w:r>
          </w:p>
        </w:tc>
        <w:tc>
          <w:tcPr>
            <w:tcW w:w="15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Unaudited Pro Forma Condensed Combined Financial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following table provides summary selected unaudited pro forma financial information to correspond to the unaudited pro forma financial information provided for Rezolve and Armada in </w:t>
      </w:r>
      <w:r>
        <w:rPr>
          <w:rFonts w:ascii="Times New Roman" w:hAnsi="Times New Roman"/>
          <w:i/>
          <w:sz w:val="20"/>
          <w:bdr w:val="single" w:sz="8" w:space="1" w:color="000000"/>
        </w:rPr>
        <w:t>Unaudited Pro Forma Condensed Combined Financial Information</w:t>
      </w:r>
      <w:r>
        <w:rPr>
          <w:rFonts w:ascii="Times New Roman" w:hAnsi="Times New Roman"/>
          <w:sz w:val="20"/>
          <w:bdr w:val="single" w:sz="8" w:space="1" w:color="000000"/>
        </w:rPr>
        <w:t>. For more information on selected financial information, see </w:t>
      </w:r>
      <w:r>
        <w:rPr>
          <w:rFonts w:ascii="Times New Roman" w:hAnsi="Times New Roman"/>
          <w:i/>
          <w:sz w:val="20"/>
          <w:bdr w:val="single" w:sz="8" w:space="1" w:color="000000"/>
        </w:rPr>
        <w:t>Unaudited Pro Forma Condensed Combined Financial Information</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Unaudited Pro Forma Condensed Combined Balance Sheet as of December 31, 2022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6692"/>
        <w:gridCol w:w="226"/>
        <w:gridCol w:w="162"/>
        <w:gridCol w:w="1218"/>
        <w:gridCol w:w="164"/>
        <w:gridCol w:w="193"/>
        <w:gridCol w:w="162"/>
        <w:gridCol w:w="1218"/>
        <w:gridCol w:w="170"/>
      </w:tblGrid>
      <w:tr>
        <w:trPr/>
        <w:tc>
          <w:tcPr>
            <w:tcW w:w="6692"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69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Assuming</w:t>
              <w:br/>
              <w:t>Minimum</w:t>
              <w:br/>
              <w:t>Redemptions</w:t>
            </w:r>
          </w:p>
        </w:tc>
        <w:tc>
          <w:tcPr>
            <w:tcW w:w="16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Assuming</w:t>
              <w:br/>
              <w:t>Maximum</w:t>
              <w:br/>
              <w:t>Redemptions</w:t>
            </w:r>
          </w:p>
        </w:tc>
        <w:tc>
          <w:tcPr>
            <w:tcW w:w="170" w:type="dxa"/>
            <w:tcBorders/>
            <w:vAlign w:val="bottom"/>
          </w:tcPr>
          <w:p>
            <w:pPr>
              <w:pStyle w:val="TableContents"/>
              <w:bidi w:val="0"/>
              <w:spacing w:before="0" w:after="283"/>
              <w:jc w:val="left"/>
              <w:rPr/>
            </w:pPr>
            <w:r>
              <w:rPr/>
              <w:t> </w:t>
            </w:r>
          </w:p>
        </w:tc>
      </w:tr>
      <w:tr>
        <w:trPr/>
        <w:tc>
          <w:tcPr>
            <w:tcW w:w="669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70" w:type="dxa"/>
            <w:tcBorders/>
            <w:vAlign w:val="bottom"/>
          </w:tcPr>
          <w:p>
            <w:pPr>
              <w:pStyle w:val="TableContents"/>
              <w:bidi w:val="0"/>
              <w:spacing w:before="0" w:after="283"/>
              <w:jc w:val="left"/>
              <w:rPr/>
            </w:pPr>
            <w:r>
              <w:rPr/>
              <w:t> </w:t>
            </w:r>
          </w:p>
        </w:tc>
      </w:tr>
      <w:tr>
        <w:trPr/>
        <w:tc>
          <w:tcPr>
            <w:tcW w:w="6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218" w:type="dxa"/>
            <w:tcBorders/>
            <w:shd w:fill="CCEEFF" w:val="clear"/>
            <w:vAlign w:val="bottom"/>
          </w:tcPr>
          <w:p>
            <w:pPr>
              <w:pStyle w:val="TableContents"/>
              <w:bidi w:val="0"/>
              <w:spacing w:before="0" w:after="283"/>
              <w:jc w:val="right"/>
              <w:rPr/>
            </w:pPr>
            <w:r>
              <w:rPr/>
              <w:t>9,330,076</w:t>
            </w:r>
          </w:p>
        </w:tc>
        <w:tc>
          <w:tcPr>
            <w:tcW w:w="16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218" w:type="dxa"/>
            <w:tcBorders/>
            <w:shd w:fill="CCEEFF" w:val="clear"/>
            <w:vAlign w:val="bottom"/>
          </w:tcPr>
          <w:p>
            <w:pPr>
              <w:pStyle w:val="TableContents"/>
              <w:bidi w:val="0"/>
              <w:spacing w:before="0" w:after="283"/>
              <w:jc w:val="right"/>
              <w:rPr/>
            </w:pPr>
            <w:r>
              <w:rPr/>
              <w:t>9,330,076</w:t>
            </w:r>
          </w:p>
        </w:tc>
        <w:tc>
          <w:tcPr>
            <w:tcW w:w="170" w:type="dxa"/>
            <w:tcBorders/>
            <w:shd w:fill="CCEEFF" w:val="clear"/>
            <w:vAlign w:val="bottom"/>
          </w:tcPr>
          <w:p>
            <w:pPr>
              <w:pStyle w:val="TableContents"/>
              <w:bidi w:val="0"/>
              <w:spacing w:before="0" w:after="283"/>
              <w:jc w:val="left"/>
              <w:rPr/>
            </w:pPr>
            <w:r>
              <w:rPr/>
              <w:t> </w:t>
            </w:r>
          </w:p>
        </w:tc>
      </w:tr>
      <w:tr>
        <w:trPr/>
        <w:tc>
          <w:tcPr>
            <w:tcW w:w="669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218" w:type="dxa"/>
            <w:tcBorders/>
            <w:vAlign w:val="bottom"/>
          </w:tcPr>
          <w:p>
            <w:pPr>
              <w:pStyle w:val="TableContents"/>
              <w:bidi w:val="0"/>
              <w:spacing w:before="0" w:after="283"/>
              <w:jc w:val="right"/>
              <w:rPr/>
            </w:pPr>
            <w:r>
              <w:rPr/>
              <w:t>11,498,762</w:t>
            </w:r>
          </w:p>
        </w:tc>
        <w:tc>
          <w:tcPr>
            <w:tcW w:w="16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218" w:type="dxa"/>
            <w:tcBorders/>
            <w:vAlign w:val="bottom"/>
          </w:tcPr>
          <w:p>
            <w:pPr>
              <w:pStyle w:val="TableContents"/>
              <w:bidi w:val="0"/>
              <w:spacing w:before="0" w:after="283"/>
              <w:jc w:val="right"/>
              <w:rPr/>
            </w:pPr>
            <w:r>
              <w:rPr/>
              <w:t>11,498,762</w:t>
            </w:r>
          </w:p>
        </w:tc>
        <w:tc>
          <w:tcPr>
            <w:tcW w:w="170" w:type="dxa"/>
            <w:tcBorders/>
            <w:vAlign w:val="bottom"/>
          </w:tcPr>
          <w:p>
            <w:pPr>
              <w:pStyle w:val="TableContents"/>
              <w:bidi w:val="0"/>
              <w:spacing w:before="0" w:after="283"/>
              <w:jc w:val="left"/>
              <w:rPr/>
            </w:pPr>
            <w:r>
              <w:rPr/>
              <w:t> </w:t>
            </w:r>
          </w:p>
        </w:tc>
      </w:tr>
      <w:tr>
        <w:trPr/>
        <w:tc>
          <w:tcPr>
            <w:tcW w:w="6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equity (deficit)</w:t>
            </w:r>
          </w:p>
        </w:tc>
        <w:tc>
          <w:tcPr>
            <w:tcW w:w="22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218" w:type="dxa"/>
            <w:tcBorders/>
            <w:shd w:fill="CCEEFF" w:val="clear"/>
            <w:vAlign w:val="bottom"/>
          </w:tcPr>
          <w:p>
            <w:pPr>
              <w:pStyle w:val="TableContents"/>
              <w:bidi w:val="0"/>
              <w:spacing w:before="0" w:after="283"/>
              <w:jc w:val="right"/>
              <w:rPr/>
            </w:pPr>
            <w:r>
              <w:rPr/>
              <w:t>(2,168,686</w:t>
            </w:r>
          </w:p>
        </w:tc>
        <w:tc>
          <w:tcPr>
            <w:tcW w:w="16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218" w:type="dxa"/>
            <w:tcBorders/>
            <w:shd w:fill="CCEEFF" w:val="clear"/>
            <w:vAlign w:val="bottom"/>
          </w:tcPr>
          <w:p>
            <w:pPr>
              <w:pStyle w:val="TableContents"/>
              <w:bidi w:val="0"/>
              <w:spacing w:before="0" w:after="283"/>
              <w:jc w:val="right"/>
              <w:rPr/>
            </w:pPr>
            <w:r>
              <w:rPr/>
              <w:t>(2,168,686</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Unaudited Pro Forma Condensed Combined Statement Of Operations for the Year Ended December 31, 2022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6461"/>
        <w:gridCol w:w="222"/>
        <w:gridCol w:w="148"/>
        <w:gridCol w:w="1357"/>
        <w:gridCol w:w="156"/>
        <w:gridCol w:w="194"/>
        <w:gridCol w:w="148"/>
        <w:gridCol w:w="1357"/>
        <w:gridCol w:w="162"/>
      </w:tblGrid>
      <w:tr>
        <w:trPr/>
        <w:tc>
          <w:tcPr>
            <w:tcW w:w="6461"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Assuming</w:t>
              <w:br/>
              <w:t>Minimum</w:t>
              <w:br/>
              <w:t>Redemptions</w:t>
            </w:r>
          </w:p>
        </w:tc>
        <w:tc>
          <w:tcPr>
            <w:tcW w:w="15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Assuming</w:t>
              <w:br/>
              <w:t>Maximum</w:t>
              <w:br/>
              <w:t>Redemptions</w:t>
            </w:r>
          </w:p>
        </w:tc>
        <w:tc>
          <w:tcPr>
            <w:tcW w:w="162" w:type="dxa"/>
            <w:tcBorders/>
            <w:vAlign w:val="bottom"/>
          </w:tcPr>
          <w:p>
            <w:pPr>
              <w:pStyle w:val="TableContents"/>
              <w:bidi w:val="0"/>
              <w:spacing w:before="0" w:after="283"/>
              <w:jc w:val="left"/>
              <w:rPr/>
            </w:pPr>
            <w:r>
              <w:rPr/>
              <w:t> </w:t>
            </w:r>
          </w:p>
        </w:tc>
      </w:tr>
      <w:tr>
        <w:trPr/>
        <w:tc>
          <w:tcPr>
            <w:tcW w:w="6461"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Consolidated</w:t>
            </w:r>
          </w:p>
        </w:tc>
        <w:tc>
          <w:tcPr>
            <w:tcW w:w="15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Consolidated</w:t>
            </w:r>
          </w:p>
        </w:tc>
        <w:tc>
          <w:tcPr>
            <w:tcW w:w="162" w:type="dxa"/>
            <w:tcBorders/>
            <w:vAlign w:val="bottom"/>
          </w:tcPr>
          <w:p>
            <w:pPr>
              <w:pStyle w:val="TableContents"/>
              <w:bidi w:val="0"/>
              <w:spacing w:before="0" w:after="283"/>
              <w:jc w:val="left"/>
              <w:rPr/>
            </w:pPr>
            <w:r>
              <w:rPr/>
              <w:t> </w:t>
            </w:r>
          </w:p>
        </w:tc>
      </w:tr>
      <w:tr>
        <w:trPr/>
        <w:tc>
          <w:tcPr>
            <w:tcW w:w="646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income</w:t>
            </w:r>
          </w:p>
        </w:tc>
        <w:tc>
          <w:tcPr>
            <w:tcW w:w="22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357" w:type="dxa"/>
            <w:tcBorders/>
            <w:shd w:fill="CCEEFF" w:val="clear"/>
            <w:vAlign w:val="bottom"/>
          </w:tcPr>
          <w:p>
            <w:pPr>
              <w:pStyle w:val="TableContents"/>
              <w:bidi w:val="0"/>
              <w:spacing w:before="0" w:after="283"/>
              <w:jc w:val="right"/>
              <w:rPr/>
            </w:pPr>
            <w:r>
              <w:rPr/>
              <w:t>(113,325,209</w:t>
            </w:r>
          </w:p>
        </w:tc>
        <w:tc>
          <w:tcPr>
            <w:tcW w:w="156"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357" w:type="dxa"/>
            <w:tcBorders/>
            <w:shd w:fill="CCEEFF" w:val="clear"/>
            <w:vAlign w:val="bottom"/>
          </w:tcPr>
          <w:p>
            <w:pPr>
              <w:pStyle w:val="TableContents"/>
              <w:bidi w:val="0"/>
              <w:spacing w:before="0" w:after="283"/>
              <w:jc w:val="right"/>
              <w:rPr/>
            </w:pPr>
            <w:r>
              <w:rPr/>
              <w:t>(110,677,273</w:t>
            </w:r>
          </w:p>
        </w:tc>
        <w:tc>
          <w:tcPr>
            <w:tcW w:w="162" w:type="dxa"/>
            <w:tcBorders/>
            <w:shd w:fill="CCEEFF" w:val="clear"/>
            <w:vAlign w:val="bottom"/>
          </w:tcPr>
          <w:p>
            <w:pPr>
              <w:pStyle w:val="TableContents"/>
              <w:bidi w:val="0"/>
              <w:spacing w:before="0" w:after="283"/>
              <w:jc w:val="left"/>
              <w:rPr/>
            </w:pPr>
            <w:r>
              <w:rPr/>
              <w:t>) </w:t>
            </w:r>
          </w:p>
        </w:tc>
      </w:tr>
      <w:tr>
        <w:trPr/>
        <w:tc>
          <w:tcPr>
            <w:tcW w:w="6461" w:type="dxa"/>
            <w:tcBorders/>
          </w:tcPr>
          <w:p>
            <w:pPr>
              <w:pStyle w:val="TableContents"/>
              <w:bidi w:val="0"/>
              <w:spacing w:before="0" w:after="0"/>
              <w:jc w:val="left"/>
              <w:rPr>
                <w:rFonts w:ascii="Times New Roman" w:hAnsi="Times New Roman"/>
                <w:b/>
                <w:sz w:val="20"/>
              </w:rPr>
            </w:pPr>
            <w:r>
              <w:rPr>
                <w:rFonts w:ascii="Times New Roman" w:hAnsi="Times New Roman"/>
                <w:b/>
                <w:sz w:val="20"/>
              </w:rPr>
              <w:t>Earnings Per Share</w:t>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35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35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4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weighted average shares outstanding, common stock subject to possible redemption</w:t>
            </w:r>
          </w:p>
        </w:tc>
        <w:tc>
          <w:tcPr>
            <w:tcW w:w="22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179,686,813</w:t>
            </w:r>
          </w:p>
        </w:tc>
        <w:tc>
          <w:tcPr>
            <w:tcW w:w="156"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177,323,464</w:t>
            </w:r>
          </w:p>
        </w:tc>
        <w:tc>
          <w:tcPr>
            <w:tcW w:w="162" w:type="dxa"/>
            <w:tcBorders/>
            <w:shd w:fill="CCEEFF" w:val="clear"/>
            <w:vAlign w:val="bottom"/>
          </w:tcPr>
          <w:p>
            <w:pPr>
              <w:pStyle w:val="TableContents"/>
              <w:bidi w:val="0"/>
              <w:spacing w:before="0" w:after="283"/>
              <w:jc w:val="left"/>
              <w:rPr/>
            </w:pPr>
            <w:r>
              <w:rPr/>
              <w:t> </w:t>
            </w:r>
          </w:p>
        </w:tc>
      </w:tr>
      <w:tr>
        <w:trPr/>
        <w:tc>
          <w:tcPr>
            <w:tcW w:w="6461"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(0.63</w:t>
            </w:r>
          </w:p>
        </w:tc>
        <w:tc>
          <w:tcPr>
            <w:tcW w:w="15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(0.62</w:t>
            </w:r>
          </w:p>
        </w:tc>
        <w:tc>
          <w:tcPr>
            <w:tcW w:w="162"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Comparative Per Share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sets forth selected historical comparative share information for Armada and Rezolve and unaudited pro forma combined per share information of the post-combination business after giving effect to the Business Combination, assuming two redemption scenarios as follows: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Minimum Redemptions  This assumes that the minimum number of Armada public stockholder exercises redemption rights with respect to Armada Public Shares for a pro rata portion of the funds in Armadas Trust Account.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Maximum Redemptions  This assumes that Armada public stockholder (who are not Armada Initial Shareholders or an officer or director of Armada) holding 15,000,000 of Armada Public Shares exercise their redemption rights and that such Armada Public Shares are redeemed for their pro rata share ($10.00 per share, plus any pro rata interest earned on the Trust Account not previously released to Armada (net of taxes payable), as of two business days prior to the consummation of the Business Combination) of the funds in Armadas Trust Account for aggregate redemption proceeds of $35,949,116.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unaudited pro forma weighted average shares outstanding and net loss per share information give pro forma effect to the Business Combination as if it had occurred on January 1, 2022.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information is only a summary and should be read together with the selected historical financial information included elsewhere in this proxy statement/prospectus and the audited financial statements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Armada and Rezolve and related notes that are included elsewhere in this proxy statement/prospectus. The unaudited pro forma combined per share information of Armada and Rezolve is derived from, and should be read in conjunction with, the unaudited pro forma condensed combined financial information and related notes included elsewhere in this proxy statement/prospectus.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unaudited pro forma combined earnings per share information below does not purport to represent the earnings per share which would have occurred had the companies been combined during the periods presented, nor the earnings per share for any future date or period. The unaudited pro forma combined book value per share information below does not purport to represent what the value of Armada and Rezolve would have been had the companies been combined during the periods presented. </w:t>
      </w:r>
    </w:p>
    <w:p>
      <w:pPr>
        <w:pStyle w:val="TextBody"/>
        <w:bidi w:val="0"/>
        <w:spacing w:before="0" w:after="0"/>
        <w:jc w:val="left"/>
        <w:rPr>
          <w:bdr w:val="single" w:sz="8" w:space="1" w:color="000000"/>
        </w:rPr>
      </w:pPr>
      <w:r>
        <w:rPr>
          <w:bdr w:val="single" w:sz="8" w:space="1" w:color="000000"/>
        </w:rPr>
        <w:t> </w:t>
      </w:r>
    </w:p>
    <w:tbl>
      <w:tblPr>
        <w:tblW w:w="11105" w:type="dxa"/>
        <w:jc w:val="center"/>
        <w:tblInd w:w="0" w:type="dxa"/>
        <w:tblLayout w:type="fixed"/>
        <w:tblCellMar>
          <w:top w:w="0" w:type="dxa"/>
          <w:left w:w="0" w:type="dxa"/>
          <w:bottom w:w="0" w:type="dxa"/>
          <w:right w:w="0" w:type="dxa"/>
        </w:tblCellMar>
      </w:tblPr>
      <w:tblGrid>
        <w:gridCol w:w="1415"/>
        <w:gridCol w:w="60"/>
        <w:gridCol w:w="140"/>
        <w:gridCol w:w="1100"/>
        <w:gridCol w:w="155"/>
        <w:gridCol w:w="60"/>
        <w:gridCol w:w="140"/>
        <w:gridCol w:w="1220"/>
        <w:gridCol w:w="155"/>
        <w:gridCol w:w="60"/>
        <w:gridCol w:w="140"/>
        <w:gridCol w:w="1400"/>
        <w:gridCol w:w="155"/>
        <w:gridCol w:w="60"/>
        <w:gridCol w:w="140"/>
        <w:gridCol w:w="1400"/>
        <w:gridCol w:w="155"/>
        <w:gridCol w:w="60"/>
        <w:gridCol w:w="140"/>
        <w:gridCol w:w="1220"/>
        <w:gridCol w:w="155"/>
        <w:gridCol w:w="60"/>
        <w:gridCol w:w="140"/>
        <w:gridCol w:w="1220"/>
        <w:gridCol w:w="155"/>
      </w:tblGrid>
      <w:tr>
        <w:trPr/>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Pro Forma Combined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Rezolve equivalent pro forma</w:t>
              <w:br/>
              <w:t>per share information (2)</w:t>
            </w:r>
          </w:p>
        </w:tc>
        <w:tc>
          <w:tcPr>
            <w:tcW w:w="155" w:type="dxa"/>
            <w:tcBorders/>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center"/>
              <w:rPr>
                <w:b/>
              </w:rPr>
            </w:pPr>
            <w:r>
              <w:rPr>
                <w:b/>
              </w:rPr>
              <w:t>Armada</w:t>
              <w:b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center"/>
              <w:rPr>
                <w:b/>
              </w:rPr>
            </w:pPr>
            <w:r>
              <w:rPr>
                <w:b/>
              </w:rPr>
              <w:t>Rezolve</w:t>
              <w:b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0" w:type="dxa"/>
            <w:gridSpan w:val="2"/>
            <w:tcBorders/>
            <w:vAlign w:val="bottom"/>
          </w:tcPr>
          <w:p>
            <w:pPr>
              <w:pStyle w:val="TableContents"/>
              <w:bidi w:val="0"/>
              <w:spacing w:before="0" w:after="283"/>
              <w:jc w:val="center"/>
              <w:rPr>
                <w:b/>
              </w:rPr>
            </w:pPr>
            <w:r>
              <w:rPr>
                <w:b/>
              </w:rPr>
              <w:t>(Assuming</w:t>
              <w:br/>
              <w:t>Minimum</w:t>
              <w:br/>
              <w:t>Redemptions)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0" w:type="dxa"/>
            <w:gridSpan w:val="2"/>
            <w:tcBorders/>
            <w:vAlign w:val="bottom"/>
          </w:tcPr>
          <w:p>
            <w:pPr>
              <w:pStyle w:val="TableContents"/>
              <w:bidi w:val="0"/>
              <w:spacing w:before="0" w:after="283"/>
              <w:jc w:val="center"/>
              <w:rPr>
                <w:b/>
              </w:rPr>
            </w:pPr>
            <w:r>
              <w:rPr>
                <w:b/>
              </w:rPr>
              <w:t>(Assuming</w:t>
              <w:br/>
              <w:t>Maximum</w:t>
              <w:br/>
              <w:t>Redemptions)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center"/>
              <w:rPr>
                <w:b/>
              </w:rPr>
            </w:pPr>
            <w:r>
              <w:rPr>
                <w:b/>
              </w:rPr>
              <w:t>(Assuming</w:t>
              <w:br/>
              <w:t>Minimum</w:t>
              <w:br/>
              <w:t>Redemptions)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center"/>
              <w:rPr>
                <w:b/>
              </w:rPr>
            </w:pPr>
            <w:r>
              <w:rPr>
                <w:b/>
              </w:rPr>
              <w:t>(Assuming</w:t>
              <w:br/>
              <w:t>Maximum</w:t>
              <w:br/>
              <w:t>Redemptions)</w:t>
            </w:r>
          </w:p>
        </w:tc>
        <w:tc>
          <w:tcPr>
            <w:tcW w:w="155" w:type="dxa"/>
            <w:tcBorders/>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283"/>
              <w:jc w:val="left"/>
              <w:rPr>
                <w:b/>
              </w:rPr>
            </w:pPr>
            <w:r>
              <w:rPr>
                <w:b/>
              </w:rPr>
              <w:t>As of and for the year ended</w:t>
              <w:br/>
              <w:t>December 31, 2022 (3)</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4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Book value per share (1)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18"/>
              </w:rPr>
            </w:pPr>
            <w:r>
              <w:rPr>
                <w:rFonts w:ascii="Times New Roman" w:hAnsi="Times New Roman"/>
                <w:sz w:val="18"/>
              </w:rPr>
              <w:t>Weighted average Common Stock outstanding, basic and diluted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5,709,500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1,060,066,446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1,057,703,097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179,686,813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177,323,464</w:t>
            </w:r>
          </w:p>
        </w:tc>
        <w:tc>
          <w:tcPr>
            <w:tcW w:w="155" w:type="dxa"/>
            <w:tcBorders/>
            <w:vAlign w:val="bottom"/>
          </w:tcPr>
          <w:p>
            <w:pPr>
              <w:pStyle w:val="TableContents"/>
              <w:bidi w:val="0"/>
              <w:spacing w:before="0" w:after="283"/>
              <w:jc w:val="left"/>
              <w:rPr/>
            </w:pPr>
            <w:r>
              <w:rPr/>
              <w:t> </w:t>
            </w:r>
          </w:p>
        </w:tc>
      </w:tr>
      <w:tr>
        <w:trPr/>
        <w:tc>
          <w:tcPr>
            <w:tcW w:w="14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per share attributable to Common stockholders, basic and diluted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(0.10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(0.62</w:t>
            </w:r>
          </w:p>
        </w:tc>
        <w:tc>
          <w:tcPr>
            <w:tcW w:w="155" w:type="dxa"/>
            <w:tcBorders/>
            <w:shd w:fill="CCEEFF" w:val="clear"/>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18"/>
              </w:rPr>
            </w:pPr>
            <w:r>
              <w:rPr>
                <w:rFonts w:ascii="Times New Roman" w:hAnsi="Times New Roman"/>
                <w:sz w:val="18"/>
              </w:rPr>
              <w:t>Weighted average Common stock subject to possible redemption outstanding, basic and diluted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15,000,000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4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per share attributable to redeemable stockholders, basic and diluted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415" w:type="dxa"/>
            <w:tcBorders/>
          </w:tcPr>
          <w:p>
            <w:pPr>
              <w:pStyle w:val="TableContents"/>
              <w:bidi w:val="0"/>
              <w:spacing w:before="0" w:after="0"/>
              <w:jc w:val="left"/>
              <w:rPr>
                <w:rFonts w:ascii="Times New Roman" w:hAnsi="Times New Roman"/>
                <w:sz w:val="18"/>
              </w:rPr>
            </w:pPr>
            <w:r>
              <w:rPr>
                <w:rFonts w:ascii="Times New Roman" w:hAnsi="Times New Roman"/>
                <w:sz w:val="18"/>
              </w:rPr>
              <w:t>Weighted average redeemable Ordinary Shares outstanding, basic and diluted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913,109,577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4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Basic and diluted net loss per Ordinary Share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(0.11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18"/>
              </w:rPr>
            </w:pPr>
            <w:r>
              <w:rPr>
                <w:rFonts w:ascii="Times New Roman" w:hAnsi="Times New Roman"/>
                <w:sz w:val="18"/>
              </w:rPr>
              <w:t>Book value per share equals total equity available to common stockholders or ordinary shareholders, divided by the number of shares of common stock, ordinary shares and redeemable stock outstanding. Preferred and deferred shares are excluded.</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Times New Roman" w:hAnsi="Times New Roman"/>
                <w:sz w:val="18"/>
              </w:rPr>
            </w:pPr>
            <w:r>
              <w:rPr>
                <w:rFonts w:ascii="Times New Roman" w:hAnsi="Times New Roman"/>
                <w:sz w:val="18"/>
              </w:rPr>
              <w:t>The equivalent pro forma basic and diluted per share data for Rezolve is calculated by multiplying the pro forma combined per share data by the Exchange Rezolve Ordinary Ratio, which is expected to be one Ordinary Share for each share of Armada Common Stock.</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w:t>
            </w:r>
          </w:p>
        </w:tc>
        <w:tc>
          <w:tcPr>
            <w:tcW w:w="9695"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There were no cash dividends declared in the period presented.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x309194_10"/>
      <w:bookmarkEnd w:id="12"/>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Shareholders should carefully consider the following risk factors, together with all of the other information included in this proxy statement/prospectus, before they decide whether to vote or instruct their vote to be cast to approve the proposals described in this proxy statement/prospectus. The value of your investment in Rezolve following the consummation of the Business Combination will be subject to significant risks affecting Rezolve and inherent in the industry in which Rezolve operates. If any of the events described below occur, the post-acquisition business and financial results could be adversely affected in a material way. This could cause the trading price of Rezolve Ordinary Shares to decline, perhaps significantly, and you therefore may lose all or part of your investment. Please see the section titled Where You Can Find More Information in this proxy statement/prospectus for information on where you can find the periodic reports and other documents Armada has filed with or furnished to the SEC. </w:t>
      </w:r>
    </w:p>
    <w:p>
      <w:pPr>
        <w:pStyle w:val="TextBody"/>
        <w:bidi w:val="0"/>
        <w:spacing w:before="240" w:after="0"/>
        <w:jc w:val="left"/>
        <w:rPr>
          <w:rFonts w:ascii="Times New Roman" w:hAnsi="Times New Roman"/>
          <w:i/>
          <w:sz w:val="20"/>
        </w:rPr>
      </w:pPr>
      <w:r>
        <w:rPr>
          <w:rFonts w:ascii="Times New Roman" w:hAnsi="Times New Roman"/>
          <w:i/>
          <w:sz w:val="20"/>
        </w:rPr>
        <w:t xml:space="preserve">The risks set out below are not exhaustive and do not comprise all of the risks associated with an investment in Rezolve. Additional risks and uncertainties not currently known to Armada or Rezolve or which Armada or Rezolve currently deem immaterial may also have a material adverse effect on Rezolves business, financial condition, results of operations, prospects and/or its share price. Shareholders should consult a legal adviser, an independent financial adviser or a tax adviser for legal, financial or tax advice prior to deciding whether to vote or instruct their vote to be cast to approve the proposals described in this proxy statement/prospectus. </w:t>
      </w:r>
    </w:p>
    <w:p>
      <w:pPr>
        <w:pStyle w:val="TextBody"/>
        <w:bidi w:val="0"/>
        <w:spacing w:before="240" w:after="0"/>
        <w:jc w:val="left"/>
        <w:rPr>
          <w:rFonts w:ascii="Times New Roman" w:hAnsi="Times New Roman"/>
          <w:i/>
          <w:sz w:val="20"/>
        </w:rPr>
      </w:pPr>
      <w:r>
        <w:rPr>
          <w:rFonts w:ascii="Times New Roman" w:hAnsi="Times New Roman"/>
          <w:i/>
          <w:sz w:val="20"/>
        </w:rPr>
        <w:t xml:space="preserve">In this section, we, us, and our refer to Armada prior to the consummation of the Business Combination and to Rezolve PLC and its subsidiaries following the consummation of the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Business Combination and Risks Relating to Armadas Due Diligence and Evaluation of Rezolve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are unable to complete an initial business combination prior to Armadas applicable business combination deadline, our public stockholders may receive only approximately $         per share on the liquidation of the Trust Account (or less than $         per share in certain circumstances where a third party brings a claim against us that our Sponsor is unable to indemnify). </w:t>
      </w:r>
    </w:p>
    <w:p>
      <w:pPr>
        <w:pStyle w:val="TextBody"/>
        <w:bidi w:val="0"/>
        <w:spacing w:before="120" w:after="0"/>
        <w:jc w:val="left"/>
        <w:rPr>
          <w:rFonts w:ascii="Times New Roman" w:hAnsi="Times New Roman"/>
          <w:sz w:val="20"/>
        </w:rPr>
      </w:pPr>
      <w:r>
        <w:rPr>
          <w:rFonts w:ascii="Times New Roman" w:hAnsi="Times New Roman"/>
          <w:sz w:val="20"/>
        </w:rPr>
        <w:t xml:space="preserve">If we are unable to complete an initial business combination by the applicable deadline, our public stockholders may receive only approximately $         per share on the liquidation of the Trust Account (or less than $         per share in certain circumstances where a third-party brings a claim against us that our Sponsor is unable to indemnify (as described herein)). In such event, however, if Armadas net assets are insufficient to complete such liquidation, the Sponsor has agreed to advance such funds necessary to complete such liquidation and agrees not to seek repayment for such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Sponsor has agreed to vote in favor of the Business Combination, regardless of how the Armada public stockholders vote. </w:t>
      </w:r>
    </w:p>
    <w:p>
      <w:pPr>
        <w:pStyle w:val="TextBody"/>
        <w:bidi w:val="0"/>
        <w:spacing w:before="120" w:after="0"/>
        <w:jc w:val="left"/>
        <w:rPr>
          <w:rFonts w:ascii="Times New Roman" w:hAnsi="Times New Roman"/>
          <w:sz w:val="20"/>
        </w:rPr>
      </w:pPr>
      <w:r>
        <w:rPr>
          <w:rFonts w:ascii="Times New Roman" w:hAnsi="Times New Roman"/>
          <w:sz w:val="20"/>
        </w:rPr>
        <w:t xml:space="preserve">Unlike some other blank check companies in which the initial stockholders agree to vote their Founder Shares in accordance with the majority of the votes cast by the public stockholders in connection with an initial business combination, the Sponsor has agreed (i) to vote its shares in favor of any proposed business combination, including the Business Combination, and (ii) not to sell any such shares to Armada in a tender offer in connection with any proposed business combination. Armadas Sponsor has agreed to vote its shares in favor of each of the Business Combination Proposals. As a result, Armada would not need any of the shares held by public shareholders to be voted in favor of the Business Combination Agreement in order to have the Business Combination approved. Accordingly, it is more likely that the necessary stockholder approval will be received than would be the case if the Sponsor agreed to vote its Founder Shares and Private Placement Shares in accordance with the majority of the votes cast by the Armada public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Armadas public stockholders may not have the same benefits as an investor in an underwritten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Like other business combination transactions and spin-offs, in connection with the Business Combination, Armadas public stockholders will not receive the benefits of the diligence performed by the underwriters in an underwritten public offering. Investors in an underwritten public offering may benefit from the role of the underwriters in such an offering. In an underwritten public offering, an issuer initially sells its securities to the public market via one or more underwriters, who distribute or resell such securities to the public. Underwriters have liability under the U.S. securities laws for material misstatements or omissions in a registration statement pursuant to which an issuer sells securities. </w:t>
      </w:r>
    </w:p>
    <w:p>
      <w:pPr>
        <w:pStyle w:val="TextBody"/>
        <w:bidi w:val="0"/>
        <w:spacing w:before="240" w:after="0"/>
        <w:jc w:val="left"/>
        <w:rPr>
          <w:rFonts w:ascii="Times New Roman" w:hAnsi="Times New Roman"/>
          <w:sz w:val="20"/>
        </w:rPr>
      </w:pPr>
      <w:r>
        <w:rPr>
          <w:rFonts w:ascii="Times New Roman" w:hAnsi="Times New Roman"/>
          <w:sz w:val="20"/>
        </w:rPr>
        <w:t xml:space="preserve">Because the underwriters have a defense to any such liability by, among other things, conducting a reasonable investigation, the underwriters and their counsel conduct a due diligence investigation of the issuer. Due diligence entails engaging legal, financial and/or other experts to perform an investigation as to the accuracy of an issuers disclosure regarding, among other things, its business and financial results. Auditors of the issuer also will deliver a comfort letter with respect to the financial information contained in the registration statement. In making their investment decision, investors in underwritten public offerings have the benefit of such diligence.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information included in this proxy statement/prospectus may not be indicative of what Rezolves actual financial position or results of operations would have been. </w:t>
      </w:r>
    </w:p>
    <w:p>
      <w:pPr>
        <w:pStyle w:val="TextBody"/>
        <w:bidi w:val="0"/>
        <w:spacing w:before="120" w:after="0"/>
        <w:jc w:val="left"/>
        <w:rPr>
          <w:rFonts w:ascii="Times New Roman" w:hAnsi="Times New Roman"/>
          <w:sz w:val="20"/>
        </w:rPr>
      </w:pPr>
      <w:r>
        <w:rPr>
          <w:rFonts w:ascii="Times New Roman" w:hAnsi="Times New Roman"/>
          <w:sz w:val="20"/>
        </w:rPr>
        <w:t>The unaudited pro forma condensed combined financial information in this proxy statement/prospectus is presented solely for illustrative purposes only and is not necessarily indicative of what Rezolves actual financial position or results of operations would have been had the Business Combination completed on the dates indicated. See the section titled </w:t>
      </w:r>
      <w:r>
        <w:rPr>
          <w:rFonts w:ascii="Times New Roman" w:hAnsi="Times New Roman"/>
          <w:i/>
          <w:sz w:val="20"/>
        </w:rPr>
        <w:t>Unaudited Pro Forma Condensed Combined Financial Information</w:t>
      </w:r>
      <w:r>
        <w:rPr>
          <w:rFonts w:ascii="Times New Roman" w:hAnsi="Times New Roman"/>
          <w:sz w:val="20"/>
        </w:rPr>
        <w:t xml:space="preserve"> for more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Armada does not expect to obtain an updated opinion from Marshall &amp; Stevens reflecting changes in circumstances that may occur after the signing of the amended and restated Business Combination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An opinion rendered to the Armada Board by Northland was provided in connection with, and at the time of, the Boards initial evaluation of the Business Combination on December 16, 2021, and subsequently confirmed in writing, and does not speak as of any other date. In connection with the amendment to the Business Combination Agreement, Northland rendered a new opinion to the Armada Board in connection with the Boards evaluation of the Business Combination, which opinion is dated as of March 30, 2022, and does not speak as of any other date.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further amended and restated Business Combination Agreement, Marshall &amp; Stevens rendered a new opinion to the Armada Board in connection with the Boards evaluation of the Business Combination, which opinion is dated as of June 11, 2023, and does not speak as of any other date. Each of Northlands and Marshall &amp; Stevenss opinion was based on financial forecasts and other information made available to Northland and Marshall &amp; Stevens, respectively, and on economic, market and other conditions in effect, as of the date of each such opinion, which may have changed, or may change, after the date of such opinion. Armada does not expect to obtain an updated opinion from Marshall &amp; Stevens as of the date of this proxy statement/prospectus and does not expect to obtain an updated opinion prior to completion of the Business Combination. Changes in the operations and prospects of Rezolve, general market and economic conditions and other factors on which Northlands and Marshall &amp; Stevens opinions were based, may significantly alter the value of Rezolve by the time the Business Combination is completed. Northlands and Marshall &amp; Stevens opinions do not speak as of the time the Business Combination will be completed or as of any date other than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date of such opinion. For a description of the opinion issued by Northland and the opinion issued by Marshall &amp; Stevens to the Board, please see the sections entitled </w:t>
      </w:r>
      <w:r>
        <w:rPr>
          <w:rFonts w:ascii="Times New Roman" w:hAnsi="Times New Roman"/>
          <w:i/>
          <w:sz w:val="20"/>
        </w:rPr>
        <w:t>The Business Combination Proposal  Opinion of Marshall</w:t>
      </w:r>
      <w:r>
        <w:rPr>
          <w:rFonts w:ascii="Times New Roman" w:hAnsi="Times New Roman"/>
          <w:sz w:val="20"/>
        </w:rPr>
        <w:t> </w:t>
      </w:r>
      <w:r>
        <w:rPr>
          <w:rFonts w:ascii="Times New Roman" w:hAnsi="Times New Roman"/>
          <w:i/>
          <w:sz w:val="20"/>
        </w:rPr>
        <w:t>&amp; Stevens</w:t>
      </w:r>
      <w:r>
        <w:rPr>
          <w:rFonts w:ascii="Times New Roman" w:hAnsi="Times New Roman"/>
          <w:sz w:val="20"/>
        </w:rPr>
        <w:t> and </w:t>
      </w:r>
      <w:r>
        <w:rPr>
          <w:rFonts w:ascii="Times New Roman" w:hAnsi="Times New Roman"/>
          <w:i/>
          <w:sz w:val="20"/>
        </w:rPr>
        <w:t>The Business Combination Proposal  Opinion of Northland</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Armadas directors may decide not to enforce the indemnification obligations of Armadas Sponsor, resulting in a reduction in the amount of funds in the Trust Account available for distribution to Armadas public stockholders.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the proceeds in the Trust Account are reduced below the lesser of (i) $10.00 per public share and (ii) the actual amount per share held in the Trust Account as of the date of the liquidation of the Trust Account if less than $10.00 per share due to reductions in the value of the trust assets, in each case net of the interest which may be withdrawn to pay taxes, and Armadas Sponsor asserts that it is unable to satisfy its obligations or that it has no indemnification obligations related to a particular claim, Armadas independent directors would determine whether to take legal action against Armadas Sponsor to enforce its indemnification obligations. While Armada currently expects that its independent directors would take legal action on Armadas behalf against its Sponsor to enforce its indemnification obligations, it is possible that Armadas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Armadas independent directors choose not to enforce these indemnification obligations, the amount of funds in the Trust Account available for distribution to Armadas public stockholders may be reduced below $10.00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Armada may not have sufficient funds to satisfy indemnification claims of its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Armada has agreed to indemnify its officers and directors to the fullest extent permitted by law. However, Armadas officers and directors have agreed to waive any right, title, interest or claim of any kind in or to any monies in the Trust Account and not to seek recourse against the Trust Account for any reason whatsoever. Accordingly, any indemnification provided will be able to be satisfied by Armada only if (i) Armada has sufficient funds outside of the Trust Account or (ii) Armada consummates an initial business combination. Armadas obligation to indemnify its officers and directors may discourage stockholders from bringing a lawsuit against its officers or directors for breach of their fiduciary duty. These provisions also may have the effect of reducing the likelihood of derivative litigation against Armadas officers and directors, even though such an action, if successful, might otherwise benefit Armada and its stockholders. Furthermore, a stockholders investment may be adversely affected to the extent Armada pays the costs of settlement and damage awards against its officers and directors pursuant to these indemnification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Armadas ability to successfully effect the Business Combination and to be successful thereafter will be totally dependent upon the efforts of its and Rezolves key personnel. </w:t>
      </w:r>
    </w:p>
    <w:p>
      <w:pPr>
        <w:pStyle w:val="TextBody"/>
        <w:bidi w:val="0"/>
        <w:spacing w:before="120" w:after="0"/>
        <w:jc w:val="left"/>
        <w:rPr>
          <w:rFonts w:ascii="Times New Roman" w:hAnsi="Times New Roman"/>
          <w:sz w:val="20"/>
        </w:rPr>
      </w:pPr>
      <w:r>
        <w:rPr>
          <w:rFonts w:ascii="Times New Roman" w:hAnsi="Times New Roman"/>
          <w:sz w:val="20"/>
        </w:rPr>
        <w:t xml:space="preserve">Armadas ability to successfully effect the Business Combination is dependent upon the efforts of its key personnel. Additionally, while Rezolve expects all of its key personnel to remain with the post-combination company following the Business Combination, it is possible that the post-combination company will lose some key personnel, the loss of which could negatively impact the operations and profitability of the post-combination company. Armada cannot assure you that these individuals will be familiar with the requirements of operating a public company, which could cause the post-combination company to have to expend time and resources helping them become familiar with such requirements. This could be expensive and time-consuming and could lead to various regulatory issues which may adversely affect its operations. Accordingly, there can be no assurances as to the success of Rezolve following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Armada and Rezolve will be subject to business uncertainties and contractual restrictions while the Business Combination is pending. </w:t>
      </w:r>
    </w:p>
    <w:p>
      <w:pPr>
        <w:pStyle w:val="TextBody"/>
        <w:bidi w:val="0"/>
        <w:spacing w:before="120" w:after="0"/>
        <w:jc w:val="left"/>
        <w:rPr>
          <w:rFonts w:ascii="Times New Roman" w:hAnsi="Times New Roman"/>
          <w:sz w:val="20"/>
        </w:rPr>
      </w:pPr>
      <w:r>
        <w:rPr>
          <w:rFonts w:ascii="Times New Roman" w:hAnsi="Times New Roman"/>
          <w:sz w:val="20"/>
        </w:rPr>
        <w:t xml:space="preserve">Uncertainty about the effect of the Business Combination on employees and third parties may have an adverse effect on Armada and Rezolve. These uncertainties may impair Armadas or Rezolves ability to retain and motivate key personnel and could cause third parties that deal with any of Armada or them to defer entering into contracts or making other decisions or seek to change existing business relationships. If key employees depart because of uncertainty about their future roles and the potential complexities of the Business Combination, Armadas or Rezolves business could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Armada may waive one or more of the conditions to the Business Combination. </w:t>
      </w:r>
    </w:p>
    <w:p>
      <w:pPr>
        <w:pStyle w:val="TextBody"/>
        <w:bidi w:val="0"/>
        <w:spacing w:before="120" w:after="0"/>
        <w:jc w:val="left"/>
        <w:rPr>
          <w:rFonts w:ascii="Times New Roman" w:hAnsi="Times New Roman"/>
          <w:sz w:val="20"/>
        </w:rPr>
      </w:pPr>
      <w:r>
        <w:rPr>
          <w:rFonts w:ascii="Times New Roman" w:hAnsi="Times New Roman"/>
          <w:sz w:val="20"/>
        </w:rPr>
        <w:t>Armada may agree to waive, in whole or in part, one or more of the conditions to Armadas obligations to complete the Business Combination, to the extent permitted by Armadas current amended and restated certificate of incorporation and bylaws and applicable laws. Armada may not waive the condition that Armadas stockholders approve the Business Combination. Please see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1</w:t>
      </w:r>
      <w:r>
        <w:rPr>
          <w:rFonts w:ascii="Times New Roman" w:hAnsi="Times New Roman"/>
          <w:sz w:val="20"/>
        </w:rPr>
        <w:t> </w:t>
      </w:r>
      <w:r>
        <w:rPr>
          <w:rFonts w:ascii="Times New Roman" w:hAnsi="Times New Roman"/>
          <w:i/>
          <w:sz w:val="20"/>
        </w:rPr>
        <w:t></w:t>
      </w:r>
      <w:r>
        <w:rPr>
          <w:rFonts w:ascii="Times New Roman" w:hAnsi="Times New Roman"/>
          <w:sz w:val="20"/>
        </w:rPr>
        <w:t> </w:t>
      </w:r>
      <w:r>
        <w:rPr>
          <w:rFonts w:ascii="Times New Roman" w:hAnsi="Times New Roman"/>
          <w:i/>
          <w:sz w:val="20"/>
        </w:rPr>
        <w:t>Approval of the Business Combination</w:t>
      </w:r>
      <w:r>
        <w:rPr>
          <w:rFonts w:ascii="Times New Roman" w:hAnsi="Times New Roman"/>
          <w:sz w:val="20"/>
        </w:rPr>
        <w:t> </w:t>
      </w:r>
      <w:r>
        <w:rPr>
          <w:rFonts w:ascii="Times New Roman" w:hAnsi="Times New Roman"/>
          <w:i/>
          <w:sz w:val="20"/>
        </w:rPr>
        <w:t></w:t>
      </w:r>
      <w:r>
        <w:rPr>
          <w:rFonts w:ascii="Times New Roman" w:hAnsi="Times New Roman"/>
          <w:sz w:val="20"/>
        </w:rPr>
        <w:t> </w:t>
      </w:r>
      <w:r>
        <w:rPr>
          <w:rFonts w:ascii="Times New Roman" w:hAnsi="Times New Roman"/>
          <w:i/>
          <w:sz w:val="20"/>
        </w:rPr>
        <w:t>The Business Combination Agreement</w:t>
      </w:r>
      <w:r>
        <w:rPr>
          <w:rFonts w:ascii="Times New Roman" w:hAnsi="Times New Roman"/>
          <w:sz w:val="20"/>
        </w:rPr>
        <w:t xml:space="preserve">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Armada and Rezolve will incur significant transaction and transition costs in connection with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Armada and Rezolve have both incurred and expect to incur significant, non-recurring costs in connection with consummating the Business Combination and operating as a public company following the consummation of the Business Combination. Armada and Rezolve may also incur additional costs to retain key employees. All expenses incurred in connection with the Business Combination Agreement and the transactions contemplated thereby (including the Business Combination), including all legal, accounting, consulting, investment banking and other fees, expenses and costs, will be for the account of the party incurring such fees, expenses and costs. </w:t>
      </w:r>
    </w:p>
    <w:p>
      <w:pPr>
        <w:pStyle w:val="TextBody"/>
        <w:bidi w:val="0"/>
        <w:spacing w:before="240" w:after="0"/>
        <w:jc w:val="left"/>
        <w:rPr>
          <w:rFonts w:ascii="Times New Roman" w:hAnsi="Times New Roman"/>
          <w:sz w:val="20"/>
        </w:rPr>
      </w:pPr>
      <w:r>
        <w:rPr>
          <w:rFonts w:ascii="Times New Roman" w:hAnsi="Times New Roman"/>
          <w:sz w:val="20"/>
        </w:rPr>
        <w:t xml:space="preserve">The aggregate transaction expenses as a result of the Business Combination are expected to be approximately $         million. The per-share amount Armada will distribute to stockholders who properly exercise their redemption rights will not be reduced by the transaction expenses and after such redemptions, the per-share value of shares held by non-redeeming stockholders will reflect Armadas obligation to pay the transaction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Armadas Sponsor, certain members of Armadas Board, and Armadas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When considering Armadas Boards recommendation that Armadas stockholders vote in favor of the approval of the Business Combination Proposal, Armadas stockholders should be aware that the directors and officers of Armada have interests in the Business Combination that may be different from, or in addition to, the interests of Armadas stockholders. These interests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Armadas Sponsor has agreed not to redeem any of the Founder Shares in connection with a stockholder vote to approve the Business Combination, as provided in the Armada Letter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continued indemnification of Armadas existing directors and officers and the continuation of Armadas directors and officers liability insurance after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Stephen Herbert and Douglas Lurio will each be appointed as board members of Rezolve after the Business Combination and shall be entitled to receive compensation for serving on Rezolves board of directors after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                 and $                 , respectively, based upon the closing price of $                 per public share on the Nasdaq on                  ,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Founders Shares to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Armadas Sponsor holds in the aggregate approximately     % of the total shares outstanding as of the date of this proxy statement/prospectus. The Founder Shares will likely be worthless if Armada does not complete a business combination by the applicable deadline.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are identical to the shares of Armada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Armada Common Stock in connection with the completion of Armadas Business Combination; and (b) to waive their redemption rights with respect to their shares of Armada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of Armada or to provide for redemption in connection with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Armadas Sponsor, directors or officers or their affiliates may elect to purchase shares from public stockholders, which may influence a vote on a proposed Business Combination and the other proposals described in this proxy statement/prospectus and reduce the public float of Rezolves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Armadas Sponsor, directors, or officers or their affiliates may purchase shares in privately negotiated transactions or in the open market either prior to or following the completion of its Business Combination, although they are under no obligation to do so. Such a purchase may include a contractual acknowledgement that such stockholder, although still the record holder of Armadas shares is no longer the beneficial owner thereof and therefore agrees not to exercise its redemption rights. In the event that Armadas Sponsor, directors, officers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Business Combination and thereby increase the likelihood of obtaining stockholder approval of the Business Combination. Any such purchases will be reported pursuant to Section 13 and Section 16 of the Exchange Act to the extent such purchasers are subject to such reporting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such purchases are made, the public float of Rezolves Ordinary Shares and the number of beneficial holders of Rezolves securities may be reduced, possibly making it difficult to obtain or maintain the quotation, listing or trading of its securities on the Nasdaq or another national securities exchange or reducing the liquidity of the trading market for its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Shareholders of the post-combination company may not be able to enforce judgments entered by United States courts against certain of Rezolves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Armada is incorporated in the State of Delaware. However, following the Business Combination, some of Rezolves directors and executive officers are expected to reside outside of the U.S. As a result, shareholders of the post-combination company may not be able to effect service of process upon those persons within the U.S. or enforce against those persons judgments obtained in U.S. courts.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post-combination company fails to introduce or acquire new offerings or services that achieve broad market acceptance on a timely basis, or if its offerings or services are not adopted as expected, Rezolve will not be able to compete effectively. </w:t>
      </w:r>
    </w:p>
    <w:p>
      <w:pPr>
        <w:pStyle w:val="TextBody"/>
        <w:bidi w:val="0"/>
        <w:spacing w:before="120" w:after="0"/>
        <w:jc w:val="left"/>
        <w:rPr>
          <w:rFonts w:ascii="Times New Roman" w:hAnsi="Times New Roman"/>
          <w:sz w:val="20"/>
        </w:rPr>
      </w:pPr>
      <w:r>
        <w:rPr>
          <w:rFonts w:ascii="Times New Roman" w:hAnsi="Times New Roman"/>
          <w:sz w:val="20"/>
        </w:rPr>
        <w:t xml:space="preserve">The post-combination company will operate in a highly competitive, quickly changing environment, and Rezolves future success depends on its ability to develop or acquire and introduce new offerings and services that achieve broad market acceptance. The post-combination companys ability to successfully introduce and market new offerings is unproven. Because the post-combination company will have a limited operating history and the market for its offerings, including newly acquired or developed offerings, is rapidly evolving, it is difficult to predict Rezolves operating results, particularly with respect to any new offerings that it may introduce. The post-combination companys future success will depend in large part upon its ability to identify demand trends in the market in which it will operate and quickly develop or acquire, and design, manufacture and sell, offerings and services that satisfy these demands in a cost-effective manner. </w:t>
      </w:r>
    </w:p>
    <w:p>
      <w:pPr>
        <w:pStyle w:val="TextBody"/>
        <w:bidi w:val="0"/>
        <w:spacing w:before="240" w:after="0"/>
        <w:jc w:val="left"/>
        <w:rPr>
          <w:rFonts w:ascii="Times New Roman" w:hAnsi="Times New Roman"/>
          <w:sz w:val="20"/>
        </w:rPr>
      </w:pPr>
      <w:r>
        <w:rPr>
          <w:rFonts w:ascii="Times New Roman" w:hAnsi="Times New Roman"/>
          <w:sz w:val="20"/>
        </w:rPr>
        <w:t xml:space="preserve">In order to differentiate the post-combination companys offerings and services from competitors products or offerings, the post-combination company will need to increase focus and capital investment in research and development, including software development. If any offerings currently sold by, and services offered by, Rezolve do not continue, or if the post-combination companys new offerings or services fail to achieve widespread market acceptance, or if Rezolve is unsuccessful in capitalizing on opportunities in the market in which the post-combination company will operate, the post-combination companys future growth may be slowed and its business, results of operations, and financial condition could be materially adversely affected. Successfully predicting demand trends is difficult, and it is very difficult to predict the effect that introducing a new offering or service will have on existing offering or service sales. It is possible that the post-combination company may not be successful with its new offerings and services, and as a result the post-combination companys future growth may be slowed and its business, results of operations, and financial condition could be materially adversely affected. Also, the post-combination company may not be able to respond effectively to new product, offering or service announcements by competitors by quickly introducing competitive offerings and services.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post-combination company may acquire companies and technologies in the future. In these circumstances, Rezolve may not be able to successfully manage integration of the new offering and service lines with Rezolves existing suite of offerings and services. If the post-combination company is unable to effectively and successfully further develop these new offering and service lines, the post-combination company may not be able to increase or maintain sales (as compared to sales of Rezolve on a standalone basis), and the post-combination companys gross margin (as compared to sales of Rezolve on a standalone basis)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success of the post-combination companys new offerings will depend on several factors, including, but not limited to, market demand, costs, timely completion and introduction of these offerings, prompt resolution of any defects or bugs in these offerings, the post-combination companys ability to support these offerings, differentiation of new offerings from those of the post-combination companys competitors, market acceptance of these offerings, delays and quality issues in releasing new offerings and services. One or more of the foregoing factors may result in lower quarterly revenues than expected, and the post-combination company may in the future experience offering or service introductions that fall short of its projected rates of market adoption.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Rezolves internal controls over financial reporting may not be effective and its independent registered public accounting firm may not be able to certify as to their effectiveness, which could have a significant and adverse effect on its business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Armada is required to comply with the SECs rules implementing Sections 302 and 404 of SOX, which require management to certify financial and other information in Armadas quarterly and annual reports and provide an annual management report on the effectiveness of internal control over financial reporting. To comply with the requirements of being a public company, Rezolve may need to undertake various actions, such as implementing additional internal controls and procedures and hiring additional accounting or internal audit staff. The standards required for a public company under Section 404 of SOX are significantly more stringent than those required of Rezolve as a privately-held company. Further, as an emerging growth company, Rezolves independent registered public accounting firm will not be required to formally attest to the effectiveness of its internal controls over financial reporting pursuant to Section 404 until the date Rezolve is no longer an emerging growth company. At such time, Rezolves independent registered public accounting firm may issue a report that is adverse in the event that it is not satisfied with the level at which the controls of the post-combination company are documented, designed, or operating. </w:t>
      </w:r>
    </w:p>
    <w:p>
      <w:pPr>
        <w:pStyle w:val="TextBody"/>
        <w:bidi w:val="0"/>
        <w:spacing w:before="240" w:after="0"/>
        <w:jc w:val="left"/>
        <w:rPr>
          <w:rFonts w:ascii="Times New Roman" w:hAnsi="Times New Roman"/>
          <w:sz w:val="20"/>
        </w:rPr>
      </w:pPr>
      <w:r>
        <w:rPr>
          <w:rFonts w:ascii="Times New Roman" w:hAnsi="Times New Roman"/>
          <w:sz w:val="20"/>
        </w:rPr>
        <w:t xml:space="preserve">Testing and maintaining these controls can divert Rezolves managements attention from other matters that are important to the operation of its business. If Rezolve identifies material weaknesses in the internal control over financial reporting of the post-combination company or, if it becomes subject to the requirements of Section 404 of Sarbanes-Oxley, is unable to comply with the requirements of Section 404 or assert that Rezolves internal control over financial reporting is effective, or if its independent registered public accounting firm is unable to express an opinion as to the effectiveness of its internal controls over financial reporting when Rezolve no longer qualifies as an emerging growth company, investors may lose confidence in the accuracy and completeness of its financial reports and the market price of Rezolve Ordinary Shares could be negatively affected, and Rezolve could become subject to investigations by the SEC or other regulatory authorities, which could require additional financial and management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Activities taken by Armadas affiliates to purchase, directly or indirectly, public shares will increase the likelihood of approval of the Business Combination Proposal and the other Proposals and may affect the market price of Armadas securities. </w:t>
      </w:r>
    </w:p>
    <w:p>
      <w:pPr>
        <w:pStyle w:val="TextBody"/>
        <w:bidi w:val="0"/>
        <w:spacing w:before="120" w:after="0"/>
        <w:jc w:val="left"/>
        <w:rPr>
          <w:rFonts w:ascii="Times New Roman" w:hAnsi="Times New Roman"/>
          <w:sz w:val="20"/>
        </w:rPr>
      </w:pPr>
      <w:r>
        <w:rPr>
          <w:rFonts w:ascii="Times New Roman" w:hAnsi="Times New Roman"/>
          <w:sz w:val="20"/>
        </w:rPr>
        <w:t xml:space="preserve">Armadas Sponsor, directors, officers, advisors, or their affiliates may purchase shares in privately negotiated transactions either prior to or following the consummation of the Business Combination. None of Armadas Sponsor, directors, officers, advisors, or their affiliates will make any such purchases when such parties are in possession of any material non-public information not disclosed to the seller or during a restricted period under Regulation M under the Exchange Act. Although none of Armadas Sponsor, directors, officers, advisors or their affiliates currently anticipate paying any premium purchase price for such public shares, in the event such parties do, the payment of a premium may not be in the best interest of those stockholders not receiving any such additional consideration. There is no limit on the number of shares that could be acquired by Armadas Sponsor, directors, officers, advisors or their affiliates, or the price such parties may pay. </w:t>
      </w:r>
    </w:p>
    <w:p>
      <w:pPr>
        <w:pStyle w:val="TextBody"/>
        <w:bidi w:val="0"/>
        <w:spacing w:before="240" w:after="0"/>
        <w:jc w:val="left"/>
        <w:rPr>
          <w:rFonts w:ascii="Times New Roman" w:hAnsi="Times New Roman"/>
          <w:sz w:val="20"/>
        </w:rPr>
      </w:pPr>
      <w:r>
        <w:rPr>
          <w:rFonts w:ascii="Times New Roman" w:hAnsi="Times New Roman"/>
          <w:sz w:val="20"/>
        </w:rPr>
        <w:t xml:space="preserve">If such transactions are effected, the consequence could be to cause the Business Combination to be approved in circumstances where such approval could not otherwise be obtained. Purchases of shares by the persons described above would allow them to exert more influence over the approval of the Business Combination Proposal and other proposals and would likely increase the chances that such Proposals would be approved. If the market does not view the Business Combination positively, purchases of public shares may have the effect of counteracting the markets view, which would otherwise be reflected in a decline in the market price of Armadas securities. In addition, the termination of the support provided by these purchases may materially adversely affect the market price of Armadas securities.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statement/prospectus, no agreements with respect to the private purchase of public shares by Armada or the persons described above have been entered into with any such investor or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Armada will file a Current Report on Form 8-K with the SEC to disclose private arrangements entered into or significant private purchases made by any of the aforementioned persons that would affect the vote on the Business Combination Proposal or other proposals.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Subsequent to the consummation of the Business Combination, the post-combination company may be required to take write-downs or write-offs, restructuring and impairment or other charges that could have a significant negative effect on its financial condition, results of operations and stock price, which could cause you to lose some or all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Although Armada has conducted due diligence on Rezolve, Armada cannot assure you that this diligence revealed all material issues that may be present in Rezolves business, that it would be possible to uncover all material issues through a customary amount of due diligence, or that factors outside of Armadas and Rezolves control will not later arise. As a result, the post-combination company may be forced to later write-down or write-off assets, restructure its operations, or incur impairment or other charges that could result in losses. Even if Armadas due diligence successfully identifies certain risks, unexpected risks may arise, and previously known risks may materialize in a manner not consistent with Armadas preliminary risk analysis. Even though these charges may be non-cash items and may not have an immediate impact on the post-combination companys liquidity, the fact that the post-combination company reports charges of this nature could contribute to negative market perceptions about it or its securities. In addition, charges of this nature may cause the post-combination company to be unable to obtain future financing on favorable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laws or regulations, or a failure to comply with any laws and regulations, may adversely affect Armadas business, investments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Armada is subject to laws, regulations and rules enacted by national, regional and local governments. In particular, Armada is required to comply with certain SEC, Nasdaq and other legal or regulatory requirements, including the Nasdaq upon the transfer of its listing.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Armadas business, investments, and results of operations. In addition, a failure to comply with applicable laws, regulations and rules, as interpreted and applied, could have a material adverse effect on Armadas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redeem your unexpired warrants prior to their exercise at a time that is disadvantageous to you, thereby making your warrants worthless. </w:t>
      </w:r>
    </w:p>
    <w:p>
      <w:pPr>
        <w:pStyle w:val="TextBody"/>
        <w:bidi w:val="0"/>
        <w:spacing w:before="120" w:after="0"/>
        <w:jc w:val="left"/>
        <w:rPr>
          <w:rFonts w:ascii="Times New Roman" w:hAnsi="Times New Roman"/>
          <w:sz w:val="20"/>
        </w:rPr>
      </w:pPr>
      <w:r>
        <w:rPr>
          <w:rFonts w:ascii="Times New Roman" w:hAnsi="Times New Roman"/>
          <w:sz w:val="20"/>
        </w:rPr>
        <w:t xml:space="preserve">We have the ability to redeem outstanding warrants at any time after they become exercisable and prior to their expiration, at a price of $0.01 per warrant, provided that the last reported sales price of the common stock equals or exceeds $18.00 per share (as adjusted for stock splits, stock dividends, reorganizations and recapitalizations) for any 20 trading days within a 30 trading-day period commencing at any time after the warrants become exercisable and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Armada Warrant Agreement designates the courts of the State of New York or the United States District Court for the Southern District of New York as the sole and exclusive forums for certain types of actions and proceedings that may be initiated by holders of Rezolve Warrants, which could limit the ability of warrant holders to obtain a favorable judicial forum for disputes with Rezolve. </w:t>
      </w:r>
    </w:p>
    <w:p>
      <w:pPr>
        <w:pStyle w:val="TextBody"/>
        <w:bidi w:val="0"/>
        <w:spacing w:before="120" w:after="0"/>
        <w:jc w:val="left"/>
        <w:rPr>
          <w:rFonts w:ascii="Times New Roman" w:hAnsi="Times New Roman"/>
          <w:sz w:val="20"/>
        </w:rPr>
      </w:pPr>
      <w:r>
        <w:rPr>
          <w:rFonts w:ascii="Times New Roman" w:hAnsi="Times New Roman"/>
          <w:sz w:val="20"/>
        </w:rPr>
        <w:t xml:space="preserve">The Armada Warrant Agreement provides that, subject to applicable law, (i) any action, proceeding or claim arising out of or relating in any way to the Armada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forums for any such action, proceeding or claim. We will waive any objection to such exclusive jurisdiction and that such courts represent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these provisions of the Armada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the Armada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If any action, the subject matter of which is within the scope of the forum provisions of the Armada Warrant Agreement, is filed in a court other than courts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 </w:t>
      </w:r>
    </w:p>
    <w:p>
      <w:pPr>
        <w:pStyle w:val="TextBody"/>
        <w:bidi w:val="0"/>
        <w:spacing w:before="240" w:after="0"/>
        <w:jc w:val="left"/>
        <w:rPr>
          <w:rFonts w:ascii="Times New Roman" w:hAnsi="Times New Roman"/>
          <w:sz w:val="20"/>
        </w:rPr>
      </w:pPr>
      <w:r>
        <w:rPr>
          <w:rFonts w:ascii="Times New Roman" w:hAnsi="Times New Roman"/>
          <w:sz w:val="20"/>
        </w:rPr>
        <w:t xml:space="preserve">This choice-of-forum provision may limit a warrant holders ability to bring a claim in a judicial forum that it finds favorable for disputes with our company, which may discourage such lawsuits. Alternatively, if a court were to find this provision of the Armada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Closing the Business Combination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Armada does not have a specified maximum redemption threshold. </w:t>
      </w:r>
    </w:p>
    <w:p>
      <w:pPr>
        <w:pStyle w:val="TextBody"/>
        <w:bidi w:val="0"/>
        <w:spacing w:before="120" w:after="0"/>
        <w:jc w:val="left"/>
        <w:rPr>
          <w:rFonts w:ascii="Times New Roman" w:hAnsi="Times New Roman"/>
          <w:sz w:val="20"/>
        </w:rPr>
      </w:pPr>
      <w:r>
        <w:rPr>
          <w:rFonts w:ascii="Times New Roman" w:hAnsi="Times New Roman"/>
          <w:sz w:val="20"/>
        </w:rPr>
        <w:t xml:space="preserve">The absence of such a redemption threshold may make it easier for Armada to consummate a business combination even where a substantial number of public stockholders seek to redeem their shares to cash in connection with the vote on the Business Combination. Armada has no specified percentage threshold for redemption in its amended and restated certificate of incorporation. As a result, Armada may be able to consummate a Business Combination even though a substantial number of its public stockholders do not agree with the transaction and have redeemed their shares. However, in no event will Armada be able to consummate an initial business combination unless it has net tangible assets of at least $5,000,001 immediately prior to or upon consummation of its initial business combination, unless the Charter Limitation Amendment Proposal is approved and implemented. If there are insufficient funds in the Trust Account at Closing to satisfy the requirement for $5,000,001 of net tangible assets and the Charter Limitation Amendment Proposal is not approved, the Combined Company will have to obtain additional funding, and if it fails to do so, may not be able to close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the conditions to the Business Combination Agreement are not met, the Business Combination may not occur. </w:t>
      </w:r>
    </w:p>
    <w:p>
      <w:pPr>
        <w:pStyle w:val="TextBody"/>
        <w:bidi w:val="0"/>
        <w:spacing w:before="120" w:after="0"/>
        <w:jc w:val="left"/>
        <w:rPr>
          <w:rFonts w:ascii="Times New Roman" w:hAnsi="Times New Roman"/>
          <w:sz w:val="20"/>
        </w:rPr>
      </w:pPr>
      <w:r>
        <w:rPr>
          <w:rFonts w:ascii="Times New Roman" w:hAnsi="Times New Roman"/>
          <w:sz w:val="20"/>
        </w:rPr>
        <w:t>Even if the Business Combination Agreement is approved by the stockholders of Armada, specified conditions must be satisfied or waived before the parties to the Business Combination Agreement are obligated to complete the Business Combination. For a list of the material closing conditions contained in the Business Combination Agreement, see the sections entitled </w:t>
      </w:r>
      <w:r>
        <w:rPr>
          <w:rFonts w:ascii="Times New Roman" w:hAnsi="Times New Roman"/>
          <w:i/>
          <w:sz w:val="20"/>
        </w:rPr>
        <w:t>Conditions to the Closing of the Business Combination Agreement</w:t>
      </w:r>
      <w:r>
        <w:rPr>
          <w:rFonts w:ascii="Times New Roman" w:hAnsi="Times New Roman"/>
          <w:sz w:val="20"/>
        </w:rPr>
        <w:t xml:space="preserve">. Armada and Rezolve may not satisfy all of the closing conditions in the Business Combination Agreement. If the closing conditions are not satisfied or waived, the Business Combination will not occur, or will be delayed pending later satisfaction or waiver, and such delay may cause Armada and Rezolve to each lose some or all of the intended benefits of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Armada cannot assure you that the Nasdaq Listing Condition will be satisfied or that Rezolve will be able to comply with the continued listing standard of Nasdaq if listed. If the Nasdaq Listing Condition is not satisfied, Armada would be unable to consummate the Business Combination without a waiver of the Nasdaq Listing Condition. </w:t>
      </w:r>
    </w:p>
    <w:p>
      <w:pPr>
        <w:pStyle w:val="TextBody"/>
        <w:bidi w:val="0"/>
        <w:spacing w:before="240" w:after="0"/>
        <w:jc w:val="left"/>
        <w:rPr>
          <w:rFonts w:ascii="Times New Roman" w:hAnsi="Times New Roman"/>
          <w:sz w:val="20"/>
        </w:rPr>
      </w:pPr>
      <w:r>
        <w:rPr>
          <w:rFonts w:ascii="Times New Roman" w:hAnsi="Times New Roman"/>
          <w:sz w:val="20"/>
        </w:rPr>
        <w:t xml:space="preserve">Armadas securities are currently listed on the Nasdaq and it is anticipated that, following the Business Combination, Rezolves securities will be listed on the Nasdaq. However, Armada cannot assure you that Rezolves securities will be able to meet the initial listing requirements of Nasdaq or continue to be listed on the Nasdaq in the future. Rezolves eligibility for listing on Nasdaq may depend on the number of shares of Armada Common Stock that are redeemed in connection with the Business Combination, and Rezolves ability to satisfy initial listing criteria, including certain financial and liquidity measures. Financial and liquidity measures, depending on the listing standard, may include, among others, stockholders equity or the market value of Rezolves publicly traded shares, as well as the number of unrestricted round lot stockholders. In certain high redemption scenarios, Rezolve may not be able to satisfy the minimum financial and liquidity measures under any of the initial listing standards, the Nasdaq Listing Condition may not be satisfied, and Armada would be unable to consummate the Business Combination without a waiver of the Nasdaq Listing Condition by Rezolve or additional third-party financing, which may involve dilutive equity issuances or the incurrence of indebtedness at higher-than-desirable levels. In order to continue to maintain the listing of Rezolves securities on the Nasdaq, Rezolve must also maintain certain financial, distribution and stock price levels. In addition to the listing requirements for Rezolve Ordinary Shares, the Nasdaq imposes listing standards on warrants, including the Rezolve Warrants. Armada cannot assure you that Rezolve will be able to meet those initial listing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If the Nasdaq delists Rezolves securities from trading on its exchange for failure to meet its listing standards after the Business Combination or the Nasdaq Listing Condition is waived by Rezolve and Rezolve is not able to list its securities on another national securities exchange, Rezolve and its stockholders could face significant material adverse consequences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 availability of market quotations for Rezolves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that Rezolve Ordinary Shares are a penny stock which will require brokers trading in Rezolve Ordinary Shares to adhere to more stringent rules, possibly resulting in a reduced level of trading activity in the secondary trading market for Rezolve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 amount of analyst coverage;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decreased ability to issue additional securities or obtain additional financing in the future.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Neither Armada nor its stockholders will have the protection of any indemnification, escrow, price adjustment or other provisions that allow for a post-closing adjustment to be made to the total aggregate closing consideration in the event that any of the representations and warranties made by Rezolve in the Business Combination ultimately proves to be inaccurate or incorrect.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representations and warranties made by Rezolve and Armada to each other in the Business Combination Agreement will not survive the consummation of the Business Combination. As a result, Armada and its stockholders will not have the protection of any indemnification, escrow, price adjustment or other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allow for a post-closing adjustment to be made to the total merger consideration if any representation or warranty made by Rezolve in the Business Combination Agreement proves to be inaccurate or incorrect. Accordingly, to the extent such representations or warranties are incorrect, Armada would have no indemnification claim with respect thereto and its financial condition or results of operations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exercise of discretion by Armadas directors and officers in agreeing to changes to the terms of or waivers of closing conditions in the Business Combination Agreement may result in a conflict of interest when determining whether such changes to the terms of the Business Combination Agreement or waivers of conditions are appropriate and in the best interests of Armadas stockholders. </w:t>
      </w:r>
    </w:p>
    <w:p>
      <w:pPr>
        <w:pStyle w:val="TextBody"/>
        <w:bidi w:val="0"/>
        <w:spacing w:before="120" w:after="0"/>
        <w:jc w:val="left"/>
        <w:rPr>
          <w:rFonts w:ascii="Times New Roman" w:hAnsi="Times New Roman"/>
          <w:sz w:val="20"/>
        </w:rPr>
      </w:pPr>
      <w:r>
        <w:rPr>
          <w:rFonts w:ascii="Times New Roman" w:hAnsi="Times New Roman"/>
          <w:sz w:val="20"/>
        </w:rPr>
        <w:t xml:space="preserve">In the period leading up to the Closing, other events may occur that, pursuant to the Business Combination Agreement, would require Armada to agree to amend the Business Combination Agreement to consent to certain actions or to waive rights that Armada is entitled to under those agreements. Such events could arise because of changes in the course of Rezolves business, a request by Rezolve to undertake actions that would otherwise be prohibited by the terms of the Business Combination Agreement or the occurrence of other events that would have a material adverse effect on Rezolves business and would entitle Armada to terminate the Business Combination Agreement, as applicable. In any of such circumstances, it would be in the discretion of Armada, acting through the Board, to grant its consent or waive its rights. The existence of the financial and personal interests of the directors described elsewhere in this proxy statement/prospectus may result in a conflict of interest on the part of one or more of the directors between what he or she may believe is best for Armada and Armadas stockholders and what he or she may believe is best for himself or herself or his or her affiliates in determining whether or not to take the requested action. As of the date of this proxy statement/prospectus, Armada does not believe there will be any changes or waivers that Armadas directors and officers would be likely to make after stockholder approval of the Business Combination has been obtained. While certain changes could be made without further stockholder approval, if there is a change to the terms of the Business Combination that would have a material impact on the stockholders, Armada will be required to circulate a new or amended proxy statement or supplement thereto and resolicit the vote of Armadas stockholders with respect to the Business Combination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Redemptions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Armada does not have a specified maximum redemption threshold. The absence of such a redemption threshold may make it possible for Armada to complete a Business Combination with which a substantial majority of our stockholders do not agree. </w:t>
      </w:r>
    </w:p>
    <w:p>
      <w:pPr>
        <w:pStyle w:val="TextBody"/>
        <w:bidi w:val="0"/>
        <w:spacing w:before="120" w:after="0"/>
        <w:jc w:val="left"/>
        <w:rPr>
          <w:rFonts w:ascii="Times New Roman" w:hAnsi="Times New Roman"/>
          <w:sz w:val="20"/>
        </w:rPr>
      </w:pPr>
      <w:r>
        <w:rPr>
          <w:rFonts w:ascii="Times New Roman" w:hAnsi="Times New Roman"/>
          <w:sz w:val="20"/>
        </w:rPr>
        <w:t xml:space="preserve">The Armada Charter does not provide a specified maximum redemption threshold, except that the Armada Charter prohibits Armada from closing the Business Combination if its net tangible assets would be less than $5,000,001, unless the Charter Limitation Amendment Proposal is approved and implemented. As a result, Armada may be able to complete Armadas Business Combination even though a portion of its public stockholders do not agree with the transaction and have redeemed their shares or have entered into privately negotiated agreements to sell their shares to Armadas Sponsor, directors or officers or their affiliates. Based on the amount of approximately $                     million in Armadas Trust Account as of                 , 2023,                  shares of Armada Common Stock may be redeemed and still enable Armada to have sufficient cash to satisfy the $5,000,001 net tangible assets requirement. As of the date of this proxy statement/prospectus, no agreements with respect to the private purchase of public shares by Armada or the persons described above have been entered into with any such investor or holder. Armada will file a Current Report on Form 8-K with the SEC to disclose private arrangements entered into or significant private purchases made by any of the aforementioned persons that would affect the vote on the Business Combination Proposal or other proposals (as described in this proxy statement/prospectus)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aggregate cash consideration Armada would be required to pay for all shares of Armada Common Stock that are validly submitted for redemption plus the cash amount specified in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Combination Agreement exceeds the aggregate amount of cash available to Armada, Armada may not complete the Business Combination or redeem any shares, all shares of Armada Common Stock submitted for redemption will be returned to the holders thereof, and Armada instead may search for an alternate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ability of Armadas stockholders to exercise their redemption rights with respect to a large number of Armadas shares could increase the probability that the Business Combination would be unsuccessful and that you would have to wait for liquidation in order to redeem your shares. </w:t>
      </w:r>
    </w:p>
    <w:p>
      <w:pPr>
        <w:pStyle w:val="TextBody"/>
        <w:bidi w:val="0"/>
        <w:spacing w:before="120" w:after="0"/>
        <w:jc w:val="left"/>
        <w:rPr>
          <w:rFonts w:ascii="Times New Roman" w:hAnsi="Times New Roman"/>
          <w:sz w:val="20"/>
        </w:rPr>
      </w:pPr>
      <w:r>
        <w:rPr>
          <w:rFonts w:ascii="Times New Roman" w:hAnsi="Times New Roman"/>
          <w:sz w:val="20"/>
        </w:rPr>
        <w:t xml:space="preserve">The Armada Charter would prohibit Armada from closing the Business Combination if its net tangible assets would be less than $5,000,001, unless the Charter Limitation Amendment Proposal is approved and implemented. Armada does not know how many stockholders will exercise their redemption rights in connection with the Business Combination and therefore whether it will be able to close the Business Combination if the Charter Limitation Amendment is not approved and implemented. If the Business Combination is unsuccessful, you would not receive your pro rata portion of the funds in the Trust Account until Armada liquidates the Trust Account. If you are in need of immediate liquidity, you could attempt to sell your shares in the open market; however, at such time the Armada Common Stock may trade at a discount to the pro rata amount per share in the Trust Account. In either situation, you may suffer a material loss on your investment or lose the benefit of funds expected in connection with your exercise of the redemption rights of our Armada Public Shares until Armada liquidates or you are able to sell your shares in the open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guarantee that a stockholders decision whether to redeem their shares for a pro rata portion of the Trust Account will put the stockholder in a better future economic position. </w:t>
      </w:r>
    </w:p>
    <w:p>
      <w:pPr>
        <w:pStyle w:val="TextBody"/>
        <w:bidi w:val="0"/>
        <w:spacing w:before="120" w:after="0"/>
        <w:jc w:val="left"/>
        <w:rPr>
          <w:rFonts w:ascii="Times New Roman" w:hAnsi="Times New Roman"/>
          <w:sz w:val="20"/>
        </w:rPr>
      </w:pPr>
      <w:r>
        <w:rPr>
          <w:rFonts w:ascii="Times New Roman" w:hAnsi="Times New Roman"/>
          <w:sz w:val="20"/>
        </w:rPr>
        <w:t xml:space="preserve">Armada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Armadas share price, and may result in a lower value realized now than a stockholder of Armada might realize in the future had the stockholder redeemed their shares. Similarly, if a stockholder does not redeem their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 A stockholder should consult the stockholders own tax and/or financial advisor for assistance on how this may affect his, her or its individual situation.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Armadas stockholders fail to comply with the redemption requirements specified in this proxy statement/prospectus, they will not be entitled to redeem their shares of Armada Common Stock for a pro rata portion of the funds held in the Trust Account. </w:t>
      </w:r>
    </w:p>
    <w:p>
      <w:pPr>
        <w:pStyle w:val="TextBody"/>
        <w:bidi w:val="0"/>
        <w:spacing w:before="120" w:after="0"/>
        <w:jc w:val="left"/>
        <w:rPr>
          <w:rFonts w:ascii="Times New Roman" w:hAnsi="Times New Roman"/>
          <w:sz w:val="20"/>
        </w:rPr>
      </w:pPr>
      <w:r>
        <w:rPr>
          <w:rFonts w:ascii="Times New Roman" w:hAnsi="Times New Roman"/>
          <w:sz w:val="20"/>
        </w:rPr>
        <w:t>Holders of public shares are not required to affirmatively vote for or against the Business Combination Proposal or any other proposal in order to exercise their rights to redeem their shares for a pro rata portion of the Trust Account. In order to exercise their Redemption Rights, they are required to submit a request in writing and deliver their stock (either physically or electronically) to Armadas transfer agent at least two (2) business days prior to the Special Meeting. Stockholders electing to redeem their shares will receive their pro rata portion of the aggregate amount then on deposit in the Trust Account, including interest earned on the funds held in the Trust Account and not previously released to it to pay Armadas franchise and income taxes, calculated as of two (2) business days prior to the anticipated consummation of the Business Combination. See the section titled </w:t>
      </w:r>
      <w:r>
        <w:rPr>
          <w:rFonts w:ascii="Times New Roman" w:hAnsi="Times New Roman"/>
          <w:i/>
          <w:sz w:val="20"/>
        </w:rPr>
        <w:t>Special Meeting of Company Stockholders  Redemption Rights</w:t>
      </w:r>
      <w:r>
        <w:rPr>
          <w:rFonts w:ascii="Times New Roman" w:hAnsi="Times New Roman"/>
          <w:sz w:val="20"/>
        </w:rPr>
        <w:t xml:space="preserve"> for additional information on how to exercise your Redemption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Armadas stockholders who wish to redeem their shares for a pro rata portion of the Trust Account must comply with specific requirements for redemption that may make it more difficult for them to exercise their Redemption Rights prior to the deadline. </w:t>
      </w:r>
    </w:p>
    <w:p>
      <w:pPr>
        <w:pStyle w:val="TextBody"/>
        <w:bidi w:val="0"/>
        <w:spacing w:before="120" w:after="0"/>
        <w:jc w:val="left"/>
        <w:rPr>
          <w:rFonts w:ascii="Times New Roman" w:hAnsi="Times New Roman"/>
          <w:sz w:val="20"/>
        </w:rPr>
      </w:pPr>
      <w:r>
        <w:rPr>
          <w:rFonts w:ascii="Times New Roman" w:hAnsi="Times New Roman"/>
          <w:sz w:val="20"/>
        </w:rPr>
        <w:t>Armadas public stockholders who wish to redeem their shares for a pro rata portion of the Trust Account must, among other things as fully described in the section titled </w:t>
      </w:r>
      <w:r>
        <w:rPr>
          <w:rFonts w:ascii="Times New Roman" w:hAnsi="Times New Roman"/>
          <w:i/>
          <w:sz w:val="20"/>
        </w:rPr>
        <w:t>Special Meeting of Company Stockholders </w:t>
      </w:r>
      <w:r>
        <w:rPr>
          <w:rFonts w:ascii="Times New Roman" w:hAnsi="Times New Roman"/>
          <w:sz w:val="20"/>
        </w:rPr>
        <w:t xml:space="preserve"> </w:t>
      </w:r>
      <w:r>
        <w:rPr>
          <w:rFonts w:ascii="Times New Roman" w:hAnsi="Times New Roman"/>
          <w:i/>
          <w:sz w:val="20"/>
        </w:rPr>
        <w:t>Redemption Rights</w:t>
      </w:r>
      <w:r>
        <w:rPr>
          <w:rFonts w:ascii="Times New Roman" w:hAnsi="Times New Roman"/>
          <w:sz w:val="20"/>
        </w:rPr>
        <w:t xml:space="preserve">, tender their certificates to Armadas transfer agent or deliver their shares to the transfer agent electronically through the DTC at least two (2) business days prior to the Special Meeting. In order to obtain a physical stock certificate, a stockholders broker and/or clearing broker, DTC and Armadas transfer agent will need to act to facilitate this request. It is Armadas understanding that stockholders should generally allow at least two weeks to obtain physical certificates from the transfer agent. However, because Armada does not have any control over this process or over the brokers, which Armada refers to as DTC, it may take significantly longer than two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 stockholder fails to receive notice of Armadas offer to redeem its public shares in connection with its Business Combination or fails to comply with the procedures for tendering its shares, such shares may not be redeemed. </w:t>
      </w:r>
    </w:p>
    <w:p>
      <w:pPr>
        <w:pStyle w:val="TextBody"/>
        <w:bidi w:val="0"/>
        <w:spacing w:before="120" w:after="0"/>
        <w:jc w:val="left"/>
        <w:rPr>
          <w:rFonts w:ascii="Times New Roman" w:hAnsi="Times New Roman"/>
          <w:sz w:val="20"/>
        </w:rPr>
      </w:pPr>
      <w:r>
        <w:rPr>
          <w:rFonts w:ascii="Times New Roman" w:hAnsi="Times New Roman"/>
          <w:sz w:val="20"/>
        </w:rPr>
        <w:t xml:space="preserve">If, despite Armadas compliance with the proxy rules, a stockholder fails to receive its proxy materials, such stockholder may not become aware of the opportunity to redeem its shares. In addition, the proxy materials that Armada is furnishing to holders of Armadas public shares in connection with its Business Combination describe the various procedures that must be complied with in order to validly redeem public shares. In the event that a stockholder fails to comply with these procedures, its shares may not be redeemed.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ability to execute the post-combination companys strategic plan could be negatively impacted to the extent a significant number of stockholders choose to redeem their shares in connection with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aggregate amount of cash consideration Armada would be required to pay for all shares of Armada Common Stock that are validly submitted for redemption, the post-combination company may be required to increase the financial leverage the post-combination companys business would have to support. This may negatively impact its ability to execute on its own future strategic plan and its financial viability.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third parties bring claims against Armada, the proceeds held in trust could be reduced and the per-share redemption price received by stockholders may be less than $10.00 per share. </w:t>
      </w:r>
    </w:p>
    <w:p>
      <w:pPr>
        <w:pStyle w:val="TextBody"/>
        <w:bidi w:val="0"/>
        <w:spacing w:before="240" w:after="0"/>
        <w:jc w:val="left"/>
        <w:rPr>
          <w:rFonts w:ascii="Times New Roman" w:hAnsi="Times New Roman"/>
          <w:sz w:val="20"/>
        </w:rPr>
      </w:pPr>
      <w:r>
        <w:rPr>
          <w:rFonts w:ascii="Times New Roman" w:hAnsi="Times New Roman"/>
          <w:sz w:val="20"/>
        </w:rPr>
        <w:t xml:space="preserve">Armadas placing of funds in trust may not protect those funds from third party claims against Armada. Although Armada has sought to have all vendors and service providers Armada engages and prospective target businesses Armada negotiated with execute agreements with Armada waiving any right, title, interest or claim of any kind in or to any monies held in the Trust Account for the benefit of Armadas public stockholders, they may not execute such agreements. Furthermore, even if such entities execute such agreements with Armada, they may seek recourse against the Trust Account. A court may not uphold the validity of such agreements. Accordingly, the proceeds held in trust could be subject to claims which could take priority over those of Armadas public stockholders. If Armada is unable to complete a business combination and distribute the proceeds held in trust to Armadas public stockholders, the Sponsor has agreed (subject to certain exceptions described elsewhere in this proxy statement/prospectus) that it will be liable to ensure that the proceeds in the Trust Account are not reduced below $10.00 per share by the claims of target businesses or claims of vendors or other entities that are owed money by Armada for services rendered or contracted for or products sold to Armada. However, it may not be able to meet such obligation. Therefore, the per-share distribution from the Trust Account may be less than $10.00, plus interest, due to such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if Armada is forced to file a bankruptcy case or an involuntary bankruptcy case is filed against Armada which is not dismissed, the proceeds held in the Trust Account could be subject to applicable bankruptcy law and may be included in Armadas bankruptcy estate and subject to the claims of third parties with priority over the claims of Armadas stockholders. To the extent any bankruptcy claims deplete the Trust Account, Armada may not be able to return to Armadas public stockholders at least $10.00. The Sponsor may not have sufficient funds to satisfy its indemnity obligations, as its only assets are securities of Armada. </w:t>
      </w:r>
    </w:p>
    <w:p>
      <w:pPr>
        <w:pStyle w:val="TextBody"/>
        <w:bidi w:val="0"/>
        <w:spacing w:before="360" w:after="0"/>
        <w:jc w:val="left"/>
        <w:rPr>
          <w:rFonts w:ascii="Times New Roman" w:hAnsi="Times New Roman"/>
          <w:b/>
          <w:i/>
          <w:sz w:val="20"/>
        </w:rPr>
      </w:pPr>
      <w:r>
        <w:rPr>
          <w:rFonts w:ascii="Times New Roman" w:hAnsi="Times New Roman"/>
          <w:b/>
          <w:i/>
          <w:sz w:val="20"/>
        </w:rPr>
        <w:t xml:space="preserve">Armadas stockholders may be held liable for claims by third parties against Armada to the extent of distributions received by them upon redemption of their shares. </w:t>
      </w:r>
    </w:p>
    <w:p>
      <w:pPr>
        <w:pStyle w:val="TextBody"/>
        <w:bidi w:val="0"/>
        <w:spacing w:before="120" w:after="0"/>
        <w:jc w:val="left"/>
        <w:rPr>
          <w:rFonts w:ascii="Times New Roman" w:hAnsi="Times New Roman"/>
          <w:sz w:val="20"/>
        </w:rPr>
      </w:pPr>
      <w:r>
        <w:rPr>
          <w:rFonts w:ascii="Times New Roman" w:hAnsi="Times New Roman"/>
          <w:sz w:val="20"/>
        </w:rPr>
        <w:t xml:space="preserve">If Armada enters into an insolvency proceeding, any distributions received by stockholders could be viewed as an unlawful payment if it was proved that, for example, immediately following the distribution, Armada was unable to pay its debts as they fall due in the ordinary course of business. As a result, a liquidator could seek to recover some or all amounts received by Armadas stockholders. Furthermore, Armadas directors may be viewed as having breached their fiduciary duties to the stockholders or its creditors or may have acted in bad faith, and thereby exposing itself and Armada to claims, by paying public stockholders from the Trust Account prior to addressing the claims of creditors. Armada cannot assure the stockholders that claims will not be brought against it for these reasons.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Ownership of Shares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Nasdaq may not list Rezolves securities on its exchange, which could limit investors ability to make transactions in its securities and subject Rezolve to additional trading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Business Combination, in order to obtain the listing of the post-combination companys securities on the Nasdaq, Rezolve will be required to demonstrate compliance with the Nasdaqs initial listing requirements, which are more rigorous than the Nasdaqs continued listing requirements. Armada and Rezolve will seek to have the post-combination companys securities listed on the Nasdaq upon consummation of the Business Combination. Rezolve cannot assure you that it will be able to meet all initial listing requirements. Even if the post-combination companys securities are listed on the Nasdaq, Rezolve may be unable to maintain the listing of its securities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If Rezolve fails to meet the initial listing requirements and the Nasdaq does not list the post-combination companys securities on its exchange, Rezolve would not be required to consummate the Business Combination. In the event that Rezolve elected to waive this condition, and the Business Combination was consummated without the post-combination companys securities being listed on the Nasdaq or on another national securities exchange, Rezolve could face significant material adverse consequences,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 availability of market quotations for Rezolves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liquidity for Rezolves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that Rezolves Ordinary Shares are a penny stock which will require brokers trading in the Rezolve Ordinary Shares to adhere to more stringent rules and possibly result in a reduced level of trading activity in the secondary trading market for its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 amount of news and analyst coverage;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decreased ability to issue additional securities or obtain additional financing in the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National Securities Markets Improvement Act of 1996, which is a U.S. federal statute, prevents or preempts U.S. states from regulating the sale of certain securities, which are referred to as covered securities. If the post-combination companys securities were not listed on the Nasdaq, such securities would not qualify as covered securities and Rezolve would be subject to regulation in each U.S. state in which Armada offers its securities because U.S. states are not preempted from regulating the sale of securities that are not covered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Although U.S. states are preempted from regulating the sale of Rezolves securities, the U.S. federal statute does allow U.S. states to investigate companies if there is a suspicion of fraud, and, if there is a finding of fraudulent activity, then U.S. states can regulate or bar the sale of covered securities in a particular case. While Armada and Rezolve are not aware of a U.S. state, other than the State of Idaho, having used these powers to prohibit or restrict the sale of securities issued by blank check companies, certain U.S. state securities regulators view blank check companies unfavorably and might use these powers, or threaten to use these powers, to hinder the sale of securities of blank check companies in their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Rezolves estimates or judgments relating to Rezolves critical accounting policies are ultimately incorrect, Rezolves results of operations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U.S. GAAP requires management to make estimates and assumptions that affect the amounts reported in the Rezolve Financial Statements and accompanying notes. Rezolve bases its estimates on historical experience and on various other assumptions that Rezolve believes to be reasonable under the circumstances. The results of these estimates form the basis for making judgments about the carrying values of assets, liabilities and equity and the amount of revenues and expenses that are not readily apparent from other sources. Assumptions and estimates used in preparing the Rezolve Financial Statements include those related to revenue recognition and business combinations. Rezolves results of operations may be adversely affected if Rezolves assumptions change or if actual circumstances differ from those in Rezolves assumptions, which could adversely affect Rezolves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financial accounting standards or practices may cause adverse, unexpected financial reporting fluctuations and adversely affect Rezolves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change in accounting standards or practices may have a significant adverse effect on Rezolves results of operations and/or may affect Rezolves reporting of transactions completed before any such change is effective. New accounting pronouncements and varying interpretations of accounting pronouncements have occurred in the past and may occur in the future. Changes to existing rules or the questioning of current practices may adversely affect Rezolves reported financial results or the way Rezolve conducts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 controlled company within the meaning of the Nasdaq rules. As a result, we qualify for, and may rely on, exemptions from certain corporate governance requirements that provide protection to stockholders of other companies.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provisions in Rezolves articles of association, Daniel Wagner, the Rezolve Founder and Chief Executive Officer, controls 75% of the voting power of our outstanding capital stock. As a result, we are a controlled company within the meaning of the corporate governance standards of the Nasdaq. Under these rules, a company of which more than 50% of the voting power is held by an individual, group or another company is a controlled company and may elect not to comply with certain corporate governance requirements,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a majority of the board of directors consist of independent directors as defined under the Nasdaq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to have a compensation committee that is composed entirely of independent directors with a written charter addressing the committees purpose and responsibilities;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to have a nominating and corporate governance committee that is composed entirely of independent directors with a written charter addressing the committees purpose and responsibilities;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for an annual performance evaluation of the compensation and nominating and corporate governance committees.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Rezolve may choose to utilize certain of these exemptions. Accordingly, you will not have the same protections afforded to stockholders of companies that are subject to all of the corporate governance requirements of the Nasdaq.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Nasdaq has developed listing standards regarding compensation committee independence requirements and the role and disclosure of compensation consultants and other advisers to the compensation committee that, among other things, requires: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committees be composed of independent directors, as determined pursuant to new independence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committees be explicitly charged with hiring and overseeing compensation consultants, legal counsel and other committee advisors;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committees be required to consider, when engaging compensation consultants, legal counsel or other advisors, certain independence factors, including factors that examine the relationship between the consultant or advisors employer and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controlled company, Rezolve will not be subject to these compensation committee independence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laws or tax rulings could materially affect Rezolves financial position, results of operations,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New income, sales, use or other tax laws, statutes, rules, regulations or ordinances could be enacted at any time. Any new taxes could adversely affect Rezolves domestic and international business operations, and Rezolves business and financial performance. Further, existing tax laws, statutes, rules, regulations or ordinances could be interpreted, changed, modified or applied adversely to Rezolve. Although Rezolve believes that it has complied with all applicable tax laws, there can be no assurance that a taxing authority will not have a different interpretation of the law and assess Rezolve with additional taxes (and possibly related interest and/or penalties). These events could require Rezolve, its business partners or its customers to pay additional tax amounts on a prospective or retroactive basis, as well as require Rezolve, its business partners or customers to pay fines and/or penalties and interest for past amounts deemed to be due. </w:t>
      </w:r>
    </w:p>
    <w:p>
      <w:pPr>
        <w:pStyle w:val="TextBody"/>
        <w:bidi w:val="0"/>
        <w:spacing w:before="240" w:after="0"/>
        <w:jc w:val="left"/>
        <w:rPr>
          <w:rFonts w:ascii="Times New Roman" w:hAnsi="Times New Roman"/>
          <w:sz w:val="20"/>
        </w:rPr>
      </w:pPr>
      <w:r>
        <w:rPr>
          <w:rFonts w:ascii="Times New Roman" w:hAnsi="Times New Roman"/>
          <w:sz w:val="20"/>
        </w:rPr>
        <w:t xml:space="preserve">Additionally, new, changed, modified or newly interpreted or applied tax laws could increase Rezolves business partners, customers and Rezolves compliance, operating and other costs, as well as the costs of Rezolves platform. Any or all of these events could adversely impact Rezolves business and financial performance. Furthermore, as Rezolves employees continue to work remotely from geographic locations, Rezolve may become subject to additional taxes, and Rezolves compliance burdens with respect to the tax laws of additional jurisdictions may be increased, all of which could adversely affect Rezolves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public stockholders will experience immediate dilution as a consequence of the issuance of Rezolve Ordinary Shares as consideration in the Business Combination and due to future issuances pursuant to the Rezolve Incentive Equity Plan, the future conversion of the Convertible Notes into Rezolve Ordinary Shares and future issuances of Rezolve Ordinary Shares under the Standby Purchase Agreement. Having a minority share position may reduce the influence that Armadas current stockholders have on the management of Rezolve. </w:t>
      </w:r>
    </w:p>
    <w:p>
      <w:pPr>
        <w:pStyle w:val="TextBody"/>
        <w:bidi w:val="0"/>
        <w:spacing w:before="120" w:after="0"/>
        <w:jc w:val="left"/>
        <w:rPr>
          <w:rFonts w:ascii="Times New Roman" w:hAnsi="Times New Roman"/>
          <w:sz w:val="20"/>
        </w:rPr>
      </w:pPr>
      <w:r>
        <w:rPr>
          <w:rFonts w:ascii="Times New Roman" w:hAnsi="Times New Roman"/>
          <w:sz w:val="20"/>
        </w:rPr>
        <w:t xml:space="preserve">It is anticipated that, upon completion of the Business Combination, assuming minimum redemptions: (i) Armada public stockholders will retain an ownership interest of approximately     % in Rezolve (not including shares beneficially owned by Armadas Sponsor); (ii) Armadas Sponsor will own approximately     % of Rezolve; and (iii) the existing Rezolve equity holders will own approximately     % of Rezolve. The ownership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percentage with respect to Rezolve following the Business Combination does not take into account the issuance of any shares upon completion of the Business Combination under the Rezolve Incentive Equity Plan, a copy of which is attached to this proxy statement/prospectus as Annex                 , the future conversion of the secured Convertible Notes into Rezolve Ordinary Shares, nor future issuances of Rezolve Ordinary Shares to YA pursuant to the Standby Purchase Agreement. If the actual facts are different than these assumptions, the percentage ownership of Armadas existing stockholders in the post-combination company will be different. For more information, please see the sections entitled </w:t>
      </w:r>
      <w:r>
        <w:rPr>
          <w:rFonts w:ascii="Times New Roman" w:hAnsi="Times New Roman"/>
          <w:i/>
          <w:sz w:val="20"/>
        </w:rPr>
        <w:t>Unaudited Pro Forma Condensed Combined Financial Information</w:t>
      </w:r>
      <w:r>
        <w:rPr>
          <w:rFonts w:ascii="Times New Roman" w:hAnsi="Times New Roman"/>
          <w:sz w:val="20"/>
        </w:rPr>
        <w:t xml:space="preserve">, and </w:t>
      </w:r>
      <w:r>
        <w:rPr>
          <w:rFonts w:ascii="Times New Roman" w:hAnsi="Times New Roman"/>
          <w:i/>
          <w:sz w:val="20"/>
        </w:rPr>
        <w:t>Proposal No.</w:t>
      </w:r>
      <w:r>
        <w:rPr>
          <w:rFonts w:ascii="Times New Roman" w:hAnsi="Times New Roman"/>
          <w:sz w:val="20"/>
        </w:rPr>
        <w:t> </w:t>
      </w:r>
      <w:r>
        <w:rPr>
          <w:rFonts w:ascii="Times New Roman" w:hAnsi="Times New Roman"/>
          <w:i/>
          <w:sz w:val="20"/>
        </w:rPr>
        <w:t>3  The Incentive Equity Plan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additional Ordinary Shares will significantly dilute the equity interests of existing holders of Armada securities and may adversely affect prevailing market prices for Armadas units, public shares or public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Rezolves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Rezolve has generated limited revenues from existing Channels and there is no guarantee that it will be able to attract and retain new merchants and increase sales to new merchants. </w:t>
      </w:r>
    </w:p>
    <w:p>
      <w:pPr>
        <w:pStyle w:val="TextBody"/>
        <w:bidi w:val="0"/>
        <w:spacing w:before="120" w:after="0"/>
        <w:jc w:val="left"/>
        <w:rPr>
          <w:rFonts w:ascii="Times New Roman" w:hAnsi="Times New Roman"/>
          <w:sz w:val="20"/>
        </w:rPr>
      </w:pPr>
      <w:r>
        <w:rPr>
          <w:rFonts w:ascii="Times New Roman" w:hAnsi="Times New Roman"/>
          <w:sz w:val="20"/>
        </w:rPr>
        <w:t xml:space="preserve">Rezolve expects to generate revenues principally through subscription fees and one-time transaction fees. Rezolve expects to be dependent on agreements with certain business partners to service merchants and remit subscription fees to Rezolve, including ACI in North America and Europe, CompuTop in Germany, MobiKwik in India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 </w:t>
      </w:r>
    </w:p>
    <w:p>
      <w:pPr>
        <w:pStyle w:val="TextBody"/>
        <w:bidi w:val="0"/>
        <w:spacing w:before="240" w:after="0"/>
        <w:jc w:val="left"/>
        <w:rPr>
          <w:rFonts w:ascii="Times New Roman" w:hAnsi="Times New Roman"/>
          <w:sz w:val="20"/>
        </w:rPr>
      </w:pPr>
      <w:r>
        <w:rPr>
          <w:rFonts w:ascii="Times New Roman" w:hAnsi="Times New Roman"/>
          <w:sz w:val="20"/>
        </w:rPr>
        <w:t xml:space="preserve">Rezolve may also fail to attract new partners and retain existing partners as a result of a number of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factors affecting the software as a service, or SaaS, business software applications market, including the introduction of competing platforms, discount pricing and other strategies that may be implemented by Rezolves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ability to execute on Rezolves growth strategy and operating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decline in Rezolves partners level of satisfaction with Rezolves platform and usage of Rezolves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Rezolves relationships with third parties, including Rezolves partners, app developers, theme designers, referral sources and payment processors;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timeliness and success of Rezolves 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frequency and severity of any system outages;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Rezolve is an early-stage company with a history of financial losses and expects to incur significant expenses and continuing losses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Rezolve incurred a net loss of, respectively, $37.7 million in the year ended December 31, 2021 and $104.1 million in the year ended December 31, 2022. At December 31, 2022, Rezolve had a total shareholders deficit of $27.3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expect to rely on a limited number of customers for a significant portion of our near-term revenue. </w:t>
      </w:r>
    </w:p>
    <w:p>
      <w:pPr>
        <w:pStyle w:val="TextBody"/>
        <w:bidi w:val="0"/>
        <w:spacing w:before="120" w:after="0"/>
        <w:jc w:val="left"/>
        <w:rPr>
          <w:rFonts w:ascii="Times New Roman" w:hAnsi="Times New Roman"/>
          <w:sz w:val="20"/>
        </w:rPr>
      </w:pPr>
      <w:r>
        <w:rPr>
          <w:rFonts w:ascii="Times New Roman" w:hAnsi="Times New Roman"/>
          <w:sz w:val="20"/>
        </w:rPr>
        <w:t xml:space="preserve">We currently generate a significant portion of our revenue from a single marketing agreement with the Radio Group GmbH (Radio Group) from which we expect to generate most of our revenues in the near future. Approximately 99% and 98% of our revenue was derived from sales of radio advertisements through Radio Group for the fiscal years ended December 31, 2022 and 2021, respectively, and we anticipate that a significant portion of our revenue will continue to be derived from sales through the marketing agreement in the foreseeable future. The terms and conditions of the marketing agreement with Radio Group permit Radio Group to terminate the Companys ability to sell customers radio advertisements on a Radio Group radio station at any time (subject to notice and certain other provisions). Accordingly, the sudden loss of the Radio Group, the renegotiation of the marketing agreement, a substantial reduction in customer orders, failure to exercise customer options, inability to perform under contracts or significant deterioration in its condition could harm our business, results, operations and condition. If we fail to perform under the terms of the marketing agreement, the Radio Group could seek to terminate this agreement and/or pursue damages against us, including liquidated damages in certain instances, which could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Because we rely on single agreement for a significant portion of our revenues, we depend on the operational effectiveness of the Radio Group. If the financial condition of Radio Group declines, our credit risk could increase. Should the Radio Group declare bankruptcy, be declared insolvent or otherwise be restricted by state or federal laws or regulation from continuing in some or all of their operations, this could adversely affect our ongoing revenues, the collectability of our accounts receivable and our net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impact of worldwide economic conditions, including the resulting effect on spending by SMBs and spending on technology, may adversely affect Rezolves business, operating results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 </w:t>
      </w:r>
    </w:p>
    <w:p>
      <w:pPr>
        <w:pStyle w:val="TextBody"/>
        <w:bidi w:val="0"/>
        <w:spacing w:before="240" w:after="0"/>
        <w:jc w:val="left"/>
        <w:rPr>
          <w:rFonts w:ascii="Times New Roman" w:hAnsi="Times New Roman"/>
          <w:sz w:val="20"/>
        </w:rPr>
      </w:pPr>
      <w:r>
        <w:rPr>
          <w:rFonts w:ascii="Times New Roman" w:hAnsi="Times New Roman"/>
          <w:sz w:val="20"/>
        </w:rPr>
        <w:t xml:space="preserve">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 </w:t>
      </w:r>
    </w:p>
    <w:p>
      <w:pPr>
        <w:pStyle w:val="TextBody"/>
        <w:bidi w:val="0"/>
        <w:spacing w:before="240" w:after="0"/>
        <w:jc w:val="left"/>
        <w:rPr>
          <w:rFonts w:ascii="Times New Roman" w:hAnsi="Times New Roman"/>
          <w:sz w:val="20"/>
        </w:rPr>
      </w:pPr>
      <w:r>
        <w:rPr>
          <w:rFonts w:ascii="Times New Roman" w:hAnsi="Times New Roman"/>
          <w:sz w:val="20"/>
        </w:rPr>
        <w:t xml:space="preserve">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Rezolves limited operating history in a new and developing market makes it difficult to evaluate its current business and future prospects and may increase the risk that it will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Rezolves growth depends in part on the success of its strategic relationships with third parties. </w:t>
      </w:r>
    </w:p>
    <w:p>
      <w:pPr>
        <w:pStyle w:val="TextBody"/>
        <w:bidi w:val="0"/>
        <w:spacing w:before="120" w:after="0"/>
        <w:jc w:val="left"/>
        <w:rPr>
          <w:rFonts w:ascii="Times New Roman" w:hAnsi="Times New Roman"/>
          <w:sz w:val="20"/>
        </w:rPr>
      </w:pPr>
      <w:r>
        <w:rPr>
          <w:rFonts w:ascii="Times New Roman" w:hAnsi="Times New Roman"/>
          <w:sz w:val="20"/>
        </w:rPr>
        <w:t xml:space="preserve">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supply of products, offerings or services from a current supplier, including any single-source supplier, it could have an adverse effect on Rezolves business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 </w:t>
      </w:r>
    </w:p>
    <w:p>
      <w:pPr>
        <w:pStyle w:val="TextBody"/>
        <w:bidi w:val="0"/>
        <w:spacing w:before="120" w:after="0"/>
        <w:jc w:val="left"/>
        <w:rPr>
          <w:rFonts w:ascii="Times New Roman" w:hAnsi="Times New Roman"/>
          <w:sz w:val="20"/>
        </w:rPr>
      </w:pPr>
      <w:r>
        <w:rPr>
          <w:rFonts w:ascii="Times New Roman" w:hAnsi="Times New Roman"/>
          <w:sz w:val="20"/>
        </w:rPr>
        <w:t xml:space="preserve">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Rezolves radio advertising business in Germany is susceptible to risks associated with economic downturns and recession. </w:t>
      </w:r>
    </w:p>
    <w:p>
      <w:pPr>
        <w:pStyle w:val="TextBody"/>
        <w:bidi w:val="0"/>
        <w:spacing w:before="120" w:after="0"/>
        <w:jc w:val="left"/>
        <w:rPr>
          <w:rFonts w:ascii="Times New Roman" w:hAnsi="Times New Roman"/>
          <w:sz w:val="20"/>
        </w:rPr>
      </w:pPr>
      <w:r>
        <w:rPr>
          <w:rFonts w:ascii="Times New Roman" w:hAnsi="Times New Roman"/>
          <w:sz w:val="20"/>
        </w:rPr>
        <w:t>On August 30, 2021, Rezolve acquired Any Lifestyle Marketing GmbH (ANY) from its shareholders including the Radio Group GmbH. ANY was incorporated on August 13, 2021. ANY was established to purchase the rights to sell services of the companies owned by Radio Group GmbH (Radio Group) such as airtime advertisements. ANYs business from incorporation is Radio Groups predecessor marketing business prior to being carved-out and inserted into the newly formed company, ANY. For additional details, see </w:t>
      </w:r>
      <w:r>
        <w:rPr>
          <w:rFonts w:ascii="Times New Roman" w:hAnsi="Times New Roman"/>
          <w:i/>
          <w:sz w:val="20"/>
        </w:rPr>
        <w:t>Rezolves Managements Discussion and Analysis</w:t>
      </w:r>
      <w:r>
        <w:rPr>
          <w:rFonts w:ascii="Times New Roman" w:hAnsi="Times New Roman"/>
          <w:sz w:val="20"/>
        </w:rPr>
        <w:t xml:space="preserve"> </w:t>
      </w:r>
      <w:r>
        <w:rPr>
          <w:rFonts w:ascii="Times New Roman" w:hAnsi="Times New Roman"/>
          <w:i/>
          <w:sz w:val="20"/>
        </w:rPr>
        <w:t>of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December 28, 2022, the legal ownership of ANY reverted back to the sellers of ANY, the consideration shares were reclassified as deferred shares, and further negotiations took place between the sellers of ANY and the Company. On May 24, 2023, the sellers of ANY and the Company agreed that the Company could re-acquire the shares in ANY as soon as practicable after listing of Rezolves Ordinary Shares and on completion of the purchase, the deferred shares held by the sellers of ANY are to be reclassified as Ordinary Shares. If the sellers of ANY elect within 14 days of the listing of Rezolves Ordinary Shares, Rezolve must pay the sellers of ANY $5 million within 60 days after such election and upon such payment 4,854,368 of the consideration shares (as adjusted as a result of the Pre-Closing Demerger) held by those sellers will be reclassified as deferred shares. If Rezolve fails to make such payment, the sellers of ANY may reverse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does not consummate the Business Combination by November 30, 2023, the sellers of ANY may terminate the acquisition of ANY. The sellers of ANY may sell up to EUR two million (equivalent to $2,161,600) of their consideration shares within 60 days of the listing to existing shareholders of Rezolve. If the sellers of ANY do not find an interested buyer in the shares within 60 days, the sellers may elect within 14 days after that 60-day period that Rezolve pays the sellers EUR two million (equivalent to $2,161,600) within 10 business days and upon such payment 2,098,640 of the consideration shares (as adjusted as a result of the Pre-Closing Demerger) held by those sellers will be reclassified as deferred shares. If Rezolve fails to make such payment, the sellers of ANY may reverse the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failure of Rezolve to pay cash to the sellers of ANY may result in the reversal of the acquisition of ANY, which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Non-performance under, termination, non-renewal or material modification of agreements with Rezolves business partners could have a material adverse effect on Rezolves business, financial condition and/or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Rezolves business could be harmed if it fails to manage its growth effectively. </w:t>
      </w:r>
    </w:p>
    <w:p>
      <w:pPr>
        <w:pStyle w:val="TextBody"/>
        <w:bidi w:val="0"/>
        <w:spacing w:before="120" w:after="0"/>
        <w:jc w:val="left"/>
        <w:rPr>
          <w:rFonts w:ascii="Times New Roman" w:hAnsi="Times New Roman"/>
          <w:sz w:val="20"/>
        </w:rPr>
      </w:pPr>
      <w:r>
        <w:rPr>
          <w:rFonts w:ascii="Times New Roman" w:hAnsi="Times New Roman"/>
          <w:sz w:val="20"/>
        </w:rPr>
        <w:t xml:space="preserve">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 </w:t>
      </w:r>
    </w:p>
    <w:p>
      <w:pPr>
        <w:pStyle w:val="TextBody"/>
        <w:bidi w:val="0"/>
        <w:spacing w:before="240" w:after="0"/>
        <w:jc w:val="left"/>
        <w:rPr>
          <w:rFonts w:ascii="Times New Roman" w:hAnsi="Times New Roman"/>
          <w:sz w:val="20"/>
        </w:rPr>
      </w:pPr>
      <w:r>
        <w:rPr>
          <w:rFonts w:ascii="Times New Roman" w:hAnsi="Times New Roman"/>
          <w:sz w:val="20"/>
        </w:rPr>
        <w:t xml:space="preserve">Rezolves growth will likely continue to place, a significant strain on its managerial, administrative, operational, financial and other resources. Rezolve has grown from 21 employees at December 31, 2019 to 70 employees at December 31, 2022.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Rezolves operating and financial results forecast relies in large part upon assumptions and analyses developed by Rezolve. If these assumptions or analyses prove to be incorrect, Rezolves actual operating results may be materially different from its forecasted results. </w:t>
      </w:r>
    </w:p>
    <w:p>
      <w:pPr>
        <w:pStyle w:val="TextBody"/>
        <w:bidi w:val="0"/>
        <w:spacing w:before="120" w:after="0"/>
        <w:jc w:val="left"/>
        <w:rPr>
          <w:rFonts w:ascii="Times New Roman" w:hAnsi="Times New Roman"/>
          <w:sz w:val="20"/>
        </w:rPr>
      </w:pPr>
      <w:r>
        <w:rPr>
          <w:rFonts w:ascii="Times New Roman" w:hAnsi="Times New Roman"/>
          <w:sz w:val="20"/>
        </w:rPr>
        <w:t xml:space="preserve">The projected financial and operating information appearing elsewhere in this proxy statement/prospectus reflect current management estimates of future performance. Whether actual operating and financial results and business developments will be consistent with Rezolves expectations and assumptions as reflected in its forecasts depends on a number of factors, many of which are outside Rezolves control,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 and timing of existing and new market business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 and timing of new software development activity;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including from established and future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ability to manage its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Rezolve can manage relationships with business partners and key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ability to retain existing key management, integrate recent hires and attract, retain and motivate qualified personnel;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overall strength and stability of domestic and international economies.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all projected financial and operating information is subject to significant uncertainties and contingencies, many of which are beyond Rezolves control, Rezolve believes that the preparation of projected financial information involves increasingly higher levels of uncertainty the further out the projected financial information extends from the date of preparation. Unfavorable changes in any of the above-listed or other factors, many of which are beyond Rezolves control, could cause Rezolve to fall materially short of its projections, which could materially and adversely affect its business, results of operations, prospects and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 does not have the history with its solutions or pricing models necessary to accurately predict optimal pricing necessary to attract new merchants and retain existing merchants. </w:t>
      </w:r>
    </w:p>
    <w:p>
      <w:pPr>
        <w:pStyle w:val="TextBody"/>
        <w:bidi w:val="0"/>
        <w:spacing w:before="120" w:after="0"/>
        <w:jc w:val="left"/>
        <w:rPr>
          <w:rFonts w:ascii="Times New Roman" w:hAnsi="Times New Roman"/>
          <w:sz w:val="20"/>
        </w:rPr>
      </w:pPr>
      <w:r>
        <w:rPr>
          <w:rFonts w:ascii="Times New Roman" w:hAnsi="Times New Roman"/>
          <w:sz w:val="20"/>
        </w:rPr>
        <w:t xml:space="preserve">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 result of Rezolves business model, it may not be able to accurately assess its financial position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Rezolves business is susceptible to risks associated with international sales and the use of its platform in various countries. </w:t>
      </w:r>
    </w:p>
    <w:p>
      <w:pPr>
        <w:pStyle w:val="TextBody"/>
        <w:bidi w:val="0"/>
        <w:spacing w:before="120" w:after="0"/>
        <w:jc w:val="left"/>
        <w:rPr>
          <w:rFonts w:ascii="Times New Roman" w:hAnsi="Times New Roman"/>
          <w:sz w:val="20"/>
        </w:rPr>
      </w:pPr>
      <w:r>
        <w:rPr>
          <w:rFonts w:ascii="Times New Roman" w:hAnsi="Times New Roman"/>
          <w:sz w:val="20"/>
        </w:rPr>
        <w:t xml:space="preserve">Rezolves international sales and the use of its platform in various countries subject Rezolve to risks that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familiarity and burdens and complexity involved with complying with multiple, conflicting and changing foreign laws, standards, regulatory requirements, tariffs, export controls and other barriers;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ensuring compliance with countries multiple, conflicting and changing international trade, customs and sanctions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complying with laws relating to privacy, data protection, and cybersecurity, including the UK General Data Protection Regulation, some of which may require that merchant and customer data be stored and processed in a designated territory;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managing systems integrators and technology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differing technology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potentially adverse tax consequences, including the complexities of foreign value added tax (or other tax) systems and restrictions on the repatriation of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greater difficulty in enforcing contracts, including Rezolves universal terms of service and other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currency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or uncertain protection for intellectual property rights in some countries;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and different sources of competition.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its channels and merchants, unauthorized disclosure of personal and confidential information, loss of revenues or liability for damages, any of which could adversely affect Rezolves growth prospects and its business. </w:t>
      </w:r>
    </w:p>
    <w:p>
      <w:pPr>
        <w:pStyle w:val="TextBody"/>
        <w:bidi w:val="0"/>
        <w:spacing w:before="240" w:after="0"/>
        <w:jc w:val="left"/>
        <w:rPr>
          <w:rFonts w:ascii="Times New Roman" w:hAnsi="Times New Roman"/>
          <w:sz w:val="20"/>
        </w:rPr>
      </w:pPr>
      <w:r>
        <w:rPr>
          <w:rFonts w:ascii="Times New Roman" w:hAnsi="Times New Roman"/>
          <w:sz w:val="20"/>
        </w:rPr>
        <w:t xml:space="preserve">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rate fluctuations may negatively affect Rezolves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Rezolves operating results are expected to be subject to seasonal fluctuations. </w:t>
      </w:r>
    </w:p>
    <w:p>
      <w:pPr>
        <w:pStyle w:val="TextBody"/>
        <w:bidi w:val="0"/>
        <w:spacing w:before="120" w:after="0"/>
        <w:jc w:val="left"/>
        <w:rPr>
          <w:rFonts w:ascii="Times New Roman" w:hAnsi="Times New Roman"/>
          <w:sz w:val="20"/>
        </w:rPr>
      </w:pPr>
      <w:r>
        <w:rPr>
          <w:rFonts w:ascii="Times New Roman" w:hAnsi="Times New Roman"/>
          <w:sz w:val="20"/>
        </w:rPr>
        <w:t xml:space="preserve">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Rezolve fails to improve and enhance the functionality, performance, reliability, design, security and scalability of its platform in a manner that responds to merchants evolving needs, its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 </w:t>
      </w:r>
    </w:p>
    <w:p>
      <w:pPr>
        <w:pStyle w:val="TextBody"/>
        <w:bidi w:val="0"/>
        <w:spacing w:before="240" w:after="0"/>
        <w:jc w:val="left"/>
        <w:rPr>
          <w:rFonts w:ascii="Times New Roman" w:hAnsi="Times New Roman"/>
          <w:sz w:val="20"/>
        </w:rPr>
      </w:pPr>
      <w:r>
        <w:rPr>
          <w:rFonts w:ascii="Times New Roman" w:hAnsi="Times New Roman"/>
          <w:sz w:val="20"/>
        </w:rPr>
        <w:t xml:space="preserve">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Rezolve may not be able to compete successfully against current and future competitors. </w:t>
      </w:r>
    </w:p>
    <w:p>
      <w:pPr>
        <w:pStyle w:val="TextBody"/>
        <w:bidi w:val="0"/>
        <w:spacing w:before="120" w:after="0"/>
        <w:jc w:val="left"/>
        <w:rPr>
          <w:rFonts w:ascii="Times New Roman" w:hAnsi="Times New Roman"/>
          <w:sz w:val="20"/>
        </w:rPr>
      </w:pPr>
      <w:r>
        <w:rPr>
          <w:rFonts w:ascii="Times New Roman" w:hAnsi="Times New Roman"/>
          <w:sz w:val="20"/>
        </w:rPr>
        <w:t xml:space="preserve">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 </w:t>
      </w:r>
    </w:p>
    <w:p>
      <w:pPr>
        <w:pStyle w:val="TextBody"/>
        <w:bidi w:val="0"/>
        <w:spacing w:before="240" w:after="0"/>
        <w:jc w:val="left"/>
        <w:rPr>
          <w:rFonts w:ascii="Times New Roman" w:hAnsi="Times New Roman"/>
          <w:sz w:val="20"/>
        </w:rPr>
      </w:pPr>
      <w:r>
        <w:rPr>
          <w:rFonts w:ascii="Times New Roman" w:hAnsi="Times New Roman"/>
          <w:sz w:val="20"/>
        </w:rPr>
        <w:t xml:space="preserve">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 transactions on Rezolves platform may be subject to regulatory requirements and other risks that could be costly and difficult to comply with or that could harm Rezolves business. </w:t>
      </w:r>
    </w:p>
    <w:p>
      <w:pPr>
        <w:pStyle w:val="TextBody"/>
        <w:bidi w:val="0"/>
        <w:spacing w:before="120" w:after="0"/>
        <w:jc w:val="left"/>
        <w:rPr>
          <w:rFonts w:ascii="Times New Roman" w:hAnsi="Times New Roman"/>
          <w:sz w:val="20"/>
        </w:rPr>
      </w:pPr>
      <w:r>
        <w:rPr>
          <w:rFonts w:ascii="Times New Roman" w:hAnsi="Times New Roman"/>
          <w:sz w:val="20"/>
        </w:rPr>
        <w:t xml:space="preserve">Rezolve may become subject to a number of risks related to payments processed through Instant Buy,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interchange and other fees, which may increase Rezolves operating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Rezolve is unable to maintain its chargeback rate at acceptable levels, its credit card fees may increase or credit card issuers may terminate their relationship with Rezolve;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costs and diversion of management time and effort and other resources to deal with fraudulent transactions or chargeback disputes;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fraudulent or otherwise illegal activity by merchants, their customers, developers, employees or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funds or required reserves related to payments;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disclosure and other requirements, including new reporting regulations and new credit card association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Rezolve to fines, penalties, damages, higher transaction fees and civil liability, and could eventually prevent Rezolve from processing or accepting payment cards or could lead to a loss of payment processor partners, even if there is no compromise of customer information. </w:t>
      </w:r>
    </w:p>
    <w:p>
      <w:pPr>
        <w:pStyle w:val="TextBody"/>
        <w:bidi w:val="0"/>
        <w:spacing w:before="240" w:after="0"/>
        <w:jc w:val="left"/>
        <w:rPr>
          <w:rFonts w:ascii="Times New Roman" w:hAnsi="Times New Roman"/>
          <w:sz w:val="20"/>
        </w:rPr>
      </w:pPr>
      <w:r>
        <w:rPr>
          <w:rFonts w:ascii="Times New Roman" w:hAnsi="Times New Roman"/>
          <w:sz w:val="20"/>
        </w:rPr>
        <w:t xml:space="preserve">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diversion of management time and focus from operating Rezolves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of resources that are needed in other areas of Rezolves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acquisition, implementation or remediation of controls, procedures and policies of the acquired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acquisition, difficulty integrating the accounting systems and operations of the acquired company, including potential risks to Rezolves corporate culture;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acquisition, retention and integration of employees from the acquired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costs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effects to Rezolves existing business relationships with partners and merchants as a result of the acquisition or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adverse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or other claims arising in connection with the acquired company or investment;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foreign acquisitions, the need to integrate operations across different cultures and languages and to address the particular economic, currency, political and regulatory risks associated with specific countries.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 </w:t>
      </w:r>
    </w:p>
    <w:p>
      <w:pPr>
        <w:pStyle w:val="TextBody"/>
        <w:bidi w:val="0"/>
        <w:spacing w:before="240" w:after="0"/>
        <w:jc w:val="left"/>
        <w:rPr>
          <w:rFonts w:ascii="Times New Roman" w:hAnsi="Times New Roman"/>
          <w:sz w:val="20"/>
        </w:rPr>
      </w:pPr>
      <w:r>
        <w:rPr>
          <w:rFonts w:ascii="Times New Roman" w:hAnsi="Times New Roman"/>
          <w:sz w:val="20"/>
        </w:rPr>
        <w:t xml:space="preserve">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At this time, Rezolve has made no commitments or agreements with respect to any such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 is a party to the Loan Note Instrument, which contains a number of covenants that may restrict our current and future operations and could adversely affect our ability to execute business needs. </w:t>
      </w:r>
    </w:p>
    <w:p>
      <w:pPr>
        <w:pStyle w:val="TextBody"/>
        <w:bidi w:val="0"/>
        <w:spacing w:before="120" w:after="0"/>
        <w:jc w:val="left"/>
        <w:rPr>
          <w:rFonts w:ascii="Times New Roman" w:hAnsi="Times New Roman"/>
          <w:sz w:val="20"/>
        </w:rPr>
      </w:pPr>
      <w:r>
        <w:rPr>
          <w:rFonts w:ascii="Times New Roman" w:hAnsi="Times New Roman"/>
          <w:sz w:val="20"/>
        </w:rPr>
        <w:t xml:space="preserve">The Loan Note Instrument contains a number of covenants that limit Rezolves ability and its subsidiaries ability to, among other things, incur indebtedness that would rank senior to the Convertible Notes, advance loans, create security interests, enter into a corporate strategic relationship other than in the ordinary course of business and to acquire or dispose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without consent of the majority of noteholders. These covenants remain in force while the Convertible Notes are outstanding, including for so long as one or more of Apeiron Investment Group Ltd, Bradley Wickens and any of their respective affiliates or assignees holds at least an aggregate of $20 million of the principal amount of the Convertible Notes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Loan Note Instrument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If Rezolve is unable to comply with the covenants under the Loan Note Instrument or with other Loan Note Instrument requirements, the noteholders may accelerate Rezolves obligations under the Loan Note Instrument and foreclose upon the collateral, or Rezolve may be forced to sell assets, restructure its indebtedness or seek additional equity capital, which would dilute Rezolves shareholders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 may need to raise additional funds to pursue its growth strategy or continue its operations, and Rezolve may be unable to raise capital when needed or on acceptable terms.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to effectively develop and expand Rezolves marketing, sales, customer service, and content management capabilities could harm its ability to increase Rezolves customer base and achieve broader market acceptance of Rezolves platform. </w:t>
      </w:r>
    </w:p>
    <w:p>
      <w:pPr>
        <w:pStyle w:val="TextBody"/>
        <w:bidi w:val="0"/>
        <w:spacing w:before="120" w:after="0"/>
        <w:jc w:val="left"/>
        <w:rPr>
          <w:rFonts w:ascii="Times New Roman" w:hAnsi="Times New Roman"/>
          <w:sz w:val="20"/>
        </w:rPr>
      </w:pPr>
      <w:r>
        <w:rPr>
          <w:rFonts w:ascii="Times New Roman" w:hAnsi="Times New Roman"/>
          <w:sz w:val="20"/>
        </w:rPr>
        <w:t xml:space="preserve">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availability of Rezolves platform does not meet its service-level commitments to customers, Rezolves current and future revenues may be negatively impacted. </w:t>
      </w:r>
    </w:p>
    <w:p>
      <w:pPr>
        <w:pStyle w:val="TextBody"/>
        <w:bidi w:val="0"/>
        <w:spacing w:before="120" w:after="0"/>
        <w:jc w:val="left"/>
        <w:rPr>
          <w:rFonts w:ascii="Times New Roman" w:hAnsi="Times New Roman"/>
          <w:sz w:val="20"/>
        </w:rPr>
      </w:pPr>
      <w:r>
        <w:rPr>
          <w:rFonts w:ascii="Times New Roman" w:hAnsi="Times New Roman"/>
          <w:sz w:val="20"/>
        </w:rPr>
        <w:t xml:space="preserve">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 will have broad discretion in the use of proceeds from this offering and may invest or spend the proceeds in ways with which you do not agree and in ways that may not yield a return. </w:t>
      </w:r>
    </w:p>
    <w:p>
      <w:pPr>
        <w:pStyle w:val="TextBody"/>
        <w:bidi w:val="0"/>
        <w:spacing w:before="120" w:after="0"/>
        <w:jc w:val="left"/>
        <w:rPr>
          <w:rFonts w:ascii="Times New Roman" w:hAnsi="Times New Roman"/>
          <w:sz w:val="20"/>
        </w:rPr>
      </w:pPr>
      <w:r>
        <w:rPr>
          <w:rFonts w:ascii="Times New Roman" w:hAnsi="Times New Roman"/>
          <w:sz w:val="20"/>
        </w:rPr>
        <w:t xml:space="preserve">Rezolve intends to use the net proceeds that it receives in this offering for working capital and other general corporate purposes, which may include offering development, general and administrative matters and capital expenditures. Rezolve may also use a portion of the net proceeds for the acquisition of, or investment in, technologies, solutions or businesses that complement its business, although Rezolve has no present commitments or agreements to enter into any acquisitions or investments. Consequently, Rezolves management will have broad discretion over the specific use of these net proceeds and may do so in a way with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Rezolves investors disagree. The failure by Rezolves management to apply and invest these funds effectively may not yield a favorable return to Rezolves investors and may adversely affect Rezolves business and financial condition. Pending their use, Rezolve may invest the net proceeds from this offering in a manner that does not produce income or that loses value. If Rezolve does not use the net proceeds that it receives in this offering effectively, Rezolves business, results of operations, and financial condition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 does not intend to pay dividends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regional or global health pandemic, including the global COVID-19 pandemic, may adversely impact Rezolves business, results of operations and financial performance. </w:t>
      </w:r>
    </w:p>
    <w:p>
      <w:pPr>
        <w:pStyle w:val="TextBody"/>
        <w:bidi w:val="0"/>
        <w:spacing w:before="120" w:after="0"/>
        <w:jc w:val="left"/>
        <w:rPr>
          <w:rFonts w:ascii="Times New Roman" w:hAnsi="Times New Roman"/>
          <w:sz w:val="20"/>
        </w:rPr>
      </w:pPr>
      <w:r>
        <w:rPr>
          <w:rFonts w:ascii="Times New Roman" w:hAnsi="Times New Roman"/>
          <w:sz w:val="20"/>
        </w:rPr>
        <w:t xml:space="preserve">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 </w:t>
      </w:r>
    </w:p>
    <w:p>
      <w:pPr>
        <w:pStyle w:val="TextBody"/>
        <w:bidi w:val="0"/>
        <w:spacing w:before="240" w:after="0"/>
        <w:jc w:val="left"/>
        <w:rPr>
          <w:rFonts w:ascii="Times New Roman" w:hAnsi="Times New Roman"/>
          <w:sz w:val="20"/>
        </w:rPr>
      </w:pPr>
      <w:r>
        <w:rPr>
          <w:rFonts w:ascii="Times New Roman" w:hAnsi="Times New Roman"/>
          <w:sz w:val="20"/>
        </w:rPr>
        <w:t xml:space="preserve">Although Rezolves results have not been materially affected by COVID-19 to date, Rezolve is unable to accurately predict the impact that other global health crises will have on Rezolves or its business partners or customers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hAnsi="Times New Roman"/>
          <w:i/>
          <w:sz w:val="20"/>
        </w:rPr>
        <w:t>Risk Factors</w:t>
      </w:r>
      <w:r>
        <w:rPr>
          <w:rFonts w:ascii="Times New Roman" w:hAnsi="Times New Roman"/>
          <w:sz w:val="20"/>
        </w:rPr>
        <w:t xml:space="preserve"> section.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Rezolve is unable to hire, retain and motivate qualified personnel, its business will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 is dependent on the continued services and performance of its senior management and other key employees, the loss of any of whom could adversely affect Rezolves business, operating results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 expects to be dependent upon consumers and merchants willingness to use the internet and internet-enabled mobile devices for commerce. </w:t>
      </w:r>
    </w:p>
    <w:p>
      <w:pPr>
        <w:pStyle w:val="TextBody"/>
        <w:bidi w:val="0"/>
        <w:spacing w:before="120" w:after="0"/>
        <w:jc w:val="left"/>
        <w:rPr>
          <w:rFonts w:ascii="Times New Roman" w:hAnsi="Times New Roman"/>
          <w:sz w:val="20"/>
        </w:rPr>
      </w:pPr>
      <w:r>
        <w:rPr>
          <w:rFonts w:ascii="Times New Roman" w:hAnsi="Times New Roman"/>
          <w:sz w:val="20"/>
        </w:rPr>
        <w:t xml:space="preserve">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Rezolves Software, Platform, and Security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Rezolves software or platform contains serious errors or defects, Rezolve may lose revenues and market acceptance and may incur costs to defend or settle claims with its merchants. </w:t>
      </w:r>
    </w:p>
    <w:p>
      <w:pPr>
        <w:pStyle w:val="TextBody"/>
        <w:bidi w:val="0"/>
        <w:spacing w:before="120" w:after="0"/>
        <w:jc w:val="left"/>
        <w:rPr>
          <w:rFonts w:ascii="Times New Roman" w:hAnsi="Times New Roman"/>
          <w:sz w:val="20"/>
        </w:rPr>
      </w:pPr>
      <w:r>
        <w:rPr>
          <w:rFonts w:ascii="Times New Roman" w:hAnsi="Times New Roman"/>
          <w:sz w:val="20"/>
        </w:rPr>
        <w:t xml:space="preserve">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 </w:t>
      </w:r>
    </w:p>
    <w:p>
      <w:pPr>
        <w:pStyle w:val="TextBody"/>
        <w:bidi w:val="0"/>
        <w:spacing w:before="240" w:after="0"/>
        <w:jc w:val="left"/>
        <w:rPr>
          <w:rFonts w:ascii="Times New Roman" w:hAnsi="Times New Roman"/>
          <w:sz w:val="20"/>
        </w:rPr>
      </w:pPr>
      <w:r>
        <w:rPr>
          <w:rFonts w:ascii="Times New Roman" w:hAnsi="Times New Roman"/>
          <w:sz w:val="20"/>
        </w:rPr>
        <w:t xml:space="preserve">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denial of service attack or security breach or incident could delay or interrupt service to Rezolves merchants and their customers, harm Rezolves reputation and subject Rezolve to significant liability. </w:t>
      </w:r>
    </w:p>
    <w:p>
      <w:pPr>
        <w:pStyle w:val="TextBody"/>
        <w:bidi w:val="0"/>
        <w:spacing w:before="120" w:after="0"/>
        <w:jc w:val="left"/>
        <w:rPr>
          <w:rFonts w:ascii="Times New Roman" w:hAnsi="Times New Roman"/>
          <w:sz w:val="20"/>
        </w:rPr>
      </w:pPr>
      <w:r>
        <w:rPr>
          <w:rFonts w:ascii="Times New Roman" w:hAnsi="Times New Roman"/>
          <w:sz w:val="20"/>
        </w:rPr>
        <w:t xml:space="preserve">Rezolves platform and systems may be subject to distributed denial-of-service (DDoS)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 </w:t>
      </w:r>
    </w:p>
    <w:p>
      <w:pPr>
        <w:pStyle w:val="TextBody"/>
        <w:bidi w:val="0"/>
        <w:spacing w:before="240" w:after="0"/>
        <w:jc w:val="left"/>
        <w:rPr>
          <w:rFonts w:ascii="Times New Roman" w:hAnsi="Times New Roman"/>
          <w:sz w:val="20"/>
        </w:rPr>
      </w:pPr>
      <w:r>
        <w:rPr>
          <w:rFonts w:ascii="Times New Roman" w:hAnsi="Times New Roman"/>
          <w:sz w:val="20"/>
        </w:rPr>
        <w:t xml:space="preserve">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 uses a limited number of data centers to deliver its services. Any disruption of service at these facilities could harm Rezolves business. </w:t>
      </w:r>
    </w:p>
    <w:p>
      <w:pPr>
        <w:pStyle w:val="TextBody"/>
        <w:bidi w:val="0"/>
        <w:spacing w:before="120" w:after="0"/>
        <w:jc w:val="left"/>
        <w:rPr>
          <w:rFonts w:ascii="Times New Roman" w:hAnsi="Times New Roman"/>
          <w:sz w:val="20"/>
        </w:rPr>
      </w:pPr>
      <w:r>
        <w:rPr>
          <w:rFonts w:ascii="Times New Roman" w:hAnsi="Times New Roman"/>
          <w:sz w:val="20"/>
        </w:rPr>
        <w:t xml:space="preserve">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Rezolves business and prospects would be harmed if changes to technologies used in Rezolves platform or new versions or upgrades of operating systems and internet browsers adversely impact the process by which merchants and consumers interface with Rezolves platform. </w:t>
      </w:r>
    </w:p>
    <w:p>
      <w:pPr>
        <w:pStyle w:val="TextBody"/>
        <w:bidi w:val="0"/>
        <w:spacing w:before="120" w:after="0"/>
        <w:jc w:val="left"/>
        <w:rPr>
          <w:rFonts w:ascii="Times New Roman" w:hAnsi="Times New Roman"/>
          <w:sz w:val="20"/>
        </w:rPr>
      </w:pPr>
      <w:r>
        <w:rPr>
          <w:rFonts w:ascii="Times New Roman" w:hAnsi="Times New Roman"/>
          <w:sz w:val="20"/>
        </w:rPr>
        <w:t xml:space="preserve">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Rezolve relies on computer hardware, purchased or leased, and software licensed from and services rendered by third parties in order to provide its solutions and run its business. </w:t>
      </w:r>
    </w:p>
    <w:p>
      <w:pPr>
        <w:pStyle w:val="TextBody"/>
        <w:bidi w:val="0"/>
        <w:spacing w:before="120" w:after="0"/>
        <w:jc w:val="left"/>
        <w:rPr>
          <w:rFonts w:ascii="Times New Roman" w:hAnsi="Times New Roman"/>
          <w:sz w:val="20"/>
        </w:rPr>
      </w:pPr>
      <w:r>
        <w:rPr>
          <w:rFonts w:ascii="Times New Roman" w:hAnsi="Times New Roman"/>
          <w:sz w:val="20"/>
        </w:rPr>
        <w:t xml:space="preserve">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Rezolve does not or cannot maintain the compatibility of its platform with third-party applications that its customers use in their businesses, Rezolves revenues will decline. </w:t>
      </w:r>
    </w:p>
    <w:p>
      <w:pPr>
        <w:pStyle w:val="TextBody"/>
        <w:bidi w:val="0"/>
        <w:spacing w:before="120" w:after="0"/>
        <w:jc w:val="left"/>
        <w:rPr>
          <w:rFonts w:ascii="Times New Roman" w:hAnsi="Times New Roman"/>
          <w:sz w:val="20"/>
        </w:rPr>
      </w:pPr>
      <w:r>
        <w:rPr>
          <w:rFonts w:ascii="Times New Roman" w:hAnsi="Times New Roman"/>
          <w:sz w:val="20"/>
        </w:rPr>
        <w:t xml:space="preserve">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Mobile devices are increasingly being used to conduct commerce, and if Rezolves solutions do not operate as effectively when accessed through these devices, Rezolves merchants and their customers may not be satisfied with Rezolves services, which could harm Rezolves business. </w:t>
      </w:r>
    </w:p>
    <w:p>
      <w:pPr>
        <w:pStyle w:val="TextBody"/>
        <w:bidi w:val="0"/>
        <w:spacing w:before="120" w:after="0"/>
        <w:jc w:val="left"/>
        <w:rPr>
          <w:rFonts w:ascii="Times New Roman" w:hAnsi="Times New Roman"/>
          <w:sz w:val="20"/>
        </w:rPr>
      </w:pPr>
      <w:r>
        <w:rPr>
          <w:rFonts w:ascii="Times New Roman" w:hAnsi="Times New Roman"/>
          <w:sz w:val="20"/>
        </w:rPr>
        <w:t xml:space="preserve">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 may store and process personal data of its merchants and their customers. If the security of this information is compromised or otherwise subjected to unauthorized access, Rezolves reputation may be harmed and Rezolve may be exposed to liability. </w:t>
      </w:r>
    </w:p>
    <w:p>
      <w:pPr>
        <w:pStyle w:val="TextBody"/>
        <w:bidi w:val="0"/>
        <w:spacing w:before="120" w:after="0"/>
        <w:jc w:val="left"/>
        <w:rPr>
          <w:rFonts w:ascii="Times New Roman" w:hAnsi="Times New Roman"/>
          <w:sz w:val="20"/>
        </w:rPr>
      </w:pPr>
      <w:r>
        <w:rPr>
          <w:rFonts w:ascii="Times New Roman" w:hAnsi="Times New Roman"/>
          <w:sz w:val="20"/>
        </w:rPr>
        <w:t xml:space="preserve">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Rezolve is also subject to laws and regulations regarding privacy, data protection, and cybersecurity, including the EU General Data Protection Regulation, the UK General Data Protection Regulation, and the ePrivacy Directive (collectively, European Data Protection Laws).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 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Rezolves Brand </w:t>
      </w:r>
    </w:p>
    <w:p>
      <w:pPr>
        <w:pStyle w:val="TextBody"/>
        <w:bidi w:val="0"/>
        <w:spacing w:before="120" w:after="0"/>
        <w:jc w:val="left"/>
        <w:rPr>
          <w:rFonts w:ascii="Times New Roman" w:hAnsi="Times New Roman"/>
          <w:b/>
          <w:i/>
          <w:sz w:val="20"/>
        </w:rPr>
      </w:pPr>
      <w:r>
        <w:rPr>
          <w:rFonts w:ascii="Times New Roman" w:hAnsi="Times New Roman"/>
          <w:b/>
          <w:i/>
          <w:sz w:val="20"/>
        </w:rPr>
        <w:t xml:space="preserve">Rezolves brand is important to its success. If Rezolve fails to effectively maintain, promote and enhance Rezolves brand, Rezolves business and competitive advantage may be harmed. </w:t>
      </w:r>
    </w:p>
    <w:p>
      <w:pPr>
        <w:pStyle w:val="TextBody"/>
        <w:bidi w:val="0"/>
        <w:spacing w:before="120" w:after="0"/>
        <w:jc w:val="left"/>
        <w:rPr>
          <w:rFonts w:ascii="Times New Roman" w:hAnsi="Times New Roman"/>
          <w:sz w:val="20"/>
        </w:rPr>
      </w:pPr>
      <w:r>
        <w:rPr>
          <w:rFonts w:ascii="Times New Roman" w:hAnsi="Times New Roman"/>
          <w:sz w:val="20"/>
        </w:rPr>
        <w:t xml:space="preserve">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 </w:t>
      </w:r>
    </w:p>
    <w:p>
      <w:pPr>
        <w:pStyle w:val="TextBody"/>
        <w:bidi w:val="0"/>
        <w:spacing w:before="240" w:after="0"/>
        <w:jc w:val="left"/>
        <w:rPr>
          <w:rFonts w:ascii="Times New Roman" w:hAnsi="Times New Roman"/>
          <w:sz w:val="20"/>
        </w:rPr>
      </w:pPr>
      <w:r>
        <w:rPr>
          <w:rFonts w:ascii="Times New Roman" w:hAnsi="Times New Roman"/>
          <w:sz w:val="20"/>
        </w:rPr>
        <w:t xml:space="preserve">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 </w:t>
      </w:r>
    </w:p>
    <w:p>
      <w:pPr>
        <w:pStyle w:val="TextBody"/>
        <w:bidi w:val="0"/>
        <w:spacing w:before="240" w:after="0"/>
        <w:jc w:val="left"/>
        <w:rPr>
          <w:rFonts w:ascii="Times New Roman" w:hAnsi="Times New Roman"/>
          <w:sz w:val="20"/>
        </w:rPr>
      </w:pPr>
      <w:r>
        <w:rPr>
          <w:rFonts w:ascii="Times New Roman" w:hAnsi="Times New Roman"/>
          <w:sz w:val="20"/>
        </w:rPr>
        <w:t xml:space="preserve">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Activities of merchants or the content of their shops could damage Rezolves brand, subject Rezolve to liability and harm its business and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Rezolve fails to maintain a consistently high level of customer service, Rezolves brand, business and financial results may be harmed. </w:t>
      </w:r>
    </w:p>
    <w:p>
      <w:pPr>
        <w:pStyle w:val="TextBody"/>
        <w:bidi w:val="0"/>
        <w:spacing w:before="120" w:after="0"/>
        <w:jc w:val="left"/>
        <w:rPr>
          <w:rFonts w:ascii="Times New Roman" w:hAnsi="Times New Roman"/>
          <w:sz w:val="20"/>
        </w:rPr>
      </w:pPr>
      <w:r>
        <w:rPr>
          <w:rFonts w:ascii="Times New Roman" w:hAnsi="Times New Roman"/>
          <w:sz w:val="20"/>
        </w:rPr>
        <w:t xml:space="preserve">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Rezolves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Rezolve may be unable to maintain or protect its intellectual property rights and proprietary information, or obtain registrations in such rights or information, or otherwise prevent third parties from making unauthorized use of the foregoing, including its technology. </w:t>
      </w:r>
    </w:p>
    <w:p>
      <w:pPr>
        <w:pStyle w:val="TextBody"/>
        <w:bidi w:val="0"/>
        <w:spacing w:before="120" w:after="0"/>
        <w:jc w:val="left"/>
        <w:rPr>
          <w:rFonts w:ascii="Times New Roman" w:hAnsi="Times New Roman"/>
          <w:sz w:val="20"/>
        </w:rPr>
      </w:pPr>
      <w:r>
        <w:rPr>
          <w:rFonts w:ascii="Times New Roman" w:hAnsi="Times New Roman"/>
          <w:sz w:val="20"/>
        </w:rPr>
        <w:t xml:space="preserve">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 </w:t>
      </w:r>
    </w:p>
    <w:p>
      <w:pPr>
        <w:pStyle w:val="TextBody"/>
        <w:bidi w:val="0"/>
        <w:spacing w:before="240" w:after="0"/>
        <w:jc w:val="left"/>
        <w:rPr>
          <w:rFonts w:ascii="Times New Roman" w:hAnsi="Times New Roman"/>
          <w:sz w:val="20"/>
        </w:rPr>
      </w:pPr>
      <w:r>
        <w:rPr>
          <w:rFonts w:ascii="Times New Roman" w:hAnsi="Times New Roman"/>
          <w:sz w:val="20"/>
        </w:rPr>
        <w:t xml:space="preserve">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 </w:t>
      </w:r>
    </w:p>
    <w:p>
      <w:pPr>
        <w:pStyle w:val="TextBody"/>
        <w:bidi w:val="0"/>
        <w:spacing w:before="240" w:after="0"/>
        <w:jc w:val="left"/>
        <w:rPr>
          <w:rFonts w:ascii="Times New Roman" w:hAnsi="Times New Roman"/>
          <w:sz w:val="20"/>
        </w:rPr>
      </w:pPr>
      <w:r>
        <w:rPr>
          <w:rFonts w:ascii="Times New Roman" w:hAnsi="Times New Roman"/>
          <w:sz w:val="20"/>
        </w:rPr>
        <w:t xml:space="preserve">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 may be subject to claims by third parties of intellectual property infringement. </w:t>
      </w:r>
    </w:p>
    <w:p>
      <w:pPr>
        <w:pStyle w:val="TextBody"/>
        <w:bidi w:val="0"/>
        <w:spacing w:before="120" w:after="0"/>
        <w:jc w:val="left"/>
        <w:rPr>
          <w:rFonts w:ascii="Times New Roman" w:hAnsi="Times New Roman"/>
          <w:sz w:val="20"/>
        </w:rPr>
      </w:pPr>
      <w:r>
        <w:rPr>
          <w:rFonts w:ascii="Times New Roman" w:hAnsi="Times New Roman"/>
          <w:sz w:val="20"/>
        </w:rPr>
        <w:t xml:space="preserve">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 </w:t>
      </w:r>
    </w:p>
    <w:p>
      <w:pPr>
        <w:pStyle w:val="TextBody"/>
        <w:bidi w:val="0"/>
        <w:spacing w:before="240" w:after="0"/>
        <w:jc w:val="left"/>
        <w:rPr>
          <w:rFonts w:ascii="Times New Roman" w:hAnsi="Times New Roman"/>
          <w:sz w:val="20"/>
        </w:rPr>
      </w:pPr>
      <w:r>
        <w:rPr>
          <w:rFonts w:ascii="Times New Roman" w:hAnsi="Times New Roman"/>
          <w:sz w:val="20"/>
        </w:rPr>
        <w:t xml:space="preserve">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Rezolves use of open source software could negatively affect its ability to sell its solutions and subject Rezolve to possible litigation. </w:t>
      </w:r>
    </w:p>
    <w:p>
      <w:pPr>
        <w:pStyle w:val="TextBody"/>
        <w:bidi w:val="0"/>
        <w:spacing w:before="120" w:after="0"/>
        <w:jc w:val="left"/>
        <w:rPr>
          <w:rFonts w:ascii="Times New Roman" w:hAnsi="Times New Roman"/>
          <w:sz w:val="20"/>
        </w:rPr>
      </w:pPr>
      <w:r>
        <w:rPr>
          <w:rFonts w:ascii="Times New Roman" w:hAnsi="Times New Roman"/>
          <w:sz w:val="20"/>
        </w:rPr>
        <w:t xml:space="preserve">Rezolves solutions incorporate and are significantly dependent on the use and development of open source software and Rezolve intends to continue the use and development of open source software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 </w:t>
      </w:r>
    </w:p>
    <w:p>
      <w:pPr>
        <w:pStyle w:val="TextBody"/>
        <w:bidi w:val="0"/>
        <w:spacing w:before="240" w:after="0"/>
        <w:jc w:val="left"/>
        <w:rPr>
          <w:rFonts w:ascii="Times New Roman" w:hAnsi="Times New Roman"/>
          <w:sz w:val="20"/>
        </w:rPr>
      </w:pPr>
      <w:r>
        <w:rPr>
          <w:rFonts w:ascii="Times New Roman" w:hAnsi="Times New Roman"/>
          <w:sz w:val="20"/>
        </w:rPr>
        <w:t xml:space="preserve">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Legal and Regulatory Compliance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Claims for indemnification by Rezolves directors and officers may reduce Rezolves available funds to satisfy successful third-party claims against Rezolve and may reduce the amount of money available to Rezolve. </w:t>
      </w:r>
    </w:p>
    <w:p>
      <w:pPr>
        <w:pStyle w:val="TextBody"/>
        <w:bidi w:val="0"/>
        <w:spacing w:before="120" w:after="0"/>
        <w:jc w:val="left"/>
        <w:rPr>
          <w:rFonts w:ascii="Times New Roman" w:hAnsi="Times New Roman"/>
          <w:sz w:val="20"/>
        </w:rPr>
      </w:pPr>
      <w:r>
        <w:rPr>
          <w:rFonts w:ascii="Times New Roman" w:hAnsi="Times New Roman"/>
          <w:sz w:val="20"/>
        </w:rPr>
        <w:t xml:space="preserve">Rezolves Memorandum and Articles of Association will provide that Rezolve will indemnify its directors and officers, in each case to the fullest extent permitted by English law. </w:t>
      </w:r>
    </w:p>
    <w:p>
      <w:pPr>
        <w:pStyle w:val="TextBody"/>
        <w:bidi w:val="0"/>
        <w:spacing w:before="240" w:after="0"/>
        <w:jc w:val="left"/>
        <w:rPr>
          <w:rFonts w:ascii="Times New Roman" w:hAnsi="Times New Roman"/>
          <w:sz w:val="20"/>
        </w:rPr>
      </w:pPr>
      <w:r>
        <w:rPr>
          <w:rFonts w:ascii="Times New Roman" w:hAnsi="Times New Roman"/>
          <w:sz w:val="20"/>
        </w:rPr>
        <w:t xml:space="preserve">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 </w:t>
      </w:r>
    </w:p>
    <w:p>
      <w:pPr>
        <w:pStyle w:val="TextBody"/>
        <w:bidi w:val="0"/>
        <w:spacing w:before="240" w:after="0"/>
        <w:jc w:val="left"/>
        <w:rPr>
          <w:rFonts w:ascii="Times New Roman" w:hAnsi="Times New Roman"/>
          <w:sz w:val="20"/>
        </w:rPr>
      </w:pPr>
      <w:r>
        <w:rPr>
          <w:rFonts w:ascii="Times New Roman" w:hAnsi="Times New Roman"/>
          <w:sz w:val="20"/>
        </w:rPr>
        <w:t xml:space="preserve">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 </w:t>
      </w:r>
    </w:p>
    <w:p>
      <w:pPr>
        <w:pStyle w:val="TextBody"/>
        <w:bidi w:val="0"/>
        <w:spacing w:before="240" w:after="0"/>
        <w:jc w:val="left"/>
        <w:rPr>
          <w:rFonts w:ascii="Times New Roman" w:hAnsi="Times New Roman"/>
          <w:sz w:val="20"/>
        </w:rPr>
      </w:pPr>
      <w:r>
        <w:rPr>
          <w:rFonts w:ascii="Times New Roman" w:hAnsi="Times New Roman"/>
          <w:sz w:val="20"/>
        </w:rPr>
        <w:t xml:space="preserve">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 </w:t>
      </w:r>
    </w:p>
    <w:p>
      <w:pPr>
        <w:pStyle w:val="TextBody"/>
        <w:bidi w:val="0"/>
        <w:spacing w:before="240" w:after="0"/>
        <w:jc w:val="left"/>
        <w:rPr>
          <w:rFonts w:ascii="Times New Roman" w:hAnsi="Times New Roman"/>
          <w:sz w:val="20"/>
        </w:rPr>
      </w:pPr>
      <w:r>
        <w:rPr>
          <w:rFonts w:ascii="Times New Roman" w:hAnsi="Times New Roman"/>
          <w:sz w:val="20"/>
        </w:rPr>
        <w:t xml:space="preserve">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prospects, financial condition, results of operations and reputation. Responding to any investigation or action will likely result in a significant diversion of managements attention and resources and significant defense costs and other professional fees.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Enhanced trade tariffs, import restrictions, export restrictions, United States regulations or other trade barriers may materially harm Rezolves business. </w:t>
      </w:r>
    </w:p>
    <w:p>
      <w:pPr>
        <w:pStyle w:val="TextBody"/>
        <w:bidi w:val="0"/>
        <w:spacing w:before="120" w:after="0"/>
        <w:jc w:val="left"/>
        <w:rPr>
          <w:rFonts w:ascii="Times New Roman" w:hAnsi="Times New Roman"/>
          <w:sz w:val="20"/>
        </w:rPr>
      </w:pPr>
      <w:r>
        <w:rPr>
          <w:rFonts w:ascii="Times New Roman" w:hAnsi="Times New Roman"/>
          <w:sz w:val="20"/>
        </w:rPr>
        <w:t xml:space="preserve">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From time to time, Rezolve may be involved in legal proceedings and commercial or contractual disputes, which could have an adverse impact on Rezolves profitability and consolidated financial position. </w:t>
      </w:r>
    </w:p>
    <w:p>
      <w:pPr>
        <w:pStyle w:val="TextBody"/>
        <w:bidi w:val="0"/>
        <w:spacing w:before="120" w:after="0"/>
        <w:jc w:val="left"/>
        <w:rPr>
          <w:rFonts w:ascii="Times New Roman" w:hAnsi="Times New Roman"/>
          <w:sz w:val="20"/>
        </w:rPr>
      </w:pPr>
      <w:r>
        <w:rPr>
          <w:rFonts w:ascii="Times New Roman" w:hAnsi="Times New Roman"/>
          <w:sz w:val="20"/>
        </w:rPr>
        <w:t xml:space="preserve">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the Articles and English law could deter takeover attempts.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in the Articles and the application of the UK Takeover Code to Rezolve PLC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Ownership of Rezolve Ordinary Shares and Rezolve Operating as a Public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trading price of Rezolve Ordinary Shares could be volatile, and the value of Rezolve Ordinary Shares may decline. </w:t>
      </w:r>
    </w:p>
    <w:p>
      <w:pPr>
        <w:pStyle w:val="TextBody"/>
        <w:bidi w:val="0"/>
        <w:spacing w:before="120" w:after="0"/>
        <w:jc w:val="left"/>
        <w:rPr>
          <w:rFonts w:ascii="Times New Roman" w:hAnsi="Times New Roman"/>
          <w:sz w:val="20"/>
        </w:rPr>
      </w:pPr>
      <w:r>
        <w:rPr>
          <w:rFonts w:ascii="Times New Roman" w:hAnsi="Times New Roman"/>
          <w:sz w:val="20"/>
        </w:rPr>
        <w:t xml:space="preserve">We cannot predict the prices at which Rezolve Ordinary Shares will trade. The price of Rezolve Ordinary Shares may not bear any relationship to the market price at which Rezolve Ordinary Shares will trade after the Transactions or to any other established criteria of the value of our business and prospects, and the market price of Rezolve Ordinary Shares following the Transactions may fluctuate substantially and may be lower than the price agreed by Armada with Rezolve in connection with the Transactions. In addition, the trading price of Rezolve Ordinary Shares following the Transactions is likely to be volatile and could be subject to fluctuations in response to various factors, some of which are beyond our control. These fluctuations could cause you to lose all or part of your investment in Rezolve Ordinary Shares as you might be unable to sell your shares at or above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price you paid in the Transactions. Factors that could cause fluctuations in the trading price of Rezolve Ordinary Shares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 and volume fluctuations in the overall stock market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in the market prices and trading volumes of technology company stocks;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operating performance and stock market valuations of other technology companies generally, or those in Rezolves industry in particular;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shares of Rezolve Ordinary Shares by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securities analysts to initiate or maintain coverage of Rezolve, changes in financial estimates by securities analysts who follow Rezolve, or Rezolves failure to meet these estimates or the expectations of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projections Rezolve may provide to the public, any changes in those projections, or Rezolves failure to meet those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Rezolve or its competitors of new offerings or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publics reaction to Rezolves press releases, other public announcements, and filings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how customers perceive the benefits of Rezolves offerings and services, and future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rumors and market speculation involving Rezolve or other companies in the same or similar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Rezolves results of operations or fluctuations in Rezolves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developments in Rezolves business, Rezolves competitors businesses, or the competitive landscape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involving Rezolve, Rezolves industry or both, or investigations by regulators into Rezolves operations or those of Rezolves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Rezolves intellectual property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security breach or incident involving our offerings, services or site or data stored or processed by us or on our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announced or completed acquisitions of businesses, commercial relationships, offerings, services, or technologies by Rezolve or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laws or regulations or new interpretations of existing laws or regulations applicable to Rezolves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standards, policies, guidelines, interpretations, or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adverse consequences related to the Rezolve Founder weighted voting capital structure, such as stock index providers excluding companies with weighted voting capital structures from certain indices;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significant change in Rezolves management;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and slow or negative growth of Rezolves markets and war or other hostilities.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the market for technology stocks or the stock market in general experiences a loss of investor confidence, the trading price of Rezolve Ordinary Shares could decline for reasons unrelated to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condition or results of operations. The trading price of Rezolve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market for our securities may not develop or be sustained, which would adversely affect the liquidity and price of Rezolve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Closing, the price of Rezolve Ordinary Shares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Rezolve will become a public reporting company by means other than a traditional underwritten initial public offering, the shareholders of Rezolve may face additional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Because Rezolve will become a public reporting company by means of consummating the Business Combination rather than by means of a traditional underwritten initial public offering, there is no independent third-party underwriter selling the shares of Rezolves common stock, and, accordingly, the shareholders of Rezolve will not have the benefit of an independent review and investigation of the type normally performed by an unaffiliated, independent underwriter in a public securities offering. Due diligence reviews typically include an independent investigation of the background of the company, any advisors and their respective affiliates, review of the offering documents and independent analysis of the plan of business and any underlying financial assumptions. Because there is no independent third-party underwriter selling Rezolves Ordinary Shares, Armada Stockholders must rely on the information included in this proxy statement/prospectus. Although Armadas management conducted a due diligence review and investigation of Rezolve in connection with the Business Combination, the lack of an independent due diligence review and investigation increases the risk of investment in Rezolve because it may not have uncovered facts that would be important to a potential investor. </w:t>
      </w:r>
    </w:p>
    <w:p>
      <w:pPr>
        <w:pStyle w:val="TextBody"/>
        <w:bidi w:val="0"/>
        <w:spacing w:before="240" w:after="0"/>
        <w:jc w:val="left"/>
        <w:rPr>
          <w:rFonts w:ascii="Times New Roman" w:hAnsi="Times New Roman"/>
          <w:sz w:val="20"/>
        </w:rPr>
      </w:pPr>
      <w:r>
        <w:rPr>
          <w:rFonts w:ascii="Times New Roman" w:hAnsi="Times New Roman"/>
          <w:sz w:val="20"/>
        </w:rPr>
        <w:t xml:space="preserve">Moreover, the shareholders of Rezolve will not benefit from possible recourse against an underwriter for material misstatements or omissions in this proxy statement/prospectus or additional roles of the underwriters in a traditional underwritten initial public offering, such as the book-building process, which helps inform efficient price discovery, and underwriter support to help stabilize the public price of the new issue immediately after listing. The lack of such recourse process and support in connection with Rezolves Ordinary Shares could result in greater potential for errors, diminished investor demand, inefficiencies in pricing and a more volatile public price for the shares during the period immediately following the listing.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Rezolve will not become a public reporting company by means of a traditional underwritten initial public offering, securities or industry analysts may not provide, or be less likely to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coverage of Rezolve. Investment banks may also be less likely to agree to underwrite secondary offerings on behalf of Rezolve than they might if Rezolve became a public reporting company by means of a traditional underwritten initial public offering, because they may be less familiar with Rezolve as a result of more limited coverage by analysts and the media. The failure to receive research coverage or support in the market for Rezolves Ordinary Shares could have an adverse effect on Rezolves ability to develop a liquid market for Rezolves Ordinary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publish reports that are interpreted negatively by the investment community or publish negative research reports about our business, our share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Rezolve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an emerging growth company, and our election to comply with the reduced disclosure requirements as a public company may make our Ordinary Shares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as that term is used in the JOBS Act, and we may remain an emerging growth company until the earlier of (i) 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 will be a foreign private issuer and, as a result, we will be permitted to rely on exemptions from certain stock exchange corporate governance standards applicable to U.S. issuers. This may afford less protection to holders of Rezolve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Upon the Closing, as a foreign private issuer whose ordinary shares are listed on the Nasdaq, we will be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rules under the Exchange Act requiring the filing with the SEC of quarterly reports on Form 10-Q or current reports on Form 8-K;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sections of the Exchange Act regulating the solicitation of proxies, consents, or authorizations in respect of a security registered under the Exchange Act;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sections of the Exchange Act requiring insiders to file public reports of their stock ownership and trading activities and liability for insiders who profit from trades made in a short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be required to file an annual report on Form 20-F within four months of the end of each fiscal year. In addition, we intend to publish our results on a quarterly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a foreign private issuer we will be exempt from the provisions of Regulation Fair Disclosure (Regulation FD),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 </w:t>
      </w:r>
    </w:p>
    <w:p>
      <w:pPr>
        <w:pStyle w:val="TextBody"/>
        <w:bidi w:val="0"/>
        <w:spacing w:before="240" w:after="0"/>
        <w:jc w:val="left"/>
        <w:rPr>
          <w:rFonts w:ascii="Times New Roman" w:hAnsi="Times New Roman"/>
          <w:sz w:val="20"/>
        </w:rPr>
      </w:pPr>
      <w:r>
        <w:rPr>
          <w:rFonts w:ascii="Times New Roman" w:hAnsi="Times New Roman"/>
          <w:sz w:val="20"/>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 For more information, see </w:t>
      </w:r>
      <w:r>
        <w:rPr>
          <w:rFonts w:ascii="Times New Roman" w:hAnsi="Times New Roman"/>
          <w:i/>
          <w:sz w:val="20"/>
        </w:rPr>
        <w:t>Management Following the Business CombinationForeign Private Issuer</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lose our foreign private issuer status in the future, which could result in significant additional cost and expense. </w:t>
      </w:r>
    </w:p>
    <w:p>
      <w:pPr>
        <w:pStyle w:val="TextBody"/>
        <w:bidi w:val="0"/>
        <w:spacing w:before="120" w:after="0"/>
        <w:jc w:val="left"/>
        <w:rPr>
          <w:rFonts w:ascii="Times New Roman" w:hAnsi="Times New Roman"/>
          <w:sz w:val="20"/>
        </w:rPr>
      </w:pPr>
      <w:r>
        <w:rPr>
          <w:rFonts w:ascii="Times New Roman" w:hAnsi="Times New Roman"/>
          <w:sz w:val="20"/>
        </w:rPr>
        <w:t xml:space="preserve">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issuance of additional Rezolve Ordinary Shares in connection with financings, acquisitions, investments, our stock incentive plans, or otherwise will dilute all other shareholders. </w:t>
      </w:r>
    </w:p>
    <w:p>
      <w:pPr>
        <w:pStyle w:val="TextBody"/>
        <w:bidi w:val="0"/>
        <w:spacing w:before="120" w:after="0"/>
        <w:jc w:val="left"/>
        <w:rPr>
          <w:rFonts w:ascii="Times New Roman" w:hAnsi="Times New Roman"/>
          <w:sz w:val="20"/>
        </w:rPr>
      </w:pPr>
      <w:r>
        <w:rPr>
          <w:rFonts w:ascii="Times New Roman" w:hAnsi="Times New Roman"/>
          <w:sz w:val="20"/>
        </w:rPr>
        <w:t xml:space="preserve">We expect to issue additional capital stock in the future that will result in dilution to all other shareholders. We expect to grant equity awards to employees, directors, consultants and contractors under our stock incentive plans. We may issue shares in the future upon conversion of the secured Convertible Notes into Rezolve Ordinary Shares and pursuant to the Standby Purchase Agreement.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Rezolve Ordinary Shares to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will incur increased costs as a result of operating as a public company, and our management will be required to devote substantial time to compliance with our public company responsibilities and corporate governance practices.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will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holders that directly or indirectly own 10% or more of our equity interests may be subject to adverse U.S. federal income tax consequences under rules applicable to U.S. shareholders of controlled foreign corporations. </w:t>
      </w:r>
    </w:p>
    <w:p>
      <w:pPr>
        <w:pStyle w:val="TextBody"/>
        <w:bidi w:val="0"/>
        <w:spacing w:before="120" w:after="0"/>
        <w:jc w:val="left"/>
        <w:rPr>
          <w:rFonts w:ascii="Times New Roman" w:hAnsi="Times New Roman"/>
          <w:sz w:val="20"/>
        </w:rPr>
      </w:pPr>
      <w:r>
        <w:rPr>
          <w:rFonts w:ascii="Times New Roman" w:hAnsi="Times New Roman"/>
          <w:sz w:val="20"/>
        </w:rPr>
        <w:t xml:space="preserve">A non-U.S. corporation generally will be classified as a controlled foreign corporation for U.S. federal income tax purposes (a CFC),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at the time of Closing,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U.S. shareholders may suffer adverse tax consequences if we are classified as a passive foreign investment company. </w:t>
      </w:r>
    </w:p>
    <w:p>
      <w:pPr>
        <w:pStyle w:val="TextBody"/>
        <w:bidi w:val="0"/>
        <w:spacing w:before="120" w:after="0"/>
        <w:jc w:val="left"/>
        <w:rPr>
          <w:rFonts w:ascii="Times New Roman" w:hAnsi="Times New Roman"/>
          <w:sz w:val="20"/>
        </w:rPr>
      </w:pPr>
      <w:r>
        <w:rPr>
          <w:rFonts w:ascii="Times New Roman" w:hAnsi="Times New Roman"/>
          <w:sz w:val="20"/>
        </w:rPr>
        <w:t>A non-U.S. corporation generally will be treated as a passive foreign investment company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2023.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(as defined in </w:t>
      </w:r>
      <w:r>
        <w:rPr>
          <w:rFonts w:ascii="Times New Roman" w:hAnsi="Times New Roman"/>
          <w:i/>
          <w:sz w:val="20"/>
        </w:rPr>
        <w:t>Material Tax</w:t>
      </w:r>
      <w:r>
        <w:rPr>
          <w:rFonts w:ascii="Times New Roman" w:hAnsi="Times New Roman"/>
          <w:sz w:val="20"/>
        </w:rPr>
        <w:t xml:space="preserve"> </w:t>
      </w:r>
      <w:r>
        <w:rPr>
          <w:rFonts w:ascii="Times New Roman" w:hAnsi="Times New Roman"/>
          <w:i/>
          <w:sz w:val="20"/>
        </w:rPr>
        <w:t>Considerations</w:t>
      </w:r>
      <w:r>
        <w:rPr>
          <w:rFonts w:ascii="Times New Roman" w:hAnsi="Times New Roman"/>
          <w:sz w:val="20"/>
        </w:rPr>
        <w:t>) holds our ordinary shares, certain adverse U.S. federal income tax consequences could apply to such U.S. Holder. Prospective U.S. Holders should consult their tax advisors regarding the potential application of the PFIC rules to them. See </w:t>
      </w:r>
      <w:r>
        <w:rPr>
          <w:rFonts w:ascii="Times New Roman" w:hAnsi="Times New Roman"/>
          <w:i/>
          <w:sz w:val="20"/>
        </w:rPr>
        <w:t>Material Tax Considerations </w:t>
      </w:r>
      <w:r>
        <w:rPr>
          <w:rFonts w:ascii="Times New Roman" w:hAnsi="Times New Roman"/>
          <w:sz w:val="20"/>
        </w:rPr>
        <w:t xml:space="preserve"> </w:t>
      </w:r>
      <w:r>
        <w:rPr>
          <w:rFonts w:ascii="Times New Roman" w:hAnsi="Times New Roman"/>
          <w:i/>
          <w:sz w:val="20"/>
        </w:rPr>
        <w:t>Material</w:t>
      </w:r>
      <w:r>
        <w:rPr>
          <w:rFonts w:ascii="Times New Roman" w:hAnsi="Times New Roman"/>
          <w:sz w:val="20"/>
        </w:rPr>
        <w:t> </w:t>
      </w:r>
      <w:r>
        <w:rPr>
          <w:rFonts w:ascii="Times New Roman" w:hAnsi="Times New Roman"/>
          <w:i/>
          <w:sz w:val="20"/>
        </w:rPr>
        <w:t>U.S.</w:t>
      </w:r>
      <w:r>
        <w:rPr>
          <w:rFonts w:ascii="Times New Roman" w:hAnsi="Times New Roman"/>
          <w:sz w:val="20"/>
        </w:rPr>
        <w:t> </w:t>
      </w:r>
      <w:r>
        <w:rPr>
          <w:rFonts w:ascii="Times New Roman" w:hAnsi="Times New Roman"/>
          <w:i/>
          <w:sz w:val="20"/>
        </w:rPr>
        <w:t>Federal Income Tax ConsiderationsTax Consequences to U.S. Holders of Ownership and Disposition of Rezolve Ordinary Shares and Rezolve WarrantsPassive Foreign Investment Company Rules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Internal Revenue Service may not agree that Rezolve should be treated as a non-U.S. corporation for U.S. federal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Although Rezolve is incorporated in England and Wales, the Internal Revenue Service (IRS)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As more fully described in the section titled </w:t>
      </w:r>
      <w:r>
        <w:rPr>
          <w:rFonts w:ascii="Times New Roman" w:hAnsi="Times New Roman"/>
          <w:i/>
          <w:sz w:val="20"/>
        </w:rPr>
        <w:t>Material Tax Considerations  Material U.S. Federal Income Tax ConsiderationsU.S. Federal Income Tax Treatment of RezolveTax Residence of Rezolve for U.S. Federal Income Tax</w:t>
      </w:r>
      <w:r>
        <w:rPr>
          <w:rFonts w:ascii="Times New Roman" w:hAnsi="Times New Roman"/>
          <w:sz w:val="20"/>
        </w:rPr>
        <w:t> </w:t>
      </w:r>
      <w:r>
        <w:rPr>
          <w:rFonts w:ascii="Times New Roman" w:hAnsi="Times New Roman"/>
          <w:i/>
          <w:sz w:val="20"/>
        </w:rPr>
        <w:t>Purposes</w:t>
      </w:r>
      <w:r>
        <w:rPr>
          <w:rFonts w:ascii="Times New Roman" w:hAnsi="Times New Roman"/>
          <w:sz w:val="20"/>
        </w:rPr>
        <w:t xml:space="preserve">, based on the terms of the Business Combination and certain factual assumptions, Rezolve does not currently expect to be treated as a U.S. corporation for U.S. federal income tax purposes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 </w:t>
      </w:r>
    </w:p>
    <w:p>
      <w:pPr>
        <w:pStyle w:val="TextBody"/>
        <w:bidi w:val="0"/>
        <w:spacing w:before="240" w:after="0"/>
        <w:jc w:val="left"/>
        <w:rPr>
          <w:rFonts w:ascii="Times New Roman" w:hAnsi="Times New Roman"/>
          <w:sz w:val="20"/>
        </w:rPr>
      </w:pPr>
      <w:r>
        <w:rPr>
          <w:rFonts w:ascii="Times New Roman" w:hAnsi="Times New Roman"/>
          <w:sz w:val="20"/>
        </w:rPr>
        <w:t xml:space="preserve">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See </w:t>
      </w:r>
      <w:r>
        <w:rPr>
          <w:rFonts w:ascii="Times New Roman" w:hAnsi="Times New Roman"/>
          <w:i/>
          <w:sz w:val="20"/>
        </w:rPr>
        <w:t>Material Tax Considerations  Material U.S. Federal Income Tax ConsiderationsU.S. Federal Income Tax Treatment of RezolveTax Residence of Rezolve for U.S. Federal Income Tax Purposes</w:t>
      </w:r>
      <w:r>
        <w:rPr>
          <w:rFonts w:ascii="Times New Roman" w:hAnsi="Times New Roman"/>
          <w:sz w:val="20"/>
        </w:rPr>
        <w:t xml:space="preserve"> for a more detailed discussion of the application of Section 7874 of the Code to the Business Combination. Investors in Rezolve should consult their own advisors regarding the application of Section 7874 of the Code to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7874 of the Code may limit the ability of Armada to use certain tax attributes following the Business Combination, increase Rezolves U.S. affiliates U.S. taxable income or have other adverse consequences to Rezolve and Rezolves shareholders.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acquisition of a U.S. corporation by a foreign corporation, Section 7874 of the Code can limit the ability of the acquired U.S. corporation and its U.S. affiliates to use U.S. tax attributes (including net operating losses and certain tax credits) to offset U.S. taxable income resulting from certain transactions, as well as result in certain other adverse tax consequences, even if the acquiring foreign corporation is respected as a foreign corporation for purposes of Section 7874 of the Code. In general, if a foreign corporation acquires, directly or indirectly, substantially all of the properties held directly or indirectly by a U.S. corporation and after the acquisition, the former shareholders of the acquired U.S. corporation hold at least 60% (by either vote or value) but less than 80% (by vote and value) of the shares of the foreign acquiring corporation by reason of holding shares in the acquired U.S. corporation, subject to other requirements, certain adverse tax consequences under Section 7874 of the Code may apply. </w:t>
      </w:r>
    </w:p>
    <w:p>
      <w:pPr>
        <w:pStyle w:val="TextBody"/>
        <w:bidi w:val="0"/>
        <w:spacing w:before="240" w:after="0"/>
        <w:jc w:val="left"/>
        <w:rPr>
          <w:rFonts w:ascii="Times New Roman" w:hAnsi="Times New Roman"/>
          <w:sz w:val="20"/>
        </w:rPr>
      </w:pPr>
      <w:r>
        <w:rPr>
          <w:rFonts w:ascii="Times New Roman" w:hAnsi="Times New Roman"/>
          <w:sz w:val="20"/>
        </w:rPr>
        <w:t xml:space="preserve">If these rules apply to the Business Combination, Rezolve and certain of Rezolves shareholders may be subject to adverse tax consequences including, but not limited to, restrictions on the use of tax attributes with respect to inversion gain recognized over a 10-year period following the transaction, disqualification of dividends paid from preferential qualified dividend income rates and the requirement that any U.S. corporation owned by Rezolve include as base erosion payments that may be subject to a minimum U.S. federal income tax any amounts treated as reductions in gross income paid to certain related foreign persons. Furthermore, certain disqualified individuals (including officers and directors of a U.S. corporation) may be subject to an excise tax on certain stock-based compensation held thereby at a rate of 20%. </w:t>
      </w:r>
    </w:p>
    <w:p>
      <w:pPr>
        <w:pStyle w:val="TextBody"/>
        <w:bidi w:val="0"/>
        <w:spacing w:before="240" w:after="0"/>
        <w:jc w:val="left"/>
        <w:rPr>
          <w:rFonts w:ascii="Times New Roman" w:hAnsi="Times New Roman"/>
          <w:sz w:val="20"/>
        </w:rPr>
      </w:pPr>
      <w:r>
        <w:rPr>
          <w:rFonts w:ascii="Times New Roman" w:hAnsi="Times New Roman"/>
          <w:sz w:val="20"/>
        </w:rPr>
        <w:t>As more fully described in the section titled </w:t>
      </w:r>
      <w:r>
        <w:rPr>
          <w:rFonts w:ascii="Times New Roman" w:hAnsi="Times New Roman"/>
          <w:i/>
          <w:sz w:val="20"/>
        </w:rPr>
        <w:t>Material Tax Considerations  Material U.S. Federal Income Tax ConsiderationsU.S. Federal Income Tax Treatment of Rezolve</w:t>
      </w:r>
      <w:r>
        <w:rPr>
          <w:rFonts w:ascii="Times New Roman" w:hAnsi="Times New Roman"/>
          <w:sz w:val="20"/>
        </w:rPr>
        <w:t xml:space="preserve">, based on the terms of the Business Combination and certain factual assumptions, Rezolve does not currently expected to be subject to these rules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assurances in this regard. </w:t>
      </w:r>
    </w:p>
    <w:p>
      <w:pPr>
        <w:pStyle w:val="TextBody"/>
        <w:bidi w:val="0"/>
        <w:spacing w:before="240" w:after="0"/>
        <w:jc w:val="left"/>
        <w:rPr>
          <w:rFonts w:ascii="Times New Roman" w:hAnsi="Times New Roman"/>
          <w:sz w:val="20"/>
        </w:rPr>
      </w:pPr>
      <w:r>
        <w:rPr>
          <w:rFonts w:ascii="Times New Roman" w:hAnsi="Times New Roman"/>
          <w:sz w:val="20"/>
        </w:rPr>
        <w:t xml:space="preserve">However, even if Rezolve is not subject to the above adverse consequences under Section 7874, Rezolve may be limited in using its equity to engage in future acquisitions of U.S. corporations over a 36-month period following the Business Combination. If Rezolve were to be treated as acquiring substantially all of the assets of a U.S. corporation or U.S. partnership within a 36-month period after the Business Combination, the Section 7874 Regulations would exclude certain shares of Rezolve attributable to the Business Combination for purposes of determining the Section 7874 Percentage of that subsequent acquisition, making it more likely that Section 7874 of the Code will apply to such subsequent acquisition. </w:t>
      </w:r>
    </w:p>
    <w:p>
      <w:pPr>
        <w:pStyle w:val="TextBody"/>
        <w:bidi w:val="0"/>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Material Tax Considerations  Material U.S. Federal Income Tax ConsiderationsU.S. Federal Income Tax Treatment of Rezolve</w:t>
      </w:r>
      <w:r>
        <w:rPr>
          <w:rFonts w:ascii="Times New Roman" w:hAnsi="Times New Roman"/>
          <w:sz w:val="20"/>
        </w:rPr>
        <w:t xml:space="preserve"> for a more detailed discussion of the application of Section 7874 of the Code to the Business Combination. Investors in Rezolve should consult their own advisors regarding the application of Section 7874 of the Code to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Business Combination may be treated as a taxable exchange to Holders of Armada Common Stock or warrants.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is intended to qualify as a reorganization under Section 368(a) of the Code, but it is uncertain under applicable law whether it can so qualify. </w:t>
      </w:r>
    </w:p>
    <w:p>
      <w:pPr>
        <w:pStyle w:val="TextBody"/>
        <w:bidi w:val="0"/>
        <w:spacing w:before="240" w:after="0"/>
        <w:jc w:val="left"/>
        <w:rPr>
          <w:rFonts w:ascii="Times New Roman" w:hAnsi="Times New Roman"/>
          <w:sz w:val="20"/>
        </w:rPr>
      </w:pPr>
      <w:r>
        <w:rPr>
          <w:rFonts w:ascii="Times New Roman" w:hAnsi="Times New Roman"/>
          <w:sz w:val="20"/>
        </w:rPr>
        <w:t xml:space="preserve">In order for the Business Combination to so qualify, among other requirements, it is necessary that Rezolve either (i) continue Armadas historic business or (ii) use a significant portion of Armadas historic business assets in a business. There is no authority applying this test to the acquisition of a blank check company in a transaction comparable to the Business Combination. Consequently, it is unclear under applicable law whether Armadas operations and assets acquired in the Business Combination will qualify as a historic business or historic business assets for this purpose. If they do not so qualify, the Business Combination will not qualify as a Reorganization. Additionally, in order for the Business Combination to qualify as a Reorganization, it is necessary that a substantial part of the value of the proprietary interests in Armada be preserved in the Business Combination. It is unclear whether Redemption Rights will be exercised by Armada Public Shareholders to a degree that will, taking into account prior redemptions, prevent a substantial part of the value of the proprietary interests in Armada from being preserved for this purpose. If it is not so preserved, then the Business Combination would not qualify as a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such uncertainty, no assurances can be provided that the Business Combination will qualify as a reorganization under Section 368(a) of the Code, and no opinion of counsel has or will be provided regarding the qualification of the Business Combination as a reorganization and neither Armada nor Rezolve intends to file the statement described in Treasury Regulation section 1.368-3(a), reporting the Business Combination as a reorganization.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Excise Tax imposed by the Inflation Reduction Act could be imposed on us in connection with redemptions by us of our shares.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2022, President Biden signed the Inflation Reduction Act (the IR Act) into federal law. The IR Act provides for, among other things, a new U.S. federal 1% excise tax on certain repurchases (including redemptions) of stock by a covered corporation (which include publicly traded corporations) occurring after December 31, 2022.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Treasury has been given authority to provide regulations and other guidance to carry out and prevent the abuse or avoidance of the excise tax. </w:t>
      </w:r>
    </w:p>
    <w:p>
      <w:pPr>
        <w:pStyle w:val="TextBody"/>
        <w:bidi w:val="0"/>
        <w:spacing w:before="240" w:after="0"/>
        <w:jc w:val="left"/>
        <w:rPr>
          <w:rFonts w:ascii="Times New Roman" w:hAnsi="Times New Roman"/>
          <w:sz w:val="20"/>
        </w:rPr>
      </w:pPr>
      <w:r>
        <w:rPr>
          <w:rFonts w:ascii="Times New Roman" w:hAnsi="Times New Roman"/>
          <w:sz w:val="20"/>
        </w:rPr>
        <w:t xml:space="preserve">Any redemptions occurring in connection with the Business Combination are generally expected to be subject to the excise tax. However, the extent we would be subject to the excise tax would depend on a number of factors, including (i) the fair market value of the redemptions and repurchases in connection with the Business Combination, and (ii) the content of regulations and other guidance from the Treasury. In addition, because the excise tax would be payable by us and not by the redeeming holder, the mechanics of any required payment of the excise tax have not been determined. The foregoing could cause a reduction in the cash held outside of the Trust Account, which we plan to use to complete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proceeds deposited in the Trust Account and the interest earned thereon will not be used to pay for any excise tax due under the IR Act in connection with any redemptions of public shares made pursuant to the Business Combination. The Company does intend to continue to use the accrued interest in the Trust Account to pay its franchise and income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x309194_11"/>
      <w:bookmarkEnd w:id="13"/>
      <w:r>
        <w:rPr>
          <w:rFonts w:ascii="Times New Roman" w:hAnsi="Times New Roman"/>
          <w:b/>
          <w:sz w:val="20"/>
        </w:rPr>
        <w:t xml:space="preserve">SELECTED FINANCIAL INFORMATION OF ARMADA </w:t>
      </w:r>
    </w:p>
    <w:p>
      <w:pPr>
        <w:pStyle w:val="TextBody"/>
        <w:bidi w:val="0"/>
        <w:spacing w:before="240" w:after="0"/>
        <w:jc w:val="left"/>
        <w:rPr>
          <w:rFonts w:ascii="Times New Roman" w:hAnsi="Times New Roman"/>
          <w:sz w:val="20"/>
        </w:rPr>
      </w:pPr>
      <w:r>
        <w:rPr>
          <w:rFonts w:ascii="Times New Roman" w:hAnsi="Times New Roman"/>
          <w:sz w:val="20"/>
        </w:rPr>
        <w:t xml:space="preserve">Armada is providing the following selected financial information to assist you in your analysis of the financial aspects of the Business Combination. The following table summarizes our financial data. We have derived the following statements of operations and statements of changes in stockholders (deficit) equity for the twelve months ended September 30, 2022 and the period from November 5, 2020 (inception) through September 30, 2021 and balance sheet data as of September 30, 2022 and September 30, 2021 from our audited financial statements included elsewhere in this proxy statement/prospectus. We have derived the following unaudited condensed statements of operations and unaudited condensed statement of changes in stockholders (deficit) equity for the six months ended March 31, 2023 and March 31, 2022 and unaudited condensed balance sheet data as of March 31, 2023 and March 31, 2022 from our unaudited interim financial statements included elsewhere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The information in this section is only a summary and should be read in conjunction with each of Armadas financial statements and related notes and </w:t>
      </w:r>
      <w:r>
        <w:rPr>
          <w:rFonts w:ascii="Times New Roman" w:hAnsi="Times New Roman"/>
          <w:i/>
          <w:sz w:val="20"/>
        </w:rPr>
        <w:t>Other Information Related to Armada  Armadas Managements Discussion and Analysis of Financial Condition and Results of Operations</w:t>
      </w:r>
      <w:r>
        <w:rPr>
          <w:rFonts w:ascii="Times New Roman" w:hAnsi="Times New Roman"/>
          <w:sz w:val="20"/>
        </w:rPr>
        <w:t xml:space="preserve"> contained elsewhere herein. The historical results included below and elsewhere in this proxy statement/prospectus are not indicative of the future performance of Armada.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Armada are stated in U.S. dollars ($).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11"/>
        <w:gridCol w:w="265"/>
        <w:gridCol w:w="144"/>
        <w:gridCol w:w="1067"/>
        <w:gridCol w:w="155"/>
        <w:gridCol w:w="265"/>
        <w:gridCol w:w="144"/>
        <w:gridCol w:w="1067"/>
        <w:gridCol w:w="155"/>
        <w:gridCol w:w="265"/>
        <w:gridCol w:w="144"/>
        <w:gridCol w:w="1067"/>
        <w:gridCol w:w="155"/>
        <w:gridCol w:w="264"/>
        <w:gridCol w:w="144"/>
        <w:gridCol w:w="1013"/>
        <w:gridCol w:w="163"/>
      </w:tblGrid>
      <w:tr>
        <w:trPr/>
        <w:tc>
          <w:tcPr>
            <w:tcW w:w="2911"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42"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March 31,</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787"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September 30,</w:t>
            </w:r>
          </w:p>
        </w:tc>
        <w:tc>
          <w:tcPr>
            <w:tcW w:w="163" w:type="dxa"/>
            <w:tcBorders/>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2021(1)</w:t>
            </w:r>
          </w:p>
        </w:tc>
        <w:tc>
          <w:tcPr>
            <w:tcW w:w="163"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Formation and operating costs</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1,185,087</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2,367,661</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4,391,263</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184,105</w:t>
            </w:r>
          </w:p>
        </w:tc>
        <w:tc>
          <w:tcPr>
            <w:tcW w:w="163"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55,926</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55,926</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111,852</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285,846</w:t>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911"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(1,241,013</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(2,423,587</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(4,503,115</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(469,951</w:t>
            </w:r>
          </w:p>
        </w:tc>
        <w:tc>
          <w:tcPr>
            <w:tcW w:w="163" w:type="dxa"/>
            <w:tcBorders/>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(1,241,013</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(2,423,587</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(4,503,115</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(469,951</w:t>
            </w:r>
          </w:p>
        </w:tc>
        <w:tc>
          <w:tcPr>
            <w:tcW w:w="163" w:type="dxa"/>
            <w:tcBorders/>
            <w:shd w:fill="CCEEFF" w:val="clear"/>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(expense)/income:</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(expense)/income</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2,264,081</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15,087</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1,025,942</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1,052</w:t>
            </w:r>
          </w:p>
        </w:tc>
        <w:tc>
          <w:tcPr>
            <w:tcW w:w="163" w:type="dxa"/>
            <w:tcBorders/>
            <w:shd w:fill="CCEEFF" w:val="clear"/>
            <w:vAlign w:val="bottom"/>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income/(expense), net</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(expenses)/income, net</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2,264,081</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15,087</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1,025,942</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1,052</w:t>
            </w:r>
          </w:p>
        </w:tc>
        <w:tc>
          <w:tcPr>
            <w:tcW w:w="163" w:type="dxa"/>
            <w:tcBorders/>
            <w:shd w:fill="CCEEFF" w:val="clear"/>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taxes</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1,023,068</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(2,408,500</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(3,477,173</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(468,899</w:t>
            </w:r>
          </w:p>
        </w:tc>
        <w:tc>
          <w:tcPr>
            <w:tcW w:w="163"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(443,184</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(145,621</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579,884</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(2,408,500</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(3,622,794</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(468,899</w:t>
            </w:r>
          </w:p>
        </w:tc>
        <w:tc>
          <w:tcPr>
            <w:tcW w:w="163" w:type="dxa"/>
            <w:tcBorders/>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01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available to common shareholder</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used in computing basic and diluted net loss per common share</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5,709,500</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5,709,500</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5,709,500</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3,948,530</w:t>
            </w:r>
          </w:p>
        </w:tc>
        <w:tc>
          <w:tcPr>
            <w:tcW w:w="163" w:type="dxa"/>
            <w:tcBorders/>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579,884</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(2,408,500</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(3,622,794</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(468,899</w:t>
            </w:r>
          </w:p>
        </w:tc>
        <w:tc>
          <w:tcPr>
            <w:tcW w:w="163" w:type="dxa"/>
            <w:tcBorders/>
            <w:shd w:fill="CCEEFF" w:val="clear"/>
            <w:vAlign w:val="bottom"/>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 net of tax</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 </w:t>
            </w:r>
            <w:r>
              <w:rPr/>
              <w:t>579,884</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(2,408,500</w:t>
            </w:r>
          </w:p>
        </w:tc>
        <w:tc>
          <w:tcPr>
            <w:tcW w:w="15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(3,622,794</w:t>
            </w:r>
          </w:p>
        </w:tc>
        <w:tc>
          <w:tcPr>
            <w:tcW w:w="15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(468,899</w:t>
            </w:r>
          </w:p>
        </w:tc>
        <w:tc>
          <w:tcPr>
            <w:tcW w:w="163" w:type="dxa"/>
            <w:tcBorders/>
            <w:shd w:fill="CCEEFF" w:val="clear"/>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01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period from November 5, 2020 (inception) through September 30, 2021.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4200" w:type="pct"/>
        <w:jc w:val="center"/>
        <w:tblInd w:w="0" w:type="dxa"/>
        <w:tblLayout w:type="fixed"/>
        <w:tblCellMar>
          <w:top w:w="0" w:type="dxa"/>
          <w:left w:w="0" w:type="dxa"/>
          <w:bottom w:w="0" w:type="dxa"/>
          <w:right w:w="0" w:type="dxa"/>
        </w:tblCellMar>
      </w:tblPr>
      <w:tblGrid>
        <w:gridCol w:w="2822"/>
        <w:gridCol w:w="386"/>
        <w:gridCol w:w="140"/>
        <w:gridCol w:w="1115"/>
        <w:gridCol w:w="157"/>
        <w:gridCol w:w="386"/>
        <w:gridCol w:w="154"/>
        <w:gridCol w:w="1324"/>
        <w:gridCol w:w="157"/>
        <w:gridCol w:w="386"/>
        <w:gridCol w:w="153"/>
        <w:gridCol w:w="1324"/>
        <w:gridCol w:w="68"/>
      </w:tblGrid>
      <w:tr>
        <w:trPr/>
        <w:tc>
          <w:tcPr>
            <w:tcW w:w="2822"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822"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March 31,</w:t>
            </w:r>
            <w:r>
              <w:rPr/>
              <w:br/>
            </w:r>
            <w:r>
              <w:rPr>
                <w:b/>
              </w:rPr>
              <w:t>2023</w:t>
            </w:r>
            <w:r>
              <w:rPr/>
              <w:br/>
            </w:r>
            <w:r>
              <w:rPr>
                <w:b/>
              </w:rPr>
              <w:t>(Unaudited)</w:t>
            </w:r>
          </w:p>
        </w:tc>
        <w:tc>
          <w:tcPr>
            <w:tcW w:w="157"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September 30,</w:t>
            </w:r>
            <w:r>
              <w:rPr/>
              <w:br/>
            </w:r>
            <w:r>
              <w:rPr>
                <w:b/>
              </w:rPr>
              <w:t>2022</w:t>
            </w:r>
            <w:r>
              <w:rPr/>
              <w:br/>
            </w:r>
            <w:r>
              <w:rPr>
                <w:b/>
              </w:rPr>
              <w:t>(Audited)</w:t>
            </w:r>
          </w:p>
        </w:tc>
        <w:tc>
          <w:tcPr>
            <w:tcW w:w="157"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77"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September 30,</w:t>
            </w:r>
            <w:r>
              <w:rPr/>
              <w:br/>
            </w:r>
            <w:r>
              <w:rPr>
                <w:b/>
              </w:rPr>
              <w:t>2021(1)</w:t>
            </w:r>
            <w:r>
              <w:rPr/>
              <w:br/>
            </w:r>
            <w:r>
              <w:rPr>
                <w:b/>
              </w:rPr>
              <w:t>(Audited)</w:t>
            </w:r>
          </w:p>
        </w:tc>
        <w:tc>
          <w:tcPr>
            <w:tcW w:w="68" w:type="dxa"/>
            <w:tcBorders/>
            <w:vAlign w:val="bottom"/>
          </w:tcPr>
          <w:p>
            <w:pPr>
              <w:pStyle w:val="TableContents"/>
              <w:bidi w:val="0"/>
              <w:spacing w:before="0" w:after="283"/>
              <w:jc w:val="left"/>
              <w:rPr/>
            </w:pPr>
            <w:r>
              <w:rPr/>
              <w:t> </w:t>
            </w:r>
          </w:p>
        </w:tc>
      </w:tr>
      <w:tr>
        <w:trPr/>
        <w:tc>
          <w:tcPr>
            <w:tcW w:w="2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Sheet Data:</w:t>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822"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 </w:t>
            </w:r>
            <w:r>
              <w:rPr/>
              <w:t>235,949</w:t>
            </w:r>
          </w:p>
        </w:tc>
        <w:tc>
          <w:tcPr>
            <w:tcW w:w="157"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24" w:type="dxa"/>
            <w:tcBorders/>
            <w:vAlign w:val="bottom"/>
          </w:tcPr>
          <w:p>
            <w:pPr>
              <w:pStyle w:val="TableContents"/>
              <w:bidi w:val="0"/>
              <w:spacing w:before="0" w:after="283"/>
              <w:jc w:val="right"/>
              <w:rPr/>
            </w:pPr>
            <w:r>
              <w:rPr/>
              <w:t> </w:t>
            </w:r>
            <w:r>
              <w:rPr/>
              <w:t>177,578</w:t>
            </w:r>
          </w:p>
        </w:tc>
        <w:tc>
          <w:tcPr>
            <w:tcW w:w="157"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24" w:type="dxa"/>
            <w:tcBorders/>
            <w:vAlign w:val="bottom"/>
          </w:tcPr>
          <w:p>
            <w:pPr>
              <w:pStyle w:val="TableContents"/>
              <w:bidi w:val="0"/>
              <w:spacing w:before="0" w:after="283"/>
              <w:jc w:val="right"/>
              <w:rPr/>
            </w:pPr>
            <w:r>
              <w:rPr/>
              <w:t> </w:t>
            </w:r>
            <w:r>
              <w:rPr/>
              <w:t>657,590</w:t>
            </w:r>
          </w:p>
        </w:tc>
        <w:tc>
          <w:tcPr>
            <w:tcW w:w="68" w:type="dxa"/>
            <w:tcBorders/>
            <w:vAlign w:val="bottom"/>
          </w:tcPr>
          <w:p>
            <w:pPr>
              <w:pStyle w:val="TableContents"/>
              <w:bidi w:val="0"/>
              <w:spacing w:before="0" w:after="283"/>
              <w:jc w:val="left"/>
              <w:rPr/>
            </w:pPr>
            <w:r>
              <w:rPr/>
              <w:t> </w:t>
            </w:r>
          </w:p>
        </w:tc>
      </w:tr>
      <w:tr>
        <w:trPr/>
        <w:tc>
          <w:tcPr>
            <w:tcW w:w="2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36,964,740</w:t>
            </w:r>
          </w:p>
        </w:tc>
        <w:tc>
          <w:tcPr>
            <w:tcW w:w="157"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151,084,445</w:t>
            </w:r>
          </w:p>
        </w:tc>
        <w:tc>
          <w:tcPr>
            <w:tcW w:w="157"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151,119,504</w:t>
            </w:r>
          </w:p>
        </w:tc>
        <w:tc>
          <w:tcPr>
            <w:tcW w:w="68" w:type="dxa"/>
            <w:tcBorders/>
            <w:shd w:fill="CCEEFF" w:val="clear"/>
            <w:vAlign w:val="bottom"/>
          </w:tcPr>
          <w:p>
            <w:pPr>
              <w:pStyle w:val="TableContents"/>
              <w:bidi w:val="0"/>
              <w:spacing w:before="0" w:after="283"/>
              <w:jc w:val="left"/>
              <w:rPr/>
            </w:pPr>
            <w:r>
              <w:rPr/>
              <w:t> </w:t>
            </w:r>
          </w:p>
        </w:tc>
      </w:tr>
      <w:tr>
        <w:trPr/>
        <w:tc>
          <w:tcPr>
            <w:tcW w:w="282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7,180,073</w:t>
            </w:r>
          </w:p>
        </w:tc>
        <w:tc>
          <w:tcPr>
            <w:tcW w:w="157"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3,684,910</w:t>
            </w:r>
          </w:p>
        </w:tc>
        <w:tc>
          <w:tcPr>
            <w:tcW w:w="157"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209,027</w:t>
            </w:r>
          </w:p>
        </w:tc>
        <w:tc>
          <w:tcPr>
            <w:tcW w:w="68" w:type="dxa"/>
            <w:tcBorders/>
            <w:vAlign w:val="bottom"/>
          </w:tcPr>
          <w:p>
            <w:pPr>
              <w:pStyle w:val="TableContents"/>
              <w:bidi w:val="0"/>
              <w:spacing w:before="0" w:after="283"/>
              <w:jc w:val="left"/>
              <w:rPr/>
            </w:pPr>
            <w:r>
              <w:rPr/>
              <w:t> </w:t>
            </w:r>
          </w:p>
        </w:tc>
      </w:tr>
      <w:tr>
        <w:trPr/>
        <w:tc>
          <w:tcPr>
            <w:tcW w:w="2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3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(6,832,733</w:t>
            </w:r>
          </w:p>
        </w:tc>
        <w:tc>
          <w:tcPr>
            <w:tcW w:w="157"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(3,149,327</w:t>
            </w:r>
          </w:p>
        </w:tc>
        <w:tc>
          <w:tcPr>
            <w:tcW w:w="157"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 </w:t>
            </w:r>
            <w:r>
              <w:rPr/>
              <w:t>910,477</w:t>
            </w:r>
          </w:p>
        </w:tc>
        <w:tc>
          <w:tcPr>
            <w:tcW w:w="68"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Armada was formed on November 5, 2020.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tx309194_12"/>
      <w:bookmarkEnd w:id="14"/>
      <w:r>
        <w:rPr>
          <w:rFonts w:ascii="Times New Roman" w:hAnsi="Times New Roman"/>
          <w:b/>
          <w:sz w:val="20"/>
        </w:rPr>
        <w:t xml:space="preserve">SELECTED FINANCIAL INFORMATION OF REZOLVE </w:t>
      </w:r>
    </w:p>
    <w:p>
      <w:pPr>
        <w:pStyle w:val="TextBody"/>
        <w:bidi w:val="0"/>
        <w:spacing w:before="240" w:after="0"/>
        <w:jc w:val="left"/>
        <w:rPr>
          <w:rFonts w:ascii="Times New Roman" w:hAnsi="Times New Roman"/>
          <w:sz w:val="20"/>
        </w:rPr>
      </w:pPr>
      <w:r>
        <w:rPr>
          <w:rFonts w:ascii="Times New Roman" w:hAnsi="Times New Roman"/>
          <w:sz w:val="20"/>
        </w:rPr>
        <w:t>The following table summarizes our financial data. We have derived the following statements of operations and comprehensive loss for the years ended December 31, 2022 and 2021 and balance sheet data as of December 31, 2022 from the Rezolve Financial Statements included elsewhere in this proxy statement/prospectus. Our historical results are not necessarily indicative of the results that may be expected in the future. The following summary financial data should be read in conjunction with </w:t>
      </w:r>
      <w:r>
        <w:rPr>
          <w:rFonts w:ascii="Times New Roman" w:hAnsi="Times New Roman"/>
          <w:i/>
          <w:sz w:val="20"/>
        </w:rPr>
        <w:t>Managements Discussion and Analysis of Financial Condition and Results of Operations</w:t>
      </w:r>
      <w:r>
        <w:rPr>
          <w:rFonts w:ascii="Times New Roman" w:hAnsi="Times New Roman"/>
          <w:sz w:val="20"/>
        </w:rPr>
        <w:t xml:space="preserve"> and the Rezolve Financial Statements and related notes included elsewhere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Rezolve Financial Statements included elsewhere in this proxy statement/prospectus were prepared in accordance with U.S. GAAP.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92"/>
        <w:gridCol w:w="357"/>
        <w:gridCol w:w="145"/>
        <w:gridCol w:w="1471"/>
        <w:gridCol w:w="156"/>
        <w:gridCol w:w="357"/>
        <w:gridCol w:w="145"/>
        <w:gridCol w:w="1372"/>
        <w:gridCol w:w="160"/>
      </w:tblGrid>
      <w:tr>
        <w:trPr/>
        <w:tc>
          <w:tcPr>
            <w:tcW w:w="3592"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92"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3646"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60" w:type="dxa"/>
            <w:tcBorders/>
            <w:vAlign w:val="bottom"/>
          </w:tcPr>
          <w:p>
            <w:pPr>
              <w:pStyle w:val="TableContents"/>
              <w:bidi w:val="0"/>
              <w:spacing w:before="0" w:after="283"/>
              <w:jc w:val="left"/>
              <w:rPr/>
            </w:pPr>
            <w:r>
              <w:rPr/>
              <w:t> </w:t>
            </w:r>
          </w:p>
        </w:tc>
      </w:tr>
      <w:tr>
        <w:trPr/>
        <w:tc>
          <w:tcPr>
            <w:tcW w:w="3592"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6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6"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3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471" w:type="dxa"/>
            <w:tcBorders/>
            <w:shd w:fill="CCEEFF" w:val="clear"/>
            <w:vAlign w:val="bottom"/>
          </w:tcPr>
          <w:p>
            <w:pPr>
              <w:pStyle w:val="TableContents"/>
              <w:bidi w:val="0"/>
              <w:spacing w:before="0" w:after="283"/>
              <w:jc w:val="right"/>
              <w:rPr/>
            </w:pPr>
            <w:r>
              <w:rPr/>
              <w:t>12,325,753</w:t>
            </w:r>
          </w:p>
        </w:tc>
        <w:tc>
          <w:tcPr>
            <w:tcW w:w="15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372" w:type="dxa"/>
            <w:tcBorders/>
            <w:shd w:fill="CCEEFF" w:val="clear"/>
            <w:vAlign w:val="bottom"/>
          </w:tcPr>
          <w:p>
            <w:pPr>
              <w:pStyle w:val="TableContents"/>
              <w:bidi w:val="0"/>
              <w:spacing w:before="0" w:after="283"/>
              <w:jc w:val="right"/>
              <w:rPr/>
            </w:pPr>
            <w:r>
              <w:rPr/>
              <w:t>3,904,574</w:t>
            </w:r>
          </w:p>
        </w:tc>
        <w:tc>
          <w:tcPr>
            <w:tcW w:w="160" w:type="dxa"/>
            <w:tcBorders/>
            <w:shd w:fill="CCEEFF" w:val="clear"/>
            <w:vAlign w:val="bottom"/>
          </w:tcPr>
          <w:p>
            <w:pPr>
              <w:pStyle w:val="TableContents"/>
              <w:bidi w:val="0"/>
              <w:spacing w:before="0" w:after="283"/>
              <w:jc w:val="left"/>
              <w:rPr/>
            </w:pPr>
            <w:r>
              <w:rPr/>
              <w:t> </w:t>
            </w:r>
          </w:p>
        </w:tc>
      </w:tr>
      <w:tr>
        <w:trPr/>
        <w:tc>
          <w:tcPr>
            <w:tcW w:w="3592"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47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37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6,050,539</w:t>
            </w:r>
          </w:p>
        </w:tc>
        <w:tc>
          <w:tcPr>
            <w:tcW w:w="15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1,741,023</w:t>
            </w:r>
          </w:p>
        </w:tc>
        <w:tc>
          <w:tcPr>
            <w:tcW w:w="160" w:type="dxa"/>
            <w:tcBorders/>
            <w:shd w:fill="CCEEFF" w:val="clear"/>
            <w:vAlign w:val="bottom"/>
          </w:tcPr>
          <w:p>
            <w:pPr>
              <w:pStyle w:val="TableContents"/>
              <w:bidi w:val="0"/>
              <w:spacing w:before="0" w:after="283"/>
              <w:jc w:val="left"/>
              <w:rPr/>
            </w:pPr>
            <w:r>
              <w:rPr/>
              <w:t> </w:t>
            </w:r>
          </w:p>
        </w:tc>
      </w:tr>
      <w:tr>
        <w:trPr/>
        <w:tc>
          <w:tcPr>
            <w:tcW w:w="3592"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 expenses</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6,827,211</w:t>
            </w:r>
          </w:p>
        </w:tc>
        <w:tc>
          <w:tcPr>
            <w:tcW w:w="156"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2,312,496</w:t>
            </w:r>
          </w:p>
        </w:tc>
        <w:tc>
          <w:tcPr>
            <w:tcW w:w="160" w:type="dxa"/>
            <w:tcBorders/>
            <w:vAlign w:val="bottom"/>
          </w:tcPr>
          <w:p>
            <w:pPr>
              <w:pStyle w:val="TableContents"/>
              <w:bidi w:val="0"/>
              <w:spacing w:before="0" w:after="283"/>
              <w:jc w:val="left"/>
              <w:rPr/>
            </w:pPr>
            <w:r>
              <w:rPr/>
              <w:t> </w:t>
            </w:r>
          </w:p>
        </w:tc>
      </w:tr>
      <w:tr>
        <w:trPr/>
        <w:tc>
          <w:tcPr>
            <w:tcW w:w="3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91,604,396</w:t>
            </w:r>
          </w:p>
        </w:tc>
        <w:tc>
          <w:tcPr>
            <w:tcW w:w="15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35,624,510</w:t>
            </w:r>
          </w:p>
        </w:tc>
        <w:tc>
          <w:tcPr>
            <w:tcW w:w="160" w:type="dxa"/>
            <w:tcBorders/>
            <w:shd w:fill="CCEEFF" w:val="clear"/>
            <w:vAlign w:val="bottom"/>
          </w:tcPr>
          <w:p>
            <w:pPr>
              <w:pStyle w:val="TableContents"/>
              <w:bidi w:val="0"/>
              <w:spacing w:before="0" w:after="283"/>
              <w:jc w:val="left"/>
              <w:rPr/>
            </w:pPr>
            <w:r>
              <w:rPr/>
              <w:t> </w:t>
            </w:r>
          </w:p>
        </w:tc>
      </w:tr>
      <w:tr>
        <w:trPr/>
        <w:tc>
          <w:tcPr>
            <w:tcW w:w="3592"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334,952</w:t>
            </w:r>
          </w:p>
        </w:tc>
        <w:tc>
          <w:tcPr>
            <w:tcW w:w="156"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expenses</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742,113</w:t>
            </w:r>
          </w:p>
        </w:tc>
        <w:tc>
          <w:tcPr>
            <w:tcW w:w="15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460,491</w:t>
            </w:r>
          </w:p>
        </w:tc>
        <w:tc>
          <w:tcPr>
            <w:tcW w:w="160" w:type="dxa"/>
            <w:tcBorders/>
            <w:shd w:fill="CCEEFF" w:val="clear"/>
            <w:vAlign w:val="bottom"/>
          </w:tcPr>
          <w:p>
            <w:pPr>
              <w:pStyle w:val="TableContents"/>
              <w:bidi w:val="0"/>
              <w:spacing w:before="0" w:after="283"/>
              <w:jc w:val="left"/>
              <w:rPr/>
            </w:pPr>
            <w:r>
              <w:rPr/>
              <w:t> </w:t>
            </w:r>
          </w:p>
        </w:tc>
      </w:tr>
      <w:tr>
        <w:trPr/>
        <w:tc>
          <w:tcPr>
            <w:tcW w:w="3592"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7,418,302</w:t>
            </w:r>
          </w:p>
        </w:tc>
        <w:tc>
          <w:tcPr>
            <w:tcW w:w="156"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592"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9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b/>
              </w:rPr>
            </w:pPr>
            <w:r>
              <w:rPr>
                <w:b/>
              </w:rPr>
              <w:t>112,977,513</w:t>
            </w:r>
          </w:p>
        </w:tc>
        <w:tc>
          <w:tcPr>
            <w:tcW w:w="15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b/>
              </w:rPr>
            </w:pPr>
            <w:r>
              <w:rPr>
                <w:b/>
              </w:rPr>
              <w:t>40,138,520</w:t>
            </w:r>
          </w:p>
        </w:tc>
        <w:tc>
          <w:tcPr>
            <w:tcW w:w="160" w:type="dxa"/>
            <w:tcBorders/>
            <w:shd w:fill="CCEEFF" w:val="clear"/>
            <w:vAlign w:val="bottom"/>
          </w:tcPr>
          <w:p>
            <w:pPr>
              <w:pStyle w:val="TableContents"/>
              <w:bidi w:val="0"/>
              <w:spacing w:before="0" w:after="283"/>
              <w:jc w:val="left"/>
              <w:rPr/>
            </w:pPr>
            <w:r>
              <w:rPr/>
              <w:t> </w:t>
            </w:r>
          </w:p>
        </w:tc>
      </w:tr>
      <w:tr>
        <w:trPr/>
        <w:tc>
          <w:tcPr>
            <w:tcW w:w="3592"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9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b/>
              </w:rPr>
            </w:pPr>
            <w:r>
              <w:rPr>
                <w:b/>
              </w:rPr>
              <w:t>(100,651,760</w:t>
            </w:r>
          </w:p>
        </w:tc>
        <w:tc>
          <w:tcPr>
            <w:tcW w:w="156" w:type="dxa"/>
            <w:tcBorders/>
            <w:vAlign w:val="bottom"/>
          </w:tcPr>
          <w:p>
            <w:pPr>
              <w:pStyle w:val="TableContents"/>
              <w:bidi w:val="0"/>
              <w:spacing w:before="0" w:after="283"/>
              <w:jc w:val="left"/>
              <w:rPr>
                <w:b/>
              </w:rPr>
            </w:pPr>
            <w:r>
              <w:rPr>
                <w:b/>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b/>
              </w:rPr>
            </w:pPr>
            <w:r>
              <w:rPr>
                <w:b/>
              </w:rPr>
              <w:t>(36,233,946</w:t>
            </w:r>
          </w:p>
        </w:tc>
        <w:tc>
          <w:tcPr>
            <w:tcW w:w="160" w:type="dxa"/>
            <w:tcBorders/>
            <w:vAlign w:val="bottom"/>
          </w:tcPr>
          <w:p>
            <w:pPr>
              <w:pStyle w:val="TableContents"/>
              <w:bidi w:val="0"/>
              <w:spacing w:before="0" w:after="283"/>
              <w:jc w:val="left"/>
              <w:rPr>
                <w:b/>
              </w:rPr>
            </w:pPr>
            <w:r>
              <w:rPr>
                <w:b/>
              </w:rPr>
              <w:t>) </w:t>
            </w:r>
          </w:p>
        </w:tc>
      </w:tr>
      <w:tr>
        <w:trPr/>
        <w:tc>
          <w:tcPr>
            <w:tcW w:w="3592"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expenses:</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47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59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(3,884,698</w:t>
            </w:r>
          </w:p>
        </w:tc>
        <w:tc>
          <w:tcPr>
            <w:tcW w:w="156"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(301,594</w:t>
            </w:r>
          </w:p>
        </w:tc>
        <w:tc>
          <w:tcPr>
            <w:tcW w:w="160" w:type="dxa"/>
            <w:tcBorders/>
            <w:vAlign w:val="bottom"/>
          </w:tcPr>
          <w:p>
            <w:pPr>
              <w:pStyle w:val="TableContents"/>
              <w:bidi w:val="0"/>
              <w:spacing w:before="0" w:after="283"/>
              <w:jc w:val="left"/>
              <w:rPr/>
            </w:pPr>
            <w:r>
              <w:rPr/>
              <w:t>) </w:t>
            </w:r>
          </w:p>
        </w:tc>
      </w:tr>
      <w:tr>
        <w:trPr/>
        <w:tc>
          <w:tcPr>
            <w:tcW w:w="3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income (expense), net</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315,574</w:t>
            </w:r>
          </w:p>
        </w:tc>
        <w:tc>
          <w:tcPr>
            <w:tcW w:w="15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(1,210,690</w:t>
            </w:r>
          </w:p>
        </w:tc>
        <w:tc>
          <w:tcPr>
            <w:tcW w:w="160" w:type="dxa"/>
            <w:tcBorders/>
            <w:shd w:fill="CCEEFF" w:val="clear"/>
            <w:vAlign w:val="bottom"/>
          </w:tcPr>
          <w:p>
            <w:pPr>
              <w:pStyle w:val="TableContents"/>
              <w:bidi w:val="0"/>
              <w:spacing w:before="0" w:after="283"/>
              <w:jc w:val="left"/>
              <w:rPr/>
            </w:pPr>
            <w:r>
              <w:rPr/>
              <w:t>) </w:t>
            </w:r>
          </w:p>
        </w:tc>
      </w:tr>
      <w:tr>
        <w:trPr/>
        <w:tc>
          <w:tcPr>
            <w:tcW w:w="3592"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9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other (expenses) / income, net</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b/>
              </w:rPr>
            </w:pPr>
            <w:r>
              <w:rPr>
                <w:b/>
              </w:rPr>
              <w:t>(3,569,124</w:t>
            </w:r>
          </w:p>
        </w:tc>
        <w:tc>
          <w:tcPr>
            <w:tcW w:w="156" w:type="dxa"/>
            <w:tcBorders/>
            <w:vAlign w:val="bottom"/>
          </w:tcPr>
          <w:p>
            <w:pPr>
              <w:pStyle w:val="TableContents"/>
              <w:bidi w:val="0"/>
              <w:spacing w:before="0" w:after="283"/>
              <w:jc w:val="left"/>
              <w:rPr>
                <w:b/>
              </w:rPr>
            </w:pPr>
            <w:r>
              <w:rPr>
                <w:b/>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b/>
              </w:rPr>
            </w:pPr>
            <w:r>
              <w:rPr>
                <w:b/>
              </w:rPr>
              <w:t>(1,512,284</w:t>
            </w:r>
          </w:p>
        </w:tc>
        <w:tc>
          <w:tcPr>
            <w:tcW w:w="160" w:type="dxa"/>
            <w:tcBorders/>
            <w:vAlign w:val="bottom"/>
          </w:tcPr>
          <w:p>
            <w:pPr>
              <w:pStyle w:val="TableContents"/>
              <w:bidi w:val="0"/>
              <w:spacing w:before="0" w:after="283"/>
              <w:jc w:val="left"/>
              <w:rPr>
                <w:b/>
              </w:rPr>
            </w:pPr>
            <w:r>
              <w:rPr>
                <w:b/>
              </w:rPr>
              <w:t>) </w:t>
            </w:r>
          </w:p>
        </w:tc>
      </w:tr>
      <w:tr>
        <w:trPr/>
        <w:tc>
          <w:tcPr>
            <w:tcW w:w="3592"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9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taxes</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b/>
              </w:rPr>
            </w:pPr>
            <w:r>
              <w:rPr>
                <w:b/>
              </w:rPr>
              <w:t>(104,220,885</w:t>
            </w:r>
          </w:p>
        </w:tc>
        <w:tc>
          <w:tcPr>
            <w:tcW w:w="156" w:type="dxa"/>
            <w:tcBorders/>
            <w:shd w:fill="CCEEFF" w:val="clear"/>
            <w:vAlign w:val="bottom"/>
          </w:tcPr>
          <w:p>
            <w:pPr>
              <w:pStyle w:val="TableContents"/>
              <w:bidi w:val="0"/>
              <w:spacing w:before="0" w:after="283"/>
              <w:jc w:val="left"/>
              <w:rPr>
                <w:b/>
              </w:rPr>
            </w:pPr>
            <w:r>
              <w:rPr>
                <w:b/>
              </w:rPr>
              <w:t>) </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b/>
              </w:rPr>
            </w:pPr>
            <w:r>
              <w:rPr>
                <w:b/>
              </w:rPr>
              <w:t>(37,746,230</w:t>
            </w:r>
          </w:p>
        </w:tc>
        <w:tc>
          <w:tcPr>
            <w:tcW w:w="160" w:type="dxa"/>
            <w:tcBorders/>
            <w:shd w:fill="CCEEFF" w:val="clear"/>
            <w:vAlign w:val="bottom"/>
          </w:tcPr>
          <w:p>
            <w:pPr>
              <w:pStyle w:val="TableContents"/>
              <w:bidi w:val="0"/>
              <w:spacing w:before="0" w:after="283"/>
              <w:jc w:val="left"/>
              <w:rPr>
                <w:b/>
              </w:rPr>
            </w:pPr>
            <w:r>
              <w:rPr>
                <w:b/>
              </w:rPr>
              <w:t>) </w:t>
            </w:r>
          </w:p>
        </w:tc>
      </w:tr>
      <w:tr>
        <w:trPr/>
        <w:tc>
          <w:tcPr>
            <w:tcW w:w="3592"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9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115,447</w:t>
            </w:r>
          </w:p>
        </w:tc>
        <w:tc>
          <w:tcPr>
            <w:tcW w:w="156"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26,755</w:t>
            </w:r>
          </w:p>
        </w:tc>
        <w:tc>
          <w:tcPr>
            <w:tcW w:w="160" w:type="dxa"/>
            <w:tcBorders/>
            <w:vAlign w:val="bottom"/>
          </w:tcPr>
          <w:p>
            <w:pPr>
              <w:pStyle w:val="TableContents"/>
              <w:bidi w:val="0"/>
              <w:spacing w:before="0" w:after="283"/>
              <w:jc w:val="left"/>
              <w:rPr/>
            </w:pPr>
            <w:r>
              <w:rPr/>
              <w:t> </w:t>
            </w:r>
          </w:p>
        </w:tc>
      </w:tr>
      <w:tr>
        <w:trPr/>
        <w:tc>
          <w:tcPr>
            <w:tcW w:w="3592"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9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for the year</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471" w:type="dxa"/>
            <w:tcBorders/>
            <w:shd w:fill="CCEEFF" w:val="clear"/>
            <w:vAlign w:val="bottom"/>
          </w:tcPr>
          <w:p>
            <w:pPr>
              <w:pStyle w:val="TableContents"/>
              <w:bidi w:val="0"/>
              <w:spacing w:before="0" w:after="283"/>
              <w:jc w:val="right"/>
              <w:rPr>
                <w:b/>
              </w:rPr>
            </w:pPr>
            <w:r>
              <w:rPr>
                <w:b/>
              </w:rPr>
              <w:t>(104,105,438</w:t>
            </w:r>
          </w:p>
        </w:tc>
        <w:tc>
          <w:tcPr>
            <w:tcW w:w="156" w:type="dxa"/>
            <w:tcBorders/>
            <w:shd w:fill="CCEEFF" w:val="clear"/>
            <w:vAlign w:val="bottom"/>
          </w:tcPr>
          <w:p>
            <w:pPr>
              <w:pStyle w:val="TableContents"/>
              <w:bidi w:val="0"/>
              <w:spacing w:before="0" w:after="283"/>
              <w:jc w:val="left"/>
              <w:rPr>
                <w:b/>
              </w:rPr>
            </w:pPr>
            <w:r>
              <w:rPr>
                <w:b/>
              </w:rPr>
              <w:t>) </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372" w:type="dxa"/>
            <w:tcBorders/>
            <w:shd w:fill="CCEEFF" w:val="clear"/>
            <w:vAlign w:val="bottom"/>
          </w:tcPr>
          <w:p>
            <w:pPr>
              <w:pStyle w:val="TableContents"/>
              <w:bidi w:val="0"/>
              <w:spacing w:before="0" w:after="283"/>
              <w:jc w:val="right"/>
              <w:rPr>
                <w:b/>
              </w:rPr>
            </w:pPr>
            <w:r>
              <w:rPr>
                <w:b/>
              </w:rPr>
              <w:t>(37,719,475</w:t>
            </w:r>
          </w:p>
        </w:tc>
        <w:tc>
          <w:tcPr>
            <w:tcW w:w="160" w:type="dxa"/>
            <w:tcBorders/>
            <w:shd w:fill="CCEEFF" w:val="clear"/>
            <w:vAlign w:val="bottom"/>
          </w:tcPr>
          <w:p>
            <w:pPr>
              <w:pStyle w:val="TableContents"/>
              <w:bidi w:val="0"/>
              <w:spacing w:before="0" w:after="283"/>
              <w:jc w:val="left"/>
              <w:rPr>
                <w:b/>
              </w:rPr>
            </w:pPr>
            <w:r>
              <w:rPr>
                <w:b/>
              </w:rPr>
              <w:t>) </w:t>
            </w:r>
          </w:p>
        </w:tc>
      </w:tr>
      <w:tr>
        <w:trPr/>
        <w:tc>
          <w:tcPr>
            <w:tcW w:w="3592"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47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7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92"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per share  Basic and diluted</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471" w:type="dxa"/>
            <w:tcBorders/>
            <w:vAlign w:val="bottom"/>
          </w:tcPr>
          <w:p>
            <w:pPr>
              <w:pStyle w:val="TableContents"/>
              <w:bidi w:val="0"/>
              <w:spacing w:before="0" w:after="283"/>
              <w:jc w:val="right"/>
              <w:rPr/>
            </w:pPr>
            <w:r>
              <w:rPr/>
              <w:t>(0.11</w:t>
            </w:r>
          </w:p>
        </w:tc>
        <w:tc>
          <w:tcPr>
            <w:tcW w:w="156"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372" w:type="dxa"/>
            <w:tcBorders/>
            <w:vAlign w:val="bottom"/>
          </w:tcPr>
          <w:p>
            <w:pPr>
              <w:pStyle w:val="TableContents"/>
              <w:bidi w:val="0"/>
              <w:spacing w:before="0" w:after="283"/>
              <w:jc w:val="right"/>
              <w:rPr/>
            </w:pPr>
            <w:r>
              <w:rPr/>
              <w:t>(0.04</w:t>
            </w:r>
          </w:p>
        </w:tc>
        <w:tc>
          <w:tcPr>
            <w:tcW w:w="160" w:type="dxa"/>
            <w:tcBorders/>
            <w:vAlign w:val="bottom"/>
          </w:tcPr>
          <w:p>
            <w:pPr>
              <w:pStyle w:val="TableContents"/>
              <w:bidi w:val="0"/>
              <w:spacing w:before="0" w:after="283"/>
              <w:jc w:val="left"/>
              <w:rPr/>
            </w:pPr>
            <w:r>
              <w:rPr/>
              <w:t>) </w:t>
            </w:r>
          </w:p>
        </w:tc>
      </w:tr>
      <w:tr>
        <w:trPr/>
        <w:tc>
          <w:tcPr>
            <w:tcW w:w="3592"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913,109,577</w:t>
            </w:r>
          </w:p>
        </w:tc>
        <w:tc>
          <w:tcPr>
            <w:tcW w:w="156"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881,342,508</w:t>
            </w:r>
          </w:p>
        </w:tc>
        <w:tc>
          <w:tcPr>
            <w:tcW w:w="160" w:type="dxa"/>
            <w:tcBorders/>
            <w:shd w:fill="CCEEFF" w:val="clear"/>
            <w:vAlign w:val="bottom"/>
          </w:tcPr>
          <w:p>
            <w:pPr>
              <w:pStyle w:val="TableContents"/>
              <w:bidi w:val="0"/>
              <w:spacing w:before="0" w:after="283"/>
              <w:jc w:val="left"/>
              <w:rPr/>
            </w:pPr>
            <w:r>
              <w:rPr/>
              <w:t> </w:t>
            </w:r>
          </w:p>
        </w:tc>
      </w:tr>
      <w:tr>
        <w:trPr/>
        <w:tc>
          <w:tcPr>
            <w:tcW w:w="3592"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9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471" w:type="dxa"/>
            <w:tcBorders/>
            <w:vAlign w:val="bottom"/>
          </w:tcPr>
          <w:p>
            <w:pPr>
              <w:pStyle w:val="TableContents"/>
              <w:bidi w:val="0"/>
              <w:spacing w:before="0" w:after="283"/>
              <w:jc w:val="right"/>
              <w:rPr>
                <w:b/>
              </w:rPr>
            </w:pPr>
            <w:r>
              <w:rPr>
                <w:b/>
              </w:rPr>
              <w:t>(104,105,438</w:t>
            </w:r>
          </w:p>
        </w:tc>
        <w:tc>
          <w:tcPr>
            <w:tcW w:w="156" w:type="dxa"/>
            <w:tcBorders/>
            <w:vAlign w:val="bottom"/>
          </w:tcPr>
          <w:p>
            <w:pPr>
              <w:pStyle w:val="TableContents"/>
              <w:bidi w:val="0"/>
              <w:spacing w:before="0" w:after="283"/>
              <w:jc w:val="left"/>
              <w:rPr>
                <w:b/>
              </w:rPr>
            </w:pPr>
            <w:r>
              <w:rPr>
                <w:b/>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372" w:type="dxa"/>
            <w:tcBorders/>
            <w:vAlign w:val="bottom"/>
          </w:tcPr>
          <w:p>
            <w:pPr>
              <w:pStyle w:val="TableContents"/>
              <w:bidi w:val="0"/>
              <w:spacing w:before="0" w:after="283"/>
              <w:jc w:val="right"/>
              <w:rPr>
                <w:b/>
              </w:rPr>
            </w:pPr>
            <w:r>
              <w:rPr>
                <w:b/>
              </w:rPr>
              <w:t>(37,719,475</w:t>
            </w:r>
          </w:p>
        </w:tc>
        <w:tc>
          <w:tcPr>
            <w:tcW w:w="160" w:type="dxa"/>
            <w:tcBorders/>
            <w:vAlign w:val="bottom"/>
          </w:tcPr>
          <w:p>
            <w:pPr>
              <w:pStyle w:val="TableContents"/>
              <w:bidi w:val="0"/>
              <w:spacing w:before="0" w:after="283"/>
              <w:jc w:val="left"/>
              <w:rPr>
                <w:b/>
              </w:rPr>
            </w:pPr>
            <w:r>
              <w:rPr>
                <w:b/>
              </w:rPr>
              <w:t>) </w:t>
            </w:r>
          </w:p>
        </w:tc>
      </w:tr>
      <w:tr>
        <w:trPr/>
        <w:tc>
          <w:tcPr>
            <w:tcW w:w="3592"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loss, net of tax</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47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592"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(loss)</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(757,356</w:t>
            </w:r>
          </w:p>
        </w:tc>
        <w:tc>
          <w:tcPr>
            <w:tcW w:w="156"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(501,130</w:t>
            </w:r>
          </w:p>
        </w:tc>
        <w:tc>
          <w:tcPr>
            <w:tcW w:w="160" w:type="dxa"/>
            <w:tcBorders/>
            <w:vAlign w:val="bottom"/>
          </w:tcPr>
          <w:p>
            <w:pPr>
              <w:pStyle w:val="TableContents"/>
              <w:bidi w:val="0"/>
              <w:spacing w:before="0" w:after="283"/>
              <w:jc w:val="left"/>
              <w:rPr/>
            </w:pPr>
            <w:r>
              <w:rPr/>
              <w:t>) </w:t>
            </w:r>
          </w:p>
        </w:tc>
      </w:tr>
      <w:tr>
        <w:trPr/>
        <w:tc>
          <w:tcPr>
            <w:tcW w:w="3592"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47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7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9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loss</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471" w:type="dxa"/>
            <w:tcBorders/>
            <w:shd w:fill="CCEEFF" w:val="clear"/>
            <w:vAlign w:val="bottom"/>
          </w:tcPr>
          <w:p>
            <w:pPr>
              <w:pStyle w:val="TableContents"/>
              <w:bidi w:val="0"/>
              <w:spacing w:before="0" w:after="283"/>
              <w:jc w:val="right"/>
              <w:rPr>
                <w:b/>
              </w:rPr>
            </w:pPr>
            <w:r>
              <w:rPr>
                <w:b/>
              </w:rPr>
              <w:t>(104,862,794</w:t>
            </w:r>
          </w:p>
        </w:tc>
        <w:tc>
          <w:tcPr>
            <w:tcW w:w="156" w:type="dxa"/>
            <w:tcBorders/>
            <w:shd w:fill="CCEEFF" w:val="clear"/>
            <w:vAlign w:val="bottom"/>
          </w:tcPr>
          <w:p>
            <w:pPr>
              <w:pStyle w:val="TableContents"/>
              <w:bidi w:val="0"/>
              <w:spacing w:before="0" w:after="283"/>
              <w:jc w:val="left"/>
              <w:rPr>
                <w:b/>
              </w:rPr>
            </w:pPr>
            <w:r>
              <w:rPr>
                <w:b/>
              </w:rPr>
              <w:t>) </w:t>
            </w:r>
          </w:p>
        </w:tc>
        <w:tc>
          <w:tcPr>
            <w:tcW w:w="3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372" w:type="dxa"/>
            <w:tcBorders/>
            <w:shd w:fill="CCEEFF" w:val="clear"/>
            <w:vAlign w:val="bottom"/>
          </w:tcPr>
          <w:p>
            <w:pPr>
              <w:pStyle w:val="TableContents"/>
              <w:bidi w:val="0"/>
              <w:spacing w:before="0" w:after="283"/>
              <w:jc w:val="right"/>
              <w:rPr>
                <w:b/>
              </w:rPr>
            </w:pPr>
            <w:r>
              <w:rPr>
                <w:b/>
              </w:rPr>
              <w:t>(38,220,605</w:t>
            </w:r>
          </w:p>
        </w:tc>
        <w:tc>
          <w:tcPr>
            <w:tcW w:w="160" w:type="dxa"/>
            <w:tcBorders/>
            <w:shd w:fill="CCEEFF" w:val="clear"/>
            <w:vAlign w:val="bottom"/>
          </w:tcPr>
          <w:p>
            <w:pPr>
              <w:pStyle w:val="TableContents"/>
              <w:bidi w:val="0"/>
              <w:spacing w:before="0" w:after="283"/>
              <w:jc w:val="left"/>
              <w:rPr>
                <w:b/>
              </w:rPr>
            </w:pPr>
            <w:r>
              <w:rPr>
                <w:b/>
              </w:rPr>
              <w:t>) </w:t>
            </w:r>
          </w:p>
        </w:tc>
      </w:tr>
      <w:tr>
        <w:trPr/>
        <w:tc>
          <w:tcPr>
            <w:tcW w:w="3592"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47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7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53"/>
        <w:gridCol w:w="367"/>
        <w:gridCol w:w="153"/>
        <w:gridCol w:w="1371"/>
        <w:gridCol w:w="157"/>
        <w:gridCol w:w="367"/>
        <w:gridCol w:w="160"/>
        <w:gridCol w:w="1365"/>
        <w:gridCol w:w="162"/>
      </w:tblGrid>
      <w:tr>
        <w:trPr/>
        <w:tc>
          <w:tcPr>
            <w:tcW w:w="3653"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53"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December 31,</w:t>
            </w:r>
            <w:r>
              <w:rPr/>
              <w:br/>
            </w:r>
            <w:r>
              <w:rPr>
                <w:b/>
              </w:rPr>
              <w:t>2022</w:t>
            </w:r>
          </w:p>
        </w:tc>
        <w:tc>
          <w:tcPr>
            <w:tcW w:w="157"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525"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December 31,</w:t>
            </w:r>
            <w:r>
              <w:rPr/>
              <w:br/>
            </w:r>
            <w:r>
              <w:rPr>
                <w:b/>
              </w:rPr>
              <w:t>2021</w:t>
            </w:r>
          </w:p>
        </w:tc>
        <w:tc>
          <w:tcPr>
            <w:tcW w:w="162"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Sheet Data:</w:t>
            </w:r>
          </w:p>
        </w:tc>
        <w:tc>
          <w:tcPr>
            <w:tcW w:w="3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371"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36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653"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71" w:type="dxa"/>
            <w:tcBorders/>
            <w:vAlign w:val="bottom"/>
          </w:tcPr>
          <w:p>
            <w:pPr>
              <w:pStyle w:val="TableContents"/>
              <w:bidi w:val="0"/>
              <w:spacing w:before="0" w:after="283"/>
              <w:jc w:val="right"/>
              <w:rPr/>
            </w:pPr>
            <w:r>
              <w:rPr/>
              <w:t> </w:t>
            </w:r>
            <w:r>
              <w:rPr/>
              <w:t>41,709</w:t>
            </w:r>
          </w:p>
        </w:tc>
        <w:tc>
          <w:tcPr>
            <w:tcW w:w="157"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1365" w:type="dxa"/>
            <w:tcBorders/>
            <w:vAlign w:val="bottom"/>
          </w:tcPr>
          <w:p>
            <w:pPr>
              <w:pStyle w:val="TableContents"/>
              <w:bidi w:val="0"/>
              <w:spacing w:before="0" w:after="283"/>
              <w:jc w:val="right"/>
              <w:rPr/>
            </w:pPr>
            <w:r>
              <w:rPr/>
              <w:t> </w:t>
            </w:r>
            <w:r>
              <w:rPr/>
              <w:t>2,690,024</w:t>
            </w:r>
          </w:p>
        </w:tc>
        <w:tc>
          <w:tcPr>
            <w:tcW w:w="162"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9,365,521</w:t>
            </w:r>
          </w:p>
        </w:tc>
        <w:tc>
          <w:tcPr>
            <w:tcW w:w="157"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22,373,970</w:t>
            </w:r>
          </w:p>
        </w:tc>
        <w:tc>
          <w:tcPr>
            <w:tcW w:w="162" w:type="dxa"/>
            <w:tcBorders/>
            <w:shd w:fill="CCEEFF" w:val="clear"/>
            <w:vAlign w:val="bottom"/>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rFonts w:ascii="Times New Roman" w:hAnsi="Times New Roman"/>
                <w:sz w:val="20"/>
              </w:rPr>
            </w:pPr>
            <w:r>
              <w:rPr>
                <w:rFonts w:ascii="Times New Roman" w:hAnsi="Times New Roman"/>
                <w:sz w:val="20"/>
              </w:rPr>
              <w:t>Total non-current liabilities</w:t>
            </w:r>
          </w:p>
        </w:tc>
        <w:tc>
          <w:tcPr>
            <w:tcW w:w="3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28,006,947</w:t>
            </w:r>
          </w:p>
        </w:tc>
        <w:tc>
          <w:tcPr>
            <w:tcW w:w="157"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5,376,189</w:t>
            </w:r>
          </w:p>
        </w:tc>
        <w:tc>
          <w:tcPr>
            <w:tcW w:w="162"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equity (deficit)</w:t>
            </w:r>
          </w:p>
        </w:tc>
        <w:tc>
          <w:tcPr>
            <w:tcW w:w="3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(27,314,998</w:t>
            </w:r>
          </w:p>
        </w:tc>
        <w:tc>
          <w:tcPr>
            <w:tcW w:w="157"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1365" w:type="dxa"/>
            <w:tcBorders/>
            <w:shd w:fill="CCEEFF" w:val="clear"/>
            <w:vAlign w:val="bottom"/>
          </w:tcPr>
          <w:p>
            <w:pPr>
              <w:pStyle w:val="TableContents"/>
              <w:bidi w:val="0"/>
              <w:spacing w:before="0" w:after="283"/>
              <w:jc w:val="right"/>
              <w:rPr/>
            </w:pPr>
            <w:r>
              <w:rPr/>
              <w:t>(1,925,941</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x309194_13"/>
      <w:bookmarkEnd w:id="15"/>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Armada is providing the following unaudited pro forma condensed combined financial information to aid you in your analysis of the financial aspects of the Business Combination. The following unaudited pro forma </w:t>
      </w:r>
    </w:p>
    <w:p>
      <w:pPr>
        <w:pStyle w:val="TextBody"/>
        <w:bidi w:val="0"/>
        <w:spacing w:before="0" w:after="0"/>
        <w:jc w:val="left"/>
        <w:rPr>
          <w:rFonts w:ascii="Times New Roman" w:hAnsi="Times New Roman"/>
          <w:sz w:val="20"/>
        </w:rPr>
      </w:pPr>
      <w:r>
        <w:rPr>
          <w:rFonts w:ascii="Times New Roman" w:hAnsi="Times New Roman"/>
          <w:sz w:val="20"/>
        </w:rPr>
        <w:t xml:space="preserve">condensed combined financial information has been prepared in accordance with Article 11 of Regulation S-X as amended by the final rule, Release No. 33-10786 Amendments to Financial Disclosures about Acquired and Disposed Businesses.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 of December 31, 2022 combines the historical balance sheet of Armada and the carve-out consolidated balance sheet of Rezolve on a pro forma basis as if the Business Combination and related transactions, summarized below, had been consummated on December 31, 2022. The unaudited pro forma condensed combined statement of operations for the year ended December 31, 2022 combines the historical statements of operations of Armada and Rezolve on a pro forma basis as if the Business Combination and related transactions, summarized below, had been consummated on January 1, 2022, the beginning of the earliest period presented.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Business Combination and related transactions is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Business Combination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pre-Closing demerger (the Pre-Closing Demerger) of Rezolve Limited will be effected pursuant to UK legislation under which (x) part of Rezolve Limiteds business and assets (being all of its business and assets except for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The Business Combination Proposal for more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a Rezolve Warrant that will entitle the holder to purchase one Rezolve Ordinary Share in lieu of one share of Armada Common Stock and otherwise on substantially the same terms and conditions as the Armada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balance sheet does not purport to represent, and is not necessarily indicative of, what the actual financial condition of the Combined Company would have been had the Business Combination taken place on December 31, 2022, nor is it indicative of the financial condition of the Combined Company as of any future date. The unaudited pro forma condensed combined statements of operations do not purport to represent, and are not necessarily indicative of, what the actual results of operations of the Combined Company would have been had the Business Combination taken place on January 1, 2022, nor are they indicative of the results of operations of the Combined Company for any future period. The unaudited pro forma condensed combined financial information should be read in conjunction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accompanying notes to the unaudited pro forma condensed combined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Armada as of, and for the year ended, September 30, 2022, included elsewhere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financial statements for Armada as of and for the quarter ended December 31, 2022, included elsewhere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carve-out financial statements of Rezolve as of, and for the year ended, December 31, 2022, included elsewhere in this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sections entitled </w:t>
            </w:r>
            <w:r>
              <w:rPr>
                <w:rFonts w:ascii="Times New Roman" w:hAnsi="Times New Roman"/>
                <w:i/>
                <w:sz w:val="20"/>
              </w:rPr>
              <w:t>Managements Discussion and Analysis of Financial Condition and Results of Operations of Armada</w:t>
            </w:r>
            <w:r>
              <w:rPr>
                <w:rFonts w:ascii="Times New Roman" w:hAnsi="Times New Roman"/>
                <w:sz w:val="20"/>
              </w:rPr>
              <w:t> and </w:t>
            </w:r>
            <w:r>
              <w:rPr>
                <w:rFonts w:ascii="Times New Roman" w:hAnsi="Times New Roman"/>
                <w:i/>
                <w:sz w:val="20"/>
              </w:rPr>
              <w:t>Managements Discussion and Analysis of Financial Condition and Results of Operations of Rezolve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prepared to illustrate the effect of the Business Combination and related transactions. It has been prepared in accordance with Article 11 of Regulation S-X and is for informational purposes only and is subject to a number of uncertainties and assumptions as described in the accompanying notes.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w:t>
      </w:r>
    </w:p>
    <w:p>
      <w:pPr>
        <w:pStyle w:val="TextBody"/>
        <w:bidi w:val="0"/>
        <w:spacing w:before="0" w:after="0"/>
        <w:jc w:val="left"/>
        <w:rPr>
          <w:rFonts w:ascii="Times New Roman" w:hAnsi="Times New Roman"/>
          <w:sz w:val="20"/>
        </w:rPr>
      </w:pPr>
      <w:r>
        <w:rPr>
          <w:rFonts w:ascii="Times New Roman" w:hAnsi="Times New Roman"/>
          <w:sz w:val="20"/>
        </w:rPr>
        <w:t xml:space="preserve">adjustments will differ from the pro forma adjustments and it is possible the difference may be material. Armada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for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will be accounted for as a reverse recapitalization, with no goodwill or other intangible assets recorded, in accordance with accounting principles generally accepted in the United States of America. Under this method of accounting, Armada will be treated as the acquired company for financial reporting purposes. Accordingly, for accounting purposes, the Business Combination will be treated as the equivalent of Rezolve issuing shares for the net assets of Armada, accompanied by a reverse recapitalization.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Rezolve has been determined to be the accounting acquirer based on evaluation of the following facts and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shareholders will have majority of the voting power under both the minimum redemption and maximum redemption scenarios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will appoint majority of the directors of Rezolve AI PLC;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existing management will comprise the management of Rezolve AI PLC;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operations will comprise the ongoing operations of Rezolve AI PLC;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is the larger entity based on historical revenues and business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AI PLC will continue to use Rezolves name and Rezolves headquarters in London.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Basis of Pro Forma Presentation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Current Charter, Armadas public stockholders may demand that Armada redeem their shares of common stock for cash if the Business Combination is consummated, irrespective of whether they vote for or against the Business Combination. If a public stockholder properly demands redemption of their shares, Armada will redeem each share for cash equal to the public stockholders pro rata portion of the Trust Account, calculated as of two business days prior to the anticipated consummation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contained herein assumes that Armadas public stockholders approve the Business Combination. Armada cannot predict how many of its public stockholders will exercise their right to redeem their Armada common stock for cash. Therefore, the unaudited pro forma condensed combined financial information has been prepared using the assumptions below with respect to the potential redemption of Armada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Assuming Minimum Redemptions: </w:t>
            </w:r>
            <w:r>
              <w:rPr>
                <w:rFonts w:ascii="Times New Roman" w:hAnsi="Times New Roman"/>
                <w:sz w:val="20"/>
              </w:rPr>
              <w:t xml:space="preserve">This scenario gives effect to Armada Share Redemptions of 12,636,651 shares of Armada common stock for aggregate redemption payments of approximately $129 million at a redemption price of approximately $10.20 per share based on the investments held in the Trust Account. This scenario also assumes (i) that the Charter Limitation Amendment proposal is approved and implemented, and (ii) the satisfaction or waiver of the condition to closing of the Business Combination under the Business Combination Agreement that the Rezolve Ordinary Shares held by the existing Rezolve Shareholders and those to be issued in connection with the Merger have been approved for listing on Nasdaq (subject to official notice of issuance). Armada cannot assure you that the Nasdaq Closing Condition or, if the Charter Limitation Amendment Proposal is not approved and implemented, the Charter Limitation will be satisfied without additional third-party financing sufficient to satisfy the Charter Limitation, which may involve dilutive equity issuances or the incurrence of indebtedness at higher-than-desirable levels. In the absence of such additional third-party financing, the Charter Limitation in the Armada Charter would prohibit Armada from closing the Business Combination if its net tangible assets would be less than $5,000,001 immediately prior to or upon consummation of its initial business combination, unless the Charter Limitation Amendment Proposal is approved and implemented. The Business Combination Agreement was amended to eliminate the condition that upon the closing, and after giving effect to the Pre-Closing Demerger, the Company Reorganization, the Merger and the Promissory Note, Rezolve will have net tangible assets of at least $5,000,001.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Assuming Maximum</w:t>
            </w:r>
            <w:r>
              <w:rPr>
                <w:rFonts w:ascii="Times New Roman" w:hAnsi="Times New Roman"/>
                <w:sz w:val="20"/>
              </w:rPr>
              <w:t xml:space="preserve"> </w:t>
            </w:r>
            <w:r>
              <w:rPr>
                <w:rFonts w:ascii="Times New Roman" w:hAnsi="Times New Roman"/>
                <w:b/>
                <w:sz w:val="20"/>
              </w:rPr>
              <w:t>Redemptions:</w:t>
            </w:r>
            <w:r>
              <w:rPr>
                <w:rFonts w:ascii="Times New Roman" w:hAnsi="Times New Roman"/>
                <w:sz w:val="20"/>
              </w:rPr>
              <w:t xml:space="preserve"> This scenario assumes that all shares of Armada common stock are redeemed for their pro rata share of the cash in the Trust Account in connection with the Armada Share Redemptions. This scenario gives effect to Armada Share Redemptions of 15,000,000 shares of Armada common stock for aggregate redemption payments of $150,000,000 at a redemption price of approximately $10.00 per share based on the investments held in the Trust Account. This scenario also assumes (i) that the Charter Limitation Amendment Proposal is approved and implemented, and (ii) the satisfaction or waiver of the condition to closing of the Business Combination under the Business Combination Agreement that the Rezolve Ordinary Shares held by the existing Rezolve Shareholders and those to be issued in connection with the Merger have been approved for listing on Nasdaq (subject to official notice of issuance). Armada cannot assure you that the Nasdaq Closing Condition or, if the Charter Limitation Amendment Proposal is not approved and implemented, the Charter Limitation will be satisfied without additional third-party financing sufficient to satisfy the Charter Limitation, which may involve dilutive equity issuances or the incurrence of indebtedness at higher-than-desirable levels. In the absence of such additional third-party financing, the Charter Limitation in the Armada Charter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would prohibit Armada from closing the Business Combination if its net tangible assets would be less than $5,000,001 immediately prior to or upon consummation of its initial business combination, unless the Charter Limitation Amendment Proposal is approved and implemented. The Business Combination Agreement was amended to eliminate the condition that upon the closing, and after giving effect to the Pre-Closing Demerger, the Company Reorganization, the Merger and the Promissory Note, Rezolve will have net tangible assets of at least $5,000,001.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issued in Rezolve AI Limited to the shareholders of Rezolve Limited pursuant to the Pre-Closing Demerger is expected to be in the order of 1 share in Rezolve for each 6.13 shares held in Rezolve Limited but this will be subject to final determination at the time of the Pre-Closing Demerger. This adjustment in share numbers will enable the issue of the appropriate number of shares in Rezolve so that each Company Shareholder will after the Pre-Closing Demerger and the Company Reorganization hold his, her or its applicable pro rata portion of the aggregate stock consideration in accordance with the terms of the Business Combination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summarizes the pro forma shares of Rezolve AI PLC common stock issued and outstanding immediately after the Closing, presenting the two redemption scenarios: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24"/>
        <w:gridCol w:w="224"/>
        <w:gridCol w:w="63"/>
        <w:gridCol w:w="1470"/>
        <w:gridCol w:w="155"/>
        <w:gridCol w:w="224"/>
        <w:gridCol w:w="63"/>
        <w:gridCol w:w="1470"/>
        <w:gridCol w:w="162"/>
      </w:tblGrid>
      <w:tr>
        <w:trPr/>
        <w:tc>
          <w:tcPr>
            <w:tcW w:w="3924"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2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Assuming</w:t>
              <w:br/>
              <w:t>minimum</w:t>
              <w:br/>
              <w:t>Redemptions</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Assuming</w:t>
              <w:br/>
              <w:t>Max</w:t>
              <w:br/>
              <w:t>Redemptions</w:t>
            </w:r>
          </w:p>
        </w:tc>
        <w:tc>
          <w:tcPr>
            <w:tcW w:w="162" w:type="dxa"/>
            <w:tcBorders/>
            <w:vAlign w:val="bottom"/>
          </w:tcPr>
          <w:p>
            <w:pPr>
              <w:pStyle w:val="TableContents"/>
              <w:bidi w:val="0"/>
              <w:spacing w:before="0" w:after="283"/>
              <w:jc w:val="left"/>
              <w:rPr/>
            </w:pPr>
            <w:r>
              <w:rPr/>
              <w:t> </w:t>
            </w:r>
          </w:p>
        </w:tc>
      </w:tr>
      <w:tr>
        <w:trPr/>
        <w:tc>
          <w:tcPr>
            <w:tcW w:w="39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Rezolve Equity holders</w:t>
            </w:r>
          </w:p>
        </w:tc>
        <w:tc>
          <w:tcPr>
            <w:tcW w:w="22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167,795,866</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167,795,866</w:t>
            </w:r>
          </w:p>
        </w:tc>
        <w:tc>
          <w:tcPr>
            <w:tcW w:w="162" w:type="dxa"/>
            <w:tcBorders/>
            <w:shd w:fill="CCEEFF" w:val="clear"/>
            <w:vAlign w:val="bottom"/>
          </w:tcPr>
          <w:p>
            <w:pPr>
              <w:pStyle w:val="TableContents"/>
              <w:bidi w:val="0"/>
              <w:spacing w:before="0" w:after="283"/>
              <w:jc w:val="left"/>
              <w:rPr/>
            </w:pPr>
            <w:r>
              <w:rPr/>
              <w:t> </w:t>
            </w:r>
          </w:p>
        </w:tc>
      </w:tr>
      <w:tr>
        <w:trPr/>
        <w:tc>
          <w:tcPr>
            <w:tcW w:w="3924" w:type="dxa"/>
            <w:tcBorders/>
          </w:tcPr>
          <w:p>
            <w:pPr>
              <w:pStyle w:val="TableContents"/>
              <w:bidi w:val="0"/>
              <w:spacing w:before="0" w:after="0"/>
              <w:jc w:val="left"/>
              <w:rPr>
                <w:rFonts w:ascii="Times New Roman" w:hAnsi="Times New Roman"/>
                <w:sz w:val="20"/>
              </w:rPr>
            </w:pPr>
            <w:r>
              <w:rPr>
                <w:rFonts w:ascii="Times New Roman" w:hAnsi="Times New Roman"/>
                <w:sz w:val="20"/>
              </w:rPr>
              <w:t>Public Stockholders</w:t>
            </w:r>
          </w:p>
        </w:tc>
        <w:tc>
          <w:tcPr>
            <w:tcW w:w="22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2,363,349</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sz w:val="4"/>
                <w:szCs w:val="4"/>
              </w:rPr>
            </w:pPr>
            <w:r>
              <w:rPr>
                <w:sz w:val="4"/>
                <w:szCs w:val="4"/>
              </w:rPr>
            </w:r>
          </w:p>
        </w:tc>
      </w:tr>
      <w:tr>
        <w:trPr/>
        <w:tc>
          <w:tcPr>
            <w:tcW w:w="39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Founder and Private Placement Shares</w:t>
            </w:r>
          </w:p>
        </w:tc>
        <w:tc>
          <w:tcPr>
            <w:tcW w:w="22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5,709,500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5,709,500</w:t>
            </w:r>
          </w:p>
        </w:tc>
        <w:tc>
          <w:tcPr>
            <w:tcW w:w="162" w:type="dxa"/>
            <w:tcBorders/>
            <w:shd w:fill="CCEEFF" w:val="clear"/>
            <w:vAlign w:val="bottom"/>
          </w:tcPr>
          <w:p>
            <w:pPr>
              <w:pStyle w:val="TableContents"/>
              <w:bidi w:val="0"/>
              <w:spacing w:before="0" w:after="283"/>
              <w:jc w:val="left"/>
              <w:rPr/>
            </w:pPr>
            <w:r>
              <w:rPr/>
              <w:t> </w:t>
            </w:r>
          </w:p>
        </w:tc>
      </w:tr>
      <w:tr>
        <w:trPr/>
        <w:tc>
          <w:tcPr>
            <w:tcW w:w="3924" w:type="dxa"/>
            <w:tcBorders/>
          </w:tcPr>
          <w:p>
            <w:pPr>
              <w:pStyle w:val="TableContents"/>
              <w:bidi w:val="0"/>
              <w:spacing w:before="0" w:after="0"/>
              <w:jc w:val="left"/>
              <w:rPr>
                <w:rFonts w:ascii="Times New Roman" w:hAnsi="Times New Roman"/>
                <w:sz w:val="20"/>
              </w:rPr>
            </w:pPr>
            <w:r>
              <w:rPr>
                <w:rFonts w:ascii="Times New Roman" w:hAnsi="Times New Roman"/>
                <w:sz w:val="20"/>
              </w:rPr>
              <w:t>PIPE Investors</w:t>
            </w:r>
          </w:p>
        </w:tc>
        <w:tc>
          <w:tcPr>
            <w:tcW w:w="22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sz w:val="4"/>
                <w:szCs w:val="4"/>
              </w:rPr>
            </w:pPr>
            <w:r>
              <w:rPr>
                <w:sz w:val="4"/>
                <w:szCs w:val="4"/>
              </w:rPr>
            </w:r>
          </w:p>
        </w:tc>
      </w:tr>
      <w:tr>
        <w:trPr/>
        <w:tc>
          <w:tcPr>
            <w:tcW w:w="39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 of Rezolve stock (ANY)</w:t>
            </w:r>
          </w:p>
        </w:tc>
        <w:tc>
          <w:tcPr>
            <w:tcW w:w="22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(1,134,259</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(1,134,259</w:t>
            </w:r>
          </w:p>
        </w:tc>
        <w:tc>
          <w:tcPr>
            <w:tcW w:w="162" w:type="dxa"/>
            <w:tcBorders/>
            <w:shd w:fill="CCEEFF" w:val="clear"/>
            <w:vAlign w:val="bottom"/>
          </w:tcPr>
          <w:p>
            <w:pPr>
              <w:pStyle w:val="TableContents"/>
              <w:bidi w:val="0"/>
              <w:spacing w:before="0" w:after="283"/>
              <w:jc w:val="left"/>
              <w:rPr/>
            </w:pPr>
            <w:r>
              <w:rPr/>
              <w:t>) </w:t>
            </w:r>
          </w:p>
        </w:tc>
      </w:tr>
      <w:tr>
        <w:trPr/>
        <w:tc>
          <w:tcPr>
            <w:tcW w:w="3924" w:type="dxa"/>
            <w:tcBorders/>
          </w:tcPr>
          <w:p>
            <w:pPr>
              <w:pStyle w:val="TableContents"/>
              <w:bidi w:val="0"/>
              <w:spacing w:before="0" w:after="0"/>
              <w:jc w:val="left"/>
              <w:rPr>
                <w:rFonts w:ascii="Times New Roman" w:hAnsi="Times New Roman"/>
                <w:sz w:val="20"/>
              </w:rPr>
            </w:pPr>
            <w:r>
              <w:rPr>
                <w:rFonts w:ascii="Times New Roman" w:hAnsi="Times New Roman"/>
                <w:sz w:val="20"/>
              </w:rPr>
              <w:t>Employee share options</w:t>
            </w:r>
          </w:p>
        </w:tc>
        <w:tc>
          <w:tcPr>
            <w:tcW w:w="22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1,337,684</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1,337,684</w:t>
            </w:r>
          </w:p>
        </w:tc>
        <w:tc>
          <w:tcPr>
            <w:tcW w:w="162" w:type="dxa"/>
            <w:tcBorders/>
            <w:vAlign w:val="bottom"/>
          </w:tcPr>
          <w:p>
            <w:pPr>
              <w:pStyle w:val="TableContents"/>
              <w:bidi w:val="0"/>
              <w:spacing w:before="0" w:after="283"/>
              <w:jc w:val="left"/>
              <w:rPr/>
            </w:pPr>
            <w:r>
              <w:rPr/>
              <w:t> </w:t>
            </w:r>
          </w:p>
        </w:tc>
      </w:tr>
      <w:tr>
        <w:trPr/>
        <w:tc>
          <w:tcPr>
            <w:tcW w:w="39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22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3,614,673</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3,614,673</w:t>
            </w:r>
          </w:p>
        </w:tc>
        <w:tc>
          <w:tcPr>
            <w:tcW w:w="162" w:type="dxa"/>
            <w:tcBorders/>
            <w:shd w:fill="CCEEFF" w:val="clear"/>
            <w:vAlign w:val="bottom"/>
          </w:tcPr>
          <w:p>
            <w:pPr>
              <w:pStyle w:val="TableContents"/>
              <w:bidi w:val="0"/>
              <w:spacing w:before="0" w:after="283"/>
              <w:jc w:val="left"/>
              <w:rPr/>
            </w:pPr>
            <w:r>
              <w:rPr/>
              <w:t> </w:t>
            </w:r>
          </w:p>
        </w:tc>
      </w:tr>
      <w:tr>
        <w:trPr/>
        <w:tc>
          <w:tcPr>
            <w:tcW w:w="392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4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47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92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Shares</w:t>
            </w:r>
          </w:p>
        </w:tc>
        <w:tc>
          <w:tcPr>
            <w:tcW w:w="22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b/>
              </w:rPr>
            </w:pPr>
            <w:r>
              <w:rPr>
                <w:b/>
              </w:rPr>
              <w:t>179,686,813</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b/>
              </w:rPr>
            </w:pPr>
            <w:r>
              <w:rPr>
                <w:b/>
              </w:rPr>
              <w:t>177,323,464</w:t>
            </w:r>
          </w:p>
        </w:tc>
        <w:tc>
          <w:tcPr>
            <w:tcW w:w="162" w:type="dxa"/>
            <w:tcBorders/>
            <w:vAlign w:val="bottom"/>
          </w:tcPr>
          <w:p>
            <w:pPr>
              <w:pStyle w:val="TableContents"/>
              <w:bidi w:val="0"/>
              <w:spacing w:before="0" w:after="283"/>
              <w:jc w:val="left"/>
              <w:rPr/>
            </w:pPr>
            <w:r>
              <w:rPr/>
              <w:t> </w:t>
            </w:r>
          </w:p>
        </w:tc>
      </w:tr>
      <w:tr>
        <w:trPr/>
        <w:tc>
          <w:tcPr>
            <w:tcW w:w="392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14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147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these assumptions are ultimately incorrect, the amounts and shares outstanding in the unaudited pro forma condensed combined financial information will be different and such differences could be material. Additionally, the number of shares issued or issuable pursuant to the Employee Share Ownerships Plans and their accounting impact were considered for the purposes of these pro forma condensed combined financial statements, but no adjustments were required to be made in respect thereof in these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2022 </w:t>
      </w:r>
    </w:p>
    <w:p>
      <w:pPr>
        <w:pStyle w:val="TextBody"/>
        <w:bidi w:val="0"/>
        <w:spacing w:before="0" w:after="0"/>
        <w:jc w:val="left"/>
        <w:rPr/>
      </w:pPr>
      <w:r>
        <w:rPr/>
        <w:t> </w:t>
      </w:r>
    </w:p>
    <w:tbl>
      <w:tblPr>
        <w:tblW w:w="10955" w:type="dxa"/>
        <w:jc w:val="center"/>
        <w:tblInd w:w="0" w:type="dxa"/>
        <w:tblLayout w:type="fixed"/>
        <w:tblCellMar>
          <w:top w:w="0" w:type="dxa"/>
          <w:left w:w="0" w:type="dxa"/>
          <w:bottom w:w="0" w:type="dxa"/>
          <w:right w:w="0" w:type="dxa"/>
        </w:tblCellMar>
      </w:tblPr>
      <w:tblGrid>
        <w:gridCol w:w="1205"/>
        <w:gridCol w:w="60"/>
        <w:gridCol w:w="141"/>
        <w:gridCol w:w="1109"/>
        <w:gridCol w:w="60"/>
        <w:gridCol w:w="120"/>
        <w:gridCol w:w="140"/>
        <w:gridCol w:w="1220"/>
        <w:gridCol w:w="60"/>
        <w:gridCol w:w="120"/>
        <w:gridCol w:w="140"/>
        <w:gridCol w:w="1295"/>
        <w:gridCol w:w="155"/>
        <w:gridCol w:w="60"/>
        <w:gridCol w:w="290"/>
        <w:gridCol w:w="120"/>
        <w:gridCol w:w="140"/>
        <w:gridCol w:w="1100"/>
        <w:gridCol w:w="60"/>
        <w:gridCol w:w="120"/>
        <w:gridCol w:w="140"/>
        <w:gridCol w:w="1175"/>
        <w:gridCol w:w="155"/>
        <w:gridCol w:w="60"/>
        <w:gridCol w:w="290"/>
        <w:gridCol w:w="120"/>
        <w:gridCol w:w="140"/>
        <w:gridCol w:w="1100"/>
        <w:gridCol w:w="60"/>
      </w:tblGrid>
      <w:tr>
        <w:trPr/>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25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Rezolve</w:t>
            </w:r>
            <w:r>
              <w:rPr/>
              <w:br/>
            </w:r>
            <w:r>
              <w:rPr>
                <w:b/>
              </w:rPr>
              <w:t>AI Limited and</w:t>
            </w:r>
            <w:r>
              <w:rPr/>
              <w:br/>
            </w:r>
            <w:r>
              <w:rPr>
                <w:b/>
              </w:rPr>
              <w:t>Subsidiaries</w:t>
            </w:r>
            <w:r>
              <w:rPr/>
              <w:br/>
            </w:r>
            <w:r>
              <w:rPr>
                <w:b/>
              </w:rPr>
              <w:t>(Historical as of</w:t>
              <w:br/>
              <w:t>12/31/2022</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36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Armada</w:t>
            </w:r>
            <w:r>
              <w:rPr/>
              <w:br/>
            </w:r>
            <w:r>
              <w:rPr>
                <w:b/>
              </w:rPr>
              <w:t>Acquisition</w:t>
            </w:r>
            <w:r>
              <w:rPr/>
              <w:br/>
            </w:r>
            <w:r>
              <w:rPr>
                <w:b/>
              </w:rPr>
              <w:t>Corp. I</w:t>
            </w:r>
            <w:r>
              <w:rPr/>
              <w:br/>
            </w:r>
            <w:r>
              <w:rPr>
                <w:b/>
              </w:rPr>
              <w:t>(Historical</w:t>
            </w:r>
            <w:r>
              <w:rPr/>
              <w:br/>
            </w:r>
            <w:r>
              <w:rPr>
                <w:b/>
              </w:rPr>
              <w:t>as of</w:t>
            </w:r>
            <w:r>
              <w:rPr/>
              <w:br/>
            </w:r>
            <w:r>
              <w:rPr>
                <w:b/>
              </w:rPr>
              <w:t>12/31/2022)</w:t>
            </w:r>
          </w:p>
        </w:tc>
        <w:tc>
          <w:tcPr>
            <w:tcW w:w="60" w:type="dxa"/>
            <w:vMerge w:val="restart"/>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00" w:type="dxa"/>
            <w:gridSpan w:val="8"/>
            <w:tcBorders>
              <w:bottom w:val="single" w:sz="8" w:space="0" w:color="000000"/>
            </w:tcBorders>
            <w:tcMar>
              <w:bottom w:w="28" w:type="dxa"/>
            </w:tcMar>
            <w:vAlign w:val="bottom"/>
          </w:tcPr>
          <w:p>
            <w:pPr>
              <w:pStyle w:val="TableContents"/>
              <w:bidi w:val="0"/>
              <w:spacing w:before="0" w:after="283"/>
              <w:jc w:val="center"/>
              <w:rPr>
                <w:b/>
              </w:rPr>
            </w:pPr>
            <w:r>
              <w:rPr>
                <w:b/>
              </w:rPr>
              <w:t>Assuming Minimum Redemptions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80" w:type="dxa"/>
            <w:gridSpan w:val="8"/>
            <w:tcBorders>
              <w:bottom w:val="single" w:sz="8" w:space="0" w:color="000000"/>
            </w:tcBorders>
            <w:tcMar>
              <w:bottom w:w="28" w:type="dxa"/>
            </w:tcMar>
            <w:vAlign w:val="bottom"/>
          </w:tcPr>
          <w:p>
            <w:pPr>
              <w:pStyle w:val="TableContents"/>
              <w:bidi w:val="0"/>
              <w:spacing w:before="0" w:after="283"/>
              <w:jc w:val="center"/>
              <w:rPr>
                <w:b/>
              </w:rPr>
            </w:pPr>
            <w:r>
              <w:rPr>
                <w:b/>
              </w:rPr>
              <w:t>Assuming Maximum Redemptions</w:t>
            </w:r>
          </w:p>
        </w:tc>
        <w:tc>
          <w:tcPr>
            <w:tcW w:w="60"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25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bottom w:val="single" w:sz="8" w:space="0" w:color="000000"/>
            </w:tcBorders>
            <w:tcMar>
              <w:bottom w:w="28" w:type="dxa"/>
            </w:tcMar>
            <w:vAlign w:val="bottom"/>
          </w:tcPr>
          <w:p>
            <w:pPr>
              <w:pStyle w:val="Normal"/>
              <w:bidi w:val="0"/>
              <w:jc w:val="left"/>
              <w:rPr/>
            </w:pPr>
            <w:r>
              <w:rPr/>
            </w:r>
          </w:p>
        </w:tc>
        <w:tc>
          <w:tcPr>
            <w:tcW w:w="136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b/>
                <w:sz w:val="19"/>
              </w:rPr>
            </w:pPr>
            <w:r>
              <w:rPr>
                <w:rFonts w:ascii="Times New Roman" w:hAnsi="Times New Roman"/>
                <w:b/>
                <w:sz w:val="19"/>
              </w:rPr>
              <w:t>Assets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0"/>
              <w:jc w:val="left"/>
              <w:rPr>
                <w:rFonts w:ascii="Times New Roman" w:hAnsi="Times New Roman"/>
                <w:sz w:val="19"/>
              </w:rPr>
            </w:pPr>
            <w:r>
              <w:rPr>
                <w:rFonts w:ascii="Times New Roman" w:hAnsi="Times New Roman"/>
                <w:sz w:val="19"/>
              </w:rPr>
              <w:t>Current assets: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05"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Cash and cash equivalents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41,709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363,247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(10,563,267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center"/>
              <w:rPr/>
            </w:pPr>
            <w:r>
              <w:rPr/>
              <w:t>(a)</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(23,853,615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center"/>
              <w:rPr/>
            </w:pPr>
            <w:r>
              <w:rPr/>
              <w:t>(n)</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24,460,294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center"/>
              <w:rPr/>
            </w:pPr>
            <w:r>
              <w:rPr/>
              <w:t>(b)</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24,092,151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center"/>
              <w:rPr/>
            </w:pPr>
            <w:r>
              <w:rPr/>
              <w:t>(o)</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0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(3,161,878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center"/>
              <w:rPr/>
            </w:pPr>
            <w:r>
              <w:rPr/>
              <w:t>(c)</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(238,536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center"/>
              <w:rPr/>
            </w:pPr>
            <w:r>
              <w:rPr/>
              <w:t>(q)</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(1,776,751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center"/>
              <w:rPr/>
            </w:pPr>
            <w:r>
              <w:rPr/>
              <w:t>(d)</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0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(2,201,754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center"/>
              <w:rPr/>
            </w:pPr>
            <w:r>
              <w:rPr/>
              <w:t>(e)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(7,161,600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center"/>
              <w:rPr/>
            </w:pPr>
            <w:r>
              <w:rPr/>
              <w:t>(f)</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05"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Accounts receivable, net</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682,474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682,474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682,474</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19"/>
              </w:rPr>
            </w:pPr>
            <w:r>
              <w:rPr>
                <w:rFonts w:ascii="Times New Roman" w:hAnsi="Times New Roman"/>
                <w:sz w:val="19"/>
              </w:rPr>
              <w:t>Prepaid expenses and other current assets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1,202,572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6,264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1,208,836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1,208,836</w:t>
            </w:r>
          </w:p>
        </w:tc>
        <w:tc>
          <w:tcPr>
            <w:tcW w:w="60"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Total current assets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1,926,755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369,511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(404,956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1,891,310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1,891,310</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19"/>
              </w:rPr>
            </w:pPr>
            <w:r>
              <w:rPr>
                <w:rFonts w:ascii="Times New Roman" w:hAnsi="Times New Roman"/>
                <w:sz w:val="19"/>
              </w:rPr>
              <w:t>Property and equipment, net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139,560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139,560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139,560</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Goodwill and Intangible assets, net</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7,299,206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7,299,206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7,299,206</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19"/>
              </w:rPr>
            </w:pPr>
            <w:r>
              <w:rPr>
                <w:rFonts w:ascii="Times New Roman" w:hAnsi="Times New Roman"/>
                <w:sz w:val="19"/>
              </w:rPr>
              <w:t>Investment and investment held in trust account, net</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153,634,598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(24,460,294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center"/>
              <w:rPr/>
            </w:pPr>
            <w:r>
              <w:rPr/>
              <w:t>(b)</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(129,174,304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center"/>
              <w:rPr/>
            </w:pPr>
            <w:r>
              <w:rPr/>
              <w:t>(g)</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19"/>
              </w:rPr>
            </w:pPr>
            <w:r>
              <w:rPr>
                <w:rFonts w:ascii="Times New Roman" w:hAnsi="Times New Roman"/>
                <w:sz w:val="19"/>
              </w:rPr>
              <w:t>Total assets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9,365,521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154,004,109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(154,039,554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9,330,076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9,330,076</w:t>
            </w:r>
          </w:p>
        </w:tc>
        <w:tc>
          <w:tcPr>
            <w:tcW w:w="60"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b/>
                <w:sz w:val="19"/>
              </w:rPr>
            </w:pPr>
            <w:r>
              <w:rPr>
                <w:rFonts w:ascii="Times New Roman" w:hAnsi="Times New Roman"/>
                <w:b/>
                <w:sz w:val="19"/>
              </w:rPr>
              <w:t>Liabilities and Equity</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0"/>
              <w:jc w:val="left"/>
              <w:rPr>
                <w:rFonts w:ascii="Times New Roman" w:hAnsi="Times New Roman"/>
                <w:sz w:val="19"/>
              </w:rPr>
            </w:pPr>
            <w:r>
              <w:rPr>
                <w:rFonts w:ascii="Times New Roman" w:hAnsi="Times New Roman"/>
                <w:sz w:val="19"/>
              </w:rPr>
              <w:t>Current liabilities: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05"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Short term loan</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19"/>
              </w:rPr>
            </w:pPr>
            <w:r>
              <w:rPr>
                <w:rFonts w:ascii="Times New Roman" w:hAnsi="Times New Roman"/>
                <w:sz w:val="19"/>
              </w:rPr>
              <w:t>Short term debtrelated party</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697,067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697,067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697,067</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Accounts payable</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4,262,476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3,161,878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(3,161,878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center"/>
              <w:rPr/>
            </w:pPr>
            <w:r>
              <w:rPr/>
              <w:t>(c)</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4,262,476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4,262,476</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19"/>
              </w:rPr>
            </w:pPr>
            <w:r>
              <w:rPr>
                <w:rFonts w:ascii="Times New Roman" w:hAnsi="Times New Roman"/>
                <w:sz w:val="19"/>
              </w:rPr>
              <w:t>Related party payable</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225,120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225,120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225,120</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Taxes payable</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605,952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1,291,751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center"/>
              <w:rPr/>
            </w:pPr>
            <w:r>
              <w:rPr/>
              <w:t>(d)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120,952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238,536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center"/>
              <w:rPr/>
            </w:pPr>
            <w:r>
              <w:rPr/>
              <w:t>(p)</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120,952</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(1,776,751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center"/>
              <w:rPr/>
            </w:pPr>
            <w:r>
              <w:rPr/>
              <w:t>(d)</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(238,536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center"/>
              <w:rPr/>
            </w:pPr>
            <w:r>
              <w:rPr/>
              <w:t>(q)</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05"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Promissory Notes-Related Party</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2,201,754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(2,201,754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center"/>
              <w:rPr/>
            </w:pPr>
            <w:r>
              <w:rPr/>
              <w:t>(e)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19"/>
              </w:rPr>
            </w:pPr>
            <w:r>
              <w:rPr>
                <w:rFonts w:ascii="Times New Roman" w:hAnsi="Times New Roman"/>
                <w:sz w:val="19"/>
              </w:rPr>
              <w:t>Accrued expenses and other payables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3,488,909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3,488,909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3,488,909</w:t>
            </w:r>
          </w:p>
        </w:tc>
        <w:tc>
          <w:tcPr>
            <w:tcW w:w="60"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Total current liabilities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8,673,572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5,969,584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(5,848,632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8,794,524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8,794,524</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19"/>
              </w:rPr>
            </w:pPr>
            <w:r>
              <w:rPr>
                <w:rFonts w:ascii="Times New Roman" w:hAnsi="Times New Roman"/>
                <w:sz w:val="19"/>
              </w:rPr>
              <w:t>Long-term convertible debt, net of debt issuance costs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25,302,709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(25,302,709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center"/>
              <w:rPr/>
            </w:pPr>
            <w:r>
              <w:rPr/>
              <w:t>(h)</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Share-based payment liability</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1,177,616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1,177,616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1,177,616</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19"/>
              </w:rPr>
            </w:pPr>
            <w:r>
              <w:rPr>
                <w:rFonts w:ascii="Times New Roman" w:hAnsi="Times New Roman"/>
                <w:sz w:val="19"/>
              </w:rPr>
              <w:t>Deferred tax liability</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1,526,622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1,526,622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1,526,622</w:t>
            </w:r>
          </w:p>
        </w:tc>
        <w:tc>
          <w:tcPr>
            <w:tcW w:w="60"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Total liabilities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36,680,519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5,969,584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(31,151,341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11,498,762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11,498,762</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b/>
                <w:sz w:val="19"/>
              </w:rPr>
            </w:pPr>
            <w:r>
              <w:rPr>
                <w:rFonts w:ascii="Times New Roman" w:hAnsi="Times New Roman"/>
                <w:b/>
                <w:sz w:val="19"/>
              </w:rPr>
              <w:t>Commitments and Contingencies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05"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Common stock subject to possible redemption, 15,000,000 shares at redemption value of $10.20 per share at December 31, 2022</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153,028,205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(129,174,304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center"/>
              <w:rPr/>
            </w:pPr>
            <w:r>
              <w:rPr/>
              <w:t>(g)</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(23,853,901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center"/>
              <w:rPr/>
            </w:pPr>
            <w:r>
              <w:rPr/>
              <w:t>(k)</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153,028,205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(153,028,205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1835" w:type="dxa"/>
        <w:jc w:val="center"/>
        <w:tblInd w:w="0" w:type="dxa"/>
        <w:tblLayout w:type="fixed"/>
        <w:tblCellMar>
          <w:top w:w="0" w:type="dxa"/>
          <w:left w:w="0" w:type="dxa"/>
          <w:bottom w:w="0" w:type="dxa"/>
          <w:right w:w="0" w:type="dxa"/>
        </w:tblCellMar>
      </w:tblPr>
      <w:tblGrid>
        <w:gridCol w:w="1250"/>
        <w:gridCol w:w="60"/>
        <w:gridCol w:w="140"/>
        <w:gridCol w:w="1295"/>
        <w:gridCol w:w="155"/>
        <w:gridCol w:w="60"/>
        <w:gridCol w:w="140"/>
        <w:gridCol w:w="1220"/>
        <w:gridCol w:w="155"/>
        <w:gridCol w:w="60"/>
        <w:gridCol w:w="140"/>
        <w:gridCol w:w="1295"/>
        <w:gridCol w:w="155"/>
        <w:gridCol w:w="60"/>
        <w:gridCol w:w="350"/>
        <w:gridCol w:w="120"/>
        <w:gridCol w:w="140"/>
        <w:gridCol w:w="1295"/>
        <w:gridCol w:w="155"/>
        <w:gridCol w:w="60"/>
        <w:gridCol w:w="140"/>
        <w:gridCol w:w="1175"/>
        <w:gridCol w:w="155"/>
        <w:gridCol w:w="60"/>
        <w:gridCol w:w="290"/>
        <w:gridCol w:w="120"/>
        <w:gridCol w:w="140"/>
        <w:gridCol w:w="1295"/>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3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Rezolve</w:t>
            </w:r>
            <w:r>
              <w:rPr/>
              <w:br/>
            </w:r>
            <w:r>
              <w:rPr>
                <w:b/>
              </w:rPr>
              <w:t>AI Limited and</w:t>
            </w:r>
            <w:r>
              <w:rPr/>
              <w:br/>
            </w:r>
            <w:r>
              <w:rPr>
                <w:b/>
              </w:rPr>
              <w:t>Subsidiaries</w:t>
            </w:r>
            <w:r>
              <w:rPr/>
              <w:br/>
            </w:r>
            <w:r>
              <w:rPr>
                <w:b/>
              </w:rPr>
              <w:t>(Historical as of</w:t>
              <w:br/>
              <w:t>12/31/2022</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6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Armada</w:t>
            </w:r>
            <w:r>
              <w:rPr/>
              <w:br/>
            </w:r>
            <w:r>
              <w:rPr>
                <w:b/>
              </w:rPr>
              <w:t>Acquisition</w:t>
            </w:r>
            <w:r>
              <w:rPr/>
              <w:br/>
            </w:r>
            <w:r>
              <w:rPr>
                <w:b/>
              </w:rPr>
              <w:t>Corp. I</w:t>
            </w:r>
            <w:r>
              <w:rPr/>
              <w:br/>
            </w:r>
            <w:r>
              <w:rPr>
                <w:b/>
              </w:rPr>
              <w:t>(Historical</w:t>
            </w:r>
            <w:r>
              <w:rPr/>
              <w:br/>
            </w:r>
            <w:r>
              <w:rPr>
                <w:b/>
              </w:rPr>
              <w:t>as of</w:t>
            </w:r>
            <w:r>
              <w:rPr/>
              <w:br/>
            </w:r>
            <w:r>
              <w:rPr>
                <w:b/>
              </w:rPr>
              <w:t>12/31/2022)</w:t>
            </w:r>
          </w:p>
        </w:tc>
        <w:tc>
          <w:tcPr>
            <w:tcW w:w="155"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5" w:type="dxa"/>
            <w:gridSpan w:val="8"/>
            <w:tcBorders>
              <w:bottom w:val="single" w:sz="8" w:space="0" w:color="000000"/>
            </w:tcBorders>
            <w:tcMar>
              <w:bottom w:w="28" w:type="dxa"/>
            </w:tcMar>
            <w:vAlign w:val="bottom"/>
          </w:tcPr>
          <w:p>
            <w:pPr>
              <w:pStyle w:val="TableContents"/>
              <w:bidi w:val="0"/>
              <w:spacing w:before="0" w:after="283"/>
              <w:jc w:val="center"/>
              <w:rPr>
                <w:b/>
              </w:rPr>
            </w:pPr>
            <w:r>
              <w:rPr>
                <w:b/>
              </w:rPr>
              <w:t>Assuming Minimum Redemptions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5" w:type="dxa"/>
            <w:gridSpan w:val="8"/>
            <w:tcBorders>
              <w:bottom w:val="single" w:sz="8" w:space="0" w:color="000000"/>
            </w:tcBorders>
            <w:tcMar>
              <w:bottom w:w="28" w:type="dxa"/>
            </w:tcMar>
            <w:vAlign w:val="bottom"/>
          </w:tcPr>
          <w:p>
            <w:pPr>
              <w:pStyle w:val="TableContents"/>
              <w:bidi w:val="0"/>
              <w:spacing w:before="0" w:after="283"/>
              <w:jc w:val="center"/>
              <w:rPr>
                <w:b/>
              </w:rPr>
            </w:pPr>
            <w:r>
              <w:rPr>
                <w:b/>
              </w:rPr>
              <w:t>Assuming Maximum Redemptions</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43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6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b/>
                <w:sz w:val="19"/>
              </w:rPr>
            </w:pPr>
            <w:r>
              <w:rPr>
                <w:rFonts w:ascii="Times New Roman" w:hAnsi="Times New Roman"/>
                <w:b/>
                <w:sz w:val="19"/>
              </w:rPr>
              <w:t>Stockholders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19"/>
              </w:rPr>
            </w:pPr>
            <w:r>
              <w:rPr>
                <w:rFonts w:ascii="Times New Roman" w:hAnsi="Times New Roman"/>
                <w:sz w:val="19"/>
              </w:rPr>
              <w:t>Ordinary shares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20"/>
              <w:jc w:val="left"/>
              <w:rPr>
                <w:rFonts w:ascii="Times New Roman" w:hAnsi="Times New Roman"/>
                <w:sz w:val="19"/>
              </w:rPr>
            </w:pPr>
            <w:r>
              <w:rPr>
                <w:rFonts w:ascii="Times New Roman" w:hAnsi="Times New Roman"/>
                <w:sz w:val="19"/>
              </w:rPr>
              <w:t>Shares issued and outstanding as of December 31, 2022927,806,159; as of December 31, 2021891,818,882 at par value £ 0.0001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126,677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415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center"/>
              <w:rPr/>
            </w:pPr>
            <w:r>
              <w:rPr/>
              <w:t>(h)</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130,747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(286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center"/>
              <w:rPr/>
            </w:pPr>
            <w:r>
              <w:rPr/>
              <w:t>(n)</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130,461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center"/>
              <w:rPr/>
            </w:pPr>
            <w:r>
              <w:rPr/>
              <w:t>(i)</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3,868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center"/>
              <w:rPr/>
            </w:pPr>
            <w:r>
              <w:rPr/>
              <w:t>(j)</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center"/>
              <w:rPr/>
            </w:pPr>
            <w:r>
              <w:rPr/>
              <w:t>(k)</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303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center"/>
              <w:rPr/>
            </w:pPr>
            <w:r>
              <w:rPr/>
              <w:t>(l)</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(841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center"/>
              <w:rPr/>
            </w:pPr>
            <w:r>
              <w:rPr/>
              <w:t>(f)</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Deferred shares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0"/>
              <w:jc w:val="left"/>
              <w:rPr>
                <w:rFonts w:ascii="Times New Roman" w:hAnsi="Times New Roman"/>
                <w:sz w:val="19"/>
              </w:rPr>
            </w:pPr>
            <w:r>
              <w:rPr>
                <w:rFonts w:ascii="Times New Roman" w:hAnsi="Times New Roman"/>
                <w:sz w:val="19"/>
              </w:rPr>
              <w:t>Shares issued and outstanding as of December 31, 202214,427,185; as of December 31, 2021nil at par value £0.0001</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1,993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1,993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1,993</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Series A shares as of December 31, 2022 and 2021 as of December 31, 2021nil at par value £0.0001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3,868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(3,868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center"/>
              <w:rPr/>
            </w:pPr>
            <w:r>
              <w:rPr/>
              <w:t>(j)</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19"/>
              </w:rPr>
            </w:pPr>
            <w:r>
              <w:rPr>
                <w:rFonts w:ascii="Times New Roman" w:hAnsi="Times New Roman"/>
                <w:sz w:val="19"/>
              </w:rPr>
              <w:t>Common stock, $0.0001 par value; 100,000,000 shares authorized; 5,709,500 shares issued and outstanding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(570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center"/>
              <w:rPr/>
            </w:pPr>
            <w:r>
              <w:rPr/>
              <w:t>(i)</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Additional paid-in capital</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163,163,090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969,759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(31,530,000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center"/>
              <w:rPr/>
            </w:pPr>
            <w:r>
              <w:rPr/>
              <w:t>(a)</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194,763,451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(23,853,329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center"/>
              <w:rPr/>
            </w:pPr>
            <w:r>
              <w:rPr/>
              <w:t>(n)</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195,002,273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23,066,733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center"/>
              <w:rPr/>
            </w:pPr>
            <w:r>
              <w:rPr/>
              <w:t>(a)</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24,092,151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center"/>
              <w:rPr/>
            </w:pPr>
            <w:r>
              <w:rPr/>
              <w:t>(o)</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(7,160,759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center"/>
              <w:rPr/>
            </w:pPr>
            <w:r>
              <w:rPr/>
              <w:t>(f)</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25,302,294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center"/>
              <w:rPr/>
            </w:pPr>
            <w:r>
              <w:rPr/>
              <w:t>(h)</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531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center"/>
              <w:rPr/>
            </w:pPr>
            <w:r>
              <w:rPr/>
              <w:t>(i)</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23,853,615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center"/>
              <w:rPr/>
            </w:pPr>
            <w:r>
              <w:rPr/>
              <w:t>(k)</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3,062,197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center"/>
              <w:rPr/>
            </w:pPr>
            <w:r>
              <w:rPr/>
              <w:t>(l)</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(5,964,009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center"/>
              <w:rPr/>
            </w:pPr>
            <w:r>
              <w:rPr/>
              <w:t>(m)</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Stock subscription receivable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(178,720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(178,720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(178,720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19"/>
              </w:rPr>
            </w:pPr>
            <w:r>
              <w:rPr>
                <w:rFonts w:ascii="Times New Roman" w:hAnsi="Times New Roman"/>
                <w:sz w:val="19"/>
              </w:rPr>
              <w:t>Accumulated deficit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(189,171,542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(5,964,009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(2,100,000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center"/>
              <w:rPr/>
            </w:pPr>
            <w:r>
              <w:rPr/>
              <w:t>(a)</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(195,625,793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(238,536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center"/>
              <w:rPr/>
            </w:pPr>
            <w:r>
              <w:rPr/>
              <w:t>(p)</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(195,864,329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(1,291,751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center"/>
              <w:rPr/>
            </w:pPr>
            <w:r>
              <w:rPr/>
              <w:t>(d)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(3,062,500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center"/>
              <w:rPr/>
            </w:pPr>
            <w:r>
              <w:rPr/>
              <w:t>(l)</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5,964,009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center"/>
              <w:rPr/>
            </w:pPr>
            <w:r>
              <w:rPr/>
              <w:t>(m)</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19"/>
              </w:rPr>
            </w:pPr>
            <w:r>
              <w:rPr>
                <w:rFonts w:ascii="Times New Roman" w:hAnsi="Times New Roman"/>
                <w:sz w:val="19"/>
              </w:rPr>
              <w:t>Accumulated other comprehensive loss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(1,260,364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(1,260,364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(1,260,364</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Total shareholders equity (deficit)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(27,314,998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(4,993,680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30,139,992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(2,168,686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(2,168,686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19"/>
              </w:rPr>
            </w:pPr>
            <w:r>
              <w:rPr>
                <w:rFonts w:ascii="Times New Roman" w:hAnsi="Times New Roman"/>
                <w:sz w:val="19"/>
              </w:rPr>
              <w:t>Total liabilities and shareholders equity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9,365,521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154,004,109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(154,039,554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9,330,076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9,330,076</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2022 </w:t>
      </w:r>
    </w:p>
    <w:p>
      <w:pPr>
        <w:pStyle w:val="TextBody"/>
        <w:bidi w:val="0"/>
        <w:spacing w:before="0" w:after="0"/>
        <w:jc w:val="left"/>
        <w:rPr/>
      </w:pPr>
      <w:r>
        <w:rPr/>
        <w:t> </w:t>
      </w:r>
    </w:p>
    <w:tbl>
      <w:tblPr>
        <w:tblW w:w="11760" w:type="dxa"/>
        <w:jc w:val="center"/>
        <w:tblInd w:w="0" w:type="dxa"/>
        <w:tblLayout w:type="fixed"/>
        <w:tblCellMar>
          <w:top w:w="0" w:type="dxa"/>
          <w:left w:w="0" w:type="dxa"/>
          <w:bottom w:w="0" w:type="dxa"/>
          <w:right w:w="0" w:type="dxa"/>
        </w:tblCellMar>
      </w:tblPr>
      <w:tblGrid>
        <w:gridCol w:w="1010"/>
        <w:gridCol w:w="120"/>
        <w:gridCol w:w="140"/>
        <w:gridCol w:w="1295"/>
        <w:gridCol w:w="155"/>
        <w:gridCol w:w="60"/>
        <w:gridCol w:w="159"/>
        <w:gridCol w:w="1256"/>
        <w:gridCol w:w="155"/>
        <w:gridCol w:w="60"/>
        <w:gridCol w:w="153"/>
        <w:gridCol w:w="1157"/>
        <w:gridCol w:w="155"/>
        <w:gridCol w:w="60"/>
        <w:gridCol w:w="410"/>
        <w:gridCol w:w="120"/>
        <w:gridCol w:w="140"/>
        <w:gridCol w:w="1295"/>
        <w:gridCol w:w="155"/>
        <w:gridCol w:w="60"/>
        <w:gridCol w:w="180"/>
        <w:gridCol w:w="1130"/>
        <w:gridCol w:w="155"/>
        <w:gridCol w:w="60"/>
        <w:gridCol w:w="410"/>
        <w:gridCol w:w="120"/>
        <w:gridCol w:w="140"/>
        <w:gridCol w:w="1295"/>
        <w:gridCol w:w="155"/>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43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Rezolve AI</w:t>
              <w:br/>
              <w:t>Limited and</w:t>
              <w:br/>
              <w:t>Subsidiaries</w:t>
              <w:br/>
              <w:t>(Year ended</w:t>
              <w:br/>
              <w:t>December 31,</w:t>
              <w:br/>
              <w:t>2022)</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Armada</w:t>
              <w:br/>
              <w:t>Acquisition</w:t>
              <w:br/>
              <w:t>Corp. I</w:t>
            </w:r>
            <w:r>
              <w:rPr/>
              <w:br/>
            </w:r>
            <w:r>
              <w:rPr>
                <w:b/>
              </w:rPr>
              <w:t>(Year ended</w:t>
              <w:br/>
              <w:t>December 31,</w:t>
              <w:br/>
              <w:t>2022)</w:t>
            </w:r>
          </w:p>
        </w:tc>
        <w:tc>
          <w:tcPr>
            <w:tcW w:w="155"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90" w:type="dxa"/>
            <w:gridSpan w:val="8"/>
            <w:tcBorders>
              <w:bottom w:val="single" w:sz="8" w:space="0" w:color="000000"/>
            </w:tcBorders>
            <w:tcMar>
              <w:bottom w:w="28" w:type="dxa"/>
            </w:tcMar>
            <w:vAlign w:val="bottom"/>
          </w:tcPr>
          <w:p>
            <w:pPr>
              <w:pStyle w:val="TableContents"/>
              <w:bidi w:val="0"/>
              <w:spacing w:before="0" w:after="283"/>
              <w:jc w:val="center"/>
              <w:rPr>
                <w:b/>
              </w:rPr>
            </w:pPr>
            <w:r>
              <w:rPr>
                <w:b/>
              </w:rPr>
              <w:t>Assuming No Redemptions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90" w:type="dxa"/>
            <w:gridSpan w:val="8"/>
            <w:tcBorders>
              <w:bottom w:val="single" w:sz="8" w:space="0" w:color="000000"/>
            </w:tcBorders>
            <w:tcMar>
              <w:bottom w:w="28" w:type="dxa"/>
            </w:tcMar>
            <w:vAlign w:val="bottom"/>
          </w:tcPr>
          <w:p>
            <w:pPr>
              <w:pStyle w:val="TableContents"/>
              <w:bidi w:val="0"/>
              <w:spacing w:before="0" w:after="283"/>
              <w:jc w:val="center"/>
              <w:rPr>
                <w:b/>
              </w:rPr>
            </w:pPr>
            <w:r>
              <w:rPr>
                <w:b/>
              </w:rPr>
              <w:t>Assuming Maximum Redemptions</w:t>
            </w:r>
          </w:p>
        </w:tc>
        <w:tc>
          <w:tcPr>
            <w:tcW w:w="15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143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415"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Consolidated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Consolidated</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Revenue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12,325,753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12,325,753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12,325,753</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b/>
                <w:sz w:val="17"/>
              </w:rPr>
            </w:pPr>
            <w:r>
              <w:rPr>
                <w:rFonts w:ascii="Times New Roman" w:hAnsi="Times New Roman"/>
                <w:b/>
                <w:sz w:val="17"/>
              </w:rPr>
              <w:t>Operating expenses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Cost of sales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6,050,539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6,050,539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6,050,539</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Employee benefit expenses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111,852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(111,852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center"/>
              <w:rPr/>
            </w:pPr>
            <w:r>
              <w:rPr/>
              <w:t>(aa)</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Sales and marketing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6,314,206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6,314,206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6,314,206</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General and administrative expenses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92,452,354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2,886,472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center"/>
              <w:rPr/>
            </w:pPr>
            <w:r>
              <w:rPr/>
              <w:t>(aa)</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95,514,854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95,514,854</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3,062,500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center"/>
              <w:rPr/>
            </w:pPr>
            <w:r>
              <w:rPr/>
              <w:t>(bb)</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Formation cost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2,774,620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(2,774,620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center"/>
              <w:rPr/>
            </w:pPr>
            <w:r>
              <w:rPr/>
              <w:t>(aa)</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Depreciation and amortization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742,113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742,113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742,113</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Impairment of goodwill</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7,418,302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7,418,302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7,418,302</w:t>
            </w:r>
          </w:p>
        </w:tc>
        <w:tc>
          <w:tcPr>
            <w:tcW w:w="15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Total 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112,977,514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2,886,472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3,062,500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116,040,014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116,040,014</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b/>
                <w:sz w:val="17"/>
              </w:rPr>
            </w:pPr>
            <w:r>
              <w:rPr>
                <w:rFonts w:ascii="Times New Roman" w:hAnsi="Times New Roman"/>
                <w:b/>
                <w:sz w:val="17"/>
              </w:rPr>
              <w:t>Loss from operations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(100,651,761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(2,886,472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(3,062,500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(103,714,261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(103,714,261</w:t>
            </w:r>
          </w:p>
        </w:tc>
        <w:tc>
          <w:tcPr>
            <w:tcW w:w="15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Other (expense)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Interest expense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(3,884,698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(3,884,698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(3,884,698</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Interest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2,312,771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(2,312,771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center"/>
              <w:rPr/>
            </w:pPr>
            <w:r>
              <w:rPr/>
              <w:t>(cc)</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Other non-operating income (expense), net</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315,574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(2,100,000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center"/>
              <w:rPr/>
            </w:pPr>
            <w:r>
              <w:rPr/>
              <w:t>(dd)</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(1,784,426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(1,784,426</w:t>
            </w:r>
          </w:p>
        </w:tc>
        <w:tc>
          <w:tcPr>
            <w:tcW w:w="15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Total other (expenses) / income,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(3,569,124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2,312,771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(4,412,771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(5,669,124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(5,669,124</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Income (loss) before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(104,220,885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(573,701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(7,475,271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(112,269,857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(109,383,385</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Provision for income taxes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115,447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(405,952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405,952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center"/>
              <w:rPr/>
            </w:pPr>
            <w:r>
              <w:rPr/>
              <w:t>(ee)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(1,055,352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(238,536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center"/>
              <w:rPr/>
            </w:pPr>
            <w:r>
              <w:rPr/>
              <w:t>(gg)</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(1,293,888</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(1,170,799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center"/>
              <w:rPr/>
            </w:pPr>
            <w:r>
              <w:rPr/>
              <w:t>(ff)</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Net (loss)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(104,105,438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(979,653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(8,646,070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(113,325,209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(238,536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(110,677,273</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b/>
                <w:sz w:val="17"/>
              </w:rPr>
            </w:pPr>
            <w:r>
              <w:rPr>
                <w:rFonts w:ascii="Times New Roman" w:hAnsi="Times New Roman"/>
                <w:b/>
                <w:sz w:val="17"/>
              </w:rPr>
              <w:t>Earnings Per Share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Weighted average shares of Rezolve common stock used in computing net loss per share, basic and diluted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913,109,577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20"/>
              <w:jc w:val="left"/>
              <w:rPr>
                <w:rFonts w:ascii="Times New Roman" w:hAnsi="Times New Roman"/>
                <w:sz w:val="17"/>
              </w:rPr>
            </w:pPr>
            <w:r>
              <w:rPr>
                <w:rFonts w:ascii="Times New Roman" w:hAnsi="Times New Roman"/>
                <w:sz w:val="17"/>
              </w:rPr>
              <w:t>Net loss per share, basic and diluted</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(0.11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Basic and diluted weighted average shares outstanding, common stock subject to possible redemption</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15,000,000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Net loss per share, basic and diluted</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Basic and diluted weighted average shares outstanding, common stock subject to possible redemption</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5,709,500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Net loss per share, basic and diluted</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Proforma Basic and diluted weighted average shares outstanding, common stock subject to possible redemption</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179,686,813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177,323,464</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7"/>
              </w:rPr>
            </w:pPr>
            <w:r>
              <w:rPr>
                <w:rFonts w:ascii="Times New Roman" w:hAnsi="Times New Roman"/>
                <w:sz w:val="17"/>
              </w:rPr>
              <w:t>Proforma Net loss per share, basic and diluted</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(0.63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(0.62</w:t>
            </w:r>
          </w:p>
        </w:tc>
        <w:tc>
          <w:tcPr>
            <w:tcW w:w="155"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PRO FORMA CONDENSED COMBINED </w:t>
      </w:r>
    </w:p>
    <w:p>
      <w:pPr>
        <w:pStyle w:val="TextBody"/>
        <w:bidi w:val="0"/>
        <w:spacing w:before="240" w:after="0"/>
        <w:jc w:val="left"/>
        <w:rPr>
          <w:rFonts w:ascii="Times New Roman" w:hAnsi="Times New Roman"/>
          <w:b/>
          <w:sz w:val="20"/>
        </w:rPr>
      </w:pPr>
      <w:r>
        <w:rPr>
          <w:rFonts w:ascii="Times New Roman" w:hAnsi="Times New Roman"/>
          <w:b/>
          <w:sz w:val="20"/>
        </w:rPr>
        <w:t xml:space="preserve">Note 1Basis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will be accounted for as a reverse recapitalization, with no goodwill or other intangible assets recorded, in accordance with GAAP. Under this method of accounting, Armada will be treated as the acquired company for financial reporting purposes. This determination was primarily based on evaluation of the following facts and circumstances: (i) Rezolves shareholders will have majority of the voting power under both the minimum redemption and maximum redemption scenarios; (ii) Rezolve will appoint the majority of the board of directors of Rezolve AI PLC; (iii) Rezolves existing management will comprise the management of Rezolve AI PLC; (iv) Rezolve will comprise the ongoing operations of Rezolve AI PLC; (v) Rezolve is the larger entity based on historical revenues and business operations; and (vi) Rezolve AI PLC will continue to use Rezolves name and Rezolves headquarters in London. Accordingly, for accounting purposes, the Business Combination will be treated as the equivalent of Rezolve issuing shares for the net assets of Armada, accompanied by a recapitalization. The net assets of Armada will be stated at historical cost, with no goodwill or other intangible assets recorded. Operations prior to the Business Combination will be those of Rezolve. Operations prior to the Business Combination will be those of Rezolve.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 of December 31, 2022 presents the pro forma effect of the Business Combination and related transactions as if they had occurred on December 31, 2022. The unaudited pro forma condensed combined statements of operations for the year ended December 31, 2022 presents the pro forma effect of the Business Combination and related transactions as if they had been completed on January 1, 2022. These periods are presented on the basis of Rezolve as the accounting acquirer.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should be read in conjunction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accompanying notes to the unaudited pro forma condensed combined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Armada as of and for the year ended September 30, 2022, included elsewhere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financial statements for Armada as of and for the quarter ended December 31, 2022, included elsewhere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carve-out financial statements of Rezolve as of, and for the year ended, December 31, 2022, included elsewhere in this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sections entitled </w:t>
            </w:r>
            <w:r>
              <w:rPr>
                <w:rFonts w:ascii="Times New Roman" w:hAnsi="Times New Roman"/>
                <w:i/>
                <w:sz w:val="20"/>
              </w:rPr>
              <w:t>Managements Discussion and Analysis of Financial Condition and Results of Operations of Armada</w:t>
            </w:r>
            <w:r>
              <w:rPr>
                <w:rFonts w:ascii="Times New Roman" w:hAnsi="Times New Roman"/>
                <w:sz w:val="20"/>
              </w:rPr>
              <w:t> and </w:t>
            </w:r>
            <w:r>
              <w:rPr>
                <w:rFonts w:ascii="Times New Roman" w:hAnsi="Times New Roman"/>
                <w:i/>
                <w:sz w:val="20"/>
              </w:rPr>
              <w:t>Managements Discussion and Analysis of Financial Condition and Results of Operations of Rezolve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Management has made significant estimates and assumptions in its determination of the pro forma adjustments (Transaction Accounting Adjustments). As the unaudited pro forma condensed combined financial information has been prepared based on these preliminary estimates, the final amounts recorded may differ materially from the information presented.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has been prepared in accordance with Article 11 of Regulation S-X as amended by the final rule, Release No. 33-10786 Amendments to Financial Disclosures about Acquired and Disposed Businesses.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adjustments will differ from the pro forma adjustments and it is possible the difference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Management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any anticipated synergies, operating efficiencies, tax savings, or cost savings that may be associated with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condensed pro forma adjustments, which are described in the accompanying notes, may be revised as additional information becomes available and is evaluated.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Rezolve PLC. They should be read in conjunction with the audited financial statements and notes thereto of each of Armada and Rezolve included elsewhere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Note 2Unaudited pro forma condensed combined balance sheet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pro forma adjustments to the unaudited pro forma condensed combined balance sheet as of December 31, 2022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estimated transaction costs incurred including, but not limited to advisory fees, legal fees and demerger costs that will be paid in connection with the consummation of the Business Combination. Further funding required will be obtained by issuance of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cash equivalents that will be released from the Trust Account and relieved of restrictions regarding use upon consummation of the Business Combination, assuming minimum redemptions. The Charter Limitation in the Armada Charter would prohibit Armada from closing the Business Combination if has net tangible assets less than $5,000,001 immediately prior to or upon consummation of its initial business combination, unless the Charter Limitation Amendment Proposal is approved and implemented or third- party financing is obtained by Armada or Rezolve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settlement of Accounts payable of Armada primarily due to legal costs of the Business Combinations.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taxes payable using interest earned on cash held in trust. Further excise taxes payable has been accrued to reflect the redemptions which occurred to March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repayment of the Promissory note in Armada.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cash and the reclassification of ordinary shares to deferred shares to settle the renegotiation of ANY. The sellers can elect within 14 days after listing to be paid $5,000,000 and upon such payment being made 4,854,368 shares they hold in the Company (such number to be adjusted post the pre-closing demerger) will be classified as worthless deferred shares. If the sellers cannot find buyers among the exitsing shareholders of the company within 60 days after listing for shares as have a value equal to 2,000,000 the sellers can elect to be paid $2,161,600 and upon such payment being made 2,098,640 of the shares they hold in the company (such number to be adjusted post the pre-closing demerger) will be reclassified as worthless deferred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withdrawals of cash from the trust for redemptions to March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conversion of convertible debt at the close of the Business Combination at $1 per loan note to a discount of 0.7 to the pre-IPO share price of the Combined Companys ordinary shares. A corresponding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increase in Rezolves ordinary shares (at the nominal share value of £0.0001 per share), is reflected, with the remainder captured in Rezolves additional paid-in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exchange of Armada Common Stock having a nominal value of $0.0001 per share into the Combined Companys ordinary shares of £0.0001 per share, with the remainder captured in Rezolves additional paid-in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(j)</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Business Combination, each outstanding share of Rezolves Series A Preferred Stock will automatically convert into one Rezolve ordinary share and thereafter the ordinary shares will be the subject of the Company Reorganization. As a result, the adjustments reflect the reduction in Rezolves Series A shares, and a corresponding increase in Rezolves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(k)</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conversion of Armada redeemable stock into Rezolve ordinary shares under the minimum redemption scenarios.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(l)</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2.5 million ordinary shares at a valuation of $1.23 for employee shares options that vest immediately upon close of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Elimination of historical retained earnings of Armada as part of the acquisition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(n)</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return of Armada redeemable stock under the maximum redemption scenarios.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(o)</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following amounts for which proceeds from additional equity financings will be required to satisfy, unless such amounts are forgiven or waived or converted into equity due to insufficient cash on hand to pay off these amounts at or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Fees.</w:t>
            </w:r>
            <w:r>
              <w:rPr>
                <w:rFonts w:ascii="Times New Roman" w:hAnsi="Times New Roman"/>
                <w:sz w:val="20"/>
              </w:rPr>
              <w:t xml:space="preserve"> Fee payments of an aggregate of approximately $31.5 million to CCM, Northland and Cantor Fitzgerald due upon Closing of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Other Costs.</w:t>
            </w:r>
            <w:r>
              <w:rPr>
                <w:rFonts w:ascii="Times New Roman" w:hAnsi="Times New Roman"/>
                <w:sz w:val="20"/>
              </w:rPr>
              <w:t xml:space="preserve"> Costs of an aggregate of approximately $4.4 million.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fees and other costs are expected to be paid following the Closing of the Business Combination from one or more of the following sources: (i) a $5.0 million equity investment from Magic Crest Ltd, a company incorporated in the British Virgin Islands, pursuant to a subscription agreement, dated July 11, 2023, providing for the purchase of Rezolve Ordinary Shares at $5.00 per share with closings in three tranches starting August 10th and ending on or before 21st September 2023; (ii) proceeds from a rights offering by Rezolve that commenced on May 25, 2023 to all current investors and employees of Rezolve at $1.50 per Rezolve Ordinary Share, reflecting a discount of 85% to the anticipated per share price of the consideration to be issued in the Business Combination, with no contractual lock ups or restrictions on transfer, but all sales of such shares in the first 6 months following the Closing of the Business Combination to be managed through a brokerage designated by Rezolve, pursuant to which Rezolve has raised $2.7 million as of August 9, 2023; (iii) proceeds from the $250.0 million standby equity purchase agreement with Yorkville Advisors Global, LP., which carries a one-time fee of $3.125 million paid in shares, one-half of which is issued on the first day the Rezolve Ordinary Shares are listed for trading on a national exchange, and the balance of which is issuable nine (9) months later; and (iv) proceeds from additional equity financings, if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(p)</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to accrue excise taxes payable on the maximum redemptions scenario.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(q)</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cash paid for additional excise taxes triggered by redemptions under the maximum redemptions scenario.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3Unaudited pro forma condensed combined statements of operations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pro forma adjustments included in the unaudited pro forma condensed combined statement of operations for the year ended December 31, 2022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(aa)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 reclassification of Armada costs to conform with S-X 5-03.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(bb)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issuance of 2.5 million ordinary shares at a valuation of $1.23 for employee shares options that vest immediately upon close of the Business Combination.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(cc)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to eliminate the interest income earned assuming the Business Combination completed on January 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(dd)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estimated costs of the Pre-Closing Demerger that will be paid in connection with the consummation of the Business Combination. This is a non-recurring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(ee)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to eliminate the taxes payable on interest income that would have not been incurred given the Business Combination completed on January 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(ff)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to accrue excise taxes payable on the redemptions that occurred in the three months ending March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(gg)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to accrue excise taxes payable on the maximum redemptions scenario.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4Earnings per Share </w:t>
      </w:r>
    </w:p>
    <w:p>
      <w:pPr>
        <w:pStyle w:val="TextBody"/>
        <w:bidi w:val="0"/>
        <w:spacing w:before="120" w:after="0"/>
        <w:jc w:val="left"/>
        <w:rPr>
          <w:rFonts w:ascii="Times New Roman" w:hAnsi="Times New Roman"/>
          <w:sz w:val="20"/>
        </w:rPr>
      </w:pPr>
      <w:r>
        <w:rPr>
          <w:rFonts w:ascii="Times New Roman" w:hAnsi="Times New Roman"/>
          <w:sz w:val="20"/>
        </w:rPr>
        <w:t xml:space="preserve">Represents the net earnings per share calculated using the historical weighted average shares outstanding, and the issuance of additional shares in connection with the Business Combination, assuming the shares were outstanding since January 1, 2022. As the Business Combination is being reflected as if it had occurred at the beginning of the period presented, the calculation of weighted average shares outstanding for basic and diluted net income (loss) per share assumes that the shares issuable in connection with the Business Combination have been outstanding for the entire period presented. If the maximum number of shares of common stock of Armada are redeemed, this calculation is retroactively adjusted to eliminate such shares for the entire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x309194_14"/>
      <w:bookmarkEnd w:id="16"/>
      <w:r>
        <w:rPr>
          <w:rFonts w:ascii="Times New Roman" w:hAnsi="Times New Roman"/>
          <w:b/>
          <w:sz w:val="20"/>
        </w:rPr>
        <w:t xml:space="preserve">SPECIAL MEETING OF ARMADA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statement/prospectus is being provided to Armada stockholders as part of a solicitation of proxies by the Board for use at the Special Meeting of Stockholders to be held on                , 2023, and at any adjournment or postponement thereof. This proxy statement/prospectus contains important information regarding the Special Meeting, the proposals on which you are being asked to vote and information you may find useful in determining how to vote and voting procedures. The Special Meeting will be held in virtual format only. </w:t>
      </w:r>
      <w:r>
        <w:rPr>
          <w:rFonts w:ascii="Times New Roman" w:hAnsi="Times New Roman"/>
          <w:b/>
          <w:sz w:val="20"/>
        </w:rPr>
        <w:t>You will not be able to attend the Special Meeting in person.</w:t>
      </w:r>
      <w:r>
        <w:rPr>
          <w:rFonts w:ascii="Times New Roman" w:hAnsi="Times New Roman"/>
          <w:sz w:val="20"/>
        </w:rPr>
        <w:t xml:space="preserve"> The access information for the virtual Special Meeting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Telephone Access (listen-only):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+1 (877) 770-3647 (U.S. and Canada); or</w:t>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+1 (312) 780-0854 (outside of the U.S. or Canada)</w:t>
            </w:r>
          </w:p>
        </w:tc>
      </w:tr>
      <w:tr>
        <w:trPr/>
        <w:tc>
          <w:tcPr>
            <w:tcW w:w="5205" w:type="dxa"/>
            <w:tcBorders/>
          </w:tcPr>
          <w:p>
            <w:pPr>
              <w:pStyle w:val="TableContents"/>
              <w:bidi w:val="0"/>
              <w:spacing w:before="0" w:after="283"/>
              <w:jc w:val="left"/>
              <w:rPr/>
            </w:pPr>
            <w:r>
              <w:rPr/>
              <w:t>Passcode for Telephone Access: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95865097#</w:t>
            </w:r>
          </w:p>
        </w:tc>
      </w:tr>
      <w:tr>
        <w:trPr/>
        <w:tc>
          <w:tcPr>
            <w:tcW w:w="5205" w:type="dxa"/>
            <w:tcBorders/>
          </w:tcPr>
          <w:p>
            <w:pPr>
              <w:pStyle w:val="TableContents"/>
              <w:bidi w:val="0"/>
              <w:spacing w:before="0" w:after="283"/>
              <w:jc w:val="left"/>
              <w:rPr/>
            </w:pPr>
            <w:r>
              <w:rPr/>
              <w:t>Webcast Access: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i/>
              </w:rPr>
            </w:pPr>
            <w:r>
              <w:rPr>
                <w:i/>
              </w:rPr>
              <w:t>http://www.cstproxy.com/armadaacquisition/2023</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is being first mailed on or about                 , 2023 to all stockholders of record of Armada as of                 , the record date for the Special Meeting. Stockholders of record who owned Armada Common Stock at the close of business on the record date are entitled to receive notice of, attend and vote at the Special Meeting. On the record date, there were                  shares of Armada Common Stock and Founder Shares outstanding and entitled to vote at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held on                 , 2023, at                 , Eastern Time, via webcast at </w:t>
      </w:r>
      <w:r>
        <w:rPr>
          <w:rFonts w:ascii="Times New Roman" w:hAnsi="Times New Roman"/>
          <w:i/>
          <w:sz w:val="20"/>
        </w:rPr>
        <w:t>http://www.cstproxy.com/armadaacquisition/2023</w:t>
      </w:r>
      <w:r>
        <w:rPr>
          <w:rFonts w:ascii="Times New Roman" w:hAnsi="Times New Roman"/>
          <w:sz w:val="20"/>
        </w:rPr>
        <w:t xml:space="preserve">, or at such other date, time and place to which such meeting may be adjourned or postponed, to consider and vote upon the proposals. The Special Meeting will be conducted exclusively via live webcast and so stockholders will not be able to attend the meeting in person. Stockholders may attend the Special Meeting online and vote at the Special Meeting by visiting </w:t>
      </w:r>
      <w:r>
        <w:rPr>
          <w:rFonts w:ascii="Times New Roman" w:hAnsi="Times New Roman"/>
          <w:i/>
          <w:sz w:val="20"/>
        </w:rPr>
        <w:t>http://www.cstproxy.com/armadaacquisition/2023</w:t>
      </w:r>
      <w:r>
        <w:rPr>
          <w:rFonts w:ascii="Times New Roman" w:hAnsi="Times New Roman"/>
          <w:sz w:val="20"/>
        </w:rPr>
        <w:t xml:space="preserve"> and entering your 12-digit control number, which is either included on the proxy card you received or obtained through Continental Stock Transfer &amp; Trust Company. </w:t>
      </w:r>
    </w:p>
    <w:p>
      <w:pPr>
        <w:pStyle w:val="TextBody"/>
        <w:bidi w:val="0"/>
        <w:spacing w:before="360" w:after="0"/>
        <w:jc w:val="left"/>
        <w:rPr>
          <w:rFonts w:ascii="Times New Roman" w:hAnsi="Times New Roman"/>
          <w:b/>
          <w:sz w:val="20"/>
        </w:rPr>
      </w:pPr>
      <w:r>
        <w:rPr>
          <w:rFonts w:ascii="Times New Roman" w:hAnsi="Times New Roman"/>
          <w:b/>
          <w:sz w:val="20"/>
        </w:rPr>
        <w:t xml:space="preserve">Registering for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Any stockholder wishing to attend the virtual meeting should register for the meeting by                 , 2023. To vote upon the proposals included in this proxy statement/prospectus, please follow these instructions as applicable to the nature of your ownership of Armada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date and return the proxy card pursuant to the instructions on the card. If you return your signed proxy card before the Special Meeting, we will vote your shares as directed.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over the telephone, dial toll-free 1-800-690-6903 using a touch-tone phone and follow the recorded instructions. You will be asked to provide the company number and control number from the Notice. Your telephone vote must be received by 11:59 p.m. Eastern Time on                 , 2023 to be counted.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through the Internet before the meeting, go to </w:t>
            </w:r>
            <w:r>
              <w:rPr>
                <w:rFonts w:ascii="Times New Roman" w:hAnsi="Times New Roman"/>
                <w:i/>
                <w:sz w:val="20"/>
              </w:rPr>
              <w:t>http://www.cstproxy.com/armadaacquisition/2023</w:t>
            </w:r>
            <w:r>
              <w:rPr>
                <w:rFonts w:ascii="Times New Roman" w:hAnsi="Times New Roman"/>
                <w:sz w:val="20"/>
              </w:rPr>
              <w:t xml:space="preserve"> and follow the on-screen instructions. Your Internet vote must be received by 11:59 p.m., Eastern Time                 , 2023 to be counted.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through the Internet during the meeting, please visit </w:t>
            </w:r>
            <w:r>
              <w:rPr>
                <w:rFonts w:ascii="Times New Roman" w:hAnsi="Times New Roman"/>
                <w:i/>
                <w:sz w:val="20"/>
              </w:rPr>
              <w:t>http://www.cstproxy.com/armadaacquisition/2023</w:t>
            </w:r>
            <w:r>
              <w:rPr>
                <w:rFonts w:ascii="Times New Roman" w:hAnsi="Times New Roman"/>
                <w:sz w:val="20"/>
              </w:rPr>
              <w:t xml:space="preserve"> and have available the 12-digit control number included in your Notice, on your proxy card or on the instructions that accompanied your proxy materials.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Purpose of the Armada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Company stockholders will vote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  The Business Combination Proposal</w:t>
            </w:r>
            <w:r>
              <w:rPr>
                <w:rFonts w:ascii="Times New Roman" w:hAnsi="Times New Roman"/>
                <w:sz w:val="20"/>
              </w:rPr>
              <w:t xml:space="preserve">  To consider and vote upon a proposal to adopt and approve the Business Combination including the Business Combination Agreement, by and among Armada, Rezolve Limited, Rezolve, and Rezolve Merger Sub, pursuant to which Armada, Rezolve and Rezolve Merger Sub will effect a series of transactions including, among other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the Promissory Note, to enable Rezolve to fund working capital and transaction expenses. Each of the outstanding shares of Armada Common Stock held by the shareholders of Armada will be exchanged for one Ordinary Share of Rezolve.;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2  The Nasdaq Proposal</w:t>
            </w:r>
            <w:r>
              <w:rPr>
                <w:rFonts w:ascii="Times New Roman" w:hAnsi="Times New Roman"/>
                <w:sz w:val="20"/>
              </w:rPr>
              <w:t xml:space="preserve">  to consider and vote upon a proposal to adopt and approve, for the purposes of complying with the applicable listing rules of Nasdaq, the issuance of Rezolve Shares in connection with the Business Combination Agreement, including the Company Reorganization, the conversion of the Convertible Notes and, to the extent applicable, the Merger, in each case, as required by Nasdaq listing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3  The Incentive Equity Plan Proposal</w:t>
            </w:r>
            <w:r>
              <w:rPr>
                <w:rFonts w:ascii="Times New Roman" w:hAnsi="Times New Roman"/>
                <w:sz w:val="20"/>
              </w:rPr>
              <w:t xml:space="preserve">  to consider and vote upon a proposal to adopt and approve, the Rezolve Incentive Equity Plan, which will become effective on or before the Closing Date and will be used by Rezolve following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 4  The Charter Limitation Amendment Proposal</w:t>
            </w:r>
            <w:r>
              <w:rPr>
                <w:rFonts w:ascii="Times New Roman" w:hAnsi="Times New Roman"/>
                <w:sz w:val="20"/>
              </w:rPr>
              <w:t xml:space="preserve">  to consider and vote upon a proposal to amend the Armada Charter to eliminate from the Armada Charter the limitation that Armada may not consummate a business combination to the extent Armada would have net tangible assets of less than $5,000,001 immediately prior to or upon consummation of a business combination in order to allow Armada to consummate the Business Combination irrespective of whether Armada would exceed the Charter Limitation;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5  Adjournment Proposal</w:t>
            </w:r>
            <w:r>
              <w:rPr>
                <w:rFonts w:ascii="Times New Roman" w:hAnsi="Times New Roman"/>
                <w:sz w:val="20"/>
              </w:rPr>
              <w:t xml:space="preserve">  To approve, if necessary, the adjournment of the Special Meeting to a later date or dates to permit further solicitation and votes of proxies in the event that there are insufficient votes for, or otherwise in connection with, the approval of the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Combination Proposal, the Nasdaq Proposal, the Incentive Equity Plan Proposal or the Charter Limitation Amendment Proposal. This proposal will only be presented at the Special Meeting if there are not sufficient votes to approve the Business Combination Proposal, the Nasdaq Proposal, the Incentive Equity Plan Proposal or the Charter Limitation Amendment Proposal.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Armada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believes that each of the Business Combination Proposal, the Nasdaq Proposal, the Incentive Equity Plan Proposal and the Adjournment Proposal to be presented at the Special Meeting is in the best interests of Armada and its stockholders and recommends that its stockholders vote FOR each of the proposals. </w:t>
      </w:r>
    </w:p>
    <w:p>
      <w:pPr>
        <w:pStyle w:val="TextBody"/>
        <w:bidi w:val="0"/>
        <w:spacing w:before="240" w:after="0"/>
        <w:jc w:val="left"/>
        <w:rPr>
          <w:rFonts w:ascii="Times New Roman" w:hAnsi="Times New Roman"/>
          <w:sz w:val="20"/>
        </w:rPr>
      </w:pPr>
      <w:r>
        <w:rPr>
          <w:rFonts w:ascii="Times New Roman" w:hAnsi="Times New Roman"/>
          <w:sz w:val="20"/>
        </w:rPr>
        <w:t xml:space="preserve">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These interests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Armadas Sponsor has agreed not to redeem any of the Founder Shares in connection with a stockholder vote to approve the Business Combination, as provided in the Armada Letter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continued indemnification of Armadas existing directors and officers and the continuation of Armadas directors and officers liability insurance after the Business Combination;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Stephen Herbert and Douglas Lurio will be appointed as board members of Rezolve after the Business Combination and shall be entitled to receive compensation for serving on the board of directors of Rezolve after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2"/>
        <w:gridCol w:w="9289"/>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                 and $                , respectively, based upon the closing price of $                 per public share on the Nasdaq on                 ,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Armadas Sponsor holds in the aggregate approximately                 % of the total shares outstanding as of the date of this proxy statement/prospectus. The Founder Shares will likely be worthless if Armada does not complete a business combination by the applicable deadline.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 </w:t>
      </w:r>
    </w:p>
    <w:p>
      <w:pPr>
        <w:pStyle w:val="TextBody"/>
        <w:bidi w:val="0"/>
        <w:spacing w:before="360" w:after="0"/>
        <w:jc w:val="left"/>
        <w:rPr>
          <w:rFonts w:ascii="Times New Roman" w:hAnsi="Times New Roman"/>
          <w:b/>
          <w:sz w:val="20"/>
        </w:rPr>
      </w:pPr>
      <w:r>
        <w:rPr>
          <w:rFonts w:ascii="Times New Roman" w:hAnsi="Times New Roman"/>
          <w:b/>
          <w:sz w:val="20"/>
        </w:rPr>
        <w:t xml:space="preserve">Record Date; Outstanding Shares; Shareholders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Armada has fixed the close of business on                 , 2023, as the record date for determining Armada Stockholders entitled to notice of and to attend and vote at the Special Meeting. If your shares of Armada Common Stock are held in street name or are in margin or similar account, you should contact your broker or bank to ensure that votes related to the shares of Armada Common Stock you beneficially own are properly counted. As of the close of business on the record date, there were                  shares of Armada Common Stock and Founder Shares outstanding and entitled to vote, of which                  are public shares,                  are Private Placement Shares held by our Sponsor, and                  are Founder Shares held by our Sponsor. </w:t>
      </w:r>
    </w:p>
    <w:p>
      <w:pPr>
        <w:pStyle w:val="TextBody"/>
        <w:bidi w:val="0"/>
        <w:spacing w:before="360" w:after="0"/>
        <w:jc w:val="left"/>
        <w:rPr>
          <w:rFonts w:ascii="Times New Roman" w:hAnsi="Times New Roman"/>
          <w:b/>
          <w:sz w:val="20"/>
        </w:rPr>
      </w:pPr>
      <w:r>
        <w:rPr>
          <w:rFonts w:ascii="Times New Roman" w:hAnsi="Times New Roman"/>
          <w:b/>
          <w:sz w:val="20"/>
        </w:rPr>
        <w:t xml:space="preserve">Quorum and Required Vote for Proposals for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the Business Combination Proposal, the Nasdaq Proposal, the Incentive Equity Plan Proposal and the Adjournment Proposal requires the affirmative vote of a majority of votes cast by the stockholders present in person or represented by proxy and entitled to vote thereon at the Special Meeting. In order to establish the quorum for purposes of each of the Business Combination Proposal, the Nasdaq Proposal, the Incentive Equity Plan Proposal and the Adjournment Proposal, holders of at least a majority of the outstanding shares of Armada Common Stock must be present at the Special Meeting in person or by proxy. Accordingly, a Company stockholders failure to vote by proxy or to vote in person at the Special Meeting will not be counted towards the number of shares of Armada Common Stock required to validly establish a quorum, and if a valid quorum is otherwise established, such failure to vote will have no effect on the outcome of any vote on the Business Combination Proposal, the Nasdaq Proposal, the Incentive Equity Plan Proposal and the Adjournment Proposal. Abstentions will be counted in connection with the determination of whether a valid quorum is established and will have no effect on the Business Combination Proposal, the Nasdaq Proposal, the Incentive Equity Plan Proposal and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Under these voting standards, a failure to vote or an abstention will have no effect on the Business Combination Proposal, the Nasdaq Proposal, the Incentive Equity Plan Proposal and the Adjournment Proposal. Broker non-votes will not have any effect on the outcome of any other Proposals.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transactions contemplated by the Business Combination Agreement will be consummated only if the Business Combination Proposal, the Nasdaq Proposal, and the Incentive Equity Plan Proposal are approved at the Special Meeting. The proposals in this proxy statement/prospectus (other than the Adjournment Proposal) are conditioned on the approval of the Business Combination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It is important for you to note that in the event that the Business Combination Proposal, the Nasdaq Proposal or the Incentive Equity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Abstentions and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Abstentions are considered present for the purposes of establishing a quorum. Abstentions will have no effect on the Business Combination Proposal, the Nasdaq Proposal, the Incentive Equity Plan Proposal and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 </w:t>
      </w:r>
      <w:r>
        <w:rPr>
          <w:rFonts w:ascii="Times New Roman" w:hAnsi="Times New Roman"/>
          <w:b/>
          <w:sz w:val="20"/>
        </w:rPr>
        <w:t xml:space="preserve">None of the proposals at the Special Meeting are routine matters. As such, without your voting instructions, your brokerage firm cannot vote your shares on any proposal to be voted on at the Special Meeting. </w:t>
      </w:r>
      <w:r>
        <w:rPr>
          <w:rFonts w:ascii="Times New Roman" w:hAnsi="Times New Roman"/>
          <w:sz w:val="20"/>
        </w:rPr>
        <w:t xml:space="preserve">Broker non-votes will not have any effect on the outcome of any Proposals. </w:t>
      </w:r>
    </w:p>
    <w:p>
      <w:pPr>
        <w:pStyle w:val="TextBody"/>
        <w:bidi w:val="0"/>
        <w:spacing w:before="360" w:after="0"/>
        <w:jc w:val="left"/>
        <w:rPr>
          <w:rFonts w:ascii="Times New Roman" w:hAnsi="Times New Roman"/>
          <w:b/>
          <w:sz w:val="20"/>
        </w:rPr>
      </w:pPr>
      <w:r>
        <w:rPr>
          <w:rFonts w:ascii="Times New Roman" w:hAnsi="Times New Roman"/>
          <w:b/>
          <w:sz w:val="20"/>
        </w:rPr>
        <w:t xml:space="preserve">Voting Your Shares  Stockholders of Record </w:t>
      </w:r>
    </w:p>
    <w:p>
      <w:pPr>
        <w:pStyle w:val="TextBody"/>
        <w:bidi w:val="0"/>
        <w:spacing w:before="120" w:after="0"/>
        <w:jc w:val="left"/>
        <w:rPr>
          <w:rFonts w:ascii="Times New Roman" w:hAnsi="Times New Roman"/>
          <w:sz w:val="20"/>
        </w:rPr>
      </w:pPr>
      <w:r>
        <w:rPr>
          <w:rFonts w:ascii="Times New Roman" w:hAnsi="Times New Roman"/>
          <w:sz w:val="20"/>
        </w:rPr>
        <w:t xml:space="preserve">If you are an Armada stockholder of record, you may vote by mail or in person at the Special Meeting. Each share of Armada Common Stock that you own in your name entitles you to one vote on each of the proposals for the Special Meeting. Your one or more proxy cards show the number of shares of Armada Common Stock that you own. </w:t>
      </w:r>
    </w:p>
    <w:p>
      <w:pPr>
        <w:pStyle w:val="TextBody"/>
        <w:bidi w:val="0"/>
        <w:spacing w:before="240" w:after="0"/>
        <w:jc w:val="left"/>
        <w:rPr>
          <w:rFonts w:ascii="Times New Roman" w:hAnsi="Times New Roman"/>
          <w:sz w:val="20"/>
        </w:rPr>
      </w:pPr>
      <w:r>
        <w:rPr>
          <w:rFonts w:ascii="Times New Roman" w:hAnsi="Times New Roman"/>
          <w:b/>
          <w:sz w:val="20"/>
        </w:rPr>
        <w:t>Voting by Mail.</w:t>
      </w:r>
      <w:r>
        <w:rPr>
          <w:rFonts w:ascii="Times New Roman" w:hAnsi="Times New Roman"/>
          <w:sz w:val="20"/>
        </w:rPr>
        <w:t>    You can vote your shares by completing, signing, dating and returning the enclosed proxy card in the postage-paid envelope provided. By signing the proxy card and returning it in the enclosed prepaid and addressed envelope, you are authorizing the individuals named on the proxy card to vote your shares at the Special Meeting in the manner you indicate. We encourage you to sign and return the proxy card even if you plan to attend the Special Meeting so that your shares will be voted if you are unable to attend the Special Meeting. If you receive more than one proxy card, it is an indication that your shares are held in multiple accounts. Please sign and return all proxy cards to ensure that all of your shares are voted. If you hold your shares in street name through a bank, broker or other nominee, you will need to follow the instructions provided to you by your bank, broker or other nominee to ensure that your shares are represented and voted at the Special Meeting. If you sign and return the proxy card but do not give instructions on how to vote your shares, your shares of Armada Common Stock will be voted as recommended by our Board. Our Board recommends voting </w:t>
      </w:r>
      <w:r>
        <w:rPr>
          <w:rFonts w:ascii="Times New Roman" w:hAnsi="Times New Roman"/>
          <w:b/>
          <w:sz w:val="20"/>
        </w:rPr>
        <w:t>FOR</w:t>
      </w:r>
      <w:r>
        <w:rPr>
          <w:rFonts w:ascii="Times New Roman" w:hAnsi="Times New Roman"/>
          <w:sz w:val="20"/>
        </w:rPr>
        <w:t> the Business Combination Proposal, </w:t>
      </w:r>
      <w:r>
        <w:rPr>
          <w:rFonts w:ascii="Times New Roman" w:hAnsi="Times New Roman"/>
          <w:b/>
          <w:sz w:val="20"/>
        </w:rPr>
        <w:t>FOR</w:t>
      </w:r>
      <w:r>
        <w:rPr>
          <w:rFonts w:ascii="Times New Roman" w:hAnsi="Times New Roman"/>
          <w:sz w:val="20"/>
        </w:rPr>
        <w:t> the Nasdaq Proposal, </w:t>
      </w:r>
      <w:r>
        <w:rPr>
          <w:rFonts w:ascii="Times New Roman" w:hAnsi="Times New Roman"/>
          <w:b/>
          <w:sz w:val="20"/>
        </w:rPr>
        <w:t>FOR</w:t>
      </w:r>
      <w:r>
        <w:rPr>
          <w:rFonts w:ascii="Times New Roman" w:hAnsi="Times New Roman"/>
          <w:sz w:val="20"/>
        </w:rPr>
        <w:t> the Incentive Equity Plan Proposal and </w:t>
      </w:r>
      <w:r>
        <w:rPr>
          <w:rFonts w:ascii="Times New Roman" w:hAnsi="Times New Roman"/>
          <w:b/>
          <w:sz w:val="20"/>
        </w:rPr>
        <w:t>FOR</w:t>
      </w:r>
      <w:r>
        <w:rPr>
          <w:rFonts w:ascii="Times New Roman" w:hAnsi="Times New Roman"/>
          <w:sz w:val="20"/>
        </w:rPr>
        <w:t xml:space="preserve"> the Adjournment Proposal. Votes submitted by mail must be received by                 , Eastern Time, on                 , 2023. </w:t>
      </w:r>
    </w:p>
    <w:p>
      <w:pPr>
        <w:pStyle w:val="TextBody"/>
        <w:bidi w:val="0"/>
        <w:spacing w:before="240" w:after="0"/>
        <w:jc w:val="left"/>
        <w:rPr>
          <w:rFonts w:ascii="Times New Roman" w:hAnsi="Times New Roman"/>
          <w:sz w:val="20"/>
        </w:rPr>
      </w:pPr>
      <w:r>
        <w:rPr>
          <w:rFonts w:ascii="Times New Roman" w:hAnsi="Times New Roman"/>
          <w:b/>
          <w:sz w:val="20"/>
        </w:rPr>
        <w:t xml:space="preserve">Voting at the Meeting </w:t>
      </w:r>
      <w:r>
        <w:rPr>
          <w:rFonts w:ascii="Times New Roman" w:hAnsi="Times New Roman"/>
          <w:sz w:val="20"/>
        </w:rPr>
        <w:t xml:space="preserve"> We will be hosting the Special Meeting via live webcast. If you attend the Special Meeting, you may submit your vote at the Special Meeting online at </w:t>
      </w:r>
      <w:r>
        <w:rPr>
          <w:rFonts w:ascii="Times New Roman" w:hAnsi="Times New Roman"/>
          <w:i/>
          <w:sz w:val="20"/>
        </w:rPr>
        <w:t>http://www.cstproxy.com/armadaacquisition/2023</w:t>
      </w:r>
      <w:r>
        <w:rPr>
          <w:rFonts w:ascii="Times New Roman" w:hAnsi="Times New Roman"/>
          <w:sz w:val="20"/>
        </w:rPr>
        <w:t>, in which case any votes that you previously submitted will be superseded by the vote that you cast at the Special Meeting. See </w:t>
      </w:r>
      <w:r>
        <w:rPr>
          <w:rFonts w:ascii="Times New Roman" w:hAnsi="Times New Roman"/>
          <w:i/>
          <w:sz w:val="20"/>
        </w:rPr>
        <w:t>Registering for the Special Meeting</w:t>
      </w:r>
      <w:r>
        <w:rPr>
          <w:rFonts w:ascii="Times New Roman" w:hAnsi="Times New Roman"/>
          <w:sz w:val="20"/>
        </w:rPr>
        <w:t xml:space="preserve"> above for further details on how to attend the Special Meeting. </w:t>
      </w:r>
    </w:p>
    <w:p>
      <w:pPr>
        <w:pStyle w:val="TextBody"/>
        <w:bidi w:val="0"/>
        <w:spacing w:before="360" w:after="0"/>
        <w:jc w:val="left"/>
        <w:rPr>
          <w:rFonts w:ascii="Times New Roman" w:hAnsi="Times New Roman"/>
          <w:sz w:val="20"/>
        </w:rPr>
      </w:pPr>
      <w:r>
        <w:rPr>
          <w:rFonts w:ascii="Times New Roman" w:hAnsi="Times New Roman"/>
          <w:b/>
          <w:sz w:val="20"/>
        </w:rPr>
        <w:t xml:space="preserve">Voting Your Shares </w:t>
      </w:r>
      <w:r>
        <w:rPr>
          <w:rFonts w:ascii="Times New Roman" w:hAnsi="Times New Roman"/>
          <w:sz w:val="20"/>
        </w:rPr>
        <w:t xml:space="preserve"> </w:t>
      </w:r>
      <w:r>
        <w:rPr>
          <w:rFonts w:ascii="Times New Roman" w:hAnsi="Times New Roman"/>
          <w:b/>
          <w:sz w:val="20"/>
        </w:rPr>
        <w:t>Beneficial Owners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in an account at a brokerage firm, bank or other nominee, then you are the beneficial owner of shares held in street name and this proxy statement/prospectus is being sent to you by that broker, bank or other nominee. The broker, bank or other nominee holding your account is considered to be the stockholder of record for purposes of voting at the Special Meeting. As a beneficial owner, you have the right to direct your broker, bank or other nominee regarding how to vote the shares in your account by following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instructions that the broker, bank or other nominee provides you along with this proxy statement/prospectus. As a beneficial owner, if you wish to vote at the Special Meeting, you will need to bring to the Special Meeting a legal proxy from your broker, bank or other nominee authorizing you to vote those shares. Please see </w:t>
      </w:r>
      <w:r>
        <w:rPr>
          <w:rFonts w:ascii="Times New Roman" w:hAnsi="Times New Roman"/>
          <w:i/>
          <w:sz w:val="20"/>
        </w:rPr>
        <w:t>Attending the Special Meeting</w:t>
      </w:r>
      <w:r>
        <w:rPr>
          <w:rFonts w:ascii="Times New Roman" w:hAnsi="Times New Roman"/>
          <w:sz w:val="20"/>
        </w:rPr>
        <w:t xml:space="preserve"> below for more details. </w:t>
      </w:r>
    </w:p>
    <w:p>
      <w:pPr>
        <w:pStyle w:val="TextBody"/>
        <w:bidi w:val="0"/>
        <w:spacing w:before="360" w:after="0"/>
        <w:jc w:val="left"/>
        <w:rPr>
          <w:rFonts w:ascii="Times New Roman" w:hAnsi="Times New Roman"/>
          <w:b/>
          <w:sz w:val="20"/>
        </w:rPr>
      </w:pPr>
      <w:r>
        <w:rPr>
          <w:rFonts w:ascii="Times New Roman" w:hAnsi="Times New Roman"/>
          <w:b/>
          <w:sz w:val="20"/>
        </w:rPr>
        <w:t xml:space="preserve">Share Ownership of and Voting by Armada Directors and Officers </w:t>
      </w:r>
    </w:p>
    <w:p>
      <w:pPr>
        <w:pStyle w:val="TextBody"/>
        <w:bidi w:val="0"/>
        <w:spacing w:before="120" w:after="0"/>
        <w:jc w:val="left"/>
        <w:rPr>
          <w:rFonts w:ascii="Times New Roman" w:hAnsi="Times New Roman"/>
          <w:sz w:val="20"/>
        </w:rPr>
      </w:pPr>
      <w:r>
        <w:rPr>
          <w:rFonts w:ascii="Times New Roman" w:hAnsi="Times New Roman"/>
          <w:sz w:val="20"/>
        </w:rPr>
        <w:t>As of the Record Date, Armadas directors and officers and their affiliates had the right to vote approximately                  shares of Armada Common Stock, representing approximately    % of the shares of Armada Common Stock then outstanding and entitled to vote at the Special Meeting. Armada Initial Shareholders entered into a Transaction Support Agreement with Armada to vote </w:t>
      </w:r>
      <w:r>
        <w:rPr>
          <w:rFonts w:ascii="Times New Roman" w:hAnsi="Times New Roman"/>
          <w:b/>
          <w:sz w:val="20"/>
        </w:rPr>
        <w:t>FOR</w:t>
      </w:r>
      <w:r>
        <w:rPr>
          <w:rFonts w:ascii="Times New Roman" w:hAnsi="Times New Roman"/>
          <w:sz w:val="20"/>
        </w:rPr>
        <w:t> the Business Combination Proposal, </w:t>
      </w:r>
      <w:r>
        <w:rPr>
          <w:rFonts w:ascii="Times New Roman" w:hAnsi="Times New Roman"/>
          <w:b/>
          <w:sz w:val="20"/>
        </w:rPr>
        <w:t>FOR</w:t>
      </w:r>
      <w:r>
        <w:rPr>
          <w:rFonts w:ascii="Times New Roman" w:hAnsi="Times New Roman"/>
          <w:sz w:val="20"/>
        </w:rPr>
        <w:t> the Nasdaq Proposal, </w:t>
      </w:r>
      <w:r>
        <w:rPr>
          <w:rFonts w:ascii="Times New Roman" w:hAnsi="Times New Roman"/>
          <w:b/>
          <w:sz w:val="20"/>
        </w:rPr>
        <w:t>FOR</w:t>
      </w:r>
      <w:r>
        <w:rPr>
          <w:rFonts w:ascii="Times New Roman" w:hAnsi="Times New Roman"/>
          <w:sz w:val="20"/>
        </w:rPr>
        <w:t> the Incentive Equity Plan Proposal and </w:t>
      </w:r>
      <w:r>
        <w:rPr>
          <w:rFonts w:ascii="Times New Roman" w:hAnsi="Times New Roman"/>
          <w:b/>
          <w:sz w:val="20"/>
        </w:rPr>
        <w:t>FOR</w:t>
      </w:r>
      <w:r>
        <w:rPr>
          <w:rFonts w:ascii="Times New Roman" w:hAnsi="Times New Roman"/>
          <w:sz w:val="20"/>
        </w:rPr>
        <w:t xml:space="preserve"> the Adjournment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Revoking Your Proxy </w:t>
      </w:r>
    </w:p>
    <w:p>
      <w:pPr>
        <w:pStyle w:val="TextBody"/>
        <w:bidi w:val="0"/>
        <w:spacing w:before="120" w:after="0"/>
        <w:jc w:val="left"/>
        <w:rPr>
          <w:rFonts w:ascii="Times New Roman" w:hAnsi="Times New Roman"/>
          <w:sz w:val="20"/>
        </w:rPr>
      </w:pPr>
      <w:r>
        <w:rPr>
          <w:rFonts w:ascii="Times New Roman" w:hAnsi="Times New Roman"/>
          <w:sz w:val="20"/>
        </w:rPr>
        <w:t xml:space="preserve">If you give a proxy, you may revoke it at any time before the Special Meeting or at the Special Meeting by doing any one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send another proxy card with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notify the Companys Secretary in writing to c/o Armada Acquisition Corp. I, 2005 Market Street, Suite 3120, Philadelphia, PA 19103, Attn: Secretary, before the Special Meeting that you have revoked your proxy;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Special Meeting, revoke your proxy, and vote in person, as indicated above.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Additional Matters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has been called only to consider the approval of the Business Combination Proposal, the Nasdaq Proposal, the Incentive Equity Plan Proposal and the Adjournment Proposal. Under our bylaws, other than procedural matters incident to the conduct of the Special Meeting, no other matters may be considered at the Special Meeting if they are not included in this proxy statement/prospectus, which serves as the notice of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Who Can Answer Your Questions About Voting Your Shares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about how to vote or direct a vote in respect of your shares of Armada Common Stock, you may contact                 , our proxy solicitor, at                 (call collect),                 (call toll-free), or by sending an e-mail to                 .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certificate of incorporation, any holders of our public shares may demand that such shares be redeemed in exchange for a pro rata share of the aggregate amount on deposit in the Trust Account, including interest (which interest shall be net of taxes payable), calculated as of two business days prior to the consummation of the Business Combination.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the IPO of Armada (calculated as of two business days prior to the consummation of the Business Combination, including interest (which interest shall be net of taxes payable)). For illustrative purposes, based on the fair value of marketable securities held in the Trust Account of approximately $                 as of                 , 2023, the estimated per share redemption price would have been approximately $                 on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w:t>
      </w:r>
      <w:r>
        <w:rPr>
          <w:rFonts w:ascii="Times New Roman" w:hAnsi="Times New Roman"/>
          <w:b/>
          <w:sz w:val="20"/>
          <w:u w:val="single"/>
        </w:rPr>
        <w:t>Public stockholders may elect to redeem their shares even if they vote for the Business Combination</w:t>
      </w:r>
      <w:r>
        <w:rPr>
          <w:rFonts w:ascii="Times New Roman" w:hAnsi="Times New Roman"/>
          <w:sz w:val="20"/>
        </w:rPr>
        <w:t xml:space="preserve">. Any request to redeem public shares, once made, may be withdrawn at any time until the deadline for exercising redemption requests and thereafter, with our consent, until the vote is taken with respect to the Business Combination. If we receive valid redemption requests from holders of public shares prior to the redemption deadline, we may, at our sole discretion, following the redemption deadline and until the vote is taken with respect to the Business Combination,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your Redemption Rights, you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public units, separate the underlying public shares and public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5:00 p.m., Eastern Time, on                 , 2023 (two business days before the Special Meeting), tender your shares physically or electronically and submit a request in writing that we redeem your public shares for cash to Continental Stock Transfer &amp; Trust Company, our Transfer Agent, at the following address: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Continental Stock Transfer &amp; Trust Company </w:t>
      </w:r>
    </w:p>
    <w:p>
      <w:pPr>
        <w:pStyle w:val="TextBody"/>
        <w:bidi w:val="0"/>
        <w:spacing w:before="0" w:after="0"/>
        <w:jc w:val="center"/>
        <w:rPr>
          <w:rFonts w:ascii="Times New Roman" w:hAnsi="Times New Roman"/>
          <w:sz w:val="20"/>
        </w:rPr>
      </w:pPr>
      <w:r>
        <w:rPr>
          <w:rFonts w:ascii="Times New Roman" w:hAnsi="Times New Roman"/>
          <w:sz w:val="20"/>
        </w:rPr>
        <w:t xml:space="preserve">1 State Street  30th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10004 </w:t>
      </w:r>
    </w:p>
    <w:p>
      <w:pPr>
        <w:pStyle w:val="TextBody"/>
        <w:bidi w:val="0"/>
        <w:spacing w:before="0" w:after="0"/>
        <w:jc w:val="center"/>
        <w:rPr>
          <w:rFonts w:ascii="Times New Roman" w:hAnsi="Times New Roman"/>
          <w:sz w:val="20"/>
        </w:rPr>
      </w:pPr>
      <w:r>
        <w:rPr>
          <w:rFonts w:ascii="Times New Roman" w:hAnsi="Times New Roman"/>
          <w:sz w:val="20"/>
        </w:rPr>
        <w:t xml:space="preserve">Attention:                                               </w:t>
      </w:r>
    </w:p>
    <w:p>
      <w:pPr>
        <w:pStyle w:val="TextBody"/>
        <w:bidi w:val="0"/>
        <w:spacing w:before="0" w:after="0"/>
        <w:jc w:val="center"/>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your request to Continental Stock Transfer &amp; Trust Company for redemption, you must also affirmatively certify if you ARE or ARE NOT acting in concert or as a group (as defined in Section 13d-3 of the Exchange Act) with any other stockholder with respect to shares of Armada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your public shares either physically or electronically through DTCs DWAC system to our Transfer Agent at least two business days before the Special Meeting. 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Stockholders seeking to exercise their Redemption Rights, whether they are record holders or hold their shares in street name are required to either tender their certificates to our Transfer Agent prior to the date that is two business days prior to the Special Meeting, or to deliver their shares to the Transfer Agent electronically using DTCs DWAC system, at such stockholders option. </w:t>
      </w:r>
      <w:r>
        <w:rPr>
          <w:rFonts w:ascii="Times New Roman" w:hAnsi="Times New Roman"/>
          <w:b/>
          <w:sz w:val="20"/>
          <w:u w:val="single"/>
        </w:rPr>
        <w:t>The requirement for physical or electronic delivery prior to the Special Meeting ensures that a redeeming stockholders election to redeem is irrevocable once the Business Combination is approved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outstanding public units must separate the underlying public shares and public warrants prior to exercising Redemption Rights with respect to the public shares. </w:t>
      </w:r>
    </w:p>
    <w:p>
      <w:pPr>
        <w:pStyle w:val="TextBody"/>
        <w:bidi w:val="0"/>
        <w:spacing w:before="240" w:after="0"/>
        <w:jc w:val="left"/>
        <w:rPr>
          <w:rFonts w:ascii="Times New Roman" w:hAnsi="Times New Roman"/>
          <w:sz w:val="20"/>
        </w:rPr>
      </w:pPr>
      <w:r>
        <w:rPr>
          <w:rFonts w:ascii="Times New Roman" w:hAnsi="Times New Roman"/>
          <w:sz w:val="20"/>
        </w:rPr>
        <w:t xml:space="preserve">If you hold public units registered in your own name, you must deliver the certificate for such public units to Continental Stock Transfer &amp; Trust Company, our Transfer Agent, with written instructions to separate such public units into public shares and public warrants. This must be completed far enough in advance to permit the mailing of the public share certificates back to you so that you may then exercise your Redemption Rights upon the separation of the public shares from the public units. </w:t>
      </w:r>
    </w:p>
    <w:p>
      <w:pPr>
        <w:pStyle w:val="TextBody"/>
        <w:bidi w:val="0"/>
        <w:spacing w:before="240" w:after="0"/>
        <w:jc w:val="left"/>
        <w:rPr>
          <w:rFonts w:ascii="Times New Roman" w:hAnsi="Times New Roman"/>
          <w:sz w:val="20"/>
        </w:rPr>
      </w:pPr>
      <w:r>
        <w:rPr>
          <w:rFonts w:ascii="Times New Roman" w:hAnsi="Times New Roman"/>
          <w:sz w:val="20"/>
        </w:rPr>
        <w:t xml:space="preserve">If a broker, dealer, commercial bank, trust company or other nominee holds your public units, you must instruct such nominee to separate your public units. Your nominee must send written instructions by facsimile to Continental Stock Transfer &amp; Trust Company, our Transfer Agent. Such written instructions must include the number of public units to be split and the nominee holding such public units. Your nominee must also initiate electronically, using DTCs DWAC system, a withdrawal of the relevant units and a deposit of an equal number of public shares and completed far enough in advance to permit your nominee to exercise your Redemption Rights upon the separation of the public shares from the public units. While this is typically done electronically on the same business day, you should allow at least one full business day to accomplish the separation. If you fail to cause your public shares to be separated in a timely manner, you will likely not be able to exercise your Redemption Rights. </w:t>
      </w:r>
    </w:p>
    <w:p>
      <w:pPr>
        <w:pStyle w:val="TextBody"/>
        <w:bidi w:val="0"/>
        <w:spacing w:before="240" w:after="0"/>
        <w:jc w:val="left"/>
        <w:rPr>
          <w:rFonts w:ascii="Times New Roman" w:hAnsi="Times New Roman"/>
          <w:sz w:val="20"/>
        </w:rPr>
      </w:pPr>
      <w:r>
        <w:rPr>
          <w:rFonts w:ascii="Times New Roman" w:hAnsi="Times New Roman"/>
          <w:sz w:val="20"/>
        </w:rPr>
        <w:t xml:space="preserve">Each redemption of shares of Armada Common Stock by our public stockholders will reduce the amount in the Trust Account. Although the Armada Charter does not provide a specified maximum redemption threshold, the Armada Charter would prohibit Armada from closing the Business Combination if its net tangible assets would be less than $5,000,001, unless the Charter Limitation Amendment Proposal is approved and implemented. Holders of our outstanding public warrants do not have redemption rights for such public warrants in connection with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Prior to exercising Redemption Rights, stockholders should verify the market price of Armada Common Stock as they may receive higher proceeds from the sale of their shares of Armada Common Stock in the public market than from exercising their Redemption Rights if the market price per share is higher than the redemption price. We cannot assure you that you will be able to sell your shares of Armada Common Stock in the open market, even if the market price per share is higher than the redemption price stated above, as there may not be sufficient liquidity in Armada Common Stock when you wish to sell your shares. </w:t>
      </w:r>
    </w:p>
    <w:p>
      <w:pPr>
        <w:pStyle w:val="TextBody"/>
        <w:bidi w:val="0"/>
        <w:spacing w:before="240" w:after="0"/>
        <w:jc w:val="left"/>
        <w:rPr>
          <w:rFonts w:ascii="Times New Roman" w:hAnsi="Times New Roman"/>
          <w:b/>
          <w:sz w:val="20"/>
        </w:rPr>
      </w:pPr>
      <w:r>
        <w:rPr>
          <w:rFonts w:ascii="Times New Roman" w:hAnsi="Times New Roman"/>
          <w:b/>
          <w:sz w:val="20"/>
        </w:rPr>
        <w:t xml:space="preserve">If you exercise your Redemption Rights, your shares of Armada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post-combination company, if any. You will be entitled to receive cash for these shares only if you properly and timely demand redemption. </w:t>
      </w:r>
    </w:p>
    <w:p>
      <w:pPr>
        <w:pStyle w:val="TextBody"/>
        <w:bidi w:val="0"/>
        <w:spacing w:before="240" w:after="0"/>
        <w:jc w:val="left"/>
        <w:rPr>
          <w:rFonts w:ascii="Times New Roman" w:hAnsi="Times New Roman"/>
          <w:sz w:val="20"/>
        </w:rPr>
      </w:pPr>
      <w:r>
        <w:rPr>
          <w:rFonts w:ascii="Times New Roman" w:hAnsi="Times New Roman"/>
          <w:sz w:val="20"/>
        </w:rPr>
        <w:t xml:space="preserve">If the Business Combination is not approved and we do not consummate an initial business combination by August 17, 2023, unless we amend our certificate of incorporation to extend the time that we have to consummate a business combination, we will be required to dissolve and liquidate our Trust Account by returning the then remaining funds in such account to the public stockholders and our warrants will expire worthless.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Appraisal rights are not available to holders of shares of Armada Common Stock in connection with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Proxy Solicitation Costs </w:t>
      </w:r>
    </w:p>
    <w:p>
      <w:pPr>
        <w:pStyle w:val="TextBody"/>
        <w:bidi w:val="0"/>
        <w:spacing w:before="120" w:after="0"/>
        <w:jc w:val="left"/>
        <w:rPr>
          <w:rFonts w:ascii="Times New Roman" w:hAnsi="Times New Roman"/>
          <w:sz w:val="20"/>
        </w:rPr>
      </w:pPr>
      <w:r>
        <w:rPr>
          <w:rFonts w:ascii="Times New Roman" w:hAnsi="Times New Roman"/>
          <w:sz w:val="20"/>
        </w:rPr>
        <w:t xml:space="preserve">Armada is soliciting proxies on behalf of its Board. This proxy solicitation is being made by mail, but also may be made by telephone or in person. The Company has engaged                 to assist in the solicitation of proxies for the Special Meeting. Armada and its directors, officers and employees may also solicit proxies in person. Armada will ask banks, brokers and other institutions, nominees and fiduciaries to forward the proxy materials to their principals and to obtain their authority to execute proxies and voting instructions. </w:t>
      </w:r>
    </w:p>
    <w:p>
      <w:pPr>
        <w:pStyle w:val="TextBody"/>
        <w:bidi w:val="0"/>
        <w:spacing w:before="240" w:after="0"/>
        <w:jc w:val="left"/>
        <w:rPr>
          <w:rFonts w:ascii="Times New Roman" w:hAnsi="Times New Roman"/>
          <w:sz w:val="20"/>
        </w:rPr>
      </w:pPr>
      <w:r>
        <w:rPr>
          <w:rFonts w:ascii="Times New Roman" w:hAnsi="Times New Roman"/>
          <w:sz w:val="20"/>
        </w:rPr>
        <w:t xml:space="preserve">Armada will bear the entire cost of the proxy solicitation, including the preparation, assembly, printing, mailing and distribution of the proxy materials. Armada will pay                 a fee of $                , plus disbursements, reimburse                 for its reasonable out-of-pocket expenses and indemnify                 and its affiliates against certain claims, liabilities, losses, damages and expenses for their services as our proxy solicitor. We will reimburse brokerage firms and other custodians for their reasonable out-of-pocket expenses for forwarding the proxy materials to our stockholders. Directors, officers and employees of the Company who solicit proxies will not be paid any additional compensation for soliciting proxies.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x309194_15"/>
      <w:bookmarkEnd w:id="17"/>
      <w:r>
        <w:rPr>
          <w:rFonts w:ascii="Times New Roman" w:hAnsi="Times New Roman"/>
          <w:b/>
          <w:sz w:val="20"/>
        </w:rPr>
        <w:t xml:space="preserve">THE BUSINESS COMBINATION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Business Combination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Business Combination Agreement, Armada, Rezolve and Rezolve Merger Sub will effect a series of transactions, pursuant to which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 Company Reorganization and the Business Combination the shareholders of Rezolve will hold a number of Rezolve Ordinary Shares equal to the quotient obtained by dividing (x) $1,600,000,000 by (y) $10.00. They will also hold                  shares issued since December 17, 2021. </w:t>
      </w:r>
    </w:p>
    <w:p>
      <w:pPr>
        <w:pStyle w:val="TextBody"/>
        <w:bidi w:val="0"/>
        <w:spacing w:before="240" w:after="0"/>
        <w:jc w:val="left"/>
        <w:rPr>
          <w:rFonts w:ascii="Times New Roman" w:hAnsi="Times New Roman"/>
          <w:sz w:val="20"/>
        </w:rPr>
      </w:pPr>
      <w:r>
        <w:rPr>
          <w:rFonts w:ascii="Times New Roman" w:hAnsi="Times New Roman"/>
          <w:sz w:val="20"/>
        </w:rPr>
        <w:t xml:space="preserve">Upon the closing of the transactions, it is expected that Rezolve PLC will be listed on The Nasdaq Stock Market LLC under the new ticker symbol                 .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 Structure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diagram shows the current ownership of Armada, Rezolve Limited and Rezolve.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1. Current Ownership Structure1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2051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8485" cy="205105"/>
                    </a:xfrm>
                    <a:prstGeom prst="rect">
                      <a:avLst/>
                    </a:prstGeom>
                  </pic:spPr>
                </pic:pic>
              </a:graphicData>
            </a:graphic>
          </wp:inline>
        </w:drawing>
      </w:r>
      <w:r>
        <w:rPr/>
        <w:t xml:space="preserv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organization structures exclude ANY, which is a controlled Variable Interest Entity.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part of the Pre-Closing Demerger, Rezolve Limited will transfer all of its business and assets to Rezolve (except for certain shares in Rezolve Information Technology (Shanghai) Co Ltd and its wholly owned subsidiary Nine Stone (Shanghai) Ltd and Rezolve Information Technology (Shanghai) Co Ltd Beijing Branch) in exchange for the issue of shares in Rezolve to the shareholders of Rezolve Limited, as shown below. </w:t>
      </w:r>
    </w:p>
    <w:p>
      <w:pPr>
        <w:pStyle w:val="TextBody"/>
        <w:bidi w:val="0"/>
        <w:spacing w:before="240" w:after="0"/>
        <w:jc w:val="center"/>
        <w:rPr>
          <w:rFonts w:ascii="Times New Roman" w:hAnsi="Times New Roman"/>
          <w:b/>
          <w:sz w:val="20"/>
        </w:rPr>
      </w:pPr>
      <w:r>
        <w:rPr>
          <w:rFonts w:ascii="Times New Roman" w:hAnsi="Times New Roman"/>
          <w:b/>
          <w:sz w:val="20"/>
        </w:rPr>
        <w:t xml:space="preserve">2. Rezolve Pre-Closing Demerger2 </w:t>
      </w:r>
    </w:p>
    <w:p>
      <w:pPr>
        <w:pStyle w:val="TextBody"/>
        <w:bidi w:val="0"/>
        <w:spacing w:before="0" w:after="0"/>
        <w:jc w:val="left"/>
        <w:rPr/>
      </w:pPr>
      <w:r>
        <w:rPr/>
        <w:t> </w:t>
      </w:r>
    </w:p>
    <w:p>
      <w:pPr>
        <w:pStyle w:val="TextBody"/>
        <w:bidi w:val="0"/>
        <w:spacing w:before="0" w:after="0"/>
        <w:jc w:val="center"/>
        <w:rPr/>
      </w:pPr>
      <w:r>
        <w:rPr/>
        <w:drawing>
          <wp:inline distT="0" distB="0" distL="0" distR="0">
            <wp:extent cx="580390" cy="254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80390" cy="254000"/>
                    </a:xfrm>
                    <a:prstGeom prst="rect">
                      <a:avLst/>
                    </a:prstGeom>
                  </pic:spPr>
                </pic:pic>
              </a:graphicData>
            </a:graphic>
          </wp:inline>
        </w:drawing>
      </w:r>
      <w:r>
        <w:rPr/>
        <w:t xml:space="preserv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organization structures exclude ANY, which is a controlled Variable Interest Entity.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3. Rezolve AI Limited Post Pre-Closing Demerger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1797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7850" cy="17970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as shown below. </w:t>
      </w:r>
    </w:p>
    <w:p>
      <w:pPr>
        <w:pStyle w:val="TextBody"/>
        <w:bidi w:val="0"/>
        <w:spacing w:before="240" w:after="0"/>
        <w:jc w:val="center"/>
        <w:rPr>
          <w:rFonts w:ascii="Times New Roman" w:hAnsi="Times New Roman"/>
          <w:b/>
          <w:sz w:val="20"/>
        </w:rPr>
      </w:pPr>
      <w:r>
        <w:rPr>
          <w:rFonts w:ascii="Times New Roman" w:hAnsi="Times New Roman"/>
          <w:b/>
          <w:sz w:val="20"/>
        </w:rPr>
        <w:t xml:space="preserve">4. Armada Merges Into Rezolve Merger Sub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12763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8485" cy="1276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5. Post-Closing Structure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18859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8485" cy="18859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Armada Common Stock </w:t>
      </w:r>
    </w:p>
    <w:p>
      <w:pPr>
        <w:pStyle w:val="TextBody"/>
        <w:bidi w:val="0"/>
        <w:spacing w:before="120" w:after="0"/>
        <w:jc w:val="left"/>
        <w:rPr>
          <w:rFonts w:ascii="Times New Roman" w:hAnsi="Times New Roman"/>
          <w:sz w:val="20"/>
        </w:rPr>
      </w:pPr>
      <w:r>
        <w:rPr>
          <w:rFonts w:ascii="Times New Roman" w:hAnsi="Times New Roman"/>
          <w:sz w:val="20"/>
        </w:rPr>
        <w:t xml:space="preserve">Each of Rezolves board of directors and the Board has approved the Business Combination Agreement, which provides for the Merger of Rezolve Merger Sub, a wholly-owned subsidiary of Rezolve, with and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Armada. Armada will be the surviving entity in the Merger and will become a wholly-owned subsidiary of Rezolve. As a result of the Merger, each of the outstanding shares of Armada Common Stock held by the shareholders of Armada will be exchanged for one Ordinary Share of Rezolve.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Armada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to purchase one share of Armada Common Stock at an issue price of $11.50 per share (each an Armada Warrant) issued and outstanding immediately prior to the effective time of the Merger shall be exchanged for one warrant to purchase one (1) Rezolve Ordinary Share at an issue price of $11.50 (each a Rezolve Warrant) (or any fraction thereof, as applicable, and if any holder has any entitlement to a fraction of a Rezolve Warrant upon the exchange of all the Armada Warrants so held by him then that fraction will be rounded down) and shall thereupon be terminated and no longer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Agreement contains customary representations and warranties of the parties thereto with respect to, among other things, (i) entity organization and qualification, (ii) capitalization, (iii) authorization to enter into such agreements, (iv) financial statements, (v) consents and requisite government approvals, (vi) licenses and permits, (vii) material contracts, (viii) absence of changes, (ix) litigation, (x) compliance with law, (xi) employee plans, (xii) environmental matters, (xiii) intellectual property, (xiv) labor matters, (xv) insurance, (xvi) tax matters, (xvii) brokers, (xviii) real and personal property, (xix) transactions with affiliates, (xx) data privacy and security, (xxi) compliance with international trade and anti-corruption laws, (xxii) information supplied, and (xxiii) regulatory compliance.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Armada to consummate the Closing of the transaction are subject to no Company Material Adverse Effect having occurred. For this purpose Company Material Adverse Effect means any change, event, effect or occurrence that, individually or in the aggregate with any other change, event, effect or occurrence, has had or would reasonably be expected to have a material adverse effect on (a) the business, assets, results of operations or financial condition of Rezolve and its subsidiaries, taken as a whole, or (b) the ability of Rezolve to consummate the transactions contemplated under the Business Combination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Covenants and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Agreement includes customary covenants of the parties with respect to the operation of Rezolves business prior to the consummation of the Business Combination, and, as applicable, efforts to satisfy the conditions to consummation of the Business Combination. The Business Combination Agreement also contains additional covenants of the parties, including, among others, covenants providing for the parties to use their reasonable best efforts to obtain all consents, approvals, authorizations, qualifications and orders of Governmental Authorities and other persons to fulfill the conditions therein, as set forth in the Business Combination Agreement, and for the preparation and filing of a registration statement on Form F-4 relating to the Business Combination and the preparation of a proxy statement of Armada. </w:t>
      </w:r>
    </w:p>
    <w:p>
      <w:pPr>
        <w:pStyle w:val="TextBody"/>
        <w:bidi w:val="0"/>
        <w:spacing w:before="360" w:after="0"/>
        <w:jc w:val="left"/>
        <w:rPr>
          <w:rFonts w:ascii="Times New Roman" w:hAnsi="Times New Roman"/>
          <w:b/>
          <w:i/>
          <w:sz w:val="20"/>
        </w:rPr>
      </w:pPr>
      <w:r>
        <w:rPr>
          <w:rFonts w:ascii="Times New Roman" w:hAnsi="Times New Roman"/>
          <w:b/>
          <w:i/>
          <w:sz w:val="20"/>
        </w:rPr>
        <w:t xml:space="preserve">Closing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Reorganization is to occur on the first business day following the satisfaction of the specified conditions and following the Company Reorganization Date, the Merger Closing is to take place. </w:t>
      </w:r>
    </w:p>
    <w:p>
      <w:pPr>
        <w:pStyle w:val="TextBody"/>
        <w:bidi w:val="0"/>
        <w:spacing w:before="240" w:after="0"/>
        <w:jc w:val="left"/>
        <w:rPr>
          <w:rFonts w:ascii="Times New Roman" w:hAnsi="Times New Roman"/>
          <w:sz w:val="20"/>
        </w:rPr>
      </w:pPr>
      <w:r>
        <w:rPr>
          <w:rFonts w:ascii="Times New Roman" w:hAnsi="Times New Roman"/>
          <w:sz w:val="20"/>
        </w:rPr>
        <w:t xml:space="preserve">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 (b) the registration statement of Rezolve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have become effective; (c) Armadas stockholders shall have approved, among other things, the Business Combination; (d) written consent of the requisite stockholders of Rezolve shall have been given; (e) the Pre-Closing Demerger, Company Reorganization and Merger shall have occurred; (f) the expiration or termination of any applicable waiting period under applicable anti-trust laws; (g) the Ordinary Shares of Rezolve being listed on The Nasdaq Stock Market LLC or other applicable national exchange as of the Closing Date; (h) the Rezolve Incentive Equity Plan shall have been adopted and (i) the parties shall have become parties to the Investor Rights Agreement. The Armada Charter would prohibit Armada from closing the Business Combination if its net tangible assets would be less than $5,000,001, unless the Charter Limitation Amendment Proposal is approved and implemented.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Effectiveness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Agreement allows the parties to terminate such agreements if certain conditions described therein are satisfied, including as follows: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Agreement may be terminated: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Armada and Rezolve;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Armada or Rezolve, if the other party has breached any of its representations and warranties or failed to perform any of its covenants or agreements, in each case, such that certain conditions to Closing would not be satisfied and the breach of such representations, warranties, covenants or agreements, as applicable, is (or are) not cured or cannot be cured within the earlier of (i) 30 days after written notice thereof is delivered to the breaching party, and (ii) the Termination Date (as defined below), provided that no party may exercise its right to terminate the Business Combination Agreement if such party is then in breach of the Business Combination Agreement so as to prevent certain conditions to Closing from being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by either Armada or Rezolve if the Business Combination is not consummated on or before August 2, 2023 (the </w:t>
            </w:r>
            <w:r>
              <w:rPr>
                <w:rFonts w:ascii="Times New Roman" w:hAnsi="Times New Roman"/>
                <w:i/>
                <w:sz w:val="20"/>
              </w:rPr>
              <w:t>Termination Date</w:t>
            </w:r>
            <w:r>
              <w:rPr>
                <w:rFonts w:ascii="Times New Roman" w:hAnsi="Times New Roman"/>
                <w:sz w:val="20"/>
              </w:rPr>
              <w:t xml:space="preserve">), provided that the right to terminate the Business Combination Agreement will not be available to any party whose breach of any of its covenants or obligations under the Business Combination Agreement has primarily caused the failure of the Business Combination to occur on or before the Termination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Armada or Rezolve if a governmental entity shall have issued an order, decree, judgment or ruling or taken any other action, in any case having the effect of permanently restraining, enjoining or otherwise prohibiting the Business Combination, which order, decree, judgment, ruling or other action is final and non-appealable;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Armada or Rezolve if the Armada shareholder approval has not been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Armada if Rezolve does not deliver, or cause to be delivered, the written consent of Rezolves shareholders within twenty-four (24) hours after Armada notifies Rezolve of the effectiveness of the Registration Statement;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Armada if the PCAOB financial statements are not delivered to Armada by Rezolve on or before the date that is sixty (60) days from the date of the Business Combination Agreement.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The fees and expenses incurred in connection with the Business Combination Agreement, the ancillary agreements and the transactions contemplated thereby, including the fees and disbursements of counsel, financial advisors and accountants, will be paid by the party incurring such fees or expenses. However, (i) if the Business Combination Agreement is terminated in accordance with its terms, Rezolve will pay, or cause to be paid, all unpaid Rezolve expenses and Armada will pay, or cause to be paid, all unpaid Armada expenses, and (ii) if the Closing occurs, then Rezolve will pay, or cause to be paid, all unpaid Rezolve expenses and all unpaid Armada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Ancillary Agreements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section describes certain additional agreements entered into or to be entered into pursuant to the Business Combination Agreement, but does not purport to describe all of the terms thereof (the Ancillary Agreements). The following summary is qualified in its entirety by reference to the complete text of each of the agreements. The full text of the related agreements, or forms thereof, are filed as annexes to this proxy statement/prospectus or as exhibits to the registration statement of which this proxy statement/prospectus forms a part, and the following descriptions are qualified in their entirety by the full text of such annexes and exhibits. Shareholders and other interested parties are urged to read such Ancillary Agreements in their entirety prior to voting on the proposals presented at the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 Incentive Equity Plan </w:t>
      </w:r>
    </w:p>
    <w:p>
      <w:pPr>
        <w:pStyle w:val="TextBody"/>
        <w:bidi w:val="0"/>
        <w:spacing w:before="120" w:after="0"/>
        <w:jc w:val="left"/>
        <w:rPr>
          <w:rFonts w:ascii="Times New Roman" w:hAnsi="Times New Roman"/>
          <w:sz w:val="20"/>
        </w:rPr>
      </w:pPr>
      <w:r>
        <w:rPr>
          <w:rFonts w:ascii="Times New Roman" w:hAnsi="Times New Roman"/>
          <w:sz w:val="20"/>
        </w:rPr>
        <w:t>In connection with the Business Combination, Rezolve shall adopt, prior to or effective upon the Closing, the Rezolve Incentive Equity Plan, subject to Armada shareholder approval, prior to the Closing, in order to facilitate the grant of equity awards to attract, retain and incentivize employees (including the named executive officers), independent contractors and directors of Rezolve and its affiliates, which is essential to Rezolves long-term success. For additional information about the Rezolve Incentive Equity Plan, please see the section titled </w:t>
      </w:r>
      <w:r>
        <w:rPr>
          <w:rFonts w:ascii="Times New Roman" w:hAnsi="Times New Roman"/>
          <w:i/>
          <w:sz w:val="20"/>
        </w:rPr>
        <w:t>The</w:t>
      </w:r>
      <w:r>
        <w:rPr>
          <w:rFonts w:ascii="Times New Roman" w:hAnsi="Times New Roman"/>
          <w:sz w:val="20"/>
        </w:rPr>
        <w:t> </w:t>
      </w:r>
      <w:r>
        <w:rPr>
          <w:rFonts w:ascii="Times New Roman" w:hAnsi="Times New Roman"/>
          <w:i/>
          <w:sz w:val="20"/>
        </w:rPr>
        <w:t>Incentive Equity Plan Proposal</w:t>
      </w:r>
      <w:r>
        <w:rPr>
          <w:rFonts w:ascii="Times New Roman" w:hAnsi="Times New Roman"/>
          <w:sz w:val="20"/>
        </w:rPr>
        <w:t xml:space="preserve"> in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 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Business Combination Agreement, Armada and the Key Company Shareholders (as defined in the Business Combination Agreement) have entered into the Transaction Support Agreement (the Transaction Support Agreement), pursuant to which, among other things, the Key Company Shareholders have agreed to (a) vote in favor of the Pre-Closing Demerger and the Company Reorganization (b) vote in favor of the Business Combination Agreement and the agreements contemplated thereby and the transactions contemplated hereby, (c) enter into the Investor Rights Agreement (as described below) at Closing and (d) the termination of certain agreements effective as of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Business Combination Agreement, in connection with the Business Combination, Rezolve and certain stockholders of Rezolve (the Holders) shall enter into an Investor Rights Agreement (the Investor Rights Agreement) at the closing of the Business Combination. Pursuant to the terms of the Investor Rights Agreement, subject to certain requirements and customary conditions, including with regard to the number of demand rights that may be exercised and compliance with the applicable lock-up period, each of the Sponsor and the Holders may demand at any time or from time to time, that Rezolve files a registration statement on Form F-1 or Form F-3 to register their respective Ordinary Shares of Rezolve or to conduct an underwritten offering. The Investor Rights Agreement will also provide the Holders with piggy-back registration rights, subject to certain requirements and customary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Investor Rights Agreement provides that, other than to certain permitted transferees that have become a party to the Investor Rights Agreement, the Holders shall not transfer, pledge (except as collateral to any financing source in the ordinary course) or sell, or grant any option with respect to, enter into any swap or other arrangements that transfers any of the economic benefits of, or publicly announce any intention to enter into such an agreement or arrangement with respect to any of their Ordinary Shares of Rezolve beneficially owned or owned of record by such Holders for a period of one hundred and eighty (180) days after the closing date of the Business Combination (the Initial Lockup Period) except, that, with respect to ten percent (10%) of the Registrable Securities (the 10% Lockup Shares), the Initial Lockup Period shall expire earlier as follows: (x) with respect to one-third of the 10% Lockup Shares, on the date on which the trading price is greater than $12.00 per share (as adjusted for stock splits, stock dividends, reorganizations, recapitalizations and the like)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twenty (20) trading days within any thirty (30)-trading day period, (y) with respect to an additional one-third of the 10% Lockup Shares, on the date on which the trading price of the Ordinary Shares is greater than $14.00 per share (as adjusted for stock splits, stock dividends, reorganizations, recapitalizations and the like) for any twenty (20) trading days within any thirty (30)-trading day period; and (z) with respect to the remaining one-third of the 10% Lockup Shares, on the date on which the trading price of the Ordinary Shares is greater than $16.00 per share (as adjusted for stock splits, stock dividends, reorganizations, recapitalizations and the like) for any twenty (20) trading days within any thirty (30)-trading day period. </w:t>
      </w:r>
    </w:p>
    <w:p>
      <w:pPr>
        <w:pStyle w:val="TextBody"/>
        <w:bidi w:val="0"/>
        <w:spacing w:before="240" w:after="0"/>
        <w:jc w:val="left"/>
        <w:rPr>
          <w:rFonts w:ascii="Times New Roman" w:hAnsi="Times New Roman"/>
          <w:sz w:val="20"/>
        </w:rPr>
      </w:pPr>
      <w:r>
        <w:rPr>
          <w:rFonts w:ascii="Times New Roman" w:hAnsi="Times New Roman"/>
          <w:sz w:val="20"/>
        </w:rPr>
        <w:t xml:space="preserve">The lockup provisions of the Investor Rights Agreement do not apply to the Ordinary Shares of Rezolve held by EarlyBird Capital, Inc. or the Ordinary Shares pursuant to the Convertible Notes (and described below). Rezolve may determine that the Initial Lockup Period will not apply to certain holders from time to time to enable Ordinary Shares to be sold in the market. </w:t>
      </w:r>
    </w:p>
    <w:p>
      <w:pPr>
        <w:pStyle w:val="TextBody"/>
        <w:bidi w:val="0"/>
        <w:spacing w:before="240" w:after="0"/>
        <w:jc w:val="left"/>
        <w:rPr>
          <w:rFonts w:ascii="Times New Roman" w:hAnsi="Times New Roman"/>
          <w:sz w:val="20"/>
        </w:rPr>
      </w:pPr>
      <w:r>
        <w:rPr>
          <w:rFonts w:ascii="Times New Roman" w:hAnsi="Times New Roman"/>
          <w:sz w:val="20"/>
        </w:rPr>
        <w:t xml:space="preserve">Under the Investor Rights Agreement, the Sponsor and the Holders will also be entitled to nominate individuals to the board of directors of Rezolve following the Closing, in each case, on the terms and subject to the conditions set forth therein. In particular, such securityholders will agree to take all necessary and desirable actions such that (i) on Closing it is envisaged the size of the board of directors shall initially be comprised of eight (8) (provided that Daniel Wagner shall have the right to appoint an additional director to the Board from time to time) members and thereafter may be changed from time to time by resolution of the board of directors in accordance with the Memorandum and Articles of Association and (ii) while the size of the Board is eight (8) members, at least                      of those members (and if the size of the Board is nine (9) or ten (10) members, at least                      of those members) shall satisfy the independence criteria of the applicable national exchange on which the Ordinary Shares are then listed. Additionally, Rezolve and such securityholders will agree to take all necessary and desirable actions such that the following individuals will initially be elected to the Rezolve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 long as Daniel Wagner together with his affiliates beneficially owns any of the issued and outstanding Ordinary Shares of Rezolve, up to seven (7) individuals may be nominated by Daniel Wagner who will initially be: comprised of the following six (6) directors: Daniel Wagner, Anthony Sharp, Sir David Wright, Stephen Perry, John Wagner and Derek Smith (and Daniel Wagner shall have the right to appoint an additional director to the Board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period of 12 months from the Closing Date and for so long as the Sponsor and its affiliates or permitted transferees beneficially owns any of the issued and outstanding Ordinary Shares of Rezolve, two (2) individuals designated in writing by the Sponsor, at least one of whom shall satisfy the independence criteria of the applicable national exchange on which the Ordinary Shares are then listed;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 long as the Sponsor group has nomination rights under the Investor Rights Agreement, one director to be mutually determined by the nominating committee and the Sponsor group, who shall satisfy the independence criteria of the applicable national exchange on which the Ordinary Shares of Rezolve are then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execution of the Investor Rights Agreement, the registration rights agreement dated August 12, 2021 between Armada and the Sponsor will be terminated.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Business Combination Agreement, on December 16, 2021, Rezolve Limited entered into a secured convertible loan note instrument, as amended and restated on November 21, 2022 and as further amended and restated on May 23, 2023 (the Loan Note Instrument) and currently is in respect of an aggregate amount of $39,625,000 loan notes of $1.00 each in the capital of Rezolve Limited (the Convertible Notes) of which $31,125,000 are in issue and a further $8,500,000 will be issued on completion of the Pre-Closing Demerger and are secured by debentures over the assets of Rezolve Limited. It is intended that with effect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completion of the Pre-Closing Demerger, the Loan Note Instrument be novated to Rezolve and be secured by a debenture over the assets of Rezolve. The principal and interest on the Convertible Notes is convertible into ordinary shares of Rezolve Limited (or after the Pre-Closing Demerger into Rezolve Ordinary Shares) at a 30% discount to the equity value of such ordinary shares (or after the Pre-Closing Demerger, Rezolve Ordinary Shares) in connection with the consummation of the Business Combination or if less at a 30% discount to the annual average VWAP for the year ended on the latest December 31 falling after Closing. The Convertible Notes will mature on the date falling three years after Closing (or on December 31, 2024 if Closing has not occurred by then), bear interest of 7.5% per annum prior to Closing and at 0% after Closing (save when an event of default has occurred and is continuing, a 10% interest rate will apply) and are redeemable by the noteholder on certain events, including, without limitation, the failure of Rezolve Limited (or after the Pre-Closing Demerger, Rezolve) to pay any amount due thereunder when due.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Loan Note Instrument, Rezolve Limited (or after the Pre-Closing Demerger, Rezolve) has given certain covenants to the noteholders which remain in force while the Convertible Notes are outstanding, including that (i) Rezolve Limited and its subsidiaries (or after the Pre-Closing Demerger, Rezolve and its subsidiaries) shall not incur any indebtedness that would rank senior to the Convertible Notes without the prior consent of holders of more than two-thirds of the aggregate principal amount of the Convertible Notes outstanding from time to time (the Noteholder Majority); and (ii) for so long as one or more of Apeiron Investment Group Ltd, Bradley Wickens and any of their respective affiliates (including any other person with the prior written consent of Rezolve Limited (or after the Pre-Closing Demerger, Rezolve), not to be unreasonably withheld, delayed or conditioned) holds at least $20,000,000 in aggregate of the principal amount of the Convertible Notes from time to time, Rezolve Limited and its subsidiaries (or after the Pre-Closing Demerger, Rezolve and its subsidiaries) shall not enter into any Extraordinary Transactions (as defined below) without the prior consent of a Noteholder Majority. The definition of Extraordinary Transactions covers the occurrence of (a) making, or permitting any subsidiary to make, any loan or advance to any person unless such person is wholly owned by Rezolve Limited (or after the Pre-Closing Demerger, Rezolve) or, in the case of a natural person, is an employee or director of Rezolve Limited (or after the Pre-Closing Demerger, Rezolve) and such loan or advance is made in the ordinary course of business under the terms of an employee stock or option plan that has been notified to the noteholders; (b) guaranteeing, directly or indirectly, or permitting any subsidiary to guarantee, directly or indirectly, any indebtedness except for trade accounts of Rezolve Limited or any of its subsidiaries (or after the Pre-Closing Demerger, Rezolve or any of its subsidiaries) arising in the ordinary course of business; (c) changing the principal business of Rezolve Limited (or after the Pre-Closing Demerger,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 of Rezolve Limited (or after the Pre-Closing Demerger, Rezolve) for the 90 calendar days prior to such transaction (calculated based on the volume-weighted average share price of the shares of Rezolve Limited (or after the Pre-Closing Demerger, Rezolve) in that period) or (y) other than (A) on arms length terms, and (B) for the purpose of promoting the success of Rezolve Limited (or after the Pre-Closing Demerger, Rezolve); (g) amending the articles of association of Rezolve Limited (or after the Pre-Closing Demerger, Rezolve) in a manner that is adverse to the noteholders; (h) effecting any merger, combination, reorganization, scheme of arrangement, restructuring plan or other similar transaction except for any merger, combination or scheme of arrangement undertaken solely to implement the acquisition or disposition of assets which would not constitute an Extraordinary Transaction (as defined in the Loan Note Instrument) under (f); and (i) liquidating, dissolving or winding up the affairs of Rezolve Limited (or after the Pre-Closing Demerger, Rezolve). </w:t>
      </w:r>
    </w:p>
    <w:p>
      <w:pPr>
        <w:pStyle w:val="TextBody"/>
        <w:bidi w:val="0"/>
        <w:spacing w:before="240" w:after="0"/>
        <w:jc w:val="left"/>
        <w:rPr>
          <w:rFonts w:ascii="Times New Roman" w:hAnsi="Times New Roman"/>
          <w:sz w:val="20"/>
        </w:rPr>
      </w:pPr>
      <w:r>
        <w:rPr>
          <w:rFonts w:ascii="Times New Roman" w:hAnsi="Times New Roman"/>
          <w:sz w:val="20"/>
        </w:rPr>
        <w:t xml:space="preserve">The Convertible Notes will not be repaid at the Closing of the Business Combination and will either convert into Rezolve Ordinary Shares or remain outstanding. The Convertible Notes will not be registered under the Securities Act and have been issued in reliance on the exemption from registration requirements thereof provided by Regulation S promulgated thereunder as a transaction solely to non-US persons (as defined in Regulation 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Rezolve Limited (and after the Pre-Closing Demerger, Rezolve) has agreed that, within forty five (45) days from the date of listing on Nasdaq (the Registration Deadline), it will file with the SEC a registration statement (the Registration Statement) registering the resale of the Convertible Notes held by any Major Investors from time to time (any Convertible Notes and Rezolve Shares held by Major Investors, the Registrable Securities)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 Rezolve Limited (and after the Pre-Closing Demerger, 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Limited (and after the Pre-Closing Demerger, Rezolve) will use commercially reasonable efforts to qualify the Registrable Securities for listing on the applicable stock exchange. If the SEC prevents Rezolve Limited (or after the Pre-Closing Demerger,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Major Investor means any noteholder that, individually or together with such noteholders affiliates, holds at least $5,000,000 in aggregate principal amount of Convertible Notes or at least 5,000,000 Rezolve Shares of Registrable Securities (as adjusted for any stock split, stock dividend, combination, or other recapitalization or reclassification effected after the date hereof).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of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Armada is a blank check company incorporated in Delaware on November 5, 2020 for the purpose of effecting a merger, share exchange, asset acquisition, share purchase, reorganization or similar business combination with one or more businesses. Armada has sought to capitalize on the substantial deal sourcing, investing and operating expertise of its management team and Armadas advisors to identify and combine with a business that provides digital, on-line, or mobile payment solutions, processing and gateway services, point-of-sale technologies, consumer engagement platforms, and ecommerce and loyalty solutions.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Business Combination are the result of arms-length negotiations among the representatives of Armada and Rezolve. The following is a brief description of the background of these negotiations and the resulting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for Armadas initial public offering was declared effective by the SEC on August 12, 2021. On August 17, 2021, Armada consummated its initial public offering of 15,000,000 Units at $10.00 per Unit, generating gross proceeds of $150.0 million. Each Unit consists of one share of common stock, and one-half of one redeemable warrant to purchase one share of common stock at a price of $11.50 per whole share. Simultaneously with the closing of Armadas initial public offering, Armada completed the private sale of an aggregate of 459,500 shares of common stock to the Sponsor at a purchase price of $10.00 per share, generating gross proceeds to the Company of $4.595 million. Armadas original certificate of incorporation provided that it had until 15 months from the closing of its initial public offering (or November 17, 2022) to consummate an initial business combination. Armada held an annual meeting of its stockholders on February 2, 2023 and at the Annual Meeting the stockholders approved an amendment to the certificate of incorporation to provide a further extension such that Armada has, at its election, until as late as August 17, 2023 to consummate the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consummation of its initial public offering, neither Armada, nor anyone on its behalf, contacted any prospective target business or had any substantive discussions, formal or otherwise, with respect to a transaction with Armada. Following the closing of Armadas initial public offering on August 17, 2021, Armadas management team began meetings with prospective third-party advisors to assist with its due diligence review of potential business combination targets and engaged Northland Securities, Inc. (Northland) and Cohen &amp; Company Capital Markets, a division of J.V.B. Financial Group, LLC (CCM) as advisors for its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After Armadas initial public offering and following the engagement of Northland and CCM, Armadas management commenced an active search for prospective business combination targets with the objective of consummating an acquisition. Armadas management commenced its search for a potential business combination target on August 24, 2021 by reviewing lists of potential business combination targets prepared by Armada management with representatives of CCM. Armada management organized the list into three different sets of potential acquisition targets. The first set of potential acquisition targets comprised 7 FinTech companies (the FinTech Target List), all of which fit within its acquisition criteria, but only one of which Armadas management determined to pursue discussions with, Company A. The second set of potential acquisition targets comprised 17 potential acquisition targets in the technology space (the Technology Target List). The acquisition targets on the Technology Target List potentially fit within Armadas acquisition criteria; however, substantial further review of the targets on the Technology Target List would have been required by Armada management to make such a determination due to the lack of familiarity with the potential acquisition targets by Armada management and, as a result, Armadas management did not pursue any of the acquisition targets in the Technology Target List. The third set of potential acquisition targets comprised a set of 10 potential acquisition targets in the Blockchain/Cryptocurrency industry (the Crypto Target List), only one of which Armadas management believed may have met its acquisition criteria. As discussed in more detail below, Armada entered into discussions with Company A and its representatives, which was on the FinTech Target List, pursuant to a signed non-disclosure agreement. CCM also contacted the potential acquisition target on the Crypto Target List that may have met Armadas acquisition criteria; however, the prospective target turned down the opportunity to engage in discussions with Armada because it indicated it was not interested in pursuing a deal with a special purpose acquisition company.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which potential business combination opportunities to pursue, Armadas management considered a variety of factors in selecting potential business combination targets, including, but not limited to, the potential transaction size and enterprise value for the target relative to the size of Armadas Trust Account; the industry in which the target operates, with a focus on those targets that fit within the acquisition criteria set forth in its final prospectus for Armadas initial public offering in the digital, on-line or mobile payment solutions, processing and gateway services sectors, and/or with point-of-sale technologies, consumer marketing platforms, and e-commerce and loyalty solutions; and the public company readiness of the potential business combination targets, including the experience and composition of the management teams of the potential business combination targets. </w:t>
      </w:r>
    </w:p>
    <w:p>
      <w:pPr>
        <w:pStyle w:val="TextBody"/>
        <w:bidi w:val="0"/>
        <w:spacing w:before="240" w:after="0"/>
        <w:jc w:val="left"/>
        <w:rPr>
          <w:rFonts w:ascii="Times New Roman" w:hAnsi="Times New Roman"/>
          <w:sz w:val="20"/>
        </w:rPr>
      </w:pPr>
      <w:r>
        <w:rPr>
          <w:rFonts w:ascii="Times New Roman" w:hAnsi="Times New Roman"/>
          <w:sz w:val="20"/>
        </w:rPr>
        <w:t xml:space="preserve">Representatives of CCM introduced Rezolve to Armadas management as a potential business combination target that was a provider of e-commerce software solutions. On or about August 30, 2021, CCM arranged for an introductory call between certain members of Armadas management team and certain members of Rezolves management team, during which the parties discussed a possible business combination between Armada and Rezolve. </w:t>
      </w:r>
    </w:p>
    <w:p>
      <w:pPr>
        <w:pStyle w:val="TextBody"/>
        <w:bidi w:val="0"/>
        <w:spacing w:before="240" w:after="0"/>
        <w:jc w:val="left"/>
        <w:rPr>
          <w:rFonts w:ascii="Times New Roman" w:hAnsi="Times New Roman"/>
          <w:sz w:val="20"/>
        </w:rPr>
      </w:pPr>
      <w:r>
        <w:rPr>
          <w:rFonts w:ascii="Times New Roman" w:hAnsi="Times New Roman"/>
          <w:sz w:val="20"/>
        </w:rPr>
        <w:t xml:space="preserve">Between August 23, 2021 and August 30, 2021, Armadas management team negotiated two non-disclosure agreements with Company A and Rezolve, and held introductory calls with these targets. Armada additionally reviewed investor presentations with Rezolve during this period. Such non-disclosure agreements contained customary terms for a special purpose acquisition company and a private company target, including confidentiality provisions and use restrictions for information provided by the target and exceptions to such provisions. Further, such non-disclosure agreements did not contain any standstill or dont ask, dont waive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provisions. Following the execution of the non-disclosure agreement with Armada, Rezolve provided access to its curated data room to Armadas management team and certain of its advisors on August 30, 2021. </w:t>
      </w:r>
    </w:p>
    <w:p>
      <w:pPr>
        <w:pStyle w:val="TextBody"/>
        <w:bidi w:val="0"/>
        <w:spacing w:before="240" w:after="0"/>
        <w:jc w:val="left"/>
        <w:rPr>
          <w:rFonts w:ascii="Times New Roman" w:hAnsi="Times New Roman"/>
          <w:sz w:val="20"/>
        </w:rPr>
      </w:pPr>
      <w:r>
        <w:rPr>
          <w:rFonts w:ascii="Times New Roman" w:hAnsi="Times New Roman"/>
          <w:sz w:val="20"/>
        </w:rPr>
        <w:t xml:space="preserve">On September 1, 2021, Rezolve sent Armada a proposed letter of intent for a business combination reflecting a pre-money total enterprise value of $2.0 billion. Rezolve further indicated to Armada that it was in substantive negotiations with at least one other special purpose acquisition company at the same time and that its board of directors planned to choose a final SPAC counterparty at its next board meeting to be held in the next few days. On September 2, 2021, Armada held a meeting with its board of directors at which Armadas management reviewed with the board of directors the business combination target search conducted to date and the terms of the proposed letter of intent received from Rezolve. Following its review of Armada managements search for a business combination target that had been conducted and the terms of the proposed letter of intent with Rezolve, and in light of Rezolves stated intention to sign a letter of intent with one of the special purpose acquisition companies with which it was in discussions, Armadas board of directors authorized Armadas management to negotiate a letter of intent with Rezolve. </w:t>
      </w:r>
    </w:p>
    <w:p>
      <w:pPr>
        <w:pStyle w:val="TextBody"/>
        <w:bidi w:val="0"/>
        <w:spacing w:before="240" w:after="0"/>
        <w:jc w:val="left"/>
        <w:rPr>
          <w:rFonts w:ascii="Times New Roman" w:hAnsi="Times New Roman"/>
          <w:sz w:val="20"/>
        </w:rPr>
      </w:pPr>
      <w:r>
        <w:rPr>
          <w:rFonts w:ascii="Times New Roman" w:hAnsi="Times New Roman"/>
          <w:sz w:val="20"/>
        </w:rPr>
        <w:t xml:space="preserve">Between September 2, 2021 and September 7, 2021, representatives of Armada and representatives of Rezolve negotiated the terms of a letter of intent, including discussions of the preliminary valuation for Rezolve. On September 4, 2021, representatives of Armada, CCM and Rezolve held a due diligence call that included discussion of Rezolves historic and projected revenues and EBITDA assumptions underlying Rezolves proposed valuation under the terms of the proposed letter of intent. Following that due diligence call, representatives of Armada sent its letter of intent response to Rezolve that reflected a pre-money enterprise value of $1.75 billion. On September 7, 2021, Armada and Rezolve entered into a letter of intent for the proposed Business Combination at a pre-money total enterprise value of $1.75 billion, subject to no purchase price adjustments for net debt or working capital, but otherwise contemplating typical covenants regarding the operation of the business between signing and closing of the Business Combination. The pre-money total enterprise value was based on 3.3 times Rezolves projected revenues for 2022, 0.8 times Rezolves projected revenues for 2023 and approximately 2.0 times Rezolves projected EBITDA for 2023, which were the same projected financial results of Rezolve relied upon in connection with the opinion of Northland herein discussed. </w:t>
      </w:r>
    </w:p>
    <w:p>
      <w:pPr>
        <w:pStyle w:val="TextBody"/>
        <w:bidi w:val="0"/>
        <w:spacing w:before="240" w:after="0"/>
        <w:jc w:val="left"/>
        <w:rPr>
          <w:rFonts w:ascii="Times New Roman" w:hAnsi="Times New Roman"/>
          <w:sz w:val="20"/>
        </w:rPr>
      </w:pPr>
      <w:r>
        <w:rPr>
          <w:rFonts w:ascii="Times New Roman" w:hAnsi="Times New Roman"/>
          <w:sz w:val="20"/>
        </w:rPr>
        <w:t xml:space="preserve">On or about September 11, 2021, Armada engaged DLA Piper LLP (US) (DLA Piper) as its legal advisor and also engaged KPMG LLP (KPMG) for financial, tax and public company readiness due diligence. Representatives of DLA Piper and KPMG were given data room access to an updated data room on September 19, 2021 and September 21, 2021, respectively. In engaging DLA Piper and KPMG, Armadas management took into consideration that no conflicts with respect to Rezolve or the proposed Business Combination transaction in connection with their engagement; however, Armada management subsequently learned in October 2021 that Rezolve had engaged a separate group at KPMG to assist with certain accounting and tax matters for Rezolve. On or about October 15, 2021, Armada engaged CCM as its capital markets advisor and financial advisor in connection with the business combination. On or about October 25, 2021, Armada engaged CCM and Cantor Fitzgerald &amp; Co. (Cantor) as placement agents for a private placement in connection with the proposed Business Combination with Rezolve. In connection with the engagement of CCM, Armadas board of directors and management took into consideration the fact that CCM served as a financial advisor to Armada for Armadas initial public offering and would be entitled to receive a deferred fee of $3,375,000, and was also serving as Armadas financial advisor in connection with the Business Combination with Rezolve for which it would be entitled to a financial advisory fee of $8,750,000. With respect to the engagement of Cantor, Armadas board of directors and management took into consideration the fact that Cantor was also engaged as a financial advisor to Rezolve in connection with the proposed Business Combination. Notwithstanding these interests of CCM and Cantor, Armadas management selected these firms based upon the sophistication and extensive experience of CCM and Cantor with fundraising for special purpose acquisition business combination transactions, such as the proposed Business Combination with Rezolve.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multiple business affiliations, Armadas officers and directors may have legal obligations relating to presenting business opportunities to multiple entities. These include Mr. Lurios service as a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Elbeco Incorporated, Mr. Mohammad Khans interests as co-founder, president and director of Omnyway, Inc., Mr. Deckers service as a director of Actua Corporation and Mr. Celso Whites interests as co-founder and chief executive officer of Igniting Business Growth LLC and his service as a director for CF Industries Holdings, Inc.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 Armadas board of directors believes that such pre-existing affiliations and obligations did not affect Armadas search for an acquisition target because the affiliated companies are generally closely held entities controlled by such officer or director, such affiliated companies are not affiliated with one another, and the industry of or markets served by the affiliated companies respective businesses was such that it was unlikely that a conflict would arise. </w:t>
      </w:r>
    </w:p>
    <w:p>
      <w:pPr>
        <w:pStyle w:val="TextBody"/>
        <w:bidi w:val="0"/>
        <w:spacing w:before="240" w:after="0"/>
        <w:jc w:val="left"/>
        <w:rPr>
          <w:rFonts w:ascii="Times New Roman" w:hAnsi="Times New Roman"/>
          <w:sz w:val="20"/>
        </w:rPr>
      </w:pPr>
      <w:r>
        <w:rPr>
          <w:rFonts w:ascii="Times New Roman" w:hAnsi="Times New Roman"/>
          <w:sz w:val="20"/>
        </w:rPr>
        <w:t xml:space="preserve">Armada determined to enter into a letter of intent with Rezolve and to pursue a potential Business Combination with Rezolve, rather than Company A or not at all, due to, among other things, Rezolves expressed interest and pursuit of a potential business combination with a special purpose acquisition company, and the fact that Rezolve had engaged a firm for a Public Company Accounting Oversight Board (PCAOB) audit of its 2021 financial statements. Additionally, Armadas management prioritized Rezolve as a potential business combination target because its business fit within the acquisition criteria set forth in Armadas final prospectus for its initial public offering, notably that Rezolve was a provider of e-commerce software solutions that had commenced generating recurring revenues on a projected annualized basis of approximately $180 million and had approximately 100,000 merchants engaged on its platform. </w:t>
      </w:r>
    </w:p>
    <w:p>
      <w:pPr>
        <w:pStyle w:val="TextBody"/>
        <w:bidi w:val="0"/>
        <w:spacing w:before="240" w:after="0"/>
        <w:jc w:val="left"/>
        <w:rPr>
          <w:rFonts w:ascii="Times New Roman" w:hAnsi="Times New Roman"/>
          <w:sz w:val="20"/>
        </w:rPr>
      </w:pPr>
      <w:r>
        <w:rPr>
          <w:rFonts w:ascii="Times New Roman" w:hAnsi="Times New Roman"/>
          <w:sz w:val="20"/>
        </w:rPr>
        <w:t xml:space="preserve">Commencing on September 22, 2021, representatives of Armada, Rezolve, DLA Piper and Rezolves counsel, Taylor Wessing (Taylor Wessing) and Wilson Sonsini Goodrich &amp; Rosati (WSGR) met for introductions and to discuss the timeline and process for due diligence and drafting responsibilities for the business combination agreement, dated December 17, 2021 (the Original Business Combination Agreement) and related agreements. Weekly video conference calls were established between the parties to facilitate communications regarding the due diligence review and drafting and negotiation of the Original Business Combination Agreement and related transaction documents. Following the September 22, 2021 meeting, DLA Piper, KPMG and Armadas other advisors began an in-depth due diligence review of Rezolve. Additionally, Rezolve, Armada, CCM, and DLA Piper commenced preparation of an investor presentation with respect to the Business Combination and Rezolve. </w:t>
      </w:r>
    </w:p>
    <w:p>
      <w:pPr>
        <w:pStyle w:val="TextBody"/>
        <w:bidi w:val="0"/>
        <w:spacing w:before="240" w:after="0"/>
        <w:jc w:val="left"/>
        <w:rPr>
          <w:rFonts w:ascii="Times New Roman" w:hAnsi="Times New Roman"/>
          <w:sz w:val="20"/>
        </w:rPr>
      </w:pPr>
      <w:r>
        <w:rPr>
          <w:rFonts w:ascii="Times New Roman" w:hAnsi="Times New Roman"/>
          <w:sz w:val="20"/>
        </w:rPr>
        <w:t xml:space="preserve">On September 24, 2021, Armadas management met with Armadas board of directors following an audit committee meeting to update the board of directors on the status of the proposed Business Combination with Rezolve and the due diligence review by its advisors, DLA Piper and KPMG. </w:t>
      </w:r>
    </w:p>
    <w:p>
      <w:pPr>
        <w:pStyle w:val="TextBody"/>
        <w:bidi w:val="0"/>
        <w:spacing w:before="240" w:after="0"/>
        <w:jc w:val="left"/>
        <w:rPr>
          <w:rFonts w:ascii="Times New Roman" w:hAnsi="Times New Roman"/>
          <w:sz w:val="20"/>
        </w:rPr>
      </w:pPr>
      <w:r>
        <w:rPr>
          <w:rFonts w:ascii="Times New Roman" w:hAnsi="Times New Roman"/>
          <w:sz w:val="20"/>
        </w:rPr>
        <w:t xml:space="preserve">Between September 13, 2021 and November 3, 2021, Armada, KPMG, DLA Piper and King &amp; Spalding, LLP (King &amp; Spalding), counsel to CCM, conducted an in-depth due diligence review of Rezolve. On October 20, 2021, Barclays and Cantor, financial advisors to Rezolve, circulated a tracker detailing the due diligence requests made by the parties to date and indicating the status of each request, highlighting the status of the remaining open due diligence requests. On October 21, 2021, representatives of DLA Piper and King &amp; Spalding held a call to review the status of their due diligence review of Rezolve and coordinate remaining due diligence requests. Between October 21, 2021 and October 28, 2021, representatives of DLA Piper, KPMG and King &amp; Spalding provided Barclays and Cantor with supplemental legal due diligence requests for Rezolve and representatives of Barclays and Cantor facilitated the responses to such requests. </w:t>
      </w:r>
    </w:p>
    <w:p>
      <w:pPr>
        <w:pStyle w:val="TextBody"/>
        <w:bidi w:val="0"/>
        <w:spacing w:before="240" w:after="0"/>
        <w:jc w:val="left"/>
        <w:rPr>
          <w:rFonts w:ascii="Times New Roman" w:hAnsi="Times New Roman"/>
          <w:sz w:val="20"/>
        </w:rPr>
      </w:pPr>
      <w:r>
        <w:rPr>
          <w:rFonts w:ascii="Times New Roman" w:hAnsi="Times New Roman"/>
          <w:sz w:val="20"/>
        </w:rPr>
        <w:t xml:space="preserve">Based on the tax-related due diligence conducted by the parties, Rezolve and Armada agreed to explore structuring the proposed Business Combination through the use of a newly-formed Cayman Islands exempted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(Cayman NewCo). As a result, on or about October 22, 2021, Armada engaged Ogier as its counsel in the Cayman Islands to assist with the formation of Cayman NewCo and related matters. Rezolve engaged Harneys Westwood &amp; Riegels LP as its counsel in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On November 4, 2021, Armadas board of directors held a meeting at which Armadas management provided an update of the status of the due diligence review of Armada and drafting of the Business Combination Agreement. During this meeting, KPMG provided its report on its commercial and financial due diligence review of Rezolve to Armadas management and board of directors. During this meeting, the board of directors also discussed a potential amendment to the terms of the letter of intent with Rezolve to seek a termination fee to cover Armadas expenses if a business combination agreement was not executed by the parties and authorized Armadas management to negotiate such an amendment with Rezolve. </w:t>
      </w:r>
    </w:p>
    <w:p>
      <w:pPr>
        <w:pStyle w:val="TextBody"/>
        <w:bidi w:val="0"/>
        <w:spacing w:before="240" w:after="0"/>
        <w:jc w:val="left"/>
        <w:rPr>
          <w:rFonts w:ascii="Times New Roman" w:hAnsi="Times New Roman"/>
          <w:sz w:val="20"/>
        </w:rPr>
      </w:pPr>
      <w:r>
        <w:rPr>
          <w:rFonts w:ascii="Times New Roman" w:hAnsi="Times New Roman"/>
          <w:sz w:val="20"/>
        </w:rPr>
        <w:t xml:space="preserve">On November 16, 2021, representatives of DLA Piper transmitted a draft of the Original Business Combination Agreement to representatives of Taylor Wessing. The draft Original Business Combination Agreement reflected a transaction whereby the business combination would be effected by a reorganization with Cayman NewCo, followed by a merger of a newly-formed merger subsidiary of Rezolve which would merge into Armada, with Armada surviving the merger as a wholly-owned subsidiary of Cayman NewCo. On November 24, 2021, Taylor Wessing responded to the draft Original Business Combination Agreement with additional comments provided to the draft by WSGR on November 26, 2021. Also on November 24, 2021, representatives of Taylor Wessing provided materials responsive to certain open due diligence requests regarding various corporate, contractual and intellectual property matters. </w:t>
      </w:r>
    </w:p>
    <w:p>
      <w:pPr>
        <w:pStyle w:val="TextBody"/>
        <w:bidi w:val="0"/>
        <w:spacing w:before="240" w:after="0"/>
        <w:jc w:val="left"/>
        <w:rPr>
          <w:rFonts w:ascii="Times New Roman" w:hAnsi="Times New Roman"/>
          <w:sz w:val="20"/>
        </w:rPr>
      </w:pPr>
      <w:r>
        <w:rPr>
          <w:rFonts w:ascii="Times New Roman" w:hAnsi="Times New Roman"/>
          <w:sz w:val="20"/>
        </w:rPr>
        <w:t xml:space="preserve">On or about November 26, 2021, representatives of Taylor Wessing provided to representatives of DLA Piper drafts of various transaction documents, including the drafts of the proposed convertible loan note instrument and related documents to be entered into by Rezolve at signing of the Original Business Combination Agreement in connection with the financing of the Business Combination, and a proposed Incentive Equity Plan for the post-combination company. </w:t>
      </w:r>
    </w:p>
    <w:p>
      <w:pPr>
        <w:pStyle w:val="TextBody"/>
        <w:bidi w:val="0"/>
        <w:spacing w:before="240" w:after="0"/>
        <w:jc w:val="left"/>
        <w:rPr>
          <w:rFonts w:ascii="Times New Roman" w:hAnsi="Times New Roman"/>
          <w:sz w:val="20"/>
        </w:rPr>
      </w:pPr>
      <w:r>
        <w:rPr>
          <w:rFonts w:ascii="Times New Roman" w:hAnsi="Times New Roman"/>
          <w:sz w:val="20"/>
        </w:rPr>
        <w:t xml:space="preserve">On or about November 26, 2021, Armada and Rezolve executed an amendment to the letter of intent that obligated Rezolve to pay a termination fee to cover Armadas expenses if a business combination agreement was not signed by the parties under certain specified conditions. Rezolve agreed to this amendment to the letter of intent as consideration for Armada sharing the results of its due diligence review with prospective financing sources for Rezolve in connection with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or about November 29, 2021, representatives of Taylor Wessing provided to representatives of DLA Piper proposed documentation for the formation of Cayman NewCo. </w:t>
      </w:r>
    </w:p>
    <w:p>
      <w:pPr>
        <w:pStyle w:val="TextBody"/>
        <w:bidi w:val="0"/>
        <w:spacing w:before="240" w:after="0"/>
        <w:jc w:val="left"/>
        <w:rPr>
          <w:rFonts w:ascii="Times New Roman" w:hAnsi="Times New Roman"/>
          <w:sz w:val="20"/>
        </w:rPr>
      </w:pPr>
      <w:r>
        <w:rPr>
          <w:rFonts w:ascii="Times New Roman" w:hAnsi="Times New Roman"/>
          <w:sz w:val="20"/>
        </w:rPr>
        <w:t xml:space="preserve">Between November 29, 2021 and December 2, 2021, Rezolve, Barclays, Cantor, Armada and CCM engaged in due diligence and prepared and negotiated a subscription agreement related to financing the Business Combination through investments in Rezolve and Cayman NewCo. </w:t>
      </w:r>
    </w:p>
    <w:p>
      <w:pPr>
        <w:pStyle w:val="TextBody"/>
        <w:bidi w:val="0"/>
        <w:spacing w:before="240" w:after="0"/>
        <w:jc w:val="left"/>
        <w:rPr>
          <w:rFonts w:ascii="Times New Roman" w:hAnsi="Times New Roman"/>
          <w:sz w:val="20"/>
        </w:rPr>
      </w:pPr>
      <w:r>
        <w:rPr>
          <w:rFonts w:ascii="Times New Roman" w:hAnsi="Times New Roman"/>
          <w:sz w:val="20"/>
        </w:rPr>
        <w:t xml:space="preserve">On December 3, 2021, representatives of DLA Piper provided a responsive draft of the Original Business Combination Agreement to representatives of Taylor Wessing and WSGR, noting a number of concerns to Armada relating to structuring the Business Combination for tax purposes and issues relating to minimum cash requirements. </w:t>
      </w:r>
    </w:p>
    <w:p>
      <w:pPr>
        <w:pStyle w:val="TextBody"/>
        <w:bidi w:val="0"/>
        <w:spacing w:before="240" w:after="0"/>
        <w:jc w:val="left"/>
        <w:rPr>
          <w:rFonts w:ascii="Times New Roman" w:hAnsi="Times New Roman"/>
          <w:sz w:val="20"/>
        </w:rPr>
      </w:pPr>
      <w:r>
        <w:rPr>
          <w:rFonts w:ascii="Times New Roman" w:hAnsi="Times New Roman"/>
          <w:sz w:val="20"/>
        </w:rPr>
        <w:t xml:space="preserve">Between December 3, 2021 and December 6, 2021, representatives of DLA Piper and Taylor Wessing and WSGR, on behalf of their respective clients, continued to negotiate and draft the Original Business Combination Agreement and related agreements and disclosure schedules, as well as to continue to prepare the investor presentation relating to the Business Combination and Rezolve.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2021, representatives of Taylor Wessing provided representatives of DLA Piper with a responsive draft of the Original Business Combination Agreement, which reflected an agreement with Cayman NewCo, but an option to modify to an alternate structure for tax-related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12, 2021, representatives of DLA Piper and Taylor Wessing and WSGR, on behalf of their respective clients, continued to negotiate and draft the Original Business Combination Agreement. Following such negotiations, representatives of DLA Piper provided a revised draft of the Original Business Combination Agreement to representatives of Taylor Wessing, which draft reflected revisions related to the structuring of the Business Combination and developments in the proposed financing for the Business Combination. On December 13, 2021, representatives of DLA Piper transmitted to representatives of Taylor Wessing, a draft of the transaction support agreement, the investor rights agreement and comments to Rezolves proposed disclosure schedules. </w:t>
      </w:r>
    </w:p>
    <w:p>
      <w:pPr>
        <w:pStyle w:val="TextBody"/>
        <w:bidi w:val="0"/>
        <w:spacing w:before="240" w:after="0"/>
        <w:jc w:val="left"/>
        <w:rPr>
          <w:rFonts w:ascii="Times New Roman" w:hAnsi="Times New Roman"/>
          <w:sz w:val="20"/>
        </w:rPr>
      </w:pPr>
      <w:r>
        <w:rPr>
          <w:rFonts w:ascii="Times New Roman" w:hAnsi="Times New Roman"/>
          <w:sz w:val="20"/>
        </w:rPr>
        <w:t xml:space="preserve">Between December 13, 2021 and the signing of the Original Business Combination Agreement on December 17, 2021, representatives of DLA Piper and Taylor Wessing and WSGR, on behalf of their respective clients, continued to negotiate the Original Business Combination Agreement and the related agreements pertaining to the Business Combination. During this period of time, Rezolve and Armada, prepared a press release and continued to update the proposed presentation relating to the anticipated announcement of the Business Combination by Armada and Rezolve. </w:t>
      </w:r>
    </w:p>
    <w:p>
      <w:pPr>
        <w:pStyle w:val="TextBody"/>
        <w:bidi w:val="0"/>
        <w:spacing w:before="240" w:after="0"/>
        <w:jc w:val="left"/>
        <w:rPr>
          <w:rFonts w:ascii="Times New Roman" w:hAnsi="Times New Roman"/>
          <w:sz w:val="20"/>
        </w:rPr>
      </w:pPr>
      <w:r>
        <w:rPr>
          <w:rFonts w:ascii="Times New Roman" w:hAnsi="Times New Roman"/>
          <w:sz w:val="20"/>
        </w:rPr>
        <w:t xml:space="preserve">Between December 14, 2021 and the signing of the Original Business Combination Agreement on December 17, 2021, representatives of DLA Piper and Taylor Wessing and WSGR, on behalf of their respective clients, as well as King &amp; Spalding, on behalf of CCM, continued to negotiate the subscription agreement and related documentation for the financing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Commencing on or about December 3, 2021, Armada and representatives of DLA Piper began reviewing and negotiating engagement letters with Northland to act as a financial advisor in connection with the Boards request for Northland to render a fairness opinion with respect to (i) the fairness from a financial point of view, to Armada of the consideration to be paid by Armada in the proposed business combination and (ii) whether the estimated fair market value of Rezolve of $1.75 billion is equal to a post combination allocation of at least 80% of the equity of the Combined Company to the existing Rezolve shareholders and by reference to the amount of funds held by Armada in the Trust Account for the benefit of its public stockholders (excluding any deferred underwriters fees and taxes payable on the income earned on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On December 6, 2021, Armadas board of directors entered into an engagement letter with Northland to render a fairness opinion with respect to (i) the fairness, from a financial point of view, to Armada of the aggregate stock consideration to be paid by Armada in the proposed business combination and (ii) whether Cayman NewCo has a fair market value equal to at least 80% of the balance of funds held by Armada in the Trust Account (excluding any deferred underwriters fees and taxes payable on the income earned on the Trust Account). Pursuant to its engagement letter, Northland is entitled to receive a fee of $100,000 payable upon Northland rendering its fairness opinion, with an additional fee of $900,000 payable in cash immediately upon (but subject to) closing of the Business Combination. The $100,000 portion of the fee was not contingent on the consummation of the Business Combination. In addition, Armada has agreed to reimburse Northland for certain of its out-of-pocket expenses, including legal fees, and has agreed to indemnify Northland against certain liabilities, including under applicable laws. With respect to the proposed engagement of Northland, Armada management took into account the fact that Northland had served as an underwriter in Armadas initial public offering and did not disclose any conflicts with Rezolve. Armadas board of directors selected Northland based upon Northlands qualifications, expertise, reputation, and knowledge of Armadas business and the industry in which Rezolve operates. In considering whether to engage Northland, Armadas board of directors considered Northlands obligations under the Business Combination Marketing Agreement under which Northland will assist Armada with transaction structuring, negotiating a definitive business combination agreement, and with the relevant financial analysis, presentations and filing related to the prospective business combination or the prospective target and Northland is entitled to receive (a) a cash advisory fee of 2.25% of the gross proceeds of Armadas initial public offering; (b) a capital markets advisory fee of $2,500,000; and (c) a finder fee equal to 1% of the total consideration if Northland introduces Armada to a target with which a business combination is completed. As a result of the foregoing, Armadas board of directors concluded Northland was already familiar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Rezolve and the prospective Business Combination and, accordingly, was willing and able to prepare and provide Armadas board of directors with a fairness opinion on a timely and thorough basis.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engagement by Northland as financial advisor, Northland entered into a nondisclosure agreement with Rezolve and representatives of Northland were granted access to Rezolves data room. Following the engagement of Northland, Armada and Rezolve and their respective counsels, DLA Piper and KPMG began responding to due diligence inquiries from Northland. DLA Piper and KPMG also presented to Northland their respective legal and commercial and financial due diligence reports. Northland also reviewed drafts of the Original Business Combination Agreement and received reports from representatives of Armada and DLA Piper concerning the status of negotiations regarding the Original Business Combination Agreement. </w:t>
      </w:r>
    </w:p>
    <w:p>
      <w:pPr>
        <w:pStyle w:val="TextBody"/>
        <w:bidi w:val="0"/>
        <w:spacing w:before="240" w:after="0"/>
        <w:jc w:val="left"/>
        <w:rPr>
          <w:rFonts w:ascii="Times New Roman" w:hAnsi="Times New Roman"/>
          <w:sz w:val="20"/>
        </w:rPr>
      </w:pPr>
      <w:r>
        <w:rPr>
          <w:rFonts w:ascii="Times New Roman" w:hAnsi="Times New Roman"/>
          <w:sz w:val="20"/>
        </w:rPr>
        <w:t>On December 16, 2021, the Armada Board convened a remote special meeting by videoconference to evaluate the proposed business combination transaction. Representatives of DLA Piper attended the meeting to review the terms of the Original Business Combination Agreement and the related agreements pertaining to the Business Combination. Representatives of Northland also attended and reviewed its financial analysis of Cayman NewCo and the merger consideration, including certain projections of Rezolves revenue for calendar years 2021 through 2024 (the Pre-Demerger Projections). As discussed further herein, on June 16, 2023, Armada and Rezolve agreed to amend and restate the Business Combination Agreement to reflect, among other things, (a) the Pre-Closing Demerger and (b) in connection with the material change in the business, an adjustment in the enterprise value for Rezolve to $1.6 billion. While Armadas board of directors considered the Pre-Demerger Projections in connection with its decisions regarding the Original Business Combination Agreement, due to the substantial changes in Rezolves operations subsequent to the announcement of the Original Business Combination Agreement on December 17, 2021, the Pre-Demerger Projections are no longer relevant to an understanding of Rezolves business and are not discussed in this discussion or </w:t>
      </w:r>
      <w:r>
        <w:rPr>
          <w:rFonts w:ascii="Times New Roman" w:hAnsi="Times New Roman"/>
          <w:i/>
          <w:sz w:val="20"/>
        </w:rPr>
        <w:t>Opinion of Northland</w:t>
      </w:r>
      <w:r>
        <w:rPr>
          <w:rFonts w:ascii="Times New Roman" w:hAnsi="Times New Roman"/>
          <w:sz w:val="20"/>
        </w:rPr>
        <w:t>. Instead, certain projections relating to Rezolves anticipated business after giving effect to the Pre-Closing Demerger were considered by Armadas board of directors and are discussed under the caption </w:t>
      </w:r>
      <w:r>
        <w:rPr>
          <w:rFonts w:ascii="Times New Roman" w:hAnsi="Times New Roman"/>
          <w:i/>
          <w:sz w:val="20"/>
        </w:rPr>
        <w:t>Opinion of</w:t>
      </w:r>
      <w:r>
        <w:rPr>
          <w:rFonts w:ascii="Times New Roman" w:hAnsi="Times New Roman"/>
          <w:sz w:val="20"/>
        </w:rPr>
        <w:t xml:space="preserve"> </w:t>
      </w:r>
      <w:r>
        <w:rPr>
          <w:rFonts w:ascii="Times New Roman" w:hAnsi="Times New Roman"/>
          <w:i/>
          <w:sz w:val="20"/>
        </w:rPr>
        <w:t>Marshall &amp; Stevens</w:t>
      </w:r>
      <w:r>
        <w:rPr>
          <w:rFonts w:ascii="Times New Roman" w:hAnsi="Times New Roman"/>
          <w:sz w:val="20"/>
        </w:rPr>
        <w:t>. Additionally, Northland delivered an oral opinion, subsequently confirmed by delivery of a written opinion to the Board, to the effect that, as of that date and subject to and based on the assumptions made, procedures followed, matters considered, limitations of the review undertaken and qualifications contained in such opinion, (i) the Aggregate Stock Consideration (as defined in the Original Business Combination Agreement) to be paid by Armada in the Business Combination pursuant to the Original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to the existing Rezolve shareholders and by reference to the amount of funds held by Armada in its Trust Account for the benefit of its public stockholders (excluding any deferred underwriters fees and taxes payable on the income earned on the Trust Account) (See the section entitled </w:t>
      </w:r>
      <w:r>
        <w:rPr>
          <w:rFonts w:ascii="Times New Roman" w:hAnsi="Times New Roman"/>
          <w:i/>
          <w:sz w:val="20"/>
        </w:rPr>
        <w:t>The Business Combination Proposal  Opinion of Northland</w:t>
      </w:r>
      <w:r>
        <w:rPr>
          <w:rFonts w:ascii="Times New Roman" w:hAnsi="Times New Roman"/>
          <w:sz w:val="20"/>
        </w:rPr>
        <w:t xml:space="preserve">.). Following this discussion, the Board unanimously approved the Original Business Combination Agreement and the Business Combination and the related agreements, and recommended that Armadas stockholders approve the Original Business Combination Agreement and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respective approvals by the boards of directors of Armada and Rezolve, Armada and Rezolve executed the Original Business Combination Agreement, and the Transaction Support Agreement with the Rezolve Shareholders party thereto before market open in the U.S. on December 17, 2021. </w:t>
      </w:r>
    </w:p>
    <w:p>
      <w:pPr>
        <w:pStyle w:val="TextBody"/>
        <w:bidi w:val="0"/>
        <w:spacing w:before="240" w:after="0"/>
        <w:jc w:val="left"/>
        <w:rPr>
          <w:rFonts w:ascii="Times New Roman" w:hAnsi="Times New Roman"/>
          <w:sz w:val="20"/>
        </w:rPr>
      </w:pPr>
      <w:r>
        <w:rPr>
          <w:rFonts w:ascii="Times New Roman" w:hAnsi="Times New Roman"/>
          <w:sz w:val="20"/>
        </w:rPr>
        <w:t xml:space="preserve">Before market open in the U.S. on December 17, 2021, the parties announced the Business Combination together with the execution of the Original Business Combination Agreement, the Sponsor Support Agreement and the Stockholder Support Agreements.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announcement of the Business Combination and the Original Business Combination Agreement on December 17, 2021, Rezolve and Armada began negotiations to restructure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Combination such that, among other things, Rezolve rather than Cayman Newco would become the listed company. Rezolve proposed the restructuring of the Business Combination in order to mitigate for Rezolve shareholders certain transfer taxes resulting from the structure reflected in the Original Business Combination Agreement. In connection with these negotiations, on March 30, 2022, the board of directors of Armada convened a remote special meeting by videoconference to evaluate the proposed amendment to the Original Business Combination Agreement and related transactions. Armadas management reviewed the terms of the amendment to the Original Business Combination Agreement and the amendments to the related agreements. Representatives of Northland also attended and reviewed its financial analysis of Rezolve and the merger consideration, including the Pre-Demerger Projections in connection with the amendments to the Original Business Combination Agreement and amendments to the related agreements. Armadas board of directors adjourned the meeting on March 30, 2022 and reconvened on the morning of March 31, 2022 at which Northland delivered an oral opinion, subsequently confirmed by delivery of a written opinion to the board of directors, to the effect that, as of that date and subject to and based on the assumptions made, procedures followed, matters considered, limitations of the review undertaken and qualifications in such letter, (a) the aggregate stock consideration is fair, from a financial point of view, to Armada, and (b) Rezolve has a fair market value equal to at least 80% of the balance of funds in Armadas Trust Account (excluding underwriting commissions and taxes payable) and based on the assumptions made, procedures followed, matters considered, limitations of the review undertaken and qualifications contained in such opinion, (i) the Aggregate Stock Consideration to be paid by Armada in the Business Combination pursuant to the Original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(See the section entitled </w:t>
      </w:r>
      <w:r>
        <w:rPr>
          <w:rFonts w:ascii="Times New Roman" w:hAnsi="Times New Roman"/>
          <w:i/>
          <w:sz w:val="20"/>
        </w:rPr>
        <w:t>The Business Combination Proposal  Opinion of Northland. The</w:t>
      </w:r>
      <w:r>
        <w:rPr>
          <w:rFonts w:ascii="Times New Roman" w:hAnsi="Times New Roman"/>
          <w:sz w:val="20"/>
        </w:rPr>
        <w:t xml:space="preserve"> full text of Northlands written opinion is attached as Annex                  to this proxy statement/prospectus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Between March 30, 2022 and November 10, 2022, Armada and Rezolve continued negotiations of an amendment to the Business Combination Agreement to restructure the Business Combination such that, among other things, Rezolve rather than Cayman Newco would become the listed company and to extend the outside date for termination of the Original Business Combination Agreement. The delay in execution of the amendment to the Original Business Combination Agreement was due primarily to Rezolve completing its analysis of certain transfer tax matters, as well as Rezolve addressing certain accounting issues in connection with the completion of its PCAOB audit of its financial statements for the year ended December 31, 2021. In connection with the anticipated execution of the amendment, on November 9, 2022, Armadas Board convened a special meeting to discuss the proposed amendment. Following discussion at such meeting, the Board unanimously approved the amendment to the Business Combination Agreement and the Business Combination and the amendments to the related agreements, and recommended that Armadas stockholders approve the Business Combination Agreement and the Business Combination, as so amended. On November 10, 2022, Armada and Rezolve entered into a First Amendment to the Business Combination Agreement, to among other things, extend the date on which either party to the Business Combination Agreement had the right to terminate the Business Combination Agreement if the Business Combination had not been completed by such date, and change the structure of the Business Combination such that Rezolve was substituted for Cayman Newco and Cayman NewCo no longer was a party to the Business Combination Agreement or the Business Combination. As a result, Rezolve will be the listed entity upon the Closing, which the parties determined to be a more tax-efficient structure for effecting the Business Combination. Additionally, the Amendment extended the Termination Date to the later of (i) January 31, 2023 or (ii) fifteen (15) days prior to the last date on which Armada may consummate a Business Combination, as defined in and pursuant to the Second Amended and Restated Certificate of Incorporation of Armada, as approved or extended by the stockholders of Armada from time to time. This right to terminate is not available to any party if such partys breach of the Business Combination Agreement has primarily caused the failure to consummate the Business Combination on or before the Termination Date. Under the Amendment, Armada and Rezolve agreed and acknowledged that following June 30, 2023, the Board has the right to increase the number of Company Shares under the Company Incentive Plan (as defined in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by up to 5% per annum for each calendar year commencing in and including 2023, subject to appropriate shareholder approval as required by applicable law or the Nasdaq rules and regulations. The parties agreed to the amendments concerning the Company Incentive Plan in order to allow flexibility for Rezolve to incentivize its employees with dilution impacting the holders post-Closing rather than at Closing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Amendment, Armada exercised the automatic extension of the deadline for the Company to complete an initial business combination under its Second Amended and Restated Certificate of Incorporation to extend the deadline by which Armada had to consummate a business combination until February 17, 2023 (or 18 months following our initial public offering). Thereafter, Armada held its annual meeting of stockholders and sought a further extension of the deadline by which Armada had to consummate a business combination. On February 2, 2023, the Armada stockholders approved an amendment to its certificate of incorporation to consummate a business combination from February 17, 2023 for up to six additional months at the election of the Company, ultimately until as late as August 17, 2023. If the Company is unable to complete the initial Business Combination within the Combination Period, the Company will cease all operations except for the purpose of winding up and dissolving. In connection with the approval and amendment of Armadas certificate of incorporation pursuant to the extension, Armada was required to permit its public shareholders to redeem their shares of Common Stock. Of the 15,000,000 Armada Common Shares outstanding with redemption rights, the holders of 11,491,148 shares of Common Stock elected to redeem their shares at a per share redemption price of approximately $10.19. As a result, approximately $117,079,089 was removed from the Companys trust account to pay such holders. In connection with Armadas extension of the deadline by which it has to consummate a business combination, on January 20, 2023, Armada and its Sponsor, entered into one or more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Following its stockholders approval of the further extension of the deadline by which Armada has to complete its initial business combination, between January 24, 2023 and February 16, 2023, Armada engaged in discussions with Marshall &amp; Stevens to advise its Board in connection with the Business Combination on the terms of the amendment and restatement of the Business Combination Agreement. Due to the substantial changes in Rezolves business in connection with the Pre-Closing Demerger, Northland was not in a position to reconfirm its fairness opinion without undertaking new analyses from those previously performed. Accordingly, Armadas board of directors determined that the circumstances supported engaging a new valuation firm without the conflicts of interests that Northland had. On February 16, 2023, Armada entered into an engagement letter with Marshall &amp; Stevens to advise the Armada board of directors as to the fairness to Armada, from a financial point of view, of the Aggregate Stock Consideration for the acquisition of Rezolve under the Business Combination Agreement. Additionally, under the terms of the engagement letter, Marshall &amp; Stevens will also advise the Armada Board as to: (1) the reasonable range of value for Rezolve immediately prior to the Business Combination; and (2) for purposes of Nasdaq Listing Rule 5101-2(b), whether such values represent at least 80% of the value of the cash assets held in the Trust Account (subject to certain adjustments to the amounts in the Trust Account). In deciding to engage Marshall &amp; Stevens, Armadas board of directors took into account that Marhsall &amp; Stevens did not disclose any conflicts with Armada, the Business Combination or Rezolve. </w:t>
      </w:r>
    </w:p>
    <w:p>
      <w:pPr>
        <w:pStyle w:val="TextBody"/>
        <w:bidi w:val="0"/>
        <w:spacing w:before="240" w:after="0"/>
        <w:jc w:val="left"/>
        <w:rPr>
          <w:rFonts w:ascii="Times New Roman" w:hAnsi="Times New Roman"/>
          <w:sz w:val="20"/>
        </w:rPr>
      </w:pPr>
      <w:r>
        <w:rPr>
          <w:rFonts w:ascii="Times New Roman" w:hAnsi="Times New Roman"/>
          <w:sz w:val="20"/>
        </w:rPr>
        <w:t xml:space="preserve">At a meeting held on April 25, 2023, Armadas management provided Armadas board of directors with an update regarding the status of the Business Combination, including the status of Rezolves audited financial statements, proposed changes to the Business Combination Agreement in light of Rezolves anticipated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reorganization (described below) and additional due diligence to be performed by Armadas management and advisors. </w:t>
      </w:r>
    </w:p>
    <w:p>
      <w:pPr>
        <w:pStyle w:val="TextBody"/>
        <w:bidi w:val="0"/>
        <w:spacing w:before="240" w:after="0"/>
        <w:jc w:val="left"/>
        <w:rPr>
          <w:rFonts w:ascii="Times New Roman" w:hAnsi="Times New Roman"/>
          <w:sz w:val="20"/>
        </w:rPr>
      </w:pPr>
      <w:r>
        <w:rPr>
          <w:rFonts w:ascii="Times New Roman" w:hAnsi="Times New Roman"/>
          <w:sz w:val="20"/>
        </w:rPr>
        <w:t>Armadas board of directors held a meeting on May 10, 2023 at which Rezolves Chief Executive Officer and Chief Financial Officer, Messrs. Daniel Wagner and Richard Burchill, respectively, were present, along with representatives of Armadas capital markets advisor, CCM, and representatives of its valuation expert, Marshall &amp; Stevens. During the meeting, Mr. Wagner provided Armadas board of directors with updates on Rezolves reorganization plans to discontinue its existing China operations of Rezolve via a liquidation. (For additional information concerning Rezolves reorganization, refer to </w:t>
      </w:r>
      <w:r>
        <w:rPr>
          <w:rFonts w:ascii="Times New Roman" w:hAnsi="Times New Roman"/>
          <w:i/>
          <w:sz w:val="20"/>
        </w:rPr>
        <w:t>Summary of the Material Terms of the Business Combination</w:t>
      </w:r>
      <w:r>
        <w:rPr>
          <w:rFonts w:ascii="Times New Roman" w:hAnsi="Times New Roman"/>
          <w:sz w:val="20"/>
        </w:rPr>
        <w:t>.) Mr. Wagner also provided Armadas board of directors with Rezolves plans for expanding its operations in 2023. Following this update, Messrs. Wagner and Burchill reviewed the financial model concerning Rezolve with Armadas board of directors, the key items of which are discussed below under </w:t>
      </w:r>
      <w:r>
        <w:rPr>
          <w:rFonts w:ascii="Times New Roman" w:hAnsi="Times New Roman"/>
          <w:i/>
          <w:sz w:val="20"/>
        </w:rPr>
        <w:t>The Business Combination Proposal  Opinion of Marshall</w:t>
      </w:r>
      <w:r>
        <w:rPr>
          <w:rFonts w:ascii="Times New Roman" w:hAnsi="Times New Roman"/>
          <w:sz w:val="20"/>
        </w:rPr>
        <w:t> </w:t>
      </w:r>
      <w:r>
        <w:rPr>
          <w:rFonts w:ascii="Times New Roman" w:hAnsi="Times New Roman"/>
          <w:i/>
          <w:sz w:val="20"/>
        </w:rPr>
        <w:t>&amp; StevensProspective Financial Information</w:t>
      </w:r>
      <w:r>
        <w:rPr>
          <w:rFonts w:ascii="Times New Roman" w:hAnsi="Times New Roman"/>
          <w:sz w:val="20"/>
        </w:rPr>
        <w:t xml:space="preserve">. Following this presentation, Messrs. Wagner and Burchill, as well as representatives of Cohen &amp; Company Capital Markets, were excused from the meeting. The representative of Marshall &amp; Stevens then proceeded to provide Armadas board of directors with an update on the fairness opinion analysis and process. </w:t>
      </w:r>
    </w:p>
    <w:p>
      <w:pPr>
        <w:pStyle w:val="TextBody"/>
        <w:bidi w:val="0"/>
        <w:spacing w:before="240" w:after="0"/>
        <w:jc w:val="left"/>
        <w:rPr>
          <w:rFonts w:ascii="Times New Roman" w:hAnsi="Times New Roman"/>
          <w:sz w:val="20"/>
        </w:rPr>
      </w:pPr>
      <w:r>
        <w:rPr>
          <w:rFonts w:ascii="Times New Roman" w:hAnsi="Times New Roman"/>
          <w:sz w:val="20"/>
        </w:rPr>
        <w:t>On June 1, 2023, Armadas board of directors held a meeting at which representatives of Armadas capital markets advisors, CCM, and Armadas legal counsel, DLA Piper, participated. During the meeting, Armadas board of directors reviewed Rezolves financial model and engaged in discussion with representatives of CCM, the key items of which are discussed below under </w:t>
      </w:r>
      <w:r>
        <w:rPr>
          <w:rFonts w:ascii="Times New Roman" w:hAnsi="Times New Roman"/>
          <w:i/>
          <w:sz w:val="20"/>
        </w:rPr>
        <w:t>The Business Combination Proposal  Opinion of Marshall</w:t>
      </w:r>
      <w:r>
        <w:rPr>
          <w:rFonts w:ascii="Times New Roman" w:hAnsi="Times New Roman"/>
          <w:sz w:val="20"/>
        </w:rPr>
        <w:t> </w:t>
      </w:r>
      <w:r>
        <w:rPr>
          <w:rFonts w:ascii="Times New Roman" w:hAnsi="Times New Roman"/>
          <w:i/>
          <w:sz w:val="20"/>
        </w:rPr>
        <w:t>&amp; StevensProspective Financial Information</w:t>
      </w:r>
      <w:r>
        <w:rPr>
          <w:rFonts w:ascii="Times New Roman" w:hAnsi="Times New Roman"/>
          <w:sz w:val="20"/>
        </w:rPr>
        <w:t xml:space="preserve">. The discussion included certain risks and uncertainties inherent in the financial model, as well as the material drivers for Rezolves financial performance and where Rezolves financial performance would be likely to out- or under-perform the financial model. Representatives of DLA Piper answered questions posited by Armadas board of directors in connection with the use and disclosure of the financial model, including the presentation of the risks and uncertainties inherent in the model. The Armada board of directors believed that Rezolve should consider reducing projected revenues for 2023. Following the discussion between Armadas board of directors and representatives of CCM and DLA Piper, representatives of DLA Piper provided Armadas board of directors with an overview of the status of the preparation of the registration statement on Form F-4 relating to the Business Combination, as well as the current proposed changes to the Business Combination Agreement in light of the change in Rezolves organizational structure. </w:t>
      </w:r>
    </w:p>
    <w:p>
      <w:pPr>
        <w:pStyle w:val="TextBody"/>
        <w:bidi w:val="0"/>
        <w:spacing w:before="240" w:after="0"/>
        <w:jc w:val="left"/>
        <w:rPr>
          <w:rFonts w:ascii="Times New Roman" w:hAnsi="Times New Roman"/>
          <w:sz w:val="20"/>
        </w:rPr>
      </w:pPr>
      <w:r>
        <w:rPr>
          <w:rFonts w:ascii="Times New Roman" w:hAnsi="Times New Roman"/>
          <w:sz w:val="20"/>
        </w:rPr>
        <w:t xml:space="preserve">On June 7, 2023, Armadas board of directors held a meeting at which representatives of Armadas capital markets advisor, CCM, and Armadas legal counsel, DLA Piper, participated. During the meeting Armadas management and representatives of DLA Piper provided the directors with an update on the status of the proposed amendment and restatement of the Original Business Combination Agreement, and the preparation of the proxy statement/prospectus. Armadas directors engaged in discussion with Armada management and representatives of DLA Piper as to open items remaining for execution of the amendment and restatement of the Original Business Combination Agreement and certain disclosures in the proxy statement prospectus. Armadas board of directors agreed to reconvene at a later time for a presentation by Marshall &amp; Stevens. The Armada board of directors noted that the Rezolve financial model had been revised by Rezolve to reflect decreased projected revenues for 2023. </w:t>
      </w:r>
    </w:p>
    <w:p>
      <w:pPr>
        <w:pStyle w:val="TextBody"/>
        <w:bidi w:val="0"/>
        <w:spacing w:before="240" w:after="0"/>
        <w:jc w:val="left"/>
        <w:rPr>
          <w:rFonts w:ascii="Times New Roman" w:hAnsi="Times New Roman"/>
          <w:sz w:val="20"/>
        </w:rPr>
      </w:pPr>
      <w:r>
        <w:rPr>
          <w:rFonts w:ascii="Times New Roman" w:hAnsi="Times New Roman"/>
          <w:sz w:val="20"/>
        </w:rPr>
        <w:t xml:space="preserve">On June 11, 2023, at a meeting of Armadas board of directors held to evaluate the proposed Business Combination pursuant to the then-contemplated June 16, 2023 amendment and restatement of the Business Combination Agreement, Marshall &amp; Stevens Transaction Advisory Services LLC (Marshall &amp; Stevens) delivered an oral opinion, subsequently confirmed by delivery of a written opinion to Armadas board of directors,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 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additional information, please see the section entitled </w:t>
      </w:r>
      <w:r>
        <w:rPr>
          <w:rFonts w:ascii="Times New Roman" w:hAnsi="Times New Roman"/>
          <w:i/>
          <w:sz w:val="20"/>
        </w:rPr>
        <w:t>The Business Combination Proposal  Opinion of Marshall</w:t>
      </w:r>
      <w:r>
        <w:rPr>
          <w:rFonts w:ascii="Times New Roman" w:hAnsi="Times New Roman"/>
          <w:sz w:val="20"/>
        </w:rPr>
        <w:t> </w:t>
      </w:r>
      <w:r>
        <w:rPr>
          <w:rFonts w:ascii="Times New Roman" w:hAnsi="Times New Roman"/>
          <w:i/>
          <w:sz w:val="20"/>
        </w:rPr>
        <w:t>&amp; Stevens</w:t>
      </w:r>
      <w:r>
        <w:rPr>
          <w:rFonts w:ascii="Times New Roman" w:hAnsi="Times New Roman"/>
          <w:sz w:val="20"/>
        </w:rPr>
        <w:t xml:space="preserve"> and the written opinion of Marshall &amp; Stevens attached as </w:t>
      </w:r>
      <w:r>
        <w:rPr>
          <w:rFonts w:ascii="Times New Roman" w:hAnsi="Times New Roman"/>
          <w:i/>
          <w:sz w:val="20"/>
        </w:rPr>
        <w:t xml:space="preserve">Annex </w:t>
      </w:r>
      <w:r>
        <w:rPr>
          <w:rFonts w:ascii="Times New Roman" w:hAnsi="Times New Roman"/>
          <w:sz w:val="20"/>
        </w:rPr>
        <w:t xml:space="preserve">                 hereto. Representatives of Armadas capital markets advisor, CCM, and Armadas legal counsel, DLA Piper, also participated in the meeting. Armadas directors engaged in discussion with the representatives of Marshall &amp; Stevens regarding the valuation analyses. During an executive session following such presentation, Armadas board of directors discussed the importance to the valuation of Rezolve and its prospects for its future operations of Rezolves return to the China market. </w:t>
      </w:r>
    </w:p>
    <w:p>
      <w:pPr>
        <w:pStyle w:val="TextBody"/>
        <w:bidi w:val="0"/>
        <w:spacing w:before="240" w:after="0"/>
        <w:jc w:val="left"/>
        <w:rPr>
          <w:rFonts w:ascii="Times New Roman" w:hAnsi="Times New Roman"/>
          <w:sz w:val="20"/>
        </w:rPr>
      </w:pPr>
      <w:r>
        <w:rPr>
          <w:rFonts w:ascii="Times New Roman" w:hAnsi="Times New Roman"/>
          <w:sz w:val="20"/>
        </w:rPr>
        <w:t xml:space="preserve">On June 12, 2023, the board of directors of Armada adopted by unanimous consent resolutions approving the Business Combination Agreement and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On June 13, 2023, the board of directors of Armada held a meeting at which representatives of Armadas legal counsel, DLA Piper, participated. During the meeting, the board of directors of Armada further discussed the Business Combination Agreement and the proxy statement/prospectus. The board of directors of Armada reaffirmed the resolutions previously approved by unanimous consent. </w:t>
      </w:r>
    </w:p>
    <w:p>
      <w:pPr>
        <w:pStyle w:val="TextBody"/>
        <w:bidi w:val="0"/>
        <w:spacing w:before="240" w:after="0"/>
        <w:jc w:val="left"/>
        <w:rPr>
          <w:rFonts w:ascii="Times New Roman" w:hAnsi="Times New Roman"/>
          <w:sz w:val="20"/>
        </w:rPr>
      </w:pPr>
      <w:r>
        <w:rPr>
          <w:rFonts w:ascii="Times New Roman" w:hAnsi="Times New Roman"/>
          <w:sz w:val="20"/>
        </w:rPr>
        <w:t xml:space="preserve">On June 16, 2023, the parties entered into the amendment and restatement of the Business Combination Agreement together with amendments and restatements of the Sponsor Support Agreement and the Stockholder Support Agreements, which was subsequently amended on August 4, 2023 to remove the net tangible assets requirement. </w:t>
      </w:r>
    </w:p>
    <w:p>
      <w:pPr>
        <w:pStyle w:val="TextBody"/>
        <w:bidi w:val="0"/>
        <w:spacing w:before="360" w:after="0"/>
        <w:jc w:val="left"/>
        <w:rPr>
          <w:rFonts w:ascii="Times New Roman" w:hAnsi="Times New Roman"/>
          <w:b/>
          <w:sz w:val="20"/>
        </w:rPr>
      </w:pPr>
      <w:r>
        <w:rPr>
          <w:rFonts w:ascii="Times New Roman" w:hAnsi="Times New Roman"/>
          <w:b/>
          <w:sz w:val="20"/>
        </w:rPr>
        <w:t xml:space="preserve">Armada Board of Directors Reasons for the Approval of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Armadas board of directors met virtually on December 16, 2021, to, among other things, discuss a potential business combination with Rezolve, and unanimously determined that the Original Business Combination Agreement and the Business Combination transaction were in the best interest of Armada and its stockholders and resolved to recommend that its stockholders vote to adopt the Business Combination Agreement and approve the Business Combination. Prior to reaching the decision to approve the Business Combination Agreement and approve the Business Combination, the board of directors consulted with Armadas management, as well as with its legal, financial, and other advisors.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announcement of the Business Combination and the Original Business Combination Agreement on December 17, 2021, Rezolve and Armada agreed to restructure the Business Combination such that, among other things, Rezolve rather than Cayman Newco would become the listed company. Additionally, on June 16, 2023, Armada and Rezolve agreed to amend and restate the Business Combination Agreement to reflect, among other things, (a) the Pre-Closing Demerger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and (b) an adjustment in the enterprise value for Rezolve to $1.6 billion. Due to the substantial changes in Rezolves operations subsequent to the announcement of the Original Business Combination Agreement on December 17, 2021, the following discussion relates to the factors considered by Armadas board of directors in connection with the amendment and restatement of Business Combination Agreement on June 16, 2023.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considered a variety of factors in connection with its evaluation of the Business Combination. In light of the complexity of those factors, the board of directors, as a whole, did not consider it practicable to, nor did it attempt to, quantify or otherwise assign relative weights to the specific factors it took into account in reaching its decision. The board of directors viewed its decision as being based on all of the information available and the factors presented to and considered by it. In addition, individual members of the board of directors may have given different weight to different factors. This explanation of the reasons for the board of directors approval of the Business Combination, and all other information presented in this section,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forward-looking in nature and, therefore, should be read in light of the factors discussed in the section entitled </w:t>
      </w:r>
      <w:r>
        <w:rPr>
          <w:rFonts w:ascii="Times New Roman" w:hAnsi="Times New Roman"/>
          <w:i/>
          <w:sz w:val="20"/>
        </w:rPr>
        <w:t>Cautionary Note Regarding Forward-Looking</w:t>
      </w:r>
      <w:r>
        <w:rPr>
          <w:rFonts w:ascii="Times New Roman" w:hAnsi="Times New Roman"/>
          <w:sz w:val="20"/>
        </w:rPr>
        <w:t> </w:t>
      </w:r>
      <w:r>
        <w:rPr>
          <w:rFonts w:ascii="Times New Roman" w:hAnsi="Times New Roman"/>
          <w:i/>
          <w:sz w:val="20"/>
        </w:rPr>
        <w:t>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Before reaching its decision, the board of directors reviewed Rezolves business model, historical financial statements, the Projections, and the results of the due diligence conducted by Armadas management and Armadas legal, financial and other advisors. Armadas due diligence process took place over approximately a 13-week period beginning on or about September 11, 2021, and continuing through the signing of the Business Combination Agreement on December 17, 2021, and continued thereafter through and including the signing of the Amended and Restated Business Combination Agreement on June 16, 2023. Armadas management, as well as its directors and advisors, have many years of experience in both operational management and investment and financial management and analysis and, in the opinion of the board of directors, was suitably qualified to oversee the due diligence conducted by Armadas legal, financial and other advisors and to conduct the portions of the due diligence and other investigations performed by Armadas management in connection with the search for a business combination partner. A detailed description of the experience of Armadas executive officers and directors is included in the section entitled </w:t>
      </w:r>
      <w:r>
        <w:rPr>
          <w:rFonts w:ascii="Times New Roman" w:hAnsi="Times New Roman"/>
          <w:i/>
          <w:sz w:val="20"/>
        </w:rPr>
        <w:t>Other Information Related to Armada  Our Management Team</w:t>
      </w:r>
      <w:r>
        <w:rPr>
          <w:rFonts w:ascii="Times New Roman" w:hAnsi="Times New Roman"/>
          <w:sz w:val="20"/>
        </w:rPr>
        <w:t xml:space="preserve">. The due diligence conducted by Armadas management team and/or legal, financial and other advisors included: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Meetings and calls with Armadas third-party advisors and Rezolves management and accounting teams regarding Rezolves software, operations, customers and forecasts, including demonstrations of Rezolves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of Rezolves 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of Rezolves software and intellectual property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of financial, tax, legal, and accounting due diligence, including a review of Rezolves finance and accounting staff and staffing needs;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consultation with legal, financial and accounting advisors;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financial statements of Rezolve and the Projections. </w:t>
            </w:r>
          </w:p>
        </w:tc>
      </w:tr>
    </w:tbl>
    <w:p>
      <w:pPr>
        <w:pStyle w:val="TextBody"/>
        <w:bidi w:val="0"/>
        <w:spacing w:before="240" w:after="0"/>
        <w:jc w:val="left"/>
        <w:rPr>
          <w:rFonts w:ascii="Times New Roman" w:hAnsi="Times New Roman"/>
          <w:sz w:val="20"/>
        </w:rPr>
      </w:pPr>
      <w:r>
        <w:rPr>
          <w:rFonts w:ascii="Times New Roman" w:hAnsi="Times New Roman"/>
          <w:sz w:val="20"/>
        </w:rPr>
        <w:t>Prior to reaching the decision to approve the Business Combination and the Business Combination Agreement, the board of directors consulted with Armadas management, as well as with its legal and financial advisors. In making its determination with respect to the Business Combination, the board of directors also considered the financial analysis undertaken by Marshall &amp; Stevens, a valuation expert to Armada in connection with the Business Combination. On June 11, 2023, at a meeting of the board of directors held to evaluate the proposed business combination transaction, Marshall &amp; Stevens delivered an oral opinion, subsequently confirmed by delivery of a written opinion to the board of directors, to the effect that, as of that date and subject to and based on the assumptions made, procedures followed, matters considered, limitations of the review undertaken and qualifications contained in such opinion, (i) the Aggregate Stock Consideration (as defined in the Business Combination Agreement) to be paid by Armada in the Business Combination pursuant to the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See the section entitled </w:t>
      </w:r>
      <w:r>
        <w:rPr>
          <w:rFonts w:ascii="Times New Roman" w:hAnsi="Times New Roman"/>
          <w:i/>
          <w:sz w:val="20"/>
        </w:rPr>
        <w:t>The Business Combination Proposal  Opinion of Northland</w:t>
      </w:r>
      <w:r>
        <w:rPr>
          <w:rFonts w:ascii="Times New Roman" w:hAnsi="Times New Roman"/>
          <w:sz w:val="20"/>
        </w:rPr>
        <w:t xml:space="preserve">. The full text of Northlands written opinion is attached as Annex                  to this proxy statement/prospectus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In the prospectus for Armadas initial public offering, Armada stated that, while it may pursue an acquisition in any business industry or sector, Armada intended to focus on prospective target companies in the digital, on-line or mobile payment solutions, processing and gateway services sectors, and/or with point-of-sale technologies, consumer marketing platforms, and e-commerce and loyalty solutions. Armadas board of directors considered these factors identified in the prospectus in its evaluation of Rezolve. Furthermore, in light of the due diligence conducted on Rezolve by the Armada management team and its third-party advisors, and taking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account Rezolves focus on mobile consumer engagement platforms, and ecommerce and loyalty solutions, the board of directors determined that Rezolve met the criteria in Armadas prospectus for its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In approving the Business Combination, the board of directors considered the factors that include, but are not limited to, those set forth above as well as the following positive factors, several of which are based upon our due diligence: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Innovative Mobile Solution that Creates Value for Rezolve Customers.</w:t>
            </w:r>
            <w:r>
              <w:rPr>
                <w:rFonts w:ascii="Times New Roman" w:hAnsi="Times New Roman"/>
                <w:sz w:val="20"/>
              </w:rPr>
              <w:t xml:space="preserve"> Rezolve provides a bridge between offline and online commerce by leveraging a mobile devices camera, microphone and location awareness to allow any kind of product or media to trigger an instant, highly relevant, contextual engagement between consumer and advertiser or merchants. Rezolve opens new channels of engagement opportunity and revenue for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Platform and Business Model.</w:t>
            </w:r>
            <w:r>
              <w:rPr>
                <w:rFonts w:ascii="Times New Roman" w:hAnsi="Times New Roman"/>
                <w:sz w:val="20"/>
              </w:rPr>
              <w:t xml:space="preserve"> Rezolves forecast of $281 million in revenues by 2024, $831 million in revenues by 2025 and $1.45 billion in revenues in 2026, represented substantial year over year growth, with additional potential revenue streams and agreements providing further opportunity for scaling the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Strong Operating Leverage and Other Key Financial Metrics.</w:t>
            </w:r>
            <w:r>
              <w:rPr>
                <w:rFonts w:ascii="Times New Roman" w:hAnsi="Times New Roman"/>
                <w:sz w:val="20"/>
              </w:rPr>
              <w:t xml:space="preserve"> Rezolves estimated gross profit margin is 78% for 2024, and 86% for 2025 and 2026; and EBITDA margin for 2025 is estimated to be $76 million in 2024, $233 million in 2025, and $436 million in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Proprietary Technology Provides a High Barrier to Entry.</w:t>
            </w:r>
            <w:r>
              <w:rPr>
                <w:rFonts w:ascii="Times New Roman" w:hAnsi="Times New Roman"/>
                <w:sz w:val="20"/>
              </w:rPr>
              <w:t xml:space="preserve"> Rezolve has significant market momentum backed by sophisticated e-Commerce and mobile technology stack.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Due Diligence</w:t>
            </w:r>
            <w:r>
              <w:rPr>
                <w:rFonts w:ascii="Times New Roman" w:hAnsi="Times New Roman"/>
                <w:sz w:val="20"/>
              </w:rPr>
              <w:t xml:space="preserve">. Due diligence examinations of Rezolve by Armadas management, as well as Armadas legal, financial and other advisors, and discussions with its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Negotiated Transaction</w:t>
            </w:r>
            <w:r>
              <w:rPr>
                <w:rFonts w:ascii="Times New Roman" w:hAnsi="Times New Roman"/>
                <w:sz w:val="20"/>
              </w:rPr>
              <w:t xml:space="preserve">. The financial and other terms of the Business Combination Agreement and the related agreements, including the fact that such terms and conditions are reasonable and were the product of arms length negotiations between Armada and Rezolve.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the board of directors also considered a variety of uncertainties, risks and other potentially negative factors relevant to the Business Combination,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Public Company Risk</w:t>
            </w:r>
            <w:r>
              <w:rPr>
                <w:rFonts w:ascii="Times New Roman" w:hAnsi="Times New Roman"/>
                <w:i/>
                <w:sz w:val="20"/>
              </w:rPr>
              <w:t>.</w:t>
            </w:r>
            <w:r>
              <w:rPr>
                <w:rFonts w:ascii="Times New Roman" w:hAnsi="Times New Roman"/>
                <w:sz w:val="20"/>
              </w:rPr>
              <w:t xml:space="preserve"> The risks that are associated with being a publicly traded company that is in its early, developmental stage with a management team with limited to no experience operating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Execution Risk.</w:t>
            </w:r>
            <w:r>
              <w:rPr>
                <w:rFonts w:ascii="Times New Roman" w:hAnsi="Times New Roman"/>
                <w:sz w:val="20"/>
              </w:rPr>
              <w:t xml:space="preserve"> The risk that Rezolve will not be able to execute on its growth-oriented business plan by adding additional revenue streams, including through the addition of new merchants, reduction of merchant attribution and increasing the number of products utilizing the Rezolve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Redemption Risk</w:t>
            </w:r>
            <w:r>
              <w:rPr>
                <w:rFonts w:ascii="Times New Roman" w:hAnsi="Times New Roman"/>
                <w:sz w:val="20"/>
              </w:rPr>
              <w:t xml:space="preserve">. The risk that a significant number of Armada stockholders elect to redeem their shares prior to the consummation of the Business Combination and pursuant to Armadas existing amended and restated certificate of incorporation, which would potentially make the Business Combination more difficult to complete or reduce the amount of cash available to Rezolve to accelerate its business plan following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Stockholder Vote Risk</w:t>
            </w:r>
            <w:r>
              <w:rPr>
                <w:rFonts w:ascii="Times New Roman" w:hAnsi="Times New Roman"/>
                <w:i/>
                <w:sz w:val="20"/>
              </w:rPr>
              <w:t>.</w:t>
            </w:r>
            <w:r>
              <w:rPr>
                <w:rFonts w:ascii="Times New Roman" w:hAnsi="Times New Roman"/>
                <w:sz w:val="20"/>
              </w:rPr>
              <w:t xml:space="preserve"> The risk that Armadas stockholders may fail to provide the votes necessary to effect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Closing Conditions Risk</w:t>
            </w:r>
            <w:r>
              <w:rPr>
                <w:rFonts w:ascii="Times New Roman" w:hAnsi="Times New Roman"/>
                <w:i/>
                <w:sz w:val="20"/>
              </w:rPr>
              <w:t>.</w:t>
            </w:r>
            <w:r>
              <w:rPr>
                <w:rFonts w:ascii="Times New Roman" w:hAnsi="Times New Roman"/>
                <w:sz w:val="20"/>
              </w:rPr>
              <w:t xml:space="preserve"> The risk that completion of the Business Combination is conditioned on the satisfaction of certain closing conditions that are not within Armadas control, including the risk that Rezolve will not be able complete the Pre-Closing Demerger timely.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Benefits May Not Be Achieved Risk</w:t>
            </w:r>
            <w:r>
              <w:rPr>
                <w:rFonts w:ascii="Times New Roman" w:hAnsi="Times New Roman"/>
                <w:i/>
                <w:sz w:val="20"/>
              </w:rPr>
              <w:t>.</w:t>
            </w:r>
            <w:r>
              <w:rPr>
                <w:rFonts w:ascii="Times New Roman" w:hAnsi="Times New Roman"/>
                <w:sz w:val="20"/>
              </w:rPr>
              <w:t xml:space="preserve"> The risk that the potential benefits of the Business Combination may not be fully achieved or may not be achieved within the expected timeframe.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Litigation Risk</w:t>
            </w:r>
            <w:r>
              <w:rPr>
                <w:rFonts w:ascii="Times New Roman" w:hAnsi="Times New Roman"/>
                <w:sz w:val="20"/>
              </w:rPr>
              <w:t xml:space="preserve">. The risk of the possibility of litigation challenging the Business Combination or that an adverse judgment granting permanent injunctive relief could indefinitely enjoin consummation of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Armada Stockholders Receiving a Minority Positions Risk</w:t>
            </w:r>
            <w:r>
              <w:rPr>
                <w:rFonts w:ascii="Times New Roman" w:hAnsi="Times New Roman"/>
                <w:sz w:val="20"/>
              </w:rPr>
              <w:t xml:space="preserve">. The risk that Armada stockholders will hold a minority position in Rezolve.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Fees, Expenses and Time Risk</w:t>
            </w:r>
            <w:r>
              <w:rPr>
                <w:rFonts w:ascii="Times New Roman" w:hAnsi="Times New Roman"/>
                <w:i/>
                <w:sz w:val="20"/>
              </w:rPr>
              <w:t>.</w:t>
            </w:r>
            <w:r>
              <w:rPr>
                <w:rFonts w:ascii="Times New Roman" w:hAnsi="Times New Roman"/>
                <w:sz w:val="20"/>
              </w:rPr>
              <w:t xml:space="preserve"> The risk of incurring significant fees and expenses associated with completing the Business Combination and the substantial time and effort of management required to complete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Risk Factors</w:t>
            </w:r>
            <w:r>
              <w:rPr>
                <w:rFonts w:ascii="Times New Roman" w:hAnsi="Times New Roman"/>
                <w:sz w:val="20"/>
              </w:rPr>
              <w:t>. Various other risk factors associated with Rezolves business, as described in the section entitled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In addition to considering the factors described above, the board of directors also considered that some officers and directors of Armada may have interests in the Business Combination as individuals that are in addition to, and that may be different from, the interests of Armadas stockholders. These interests include the fact that Stephen Herbert and Douglas Lurio will be appointed as board members of Rezolve after the Business Combination and shall be entitled to receive compensation for serving on the board of directors of Rezolve after the Business Combination; however, no member of management of Armada will be employed by Rezolve following the Closing. Additionally, these interests include the fact that CCM served as a financial advisor and capital markets advisor to Armada in connection with the Business Combination in consideration for the payment of fees from Armada and the reimbursement of expenses incurred in connection with its services and the agreement by Armada to indemnify CCM for certain liabilities arising out of the engagement, and is an affiliate of a passive member of Armadas Sponsor. Armadas independent directors reviewed and considered these interests during the negotiation of the Business Combination and in evaluating and unanimously approving, as members of the board of directors, the Business Combination Agreement and the Business Combination. For more information, see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 xml:space="preserve">1 </w:t>
      </w:r>
      <w:r>
        <w:rPr>
          <w:rFonts w:ascii="Times New Roman" w:hAnsi="Times New Roman"/>
          <w:sz w:val="20"/>
        </w:rPr>
        <w:t> </w:t>
      </w:r>
      <w:r>
        <w:rPr>
          <w:rFonts w:ascii="Times New Roman" w:hAnsi="Times New Roman"/>
          <w:i/>
          <w:sz w:val="20"/>
        </w:rPr>
        <w:t>Approval of the Business Combination  Interests of Armadas Directors and Officers in the Business Combination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Armadas board of directors concluded that the potential benefits that it expects Armada and its stockholders to achieve as a result of the Business Combination outweigh the potentially negative factors associated with the Business Combination. Accordingly, Armadas board of directors, based on its consideration of the specific factors listed above, unanimously (a) determined that the Business Combination and the other transactions contemplated thereby are advisable, fair to, and in the best interests of Armada and its stockholders, (b) authorized and approved in all respects the Business Combination Agreement, the Subscription Agreements, and the agreements and transactions contemplated thereby, (c) in accordance with the DGCL, directed that the Business Combination Agreement and the terms of the business combination transaction contemplated thereby, including without limitation the Business Combination, be submitted for consideration by Armadas stockholders for approval and (d) recommended that the stockholders of Armada approve the Business Combination Agreement and the business combination transaction contemplated thereby, including without limitation, the Business Combination and the payment of the Aggregate Stock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of the material factors considered by the board of directors is not intended to be exhaustive but does set forth the principal factors considered by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Armadas Directors and Officers in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interests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Armadas Sponsor has agreed not to redeem any of the Founder Shares in connection with a stockholder vote to approve the Business Combination, as provided in the Armada Letter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continued indemnification of Armadas existing directors and officers and the continuation of Armadas directors and officers liability insurance after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Stephen Herbert and Douglas Lurio will be appointed as board members of Rezolve after the Business Combination and shall be entitled to receive compensation for serving on the board of directors of Rezolve after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                 and $                , respectively, based upon the closing price of $                 per public share on the Nasdaq on                 ,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Armadas Sponsor holds in the aggregate approximately                 % of the total shares outstanding as of the date of this proxy statement/prospectus. The Founder Shares will likely be worthless if Armada does not complete a business combination by the applicable deadline.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personal and financial interests of Armadas officers and directors described above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Amended and Restated Rezolve Memorandum and Articles of Association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Business Combination Agreement, prior to the consummation of the Business Combination, Rezolves memorandum and articles of association will be amended and restated promptly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 necessary changes for a company listed on Nasdaq (for a summary of the memorandum and articles of association to be amended please see </w:t>
            </w:r>
            <w:r>
              <w:rPr>
                <w:rFonts w:ascii="Times New Roman" w:hAnsi="Times New Roman"/>
                <w:i/>
                <w:sz w:val="20"/>
              </w:rPr>
              <w:t>Description Of Rezolve Ordinary Shares, Articles Of Association And Certain Legal Considerations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certain other changes that Rezolves board of directors deems appropriate for a public company.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Headquarters; Stock Symbols </w:t>
      </w:r>
    </w:p>
    <w:p>
      <w:pPr>
        <w:pStyle w:val="TextBody"/>
        <w:bidi w:val="0"/>
        <w:spacing w:before="120" w:after="0"/>
        <w:jc w:val="left"/>
        <w:rPr>
          <w:rFonts w:ascii="Times New Roman" w:hAnsi="Times New Roman"/>
          <w:sz w:val="20"/>
        </w:rPr>
      </w:pPr>
      <w:r>
        <w:rPr>
          <w:rFonts w:ascii="Times New Roman" w:hAnsi="Times New Roman"/>
          <w:sz w:val="20"/>
        </w:rPr>
        <w:t xml:space="preserve">After completion of the transactions contemplated by the Business Combination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corporate headquarters and principal executive offices of Rezolve will be located at 3rd Floor, 80 New Bond Street, London, W1S 1SB, United Kingdom;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Rezolves applications for listing are approved, Rezolves Ordinary Shares and warrants will be traded on the Nasdaq under the symbols                  and                 , respectively.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Opinion of Marshall &amp; Stevens </w:t>
      </w:r>
    </w:p>
    <w:p>
      <w:pPr>
        <w:pStyle w:val="TextBody"/>
        <w:bidi w:val="0"/>
        <w:spacing w:before="120" w:after="0"/>
        <w:jc w:val="left"/>
        <w:rPr>
          <w:rFonts w:ascii="Times New Roman" w:hAnsi="Times New Roman"/>
          <w:sz w:val="20"/>
        </w:rPr>
      </w:pPr>
      <w:r>
        <w:rPr>
          <w:rFonts w:ascii="Times New Roman" w:hAnsi="Times New Roman"/>
          <w:sz w:val="20"/>
        </w:rPr>
        <w:t xml:space="preserve">On September 9, 2022, Armada engaged Marshall &amp; Stevens Transaction Advisory Services LLC (Marshall &amp; Stevens) to evaluate the fairness, from a financial point of view, to Armada of the Purchase Price (as defined below) to be paid by Armada in connection with the anticipated acquisition of one hundred percent of the equity and equity equivalents (equity) and/or all or substantially all of the assets and business of Rezolve (the Acquired Business). On June 11, 2023, Armadas board of directors met to review the proposed Business Combination. During this meeting, Marshall &amp; Stevens reviewed with Armadas board of directors certain financial analyses as described below and rendered its oral opinion to Armadas board of directors, which opinion was confirmed by delivery of a written opinion, dated June 11, 2023, (the M&amp;S Opinion), to the effect that, as of June 6, 2023 and based on and subject to the matters described in its opinion, the purchase price being paid by Armada for Rezolve in the transaction of One Billion, Six Hundred Thousand Dollars ($1,600,000,000), paid in the form of the ordinary shares of Rezolve (as the surviving company) valued at $10.00 per share was fair, from a financial point of view, to Armada (the Purchase Price). As discussed below, Marshall &amp; Stevens used, with the approval of the board of directors of Armada, a value of $10.00 per share for the Armada Class A Common Stock. As structured, the Transaction provides for the issuance of Rezolve Ordinary Shares (as the surviving company) to the stockholders of Armada, and with the approval of the board of directors of Armada, Marshall &amp; Stevens has used the same value per share for the Rezolve Ordinary Shares to be received by the stockholders of Armada on a one-for-one basis in the Transaction in exchange for their Armada Class A Common Stock. Marshall &amp; Stevens has made no independent determination as to the fair market value of the securities to be issued to the stockholders of Armada in the Transaction. </w:t>
      </w:r>
    </w:p>
    <w:p>
      <w:pPr>
        <w:pStyle w:val="TextBody"/>
        <w:bidi w:val="0"/>
        <w:spacing w:before="240" w:after="0"/>
        <w:jc w:val="left"/>
        <w:rPr>
          <w:rFonts w:ascii="Times New Roman" w:hAnsi="Times New Roman"/>
          <w:sz w:val="20"/>
        </w:rPr>
      </w:pPr>
      <w:r>
        <w:rPr>
          <w:rFonts w:ascii="Times New Roman" w:hAnsi="Times New Roman"/>
          <w:b/>
          <w:sz w:val="20"/>
        </w:rPr>
        <w:t>The full text of the M&amp;S Opinion, which sets forth, among other things, the assumptions made, matters considered and limitations on the scope of review undertaken by Marshall &amp; Stevens in rendering its opinion, is attached as Annex                 </w:t>
      </w:r>
      <w:r>
        <w:rPr>
          <w:rFonts w:ascii="Times New Roman" w:hAnsi="Times New Roman"/>
          <w:sz w:val="20"/>
        </w:rPr>
        <w:t xml:space="preserve"> </w:t>
      </w:r>
      <w:r>
        <w:rPr>
          <w:rFonts w:ascii="Times New Roman" w:hAnsi="Times New Roman"/>
          <w:b/>
          <w:sz w:val="20"/>
        </w:rPr>
        <w:t xml:space="preserve">and is incorporated into this proxy statement by reference in its entirety. Holders of the Armada Common Stock are encouraged to read this opinion carefully in its entirety. Marshall &amp; Stevens opinion was provided to Armadas board of directors for their information in connection with their evaluation of the consideration to be received by Armada in consideration of the issuance of its equity securities to the equity holders of Rezolve in the Business Combination and relates only to the fairness, from a financial point of view, of such consideration, does not address any other aspect of the Business Combination and does not constitute a recommendation to any stockholder as to how such stockholder should vote or act with respect to any matters relating to the Business Combination. The summary of Marshall &amp; Stevens opinion in this proxy statement is qualified in its entirety by reference to the full text of the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arriving at its opinion, Marshall &amp; Stevens: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Business Combination Agreement as of June 6,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operating and financial information relating to Rezolves business and prospects, including financial statements for the years ended December 31, 2020 through 2022, internal financial records for the three-month period ended March 31, 2023, projections for the years ending December 31, 2023 through December 31, 2027 as prepared Rezolves management and provided to Marshall &amp; Stevens;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spoke with certain members of Rezolves management regarding Rezolves operations, financial condition, future prospects and projected operations and performance and regarding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participated in discussions with the board and its counsel regarding Rezolves projected financials results, among other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business, financial and other information regarding Rezolve that was furnished to it by Rezolve through its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other publicly available financial data for certain companies that Marshall &amp; Stevens deemed relevant for purposes of its analysis and publicly available transaction prices and premiums paid in other transactions that it deemed relevant for purposes of its analysis;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a discounted cash flow analysis based on the projected financial information provided by Rezolves management;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financial studies, analyses and inquiries as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its review, Marshall &amp; Stevens relied upon and assumed, without independent verification, the accuracy and completeness of all data, material and other information furnished or otherwise made available to it, discussed with or reviewed by it, or publicly available, and did not assume any responsibility with respect to such data, material and other information. In addition, Rezolves management advised Marshall &amp; Stevens, and Marshall &amp; Stevens assumed, that Rezolves projected financial information provided to Marshall &amp; Stevens was reasonably prepared on bases reflecting the best currently available estimates and judgments of Rezolves future financial results and condition. In evaluating fairness, Marshall &amp; Stevens assumed a fair market value for Armada shares of $10.00 per share (the estimated redemption value of such shares). This value was used, with the consent of Armadas board of directors, due to the fact that Armada is a special purpose acquisition company with only limited trading history and no material operations or assets other than cash or cash equivalents and an as yet to be approved Business Combination Agreement. Accordingly, Marshall &amp; Stevens did not perform an independent analysis regarding the fair market value of the Armada Class A Common Stock or the common stock to be issued to the holders of such shares of common stock pursuant to the Business Combination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Marshall &amp; Stevens expressed no opinion with respect to such forecasts and projections or the assumptions on which they are based. Marshall &amp; Stevens also relied upon and assumed, without independent verification, that there has been no material change in Rezolves assets, liabilities, financial condition, results of operations, business or prospects since the date of the most recent financial statements provided to Marshall &amp; Stevens, and that there is no information or facts that would make the information reviewed by Marshall &amp; Stevens incomplete or misleading. Marshall &amp; Stevens also assumed that Rezolve is not party to any material pending transaction, including, without limitation, any external financing (other than in connection with the Business Combination), recapitalization, acquisition or merger, divestiture or spin-off (other than the Business Combination or other publicly disclosed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Marshall &amp; Stevens relied upon and assumed, without independent verification, that (a) the representations and warranties of all parties to the agreements identified in the Business Combination Agreement and all other related documents and instruments that are referred to therein are true and correct, (b) each party to each such agreement, document or instrument will perform all of the covenants and agreements required to be performed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such party, (c) all conditions to the completion of the Business Combination will be satisfied without waiver thereof and (d) the Business Combination will be completed in a timely manner in accordance with the terms described in the agreements provided to Marshall &amp; Stevens, without any amendments or modifications thereto or any adjustment to the aggregate consideration (through offset, reduction, indemnity claims, post-closing purchase price adjustments or otherwise). Marshall &amp; Stevens also relied upon and assumed, without independent verification, that all governmental, regulatory and other consents and approvals necessary for the completion of the Business Combination will be obtained and that no delay, limitations, restrictions or conditions will be imposed. </w:t>
      </w:r>
    </w:p>
    <w:p>
      <w:pPr>
        <w:pStyle w:val="TextBody"/>
        <w:bidi w:val="0"/>
        <w:spacing w:before="240" w:after="0"/>
        <w:jc w:val="left"/>
        <w:rPr>
          <w:rFonts w:ascii="Times New Roman" w:hAnsi="Times New Roman"/>
          <w:sz w:val="20"/>
        </w:rPr>
      </w:pPr>
      <w:r>
        <w:rPr>
          <w:rFonts w:ascii="Times New Roman" w:hAnsi="Times New Roman"/>
          <w:sz w:val="20"/>
        </w:rPr>
        <w:t xml:space="preserve">Marshall &amp; Stevens was not requested to make, and did not make, any physical inspection or independent appraisal or evaluation of any of the assets, properties or liabilities (contingent or otherwise) of Rezolve, Armada or any other party. Furthermore, Marshall &amp; Stevens did not undertake independent analysis of any potential or actual litigation, governmental investigation, regulatory action, possible unasserted claims or other contingent liabilities to which Rezolve or Armada is a party or may be subject. </w:t>
      </w:r>
    </w:p>
    <w:p>
      <w:pPr>
        <w:pStyle w:val="TextBody"/>
        <w:bidi w:val="0"/>
        <w:spacing w:before="240" w:after="0"/>
        <w:jc w:val="left"/>
        <w:rPr>
          <w:rFonts w:ascii="Times New Roman" w:hAnsi="Times New Roman"/>
          <w:sz w:val="20"/>
        </w:rPr>
      </w:pPr>
      <w:r>
        <w:rPr>
          <w:rFonts w:ascii="Times New Roman" w:hAnsi="Times New Roman"/>
          <w:sz w:val="20"/>
        </w:rPr>
        <w:t xml:space="preserve">Marshall &amp; Stevens opinion addressed only the fairness, from a financial point of view, of the Purchase Price and did not address any other aspect or implication of the Business Combination or any other agreement, arrangement or understanding entered into in connection with the Business Combination or otherwise. Marshall &amp; Stevens opinion was necessarily based upon information made available to it as of the date of the opinion and financial, economic, market and other conditions as they existed and could be evaluated on the date of the opinion. Marshall &amp; Stevens opinion did not address the relative merits of the Business Combination as compared to alternative transactions or strategies that might be available to Armada, nor did it address Armadas underlying business decision to proceed with the Business Combination. Except as described herein, Armadas board of directors imposed no other limitations on Marshall &amp; Stevens with respect to the investigations made or procedures followed in rendering the opinion. </w:t>
      </w:r>
    </w:p>
    <w:p>
      <w:pPr>
        <w:pStyle w:val="TextBody"/>
        <w:bidi w:val="0"/>
        <w:spacing w:before="240" w:after="0"/>
        <w:jc w:val="left"/>
        <w:rPr>
          <w:rFonts w:ascii="Times New Roman" w:hAnsi="Times New Roman"/>
          <w:sz w:val="20"/>
        </w:rPr>
      </w:pPr>
      <w:r>
        <w:rPr>
          <w:rFonts w:ascii="Times New Roman" w:hAnsi="Times New Roman"/>
          <w:sz w:val="20"/>
        </w:rPr>
        <w:t xml:space="preserve">In preparing its opinion to Armadas board of directors, Marshall &amp; Stevens performed a variety of financial and comparative analyses, including those described below that were the material financial analyses reviewed with Armadas board of directors in connection with Marshall &amp; Stevens opinion. The summary of Marshall &amp; Stevens analyses described below is not a complete description of such analyses underlying Marshall &amp; Stevens opinion.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Marshall &amp; Stevens arrived at its ultimate opinion based on the results of all analyses undertaken by it and assessed as a whole and did not draw, in isolation, conclusions from or with regard to any one factor or method of analysis. Accordingly, Marshall &amp; Stevens believes that its analyses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its analyses and opinion. </w:t>
      </w:r>
    </w:p>
    <w:p>
      <w:pPr>
        <w:pStyle w:val="TextBody"/>
        <w:bidi w:val="0"/>
        <w:spacing w:before="240" w:after="0"/>
        <w:jc w:val="left"/>
        <w:rPr>
          <w:rFonts w:ascii="Times New Roman" w:hAnsi="Times New Roman"/>
          <w:sz w:val="20"/>
        </w:rPr>
      </w:pPr>
      <w:r>
        <w:rPr>
          <w:rFonts w:ascii="Times New Roman" w:hAnsi="Times New Roman"/>
          <w:sz w:val="20"/>
        </w:rPr>
        <w:t xml:space="preserve">In its analyses, Marshall &amp; Stevens considered industry performance, general business, economic, market and financial conditions and other matters, many of which are beyond Rezolves control. No company, transaction or business used in Marshall &amp; Stevens analyses as a comparison is identical to Rezolve or the proposed Business Combination,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 The estimates contained in Marshall &amp; Stevens analyses and the ranges of valuations resulting from any particular analysis are not necessarily indicative of actual values or predictive of future results or values, which may be significantly more or less favorable than those suggested by the analyses. In addition, analyses relating to the value of businesses or securities do not purport to be appraisals or to reflect the prices at which businesses or securities actually may be sold. Accordingly, the estimates used in, and the results derived from, Marshall &amp; Stevens analyses are inherently subject to substantial uncertainty.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Marshall &amp; Stevens was not requested to, and it did not, recommend the specific consideration payable in the Business Combination, which consideration was determined between Armada and Rezolve, and the decision to enter into the Business Combination was solely that of Armadas board of directors. Marshall &amp; Stevens opinion and financial analyses were only one of many factors considered by Armadas board of directors in its evaluation of the Business Combination and should not be viewed as determinative of the views of Armadas board of directors or Armadas management with respect to the Business Combination or the Business Combination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financial analyses reviewed with Armadas board of directors in connection with Marshall &amp; Stevens opinion. The financial analyses summarized below include information presented in tabular format. In order to fully understand Marshall &amp; Stevens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Marshall &amp; Stevens financial analyses.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Fees Paid to Marshall &amp; Stevens </w:t>
      </w:r>
    </w:p>
    <w:p>
      <w:pPr>
        <w:pStyle w:val="TextBody"/>
        <w:bidi w:val="0"/>
        <w:spacing w:before="120" w:after="0"/>
        <w:jc w:val="left"/>
        <w:rPr>
          <w:rFonts w:ascii="Times New Roman" w:hAnsi="Times New Roman"/>
          <w:sz w:val="20"/>
        </w:rPr>
      </w:pPr>
      <w:r>
        <w:rPr>
          <w:rFonts w:ascii="Times New Roman" w:hAnsi="Times New Roman"/>
          <w:sz w:val="20"/>
        </w:rPr>
        <w:t xml:space="preserve">Marshall &amp; Stevens was engaged on a fixed-fee basis of between $135,000 to $140,000, plus fees and expenses, and their compensation is not contingent upon the completion of the transaction. Marshall &amp; Stevens provided no additional services associated with the transaction and has provided no other services for the Sponsor.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Rezolve Financial Projections </w:t>
      </w:r>
    </w:p>
    <w:p>
      <w:pPr>
        <w:pStyle w:val="TextBody"/>
        <w:bidi w:val="0"/>
        <w:spacing w:before="120" w:after="0"/>
        <w:jc w:val="left"/>
        <w:rPr>
          <w:rFonts w:ascii="Times New Roman" w:hAnsi="Times New Roman"/>
          <w:sz w:val="20"/>
        </w:rPr>
      </w:pPr>
      <w:r>
        <w:rPr>
          <w:rFonts w:ascii="Times New Roman" w:hAnsi="Times New Roman"/>
          <w:sz w:val="20"/>
        </w:rPr>
        <w:t>Armada is including the information set forth below solely to give Armadas stockholders access to the financial projections of Rezolve (the Projections) that were relied upon by Marshall &amp; Stevens in connection with the rendering of its opinion as described in the section entitled </w:t>
      </w:r>
      <w:r>
        <w:rPr>
          <w:rFonts w:ascii="Times New Roman" w:hAnsi="Times New Roman"/>
          <w:i/>
          <w:sz w:val="20"/>
        </w:rPr>
        <w:t>The Business</w:t>
      </w:r>
      <w:r>
        <w:rPr>
          <w:rFonts w:ascii="Times New Roman" w:hAnsi="Times New Roman"/>
          <w:sz w:val="20"/>
        </w:rPr>
        <w:t xml:space="preserve"> </w:t>
      </w:r>
      <w:r>
        <w:rPr>
          <w:rFonts w:ascii="Times New Roman" w:hAnsi="Times New Roman"/>
          <w:i/>
          <w:sz w:val="20"/>
        </w:rPr>
        <w:t>CombinationOpinion</w:t>
      </w:r>
      <w:r>
        <w:rPr>
          <w:rFonts w:ascii="Times New Roman" w:hAnsi="Times New Roman"/>
          <w:sz w:val="20"/>
        </w:rPr>
        <w:t xml:space="preserve"> </w:t>
      </w:r>
      <w:r>
        <w:rPr>
          <w:rFonts w:ascii="Times New Roman" w:hAnsi="Times New Roman"/>
          <w:i/>
          <w:sz w:val="20"/>
        </w:rPr>
        <w:t>of Marshall</w:t>
      </w:r>
      <w:r>
        <w:rPr>
          <w:rFonts w:ascii="Times New Roman" w:hAnsi="Times New Roman"/>
          <w:sz w:val="20"/>
        </w:rPr>
        <w:t xml:space="preserve"> </w:t>
      </w:r>
      <w:r>
        <w:rPr>
          <w:rFonts w:ascii="Times New Roman" w:hAnsi="Times New Roman"/>
          <w:i/>
          <w:sz w:val="20"/>
        </w:rPr>
        <w:t>&amp; Stevens</w:t>
      </w:r>
      <w:r>
        <w:rPr>
          <w:rFonts w:ascii="Times New Roman" w:hAnsi="Times New Roman"/>
          <w:sz w:val="20"/>
        </w:rPr>
        <w:t xml:space="preserve">. The Projections were also made available to Armadas board of directors in connection with the presentation of financial analyses by Marshall &amp; Stevens. The inclusion of information about the Projections in this proxy statement/prospectus should not be regarded as an indication that Armadas board of directors, management, or any other recipient of this information considered, or now considers, this information to be predictive of actual future results or to support or fail to support your decision whether to vote for or against the Business Combination Proposal. Neither Armadas management, Rezolve nor their respective representatives has made or makes any representations to any person regarding the ultimate performance of Rezolve relative to the Projections. The Projections are not fact, are not a guarantee of future performance and should not be relied upon as being necessarily indicative of future results, and readers of this proxy statement/prospectus, including investors or stockholders, are cautioned not to place undue reliance on this information. You are cautioned not to rely on the Projections in making a decision regarding the Business Combination, as the Projections may be materially different than actual results. Rezolve will not refer back to the Projections in future periodic reports filed under the Exchange Act. </w:t>
      </w:r>
    </w:p>
    <w:p>
      <w:pPr>
        <w:pStyle w:val="TextBody"/>
        <w:bidi w:val="0"/>
        <w:spacing w:before="0" w:after="0"/>
        <w:jc w:val="left"/>
        <w:rPr/>
      </w:pPr>
      <w:r>
        <w:rPr/>
        <w:t> </w:t>
      </w:r>
    </w:p>
    <w:tbl>
      <w:tblPr>
        <w:tblW w:w="10695" w:type="dxa"/>
        <w:jc w:val="center"/>
        <w:tblInd w:w="0" w:type="dxa"/>
        <w:tblLayout w:type="fixed"/>
        <w:tblCellMar>
          <w:top w:w="0" w:type="dxa"/>
          <w:left w:w="0" w:type="dxa"/>
          <w:bottom w:w="0" w:type="dxa"/>
          <w:right w:w="0" w:type="dxa"/>
        </w:tblCellMar>
      </w:tblPr>
      <w:tblGrid>
        <w:gridCol w:w="875"/>
        <w:gridCol w:w="120"/>
        <w:gridCol w:w="301"/>
        <w:gridCol w:w="619"/>
        <w:gridCol w:w="275"/>
        <w:gridCol w:w="60"/>
        <w:gridCol w:w="301"/>
        <w:gridCol w:w="619"/>
        <w:gridCol w:w="275"/>
        <w:gridCol w:w="60"/>
        <w:gridCol w:w="356"/>
        <w:gridCol w:w="729"/>
        <w:gridCol w:w="350"/>
        <w:gridCol w:w="60"/>
        <w:gridCol w:w="217"/>
        <w:gridCol w:w="868"/>
        <w:gridCol w:w="350"/>
        <w:gridCol w:w="60"/>
        <w:gridCol w:w="217"/>
        <w:gridCol w:w="868"/>
        <w:gridCol w:w="275"/>
        <w:gridCol w:w="60"/>
        <w:gridCol w:w="172"/>
        <w:gridCol w:w="913"/>
        <w:gridCol w:w="275"/>
        <w:gridCol w:w="60"/>
        <w:gridCol w:w="172"/>
        <w:gridCol w:w="913"/>
        <w:gridCol w:w="275"/>
      </w:tblGrid>
      <w:tr>
        <w:trPr/>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Actual Results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1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Rezolve Management Projections(1)</w:t>
            </w:r>
          </w:p>
        </w:tc>
        <w:tc>
          <w:tcPr>
            <w:tcW w:w="275" w:type="dxa"/>
            <w:tcBorders/>
            <w:vAlign w:val="bottom"/>
          </w:tcPr>
          <w:p>
            <w:pPr>
              <w:pStyle w:val="TableContents"/>
              <w:bidi w:val="0"/>
              <w:spacing w:before="0" w:after="283"/>
              <w:jc w:val="left"/>
              <w:rPr/>
            </w:pPr>
            <w:r>
              <w:rPr/>
              <w:t> </w:t>
            </w:r>
          </w:p>
        </w:tc>
      </w:tr>
      <w:tr>
        <w:trPr/>
        <w:tc>
          <w:tcPr>
            <w:tcW w:w="8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120"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CY 2021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CY 2022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CY 2023E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CY 2024E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CY 2025E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CY 2026E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CY 2027E</w:t>
            </w:r>
          </w:p>
        </w:tc>
        <w:tc>
          <w:tcPr>
            <w:tcW w:w="275" w:type="dxa"/>
            <w:tcBorders/>
            <w:vAlign w:val="bottom"/>
          </w:tcPr>
          <w:p>
            <w:pPr>
              <w:pStyle w:val="TableContents"/>
              <w:bidi w:val="0"/>
              <w:spacing w:before="0" w:after="283"/>
              <w:jc w:val="left"/>
              <w:rPr/>
            </w:pPr>
            <w:r>
              <w:rPr/>
              <w:t> </w:t>
            </w:r>
          </w:p>
        </w:tc>
      </w:tr>
      <w:tr>
        <w:trPr/>
        <w:tc>
          <w:tcPr>
            <w:tcW w:w="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619" w:type="dxa"/>
            <w:tcBorders/>
            <w:shd w:fill="CCEEFF" w:val="clear"/>
            <w:vAlign w:val="bottom"/>
          </w:tcPr>
          <w:p>
            <w:pPr>
              <w:pStyle w:val="TableContents"/>
              <w:bidi w:val="0"/>
              <w:spacing w:before="0" w:after="283"/>
              <w:jc w:val="right"/>
              <w:rPr/>
            </w:pPr>
            <w:r>
              <w:rPr/>
              <w:t>3.9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619" w:type="dxa"/>
            <w:tcBorders/>
            <w:shd w:fill="CCEEFF" w:val="clear"/>
            <w:vAlign w:val="bottom"/>
          </w:tcPr>
          <w:p>
            <w:pPr>
              <w:pStyle w:val="TableContents"/>
              <w:bidi w:val="0"/>
              <w:spacing w:before="0" w:after="283"/>
              <w:jc w:val="right"/>
              <w:rPr/>
            </w:pPr>
            <w:r>
              <w:rPr/>
              <w:t>12.3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24.4</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281.1</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830.9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1,445.1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2,195.6</w:t>
            </w:r>
          </w:p>
        </w:tc>
        <w:tc>
          <w:tcPr>
            <w:tcW w:w="275" w:type="dxa"/>
            <w:tcBorders/>
            <w:shd w:fill="CCEEFF" w:val="clear"/>
            <w:vAlign w:val="bottom"/>
          </w:tcPr>
          <w:p>
            <w:pPr>
              <w:pStyle w:val="TableContents"/>
              <w:bidi w:val="0"/>
              <w:spacing w:before="0" w:after="283"/>
              <w:jc w:val="left"/>
              <w:rPr/>
            </w:pPr>
            <w:r>
              <w:rPr/>
              <w:t> </w:t>
            </w:r>
          </w:p>
        </w:tc>
      </w:tr>
      <w:tr>
        <w:trPr/>
        <w:tc>
          <w:tcPr>
            <w:tcW w:w="875"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 Margin</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56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51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59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78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86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86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89</w:t>
            </w:r>
          </w:p>
        </w:tc>
        <w:tc>
          <w:tcPr>
            <w:tcW w:w="275" w:type="dxa"/>
            <w:tcBorders/>
            <w:vAlign w:val="bottom"/>
          </w:tcPr>
          <w:p>
            <w:pPr>
              <w:pStyle w:val="TableContents"/>
              <w:bidi w:val="0"/>
              <w:spacing w:before="0" w:after="283"/>
              <w:jc w:val="left"/>
              <w:rPr/>
            </w:pPr>
            <w:r>
              <w:rPr/>
              <w:t>% </w:t>
            </w:r>
          </w:p>
        </w:tc>
      </w:tr>
      <w:tr>
        <w:trPr/>
        <w:tc>
          <w:tcPr>
            <w:tcW w:w="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EBITDA(3)</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619" w:type="dxa"/>
            <w:tcBorders/>
            <w:shd w:fill="CCEEFF" w:val="clear"/>
            <w:vAlign w:val="bottom"/>
          </w:tcPr>
          <w:p>
            <w:pPr>
              <w:pStyle w:val="TableContents"/>
              <w:bidi w:val="0"/>
              <w:spacing w:before="0" w:after="283"/>
              <w:jc w:val="right"/>
              <w:rPr/>
            </w:pPr>
            <w:r>
              <w:rPr/>
              <w:t>13.3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619" w:type="dxa"/>
            <w:tcBorders/>
            <w:shd w:fill="CCEEFF" w:val="clear"/>
            <w:vAlign w:val="bottom"/>
          </w:tcPr>
          <w:p>
            <w:pPr>
              <w:pStyle w:val="TableContents"/>
              <w:bidi w:val="0"/>
              <w:spacing w:before="0" w:after="283"/>
              <w:jc w:val="right"/>
              <w:rPr/>
            </w:pPr>
            <w:r>
              <w:rPr/>
              <w:t>24.2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16.1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76.0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223.2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435.6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876.5</w:t>
            </w:r>
          </w:p>
        </w:tc>
        <w:tc>
          <w:tcPr>
            <w:tcW w:w="275" w:type="dxa"/>
            <w:tcBorders/>
            <w:shd w:fill="CCEEFF" w:val="clear"/>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61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61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Management Projections are unaudited.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revenue from operations in China, Spain, France, Australia, and New Zealand in calendar year 2023 and no revenue from operations in Nordics in calendar years 2023 and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defined as EBITDA (net income (loss) adjusted for interest expense, income tax, depreciation of property and equipment and amortization of acquired intangibles) adjusted for unrealized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foreign exchange gains (losses), impairment of goodwill and other assets, business development expenses, warrants issued and share-based compensation and, solely for purposes of the Projections, exclude applicable audit adjustments. See below </w:t>
            </w:r>
            <w:r>
              <w:rPr>
                <w:i/>
              </w:rPr>
              <w:t>Reconciliation</w:t>
            </w:r>
            <w:r>
              <w:rPr/>
              <w:t xml:space="preserve"> </w:t>
            </w:r>
            <w:r>
              <w:rPr>
                <w:i/>
              </w:rPr>
              <w:t>of Non-GAAP</w:t>
            </w:r>
            <w:r>
              <w:rPr/>
              <w:t xml:space="preserve"> </w:t>
            </w:r>
            <w:r>
              <w:rPr>
                <w:i/>
              </w:rPr>
              <w:t>Financial</w:t>
            </w:r>
            <w:r>
              <w:rPr/>
              <w:t xml:space="preserve"> </w:t>
            </w:r>
            <w:r>
              <w:rPr>
                <w:i/>
              </w:rPr>
              <w:t>Measures</w:t>
            </w:r>
            <w:r>
              <w:rPr/>
              <w:t xml:space="preserve"> for additional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Projections provided by Rezolve for Armadas use were good faith estimates of what Armada and Rezolve believe is the range of financial results that can reasonably be expected of Rezolve. There can be no assurance that these projections will prove accurate.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were prepared by Rezolve at the request of Armada for use by Marshall &amp; Stevens for its opinion. Rezolve, as a matter of course, does not publicly disclose forecasts, internal projections as to future performance, revenues, earnings, or other results of operations due to the inherent unpredictability and subjectivity of underlying assumptions and projections. Rezolves 2021 and 2022 financial results and future financial results materially differed and may materially differ from those expressed in the Projections due to factors that are beyond Armadas or Rezolves ability to control or predict. Armada cannot make any assurances that the Projections will be realized or that Rezolves future financial results will not materially vary from the Projections. In particular, the Projections should not be used as public guidance.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were not prepared with a view toward public disclosure or compliance with published guidelines of the SEC regarding projections, the guidelines established by the American Institute of Certified Public Accountants for preparation and presentation of prospective financial information, or GAAP. The Projections have not been audited. Marcum LLP has not audited, reviewed, examined, compiled, nor applied agreed-upon procedures with respect to the Projections and, accordingly, Marcum LLP does not express an opinion or any other form of assurance with respect thereto. The Marcum LLP report included in this document relates to Armadas previously issued financial statements. It does not extend to the Projections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The Projections were based upon various estimates and assumptions that relate only to the periods presented and based on information known or estimated as of the date the Projections were prepared. The Projections do not take into account any circumstances or events occurring after the date they were prepared. Accordingly, the Projections should not be relied upon for any other purpose. The Projections are also subjective in many respects and the recent changes in Rezolves operations, notably the Pre-Closing Demerge, makes evaluating its business and future prospects, including the assumptions and analyses developed by Rezolve upon which the Projections rely, difficult and uncertain. As a result, there can be no assurance that the Projections will be realized or that actual results will not be significantly lower or higher than estimated. Since the Projections cover multiple years, that information by its nature becomes less predictive and reliable with each successive year. Stockholders are urged to review the section entitled </w:t>
      </w:r>
      <w:r>
        <w:rPr>
          <w:rFonts w:ascii="Times New Roman" w:hAnsi="Times New Roman"/>
          <w:i/>
          <w:sz w:val="20"/>
        </w:rPr>
        <w:t>Risk</w:t>
      </w:r>
      <w:r>
        <w:rPr>
          <w:rFonts w:ascii="Times New Roman" w:hAnsi="Times New Roman"/>
          <w:sz w:val="20"/>
        </w:rPr>
        <w:t xml:space="preserve"> </w:t>
      </w:r>
      <w:r>
        <w:rPr>
          <w:rFonts w:ascii="Times New Roman" w:hAnsi="Times New Roman"/>
          <w:i/>
          <w:sz w:val="20"/>
        </w:rPr>
        <w:t>Factors</w:t>
      </w:r>
      <w:r>
        <w:rPr>
          <w:rFonts w:ascii="Times New Roman" w:hAnsi="Times New Roman"/>
          <w:sz w:val="20"/>
        </w:rPr>
        <w:t> in this proxy statement/prospectus for a description of the risks relating to Rezolves business. Stockholders should also read the section entitled </w:t>
      </w:r>
      <w:r>
        <w:rPr>
          <w:rFonts w:ascii="Times New Roman" w:hAnsi="Times New Roman"/>
          <w:i/>
          <w:sz w:val="20"/>
        </w:rPr>
        <w:t>Cautionary</w:t>
      </w:r>
      <w:r>
        <w:rPr>
          <w:rFonts w:ascii="Times New Roman" w:hAnsi="Times New Roman"/>
          <w:sz w:val="20"/>
        </w:rPr>
        <w:t xml:space="preserve"> </w:t>
      </w:r>
      <w:r>
        <w:rPr>
          <w:rFonts w:ascii="Times New Roman" w:hAnsi="Times New Roman"/>
          <w:i/>
          <w:sz w:val="20"/>
        </w:rPr>
        <w:t>Note Regarding</w:t>
      </w:r>
      <w:r>
        <w:rPr>
          <w:rFonts w:ascii="Times New Roman" w:hAnsi="Times New Roman"/>
          <w:sz w:val="20"/>
        </w:rPr>
        <w:t xml:space="preserve"> </w:t>
      </w:r>
      <w:r>
        <w:rPr>
          <w:rFonts w:ascii="Times New Roman" w:hAnsi="Times New Roman"/>
          <w:i/>
          <w:sz w:val="20"/>
        </w:rPr>
        <w:t>Forward-Looking</w:t>
      </w:r>
      <w:r>
        <w:rPr>
          <w:rFonts w:ascii="Times New Roman" w:hAnsi="Times New Roman"/>
          <w:sz w:val="20"/>
        </w:rPr>
        <w:t xml:space="preserve"> </w:t>
      </w:r>
      <w:r>
        <w:rPr>
          <w:rFonts w:ascii="Times New Roman" w:hAnsi="Times New Roman"/>
          <w:i/>
          <w:sz w:val="20"/>
        </w:rPr>
        <w:t>Statements</w:t>
      </w:r>
      <w:r>
        <w:rPr>
          <w:rFonts w:ascii="Times New Roman" w:hAnsi="Times New Roman"/>
          <w:sz w:val="20"/>
        </w:rPr>
        <w:t xml:space="preserve"> in this proxy statement/prospectus for additional information regarding the risks inherent in forward-looking information such as the Projections.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include the following key assumptions that Rezolves management believed to be material: </w:t>
      </w:r>
    </w:p>
    <w:p>
      <w:pPr>
        <w:pStyle w:val="TextBody"/>
        <w:bidi w:val="0"/>
        <w:spacing w:before="240" w:after="0"/>
        <w:jc w:val="left"/>
        <w:rPr>
          <w:rFonts w:ascii="Times New Roman" w:hAnsi="Times New Roman"/>
          <w:sz w:val="20"/>
        </w:rPr>
      </w:pPr>
      <w:r>
        <w:rPr>
          <w:rFonts w:ascii="Times New Roman" w:hAnsi="Times New Roman"/>
          <w:i/>
          <w:sz w:val="20"/>
        </w:rPr>
        <w:t>Revenue Assumptions.</w:t>
      </w:r>
      <w:r>
        <w:rPr>
          <w:rFonts w:ascii="Times New Roman" w:hAnsi="Times New Roman"/>
          <w:sz w:val="20"/>
        </w:rPr>
        <w:t xml:space="preserve"> The Projections reflect Rezolve managements good faith assessment of the prospective revenue from Rezolves platform that Rezolve will have the opportunity and capability to achieve in the period 2023 through 2027.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Projections assume a total addressable market (worldwide) for Rezolves offerings of $478 billion.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Projections assume approximately $12,000 in revenues per year per merchant outside China.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Projections assume the following distribution of merchant partners and the number of months assumed to achieve the maximum number of merchant partners: </w:t>
            </w:r>
          </w:p>
        </w:tc>
      </w:tr>
    </w:tbl>
    <w:p>
      <w:pPr>
        <w:pStyle w:val="TextBody"/>
        <w:bidi w:val="0"/>
        <w:spacing w:before="0" w:after="0"/>
        <w:jc w:val="left"/>
        <w:rPr/>
      </w:pPr>
      <w:r>
        <w:rPr/>
        <w:t> </w:t>
      </w:r>
    </w:p>
    <w:tbl>
      <w:tblPr>
        <w:tblW w:w="13100" w:type="dxa"/>
        <w:jc w:val="center"/>
        <w:tblInd w:w="0" w:type="dxa"/>
        <w:tblLayout w:type="fixed"/>
        <w:tblCellMar>
          <w:top w:w="0" w:type="dxa"/>
          <w:left w:w="0" w:type="dxa"/>
          <w:bottom w:w="0" w:type="dxa"/>
          <w:right w:w="0" w:type="dxa"/>
        </w:tblCellMar>
      </w:tblPr>
      <w:tblGrid>
        <w:gridCol w:w="2315"/>
        <w:gridCol w:w="120"/>
        <w:gridCol w:w="119"/>
        <w:gridCol w:w="1596"/>
        <w:gridCol w:w="275"/>
        <w:gridCol w:w="60"/>
        <w:gridCol w:w="68"/>
        <w:gridCol w:w="912"/>
        <w:gridCol w:w="275"/>
        <w:gridCol w:w="60"/>
        <w:gridCol w:w="108"/>
        <w:gridCol w:w="1442"/>
        <w:gridCol w:w="275"/>
        <w:gridCol w:w="60"/>
        <w:gridCol w:w="108"/>
        <w:gridCol w:w="1442"/>
        <w:gridCol w:w="275"/>
        <w:gridCol w:w="60"/>
        <w:gridCol w:w="108"/>
        <w:gridCol w:w="1442"/>
        <w:gridCol w:w="275"/>
        <w:gridCol w:w="60"/>
        <w:gridCol w:w="79"/>
        <w:gridCol w:w="1291"/>
        <w:gridCol w:w="275"/>
      </w:tblGrid>
      <w:tr>
        <w:trPr/>
        <w:tc>
          <w:tcPr>
            <w:tcW w:w="23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bottom"/>
          </w:tcPr>
          <w:p>
            <w:pPr>
              <w:pStyle w:val="TableContents"/>
              <w:bidi w:val="0"/>
              <w:spacing w:before="0" w:after="283"/>
              <w:jc w:val="center"/>
              <w:rPr>
                <w:b/>
              </w:rPr>
            </w:pPr>
            <w:r>
              <w:rPr>
                <w:b/>
              </w:rPr>
              <w:t>Merchant Distribution</w:t>
              <w:br/>
              <w:t>Partners</w:t>
              <w:br/>
              <w:t>by geography</w:t>
            </w:r>
          </w:p>
        </w:tc>
        <w:tc>
          <w:tcPr>
            <w:tcW w:w="120" w:type="dxa"/>
            <w:tcBorders/>
            <w:vAlign w:val="bottom"/>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United Kingdom</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Germany</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Merchant Dist.</w:t>
              <w:br/>
              <w:t>Partner 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Merchant Dist.</w:t>
              <w:br/>
              <w:t>Partner 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Merchant Dist.</w:t>
              <w:br/>
              <w:t>Partner 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United States</w:t>
            </w:r>
          </w:p>
        </w:tc>
        <w:tc>
          <w:tcPr>
            <w:tcW w:w="275" w:type="dxa"/>
            <w:tcBorders/>
            <w:vAlign w:val="bottom"/>
          </w:tcPr>
          <w:p>
            <w:pPr>
              <w:pStyle w:val="TableContents"/>
              <w:bidi w:val="0"/>
              <w:spacing w:before="0" w:after="283"/>
              <w:jc w:val="left"/>
              <w:rPr/>
            </w:pPr>
            <w:r>
              <w:rPr/>
              <w:t> </w:t>
            </w:r>
          </w:p>
        </w:tc>
      </w:tr>
      <w:tr>
        <w:trPr/>
        <w:tc>
          <w:tcPr>
            <w:tcW w:w="23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Merchant Customers</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596" w:type="dxa"/>
            <w:tcBorders/>
            <w:shd w:fill="CCEEFF" w:val="clear"/>
            <w:vAlign w:val="bottom"/>
          </w:tcPr>
          <w:p>
            <w:pPr>
              <w:pStyle w:val="TableContents"/>
              <w:bidi w:val="0"/>
              <w:spacing w:before="0" w:after="283"/>
              <w:jc w:val="right"/>
              <w:rPr/>
            </w:pPr>
            <w:r>
              <w:rPr/>
              <w:t>200,000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150,000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pPr>
            <w:r>
              <w:rPr/>
              <w:t>250,000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pPr>
            <w:r>
              <w:rPr/>
              <w:t>500,000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pPr>
            <w:r>
              <w:rPr/>
              <w:t>600,000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2,500,000</w:t>
            </w:r>
          </w:p>
        </w:tc>
        <w:tc>
          <w:tcPr>
            <w:tcW w:w="275" w:type="dxa"/>
            <w:tcBorders/>
            <w:shd w:fill="CCEEFF" w:val="clear"/>
            <w:vAlign w:val="bottom"/>
          </w:tcPr>
          <w:p>
            <w:pPr>
              <w:pStyle w:val="TableContents"/>
              <w:bidi w:val="0"/>
              <w:spacing w:before="0" w:after="283"/>
              <w:jc w:val="left"/>
              <w:rPr/>
            </w:pPr>
            <w:r>
              <w:rPr/>
              <w:t> </w:t>
            </w:r>
          </w:p>
        </w:tc>
      </w:tr>
      <w:tr>
        <w:trPr/>
        <w:tc>
          <w:tcPr>
            <w:tcW w:w="2315" w:type="dxa"/>
            <w:tcBorders/>
          </w:tcPr>
          <w:p>
            <w:pPr>
              <w:pStyle w:val="TableContents"/>
              <w:bidi w:val="0"/>
              <w:spacing w:before="0" w:after="0"/>
              <w:jc w:val="left"/>
              <w:rPr>
                <w:rFonts w:ascii="Times New Roman" w:hAnsi="Times New Roman"/>
                <w:sz w:val="18"/>
              </w:rPr>
            </w:pPr>
            <w:r>
              <w:rPr>
                <w:rFonts w:ascii="Times New Roman" w:hAnsi="Times New Roman"/>
                <w:sz w:val="18"/>
              </w:rPr>
              <w:t>Merchant Penetration</w:t>
            </w:r>
          </w:p>
        </w:tc>
        <w:tc>
          <w:tcPr>
            <w:tcW w:w="1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96"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9</w:t>
            </w:r>
          </w:p>
        </w:tc>
        <w:tc>
          <w:tcPr>
            <w:tcW w:w="275" w:type="dxa"/>
            <w:tcBorders/>
            <w:vAlign w:val="bottom"/>
          </w:tcPr>
          <w:p>
            <w:pPr>
              <w:pStyle w:val="TableContents"/>
              <w:bidi w:val="0"/>
              <w:spacing w:before="0" w:after="283"/>
              <w:jc w:val="left"/>
              <w:rPr/>
            </w:pPr>
            <w:r>
              <w:rPr/>
              <w:t>% </w:t>
            </w:r>
          </w:p>
        </w:tc>
      </w:tr>
      <w:tr>
        <w:trPr/>
        <w:tc>
          <w:tcPr>
            <w:tcW w:w="23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Mos. to Max. No. of Merchants</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596"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Projections assume the following distribution of retail partners and the number of months assumed to achieve the maximum number of merchant partners: </w:t>
            </w:r>
          </w:p>
        </w:tc>
      </w:tr>
    </w:tbl>
    <w:p>
      <w:pPr>
        <w:pStyle w:val="TextBody"/>
        <w:bidi w:val="0"/>
        <w:spacing w:before="0" w:after="0"/>
        <w:jc w:val="left"/>
        <w:rPr/>
      </w:pPr>
      <w:r>
        <w:rPr/>
        <w:t> </w:t>
      </w:r>
    </w:p>
    <w:tbl>
      <w:tblPr>
        <w:tblW w:w="13450" w:type="dxa"/>
        <w:jc w:val="center"/>
        <w:tblInd w:w="0" w:type="dxa"/>
        <w:tblLayout w:type="fixed"/>
        <w:tblCellMar>
          <w:top w:w="0" w:type="dxa"/>
          <w:left w:w="0" w:type="dxa"/>
          <w:bottom w:w="0" w:type="dxa"/>
          <w:right w:w="0" w:type="dxa"/>
        </w:tblCellMar>
      </w:tblPr>
      <w:tblGrid>
        <w:gridCol w:w="1250"/>
        <w:gridCol w:w="60"/>
        <w:gridCol w:w="60"/>
        <w:gridCol w:w="1220"/>
        <w:gridCol w:w="275"/>
        <w:gridCol w:w="60"/>
        <w:gridCol w:w="60"/>
        <w:gridCol w:w="1220"/>
        <w:gridCol w:w="275"/>
        <w:gridCol w:w="60"/>
        <w:gridCol w:w="60"/>
        <w:gridCol w:w="1100"/>
        <w:gridCol w:w="275"/>
        <w:gridCol w:w="60"/>
        <w:gridCol w:w="60"/>
        <w:gridCol w:w="1100"/>
        <w:gridCol w:w="275"/>
        <w:gridCol w:w="60"/>
        <w:gridCol w:w="60"/>
        <w:gridCol w:w="1100"/>
        <w:gridCol w:w="275"/>
        <w:gridCol w:w="60"/>
        <w:gridCol w:w="60"/>
        <w:gridCol w:w="1100"/>
        <w:gridCol w:w="275"/>
        <w:gridCol w:w="60"/>
        <w:gridCol w:w="60"/>
        <w:gridCol w:w="1100"/>
        <w:gridCol w:w="275"/>
        <w:gridCol w:w="60"/>
        <w:gridCol w:w="60"/>
        <w:gridCol w:w="1100"/>
        <w:gridCol w:w="275"/>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center"/>
              <w:rPr>
                <w:b/>
              </w:rPr>
            </w:pPr>
            <w:r>
              <w:rPr>
                <w:b/>
              </w:rPr>
              <w:t>Retail Distribution Partners</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India</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Mexico(1)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Retail Dist.</w:t>
              <w:br/>
              <w:t>Partner 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Retail Dist.</w:t>
              <w:br/>
              <w:t>Partner 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Retail Dist.</w:t>
              <w:br/>
              <w:t>Partner 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Retail Dist.</w:t>
              <w:br/>
              <w:t>Partner 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Retail Dist.</w:t>
              <w:br/>
              <w:t>Partner 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Retail Dist.</w:t>
              <w:br/>
              <w:t>Partner 8</w:t>
            </w:r>
          </w:p>
        </w:tc>
        <w:tc>
          <w:tcPr>
            <w:tcW w:w="27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Partner Customers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150,000,000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180,000,000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20,000,000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15,000,000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60,000,000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20,000,000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25,000,000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60,000,000</w:t>
            </w:r>
          </w:p>
        </w:tc>
        <w:tc>
          <w:tcPr>
            <w:tcW w:w="27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16"/>
              </w:rPr>
            </w:pPr>
            <w:r>
              <w:rPr>
                <w:rFonts w:ascii="Times New Roman" w:hAnsi="Times New Roman"/>
                <w:sz w:val="16"/>
              </w:rPr>
              <w:t>Partner Penetration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Mos. to Max. No. of Customers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Based upon Rezolves contract with Grupo Carso, which has operations across Latin America, for Rezolves Instant Checkout offering in Grupo Carsos Claro Shop marketplace. The parties have been testing the Instant Checkout offering in Claro Shop during the first half of 2023 and the Projections assume that Rezolves Instant Checkout offering will commence commercial use on the Claro Shop marketplace in the third quarter of 2023. According to the Claro Shop website, Claro Shop is used by over 10,000 merchants and accessed by over 10.0 million customers.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July 25, 2023, Rezolve announced the introduction of two new offerings: (1) myBrain, Rezolves offering to individual users; and (2) Brain, Rezolves offering to businesses using AI and GPT technologies, with Brain offered in the following geographies: (a) Latin America, (b) Europe, (c) Asia and (d) North America. While Rezolve management does not anticipate that the introduction of these offerings and the shift in its platform will materially affect its Projections of the revenue, gross profit margin or EBITDA,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Rezolve management believes that such shift in its business model will increase Rezolves reliance on the Latin American market, while decreasing Rezolves reliance on re-entering the China market, the reasons for which are discussed below in greater detail.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myBrain</w:t>
            </w:r>
            <w:r>
              <w:rPr>
                <w:rFonts w:ascii="Times New Roman" w:hAnsi="Times New Roman"/>
                <w:sz w:val="20"/>
              </w:rPr>
              <w:t xml:space="preserve">. Rezolves myBrain offering allows individual users limited free access to Rezolves AI tool, a proprietary Large Language Model (or LLM) utility that allows users to ingest links and documents from any source to extract data from the documents in a personalized format by asking questions. Rezolve plans to advertise myBrain in Europe through the channels WhatsApp, Instagram, Facebook, TikTok and LinkedIn, which are expected to reach approximately 50.0 million consumers, and through Grupo Carso in Mexico, the contract with which Rezolve expects to commence in mid-August 2023 and to reach approximately 100.0 million consumers.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Brain.</w:t>
            </w:r>
            <w:r>
              <w:rPr>
                <w:rFonts w:ascii="Times New Roman" w:hAnsi="Times New Roman"/>
                <w:sz w:val="20"/>
              </w:rPr>
              <w:t xml:space="preserve"> Rezolves Brain offering to businesses utilizes AI and GPT models based on Rezolves proprietary LLM utility called BrainPowa, which has been trained specifically for eCommerce. Brain is designed to transform online stores, call-centers, social media interactions and in-store kiosks into personalized, conversational, online shopping experiences that increase orders and reduce costs. Rezolve believes it is in a unique position with first mover advantage in the retail space. The triggers for the AI offering have been active and used by merchants for at least 3 years and Rezolve initiated a large-scale trial in China that proved the technology. Merchants who engage Rezolve for the Brain platform will have access to Brain and all triggers (Geozone, audio triggers, watermarks, Instant Act and Instant Buy).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i/>
                <w:sz w:val="20"/>
              </w:rPr>
              <w:t>Brain-Latin America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5"/>
        <w:gridCol w:w="201"/>
        <w:gridCol w:w="8271"/>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expects to expand its offerings to Grupo Carso to include its myBrain and Brain offerings by the end of Q3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6"/>
        <w:gridCol w:w="203"/>
        <w:gridCol w:w="8270"/>
      </w:tblGrid>
      <w:tr>
        <w:trPr/>
        <w:tc>
          <w:tcPr>
            <w:tcW w:w="142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anticipates that it will enter into contracts by the end of 2023 with the Latin American digital merchants with which it is currently in negotiations, including a grocery store chain, a pharmacy chain and a digital marketing designer.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Statistas determination of 17.94 million SMEs in Latin America in 20212, Rezolves platform assumes that it will be engaged by approximately 0.0048% of Latin American SME merchants by December 2024 to achieve the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Brain-Europe.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9"/>
        <w:gridCol w:w="304"/>
        <w:gridCol w:w="201"/>
        <w:gridCol w:w="8271"/>
      </w:tblGrid>
      <w:tr>
        <w:trPr/>
        <w:tc>
          <w:tcPr>
            <w:tcW w:w="142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is party to a contract with the Weekend based in Germany to promote the Rezolve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2"/>
        <w:gridCol w:w="8272"/>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anticipates that it will enter into contracts by the end of 2023 with several European digital merchants with which it is currently in negotiations, including digital marketing companies, telecommunications companies, a consulting company and various digital marketplaces.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Statistas determination of 33.21 million SMEs in Europe in 20213, Rezolves platform assumes Rezolve will be engaged by approximately [0.0015%] of Europe SME merchants by December 2024 for its Brain offering to achieve the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2"/>
        <w:gridCol w:w="8272"/>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According to Statista, the retail market in Latin America was worth $1.9 trillion in 2017 and was forecasted to grow to $2.35 trillion by 2022 (Statista).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Brain-Asia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6"/>
        <w:gridCol w:w="203"/>
        <w:gridCol w:w="8270"/>
      </w:tblGrid>
      <w:tr>
        <w:trPr/>
        <w:tc>
          <w:tcPr>
            <w:tcW w:w="142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anticipates that it will enter into contracts for the Rezolve platform offering by the end of 2023 with Indian and South Korean digital merchants with which it is currently in negotiations, including a digital retailer.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Statistas determination of approximately 1.2 trillion SMEs in India in 20214 with approximately 63 million MSMEs and approximately 1.5 million SMEs in South Korea, Rezolves platform assumes Rezolve will be engaged by approximately 0.0005% of SME merchants in these two countries by December 2024 for its Brain offering to achieve the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According to Statista, the retail market in India was worth $1.2 trillion in 2022 and $487 billion in South Korea.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i/>
                <w:sz w:val="20"/>
              </w:rPr>
              <w:t>Brain-North America.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1"/>
        <w:gridCol w:w="8273"/>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is party to a contract with ACI Group in North America to promote the Rezolve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2"/>
        <w:gridCol w:w="8272"/>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According to [xxx], ACI Group has access to over 80,000 merchants for which Rezolve has assumed it will be engaged by 0.3% of such merchants by December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Statistas determination of 31.85 million SMEs in the United States in 20215, Rezolves platform assumes Rezolve will be engaged by approximately 0.0006% of North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2 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Research Department, Estimated number of small and medium sized enterprises (SMEs) worldwide from 2000 to 2021, by region (August 2022) </w:t>
            </w:r>
          </w:p>
        </w:tc>
      </w:tr>
    </w:tbl>
    <w:tbl>
      <w:tblPr>
        <w:tblW w:w="5000" w:type="pct"/>
        <w:jc w:val="left"/>
        <w:tblInd w:w="0" w:type="dxa"/>
        <w:tblLayout w:type="fixed"/>
        <w:tblCellMar>
          <w:top w:w="0" w:type="dxa"/>
          <w:left w:w="0" w:type="dxa"/>
          <w:bottom w:w="0" w:type="dxa"/>
          <w:right w:w="0" w:type="dxa"/>
        </w:tblCellMar>
      </w:tblPr>
      <w:tblGrid>
        <w:gridCol w:w="213"/>
        <w:gridCol w:w="9992"/>
      </w:tblGrid>
      <w:tr>
        <w:trPr/>
        <w:tc>
          <w:tcPr>
            <w:tcW w:w="213" w:type="dxa"/>
            <w:tcBorders/>
          </w:tcPr>
          <w:p>
            <w:pPr>
              <w:pStyle w:val="TableContents"/>
              <w:bidi w:val="0"/>
              <w:spacing w:before="0" w:after="283"/>
              <w:jc w:val="left"/>
              <w:rPr/>
            </w:pPr>
            <w:r>
              <w:rPr/>
              <w:t>3 </w:t>
            </w:r>
          </w:p>
        </w:tc>
        <w:tc>
          <w:tcPr>
            <w:tcW w:w="99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 </w:t>
            </w:r>
          </w:p>
        </w:tc>
      </w:tr>
    </w:tbl>
    <w:tbl>
      <w:tblPr>
        <w:tblW w:w="5000" w:type="pct"/>
        <w:jc w:val="left"/>
        <w:tblInd w:w="0" w:type="dxa"/>
        <w:tblLayout w:type="fixed"/>
        <w:tblCellMar>
          <w:top w:w="0" w:type="dxa"/>
          <w:left w:w="0" w:type="dxa"/>
          <w:bottom w:w="0" w:type="dxa"/>
          <w:right w:w="0" w:type="dxa"/>
        </w:tblCellMar>
      </w:tblPr>
      <w:tblGrid>
        <w:gridCol w:w="213"/>
        <w:gridCol w:w="9992"/>
      </w:tblGrid>
      <w:tr>
        <w:trPr/>
        <w:tc>
          <w:tcPr>
            <w:tcW w:w="213" w:type="dxa"/>
            <w:tcBorders/>
          </w:tcPr>
          <w:p>
            <w:pPr>
              <w:pStyle w:val="TableContents"/>
              <w:bidi w:val="0"/>
              <w:spacing w:before="0" w:after="283"/>
              <w:jc w:val="left"/>
              <w:rPr/>
            </w:pPr>
            <w:r>
              <w:rPr/>
              <w:t>4 </w:t>
            </w:r>
          </w:p>
        </w:tc>
        <w:tc>
          <w:tcPr>
            <w:tcW w:w="99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 </w:t>
            </w:r>
          </w:p>
        </w:tc>
      </w:tr>
    </w:tbl>
    <w:tbl>
      <w:tblPr>
        <w:tblW w:w="5000" w:type="pct"/>
        <w:jc w:val="left"/>
        <w:tblInd w:w="0" w:type="dxa"/>
        <w:tblLayout w:type="fixed"/>
        <w:tblCellMar>
          <w:top w:w="0" w:type="dxa"/>
          <w:left w:w="0" w:type="dxa"/>
          <w:bottom w:w="0" w:type="dxa"/>
          <w:right w:w="0" w:type="dxa"/>
        </w:tblCellMar>
      </w:tblPr>
      <w:tblGrid>
        <w:gridCol w:w="213"/>
        <w:gridCol w:w="9992"/>
      </w:tblGrid>
      <w:tr>
        <w:trPr/>
        <w:tc>
          <w:tcPr>
            <w:tcW w:w="213" w:type="dxa"/>
            <w:tcBorders/>
          </w:tcPr>
          <w:p>
            <w:pPr>
              <w:pStyle w:val="TableContents"/>
              <w:bidi w:val="0"/>
              <w:spacing w:before="0" w:after="283"/>
              <w:jc w:val="left"/>
              <w:rPr/>
            </w:pPr>
            <w:r>
              <w:rPr/>
              <w:t>5 </w:t>
            </w:r>
          </w:p>
        </w:tc>
        <w:tc>
          <w:tcPr>
            <w:tcW w:w="99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SME merchants by December 2024 for its Brain offering to achieve the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2"/>
        <w:gridCol w:w="8272"/>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According to Statista, the retail market in the United States was worth $6.6 trillion in 2021.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developing the assumptions for the Projections, Rezolve management compared its assumptions to publicly available forecasts of other similar payments companies and AI tools, such as ChatGPT6, to assess the reasonableness of its assumptions, including with respect to the market opportunity for payment services and similar AI tools. While Rezolve management believes the above-mentioned assumptions to be reasonable for preparation of the Projections, the assumptions are dependent upon future events, and actual conditions may differ from those assumed. In addition, as noted above, Rezolve management used and relied upon certain information provided by others. While Rezolve management believes the use of such information and assumptions to be reasonable for preparation of its Projections, it offers no assurances with respect thereto and some assumptions may vary significantly due to unanticipated events and circumstances. Armadas management and Board also reviewed such publicly available information, and consulted with its advisors to aid in evaluating the reasonableness of Rezolves Projections and the underlying assumptions. From time to time on an ongoing basis, Rezolves management reviews the reasonableness of significant assumptions related to its Projections. This analysis includes, among other things, the size and market opportunity of the retail markets in each of the Latin American, European, Asian and North American markets of Rezolve, its pipeline of merchants and entry of competitors into the digital payments and AI-enabled solutions spaces. </w:t>
      </w:r>
    </w:p>
    <w:p>
      <w:pPr>
        <w:pStyle w:val="TextBody"/>
        <w:bidi w:val="0"/>
        <w:spacing w:before="240" w:after="0"/>
        <w:jc w:val="left"/>
        <w:rPr>
          <w:rFonts w:ascii="Times New Roman" w:hAnsi="Times New Roman"/>
          <w:sz w:val="20"/>
        </w:rPr>
      </w:pPr>
      <w:r>
        <w:rPr>
          <w:rFonts w:ascii="Times New Roman" w:hAnsi="Times New Roman"/>
          <w:i/>
          <w:sz w:val="20"/>
        </w:rPr>
        <w:t>Forecast Period.</w:t>
      </w:r>
      <w:r>
        <w:rPr>
          <w:rFonts w:ascii="Times New Roman" w:hAnsi="Times New Roman"/>
          <w:sz w:val="20"/>
        </w:rPr>
        <w:t xml:space="preserve"> Since Rezolve expects to commence providing its offerings under its contracts during the second half of 2023 and during 2024, Rezolve management believes using a five-year period effectively shows the economic impact of the potential merchant engagement that can be reasonably extrapolated from the current level of inbound interest and ongoing discussions with current and prospective merchants. Taking these factors into account, Marshall &amp; Stevens requested that Rezolve management provide Projections covering a five-year period for purposes of the analyses it performed. In addition, due to the uncertainties and risks associated with the adoption and use of Rezolves offerings, as well as the size and scope of the potential market opportunity available to Rezolve, projections beyond 2027 could not be supported by information known to or reasonably estimable by Rezolve at the time the projections were developed. </w:t>
      </w:r>
    </w:p>
    <w:p>
      <w:pPr>
        <w:pStyle w:val="TextBody"/>
        <w:bidi w:val="0"/>
        <w:spacing w:before="240" w:after="0"/>
        <w:jc w:val="left"/>
        <w:rPr>
          <w:rFonts w:ascii="Times New Roman" w:hAnsi="Times New Roman"/>
          <w:sz w:val="20"/>
        </w:rPr>
      </w:pPr>
      <w:r>
        <w:rPr>
          <w:rFonts w:ascii="Times New Roman" w:hAnsi="Times New Roman"/>
          <w:i/>
          <w:sz w:val="20"/>
        </w:rPr>
        <w:t>Risks and Uncertainties.</w:t>
      </w:r>
      <w:r>
        <w:rPr>
          <w:rFonts w:ascii="Times New Roman" w:hAnsi="Times New Roman"/>
          <w:sz w:val="20"/>
        </w:rPr>
        <w:t xml:space="preserve"> The Projections (including the Projections regarding revenues above) are subjective in many respects and Rezolves limited operating history, notably following the Pre-Closing Demerger, makes evaluating its business and future prospects, including the assumptions and analyses developed by Rezolve upon which the Projections rely, difficult and uncertain. As a result, there can be no assurance that the Projections will be realized or that actual results will not be significantly lower or higher than estimated. The following risks and uncertainties may negatively impact the market opportunity of Rezolves platform and offerings and Rezolves ability to achieve the revenue Projections illustrated in the Projections: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has generated limited revenues from existing Channels and there is no guarantee that it will be able to attract and retain new merchants and increase sales to new merchants, including with its new offerings myBrain and Brain.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is an early-stage company with a history of financial losses and expects to incur significant expenses and continuing losses for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worldwide economic conditions, including the resulting effect on spending by SMBs and spending on technology, may adversely affect Rezolves business, operating results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limited operating history in a new and developing market makes it difficult to evaluate its current business and future prospects and may increase the risk that it will not be successful.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15"/>
        <w:gridCol w:w="9990"/>
      </w:tblGrid>
      <w:tr>
        <w:trPr/>
        <w:tc>
          <w:tcPr>
            <w:tcW w:w="215" w:type="dxa"/>
            <w:tcBorders/>
          </w:tcPr>
          <w:p>
            <w:pPr>
              <w:pStyle w:val="TableContents"/>
              <w:bidi w:val="0"/>
              <w:spacing w:before="0" w:after="283"/>
              <w:jc w:val="left"/>
              <w:rPr/>
            </w:pPr>
            <w:r>
              <w:rPr/>
              <w:t>6 </w:t>
            </w:r>
          </w:p>
        </w:tc>
        <w:tc>
          <w:tcPr>
            <w:tcW w:w="99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ChatGPT owner OpenAI projects $1 billion in revenue by 2024, Reuters (December 15 2022)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growth depends in part on the success of its strategic relationships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radio advertising business in Germany is susceptible to risks associated with economic downturns and recession.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Non-performance under, termination, non-renewal or material modification of agreements with Rezolves business partners could have a material adverse effect on Rezolves business, financial condition and/or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does not have the history with its solutions or pricing models necessary to accurately predict optimal pricing necessary to attract new merchants and retain existing merchants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business is susceptible to risks associated with international sales and the use of its platform in various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availability of Rezolves platform does not meet its service-level commitments to customers, Rezolves current and future revenues may be negatively impacted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regional or global health pandemic, including the global COVID-19 pandemic, may adversely impact Rezolves business, results of operations and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is dependent upon consumers and merchants willingness to use the internet and internet- enabled mobile devices for commerce.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Rezolves business and prospects would be harmed if changes to technologies used in Rezolves platform or new versions or upgrades of operating systems and internet browsers adversely impact the process by which merchants and consumers interface with Rezolves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Rezolve does not or cannot maintain the compatibility of its platform with third-party applications that its customers use in their businesses, Rezolves revenues will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Mobile devices are increasingly being used to conduct commerce, and if Rezolves solutions do not operate as effectively when accessed through these devices, Rezolves merchants and their customers may not be satisfied with Rezolves services, which could harm Rezolves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Projections are not being included herein to influence Armadas stockholders decision whether to vote in favor of any proposal contained in this proxy statement/prospectus. In light of the foregoing factors and the uncertainties inherent in the Projections, stockholders are cautioned not to place undue, if any, reliance on the Projections. </w:t>
      </w:r>
    </w:p>
    <w:p>
      <w:pPr>
        <w:pStyle w:val="TextBody"/>
        <w:bidi w:val="0"/>
        <w:spacing w:before="240" w:after="0"/>
        <w:jc w:val="left"/>
        <w:rPr>
          <w:rFonts w:ascii="Times New Roman" w:hAnsi="Times New Roman"/>
          <w:sz w:val="20"/>
        </w:rPr>
      </w:pPr>
      <w:r>
        <w:rPr>
          <w:rFonts w:ascii="Times New Roman" w:hAnsi="Times New Roman"/>
          <w:sz w:val="20"/>
        </w:rPr>
        <w:t xml:space="preserve">The Adjusted EBITDA measure included in the Projections is a non-GAAP financial measure. Non-GAAP financial measures are additions to, and should not be considered in isolation from, or as a substitute for, financial information presented in compliance with GAAP, and these non-GAAP financial measures as used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Projections may not be reported by Rezolves or Armadas competitors and may not be comparable to similarly titled amounts used by other companies. We encourage you to review the financial statements of Rezolve included in this proxy statement/prospectus, as well as the financial information in the sections entitled </w:t>
      </w:r>
      <w:r>
        <w:rPr>
          <w:rFonts w:ascii="Times New Roman" w:hAnsi="Times New Roman"/>
          <w:i/>
          <w:sz w:val="20"/>
        </w:rPr>
        <w:t>Selected Financial Information of Rezolve</w:t>
      </w:r>
      <w:r>
        <w:rPr>
          <w:rFonts w:ascii="Times New Roman" w:hAnsi="Times New Roman"/>
          <w:sz w:val="20"/>
        </w:rPr>
        <w:t> and </w:t>
      </w:r>
      <w:r>
        <w:rPr>
          <w:rFonts w:ascii="Times New Roman" w:hAnsi="Times New Roman"/>
          <w:i/>
          <w:sz w:val="20"/>
        </w:rPr>
        <w:t>Unaudited Pro Forma Condensed Combined Financial Statements</w:t>
      </w:r>
      <w:r>
        <w:rPr>
          <w:rFonts w:ascii="Times New Roman" w:hAnsi="Times New Roman"/>
          <w:sz w:val="20"/>
        </w:rPr>
        <w:t xml:space="preserve"> in this proxy statement/prospectus and to not rely on any single financial measure. </w:t>
      </w:r>
    </w:p>
    <w:p>
      <w:pPr>
        <w:pStyle w:val="TextBody"/>
        <w:bidi w:val="0"/>
        <w:spacing w:before="360" w:after="0"/>
        <w:jc w:val="left"/>
        <w:rPr>
          <w:rFonts w:ascii="Times New Roman" w:hAnsi="Times New Roman"/>
          <w:i/>
          <w:sz w:val="20"/>
        </w:rPr>
      </w:pPr>
      <w:r>
        <w:rPr>
          <w:rFonts w:ascii="Times New Roman" w:hAnsi="Times New Roman"/>
          <w:i/>
          <w:sz w:val="20"/>
        </w:rPr>
        <w:t xml:space="preserve">Reconciliation of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A reconciliation of Adjusted EBITDA to the most comparable GAAP financial measure for the periods presented is included below. Adjusted EBITDA is defined as EBITDA (net income (loss) adjusted for interest expense, income tax, depreciation of property and equipment and amortization of acquired intangibles) adjusted for unrealized foreign exchange gains (losses), impairment of goodwill and other assets, business development expenses, warrants issued and share-based compensation and, solely for purposes of the Projections, exclude applicable audit adjustments. Although it is frequently used by investors and securities analysts in their evaluations of companies, Adjusted EBITDA has limitations as an analytical tool,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changes in, or cash requirements for, Rezolves working capital needs or contractual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Rezolves interest expense, or the cash requirements to service interest or principal payments on, Rezolves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Rezolves tax expense or the cash requirements to pay Rezolves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the impact on earnings or changes resulting from matters that Rezolve considers not to be indicative of its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or amortized will often need to be replaced in the future, and Adjusted EBITDA does not reflect any cash requirements for these replacements;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may calculate Adjusted EBITDA differently than Rezolve does.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Rezolve compensates for the inherent limitations associated with using Adjusted EBITDA through disclosure of these limitations, presentation of the Rezolve Financial Statements in accordance with GAAP and reconciliation of Adjusted EBITDA to the most directly comparable GAAP measure, net income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provides a reconciliation of Rezolves net income (loss) to Adjusted EBITDA: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88"/>
        <w:gridCol w:w="135"/>
        <w:gridCol w:w="301"/>
        <w:gridCol w:w="620"/>
        <w:gridCol w:w="155"/>
        <w:gridCol w:w="76"/>
        <w:gridCol w:w="215"/>
        <w:gridCol w:w="561"/>
        <w:gridCol w:w="155"/>
        <w:gridCol w:w="76"/>
        <w:gridCol w:w="356"/>
        <w:gridCol w:w="729"/>
        <w:gridCol w:w="154"/>
        <w:gridCol w:w="76"/>
        <w:gridCol w:w="356"/>
        <w:gridCol w:w="729"/>
        <w:gridCol w:w="155"/>
        <w:gridCol w:w="76"/>
        <w:gridCol w:w="301"/>
        <w:gridCol w:w="787"/>
        <w:gridCol w:w="155"/>
        <w:gridCol w:w="76"/>
        <w:gridCol w:w="301"/>
        <w:gridCol w:w="787"/>
        <w:gridCol w:w="155"/>
        <w:gridCol w:w="76"/>
        <w:gridCol w:w="300"/>
        <w:gridCol w:w="787"/>
        <w:gridCol w:w="167"/>
      </w:tblGrid>
      <w:tr>
        <w:trPr/>
        <w:tc>
          <w:tcPr>
            <w:tcW w:w="1388"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8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9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Actual Results(1)</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35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Management Projections</w:t>
            </w:r>
          </w:p>
        </w:tc>
        <w:tc>
          <w:tcPr>
            <w:tcW w:w="167" w:type="dxa"/>
            <w:tcBorders/>
            <w:vAlign w:val="bottom"/>
          </w:tcPr>
          <w:p>
            <w:pPr>
              <w:pStyle w:val="TableContents"/>
              <w:bidi w:val="0"/>
              <w:spacing w:before="0" w:after="283"/>
              <w:jc w:val="left"/>
              <w:rPr/>
            </w:pPr>
            <w:r>
              <w:rPr/>
              <w:t> </w:t>
            </w:r>
          </w:p>
        </w:tc>
      </w:tr>
      <w:tr>
        <w:trPr/>
        <w:tc>
          <w:tcPr>
            <w:tcW w:w="13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135" w:type="dxa"/>
            <w:tcBorders/>
            <w:vAlign w:val="bottom"/>
          </w:tcPr>
          <w:p>
            <w:pPr>
              <w:pStyle w:val="TableContents"/>
              <w:bidi w:val="0"/>
              <w:spacing w:before="0" w:after="283"/>
              <w:jc w:val="left"/>
              <w:rPr/>
            </w:pPr>
            <w:r>
              <w:rPr/>
              <w:t>  </w:t>
            </w:r>
          </w:p>
        </w:tc>
        <w:tc>
          <w:tcPr>
            <w:tcW w:w="9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CY 2021</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CY 2022</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CY 2023E</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CY 2024E</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CY 2025E</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CY 2026E</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CY 2027E</w:t>
            </w:r>
          </w:p>
        </w:tc>
        <w:tc>
          <w:tcPr>
            <w:tcW w:w="167" w:type="dxa"/>
            <w:tcBorders/>
            <w:vAlign w:val="bottom"/>
          </w:tcPr>
          <w:p>
            <w:pPr>
              <w:pStyle w:val="TableContents"/>
              <w:bidi w:val="0"/>
              <w:spacing w:before="0" w:after="283"/>
              <w:jc w:val="left"/>
              <w:rPr/>
            </w:pPr>
            <w:r>
              <w:rPr/>
              <w:t> </w:t>
            </w:r>
          </w:p>
        </w:tc>
      </w:tr>
      <w:tr>
        <w:trPr/>
        <w:tc>
          <w:tcPr>
            <w:tcW w:w="13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income(2)</w:t>
            </w:r>
          </w:p>
        </w:tc>
        <w:tc>
          <w:tcPr>
            <w:tcW w:w="13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620" w:type="dxa"/>
            <w:tcBorders/>
            <w:shd w:fill="CCEEFF" w:val="clear"/>
            <w:vAlign w:val="bottom"/>
          </w:tcPr>
          <w:p>
            <w:pPr>
              <w:pStyle w:val="TableContents"/>
              <w:bidi w:val="0"/>
              <w:spacing w:before="0" w:after="283"/>
              <w:jc w:val="right"/>
              <w:rPr/>
            </w:pPr>
            <w:r>
              <w:rPr/>
              <w:t>37.7</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104.1</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16.1</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61.1</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180.7</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354.3</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715.4</w:t>
            </w:r>
          </w:p>
        </w:tc>
        <w:tc>
          <w:tcPr>
            <w:tcW w:w="167" w:type="dxa"/>
            <w:tcBorders/>
            <w:shd w:fill="CCEEFF" w:val="clear"/>
            <w:vAlign w:val="bottom"/>
          </w:tcPr>
          <w:p>
            <w:pPr>
              <w:pStyle w:val="TableContents"/>
              <w:bidi w:val="0"/>
              <w:spacing w:before="0" w:after="283"/>
              <w:jc w:val="left"/>
              <w:rPr/>
            </w:pPr>
            <w:r>
              <w:rPr/>
              <w:t> </w:t>
            </w:r>
          </w:p>
        </w:tc>
      </w:tr>
      <w:tr>
        <w:trPr>
          <w:trHeight w:val="120" w:hRule="atLeast"/>
        </w:trPr>
        <w:tc>
          <w:tcPr>
            <w:tcW w:w="1388" w:type="dxa"/>
            <w:tcBorders/>
            <w:vAlign w:val="center"/>
          </w:tcPr>
          <w:p>
            <w:pPr>
              <w:pStyle w:val="TableContents"/>
              <w:bidi w:val="0"/>
              <w:spacing w:before="0" w:after="283"/>
              <w:jc w:val="left"/>
              <w:rPr>
                <w:sz w:val="4"/>
                <w:szCs w:val="4"/>
              </w:rPr>
            </w:pPr>
            <w:r>
              <w:rPr>
                <w:sz w:val="4"/>
                <w:szCs w:val="4"/>
              </w:rPr>
            </w:r>
          </w:p>
        </w:tc>
        <w:tc>
          <w:tcPr>
            <w:tcW w:w="1211" w:type="dxa"/>
            <w:gridSpan w:val="4"/>
            <w:tcBorders/>
            <w:vAlign w:val="center"/>
          </w:tcPr>
          <w:p>
            <w:pPr>
              <w:pStyle w:val="TableContents"/>
              <w:bidi w:val="0"/>
              <w:spacing w:before="0" w:after="283"/>
              <w:jc w:val="left"/>
              <w:rPr>
                <w:sz w:val="4"/>
                <w:szCs w:val="4"/>
              </w:rPr>
            </w:pPr>
            <w:r>
              <w:rPr>
                <w:sz w:val="4"/>
                <w:szCs w:val="4"/>
              </w:rPr>
            </w:r>
          </w:p>
        </w:tc>
        <w:tc>
          <w:tcPr>
            <w:tcW w:w="1007"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316" w:type="dxa"/>
            <w:gridSpan w:val="4"/>
            <w:tcBorders/>
            <w:vAlign w:val="center"/>
          </w:tcPr>
          <w:p>
            <w:pPr>
              <w:pStyle w:val="TableContents"/>
              <w:bidi w:val="0"/>
              <w:spacing w:before="0" w:after="283"/>
              <w:jc w:val="left"/>
              <w:rPr>
                <w:sz w:val="4"/>
                <w:szCs w:val="4"/>
              </w:rPr>
            </w:pPr>
            <w:r>
              <w:rPr>
                <w:sz w:val="4"/>
                <w:szCs w:val="4"/>
              </w:rPr>
            </w:r>
          </w:p>
        </w:tc>
        <w:tc>
          <w:tcPr>
            <w:tcW w:w="1319" w:type="dxa"/>
            <w:gridSpan w:val="4"/>
            <w:tcBorders/>
            <w:vAlign w:val="center"/>
          </w:tcPr>
          <w:p>
            <w:pPr>
              <w:pStyle w:val="TableContents"/>
              <w:bidi w:val="0"/>
              <w:spacing w:before="0" w:after="283"/>
              <w:jc w:val="left"/>
              <w:rPr>
                <w:sz w:val="4"/>
                <w:szCs w:val="4"/>
              </w:rPr>
            </w:pPr>
            <w:r>
              <w:rPr>
                <w:sz w:val="4"/>
                <w:szCs w:val="4"/>
              </w:rPr>
            </w:r>
          </w:p>
        </w:tc>
        <w:tc>
          <w:tcPr>
            <w:tcW w:w="1319"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r>
      <w:tr>
        <w:trPr/>
        <w:tc>
          <w:tcPr>
            <w:tcW w:w="1388" w:type="dxa"/>
            <w:tcBorders/>
          </w:tcPr>
          <w:p>
            <w:pPr>
              <w:pStyle w:val="TableContents"/>
              <w:bidi w:val="0"/>
              <w:spacing w:before="0" w:after="0"/>
              <w:jc w:val="left"/>
              <w:rPr>
                <w:rFonts w:ascii="Times New Roman" w:hAnsi="Times New Roman"/>
                <w:sz w:val="20"/>
              </w:rPr>
            </w:pPr>
            <w:r>
              <w:rPr>
                <w:rFonts w:ascii="Times New Roman" w:hAnsi="Times New Roman"/>
                <w:sz w:val="20"/>
              </w:rPr>
              <w:t>Reconciliation to adjusted EBITDA</w:t>
            </w:r>
          </w:p>
        </w:tc>
        <w:tc>
          <w:tcPr>
            <w:tcW w:w="13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72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7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7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7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787"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13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(income)</w:t>
            </w:r>
          </w:p>
        </w:tc>
        <w:tc>
          <w:tcPr>
            <w:tcW w:w="13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620" w:type="dxa"/>
            <w:tcBorders/>
            <w:shd w:fill="CCEEFF" w:val="clear"/>
            <w:vAlign w:val="bottom"/>
          </w:tcPr>
          <w:p>
            <w:pPr>
              <w:pStyle w:val="TableContents"/>
              <w:bidi w:val="0"/>
              <w:spacing w:before="0" w:after="283"/>
              <w:jc w:val="right"/>
              <w:rPr/>
            </w:pPr>
            <w:r>
              <w:rPr/>
              <w:t>0.3</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0.3</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17.7</w:t>
            </w:r>
          </w:p>
        </w:tc>
        <w:tc>
          <w:tcPr>
            <w:tcW w:w="167" w:type="dxa"/>
            <w:tcBorders/>
            <w:shd w:fill="CCEEFF" w:val="clear"/>
            <w:vAlign w:val="bottom"/>
          </w:tcPr>
          <w:p>
            <w:pPr>
              <w:pStyle w:val="TableContents"/>
              <w:bidi w:val="0"/>
              <w:spacing w:before="0" w:after="283"/>
              <w:jc w:val="left"/>
              <w:rPr/>
            </w:pPr>
            <w:r>
              <w:rPr/>
              <w:t>) </w:t>
            </w:r>
          </w:p>
        </w:tc>
      </w:tr>
      <w:tr>
        <w:trPr/>
        <w:tc>
          <w:tcPr>
            <w:tcW w:w="1388"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w:t>
            </w:r>
          </w:p>
        </w:tc>
        <w:tc>
          <w:tcPr>
            <w:tcW w:w="620"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0.7</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r>
      <w:tr>
        <w:trPr/>
        <w:tc>
          <w:tcPr>
            <w:tcW w:w="13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3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620" w:type="dxa"/>
            <w:tcBorders/>
            <w:shd w:fill="CCEEFF" w:val="clear"/>
            <w:vAlign w:val="bottom"/>
          </w:tcPr>
          <w:p>
            <w:pPr>
              <w:pStyle w:val="TableContents"/>
              <w:bidi w:val="0"/>
              <w:spacing w:before="0" w:after="283"/>
              <w:jc w:val="right"/>
              <w:rPr/>
            </w:pPr>
            <w:r>
              <w:rPr/>
              <w:t>0.0</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15.2</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45.2</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88.6</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178.8</w:t>
            </w:r>
          </w:p>
        </w:tc>
        <w:tc>
          <w:tcPr>
            <w:tcW w:w="167" w:type="dxa"/>
            <w:tcBorders/>
            <w:shd w:fill="CCEEFF" w:val="clear"/>
            <w:vAlign w:val="bottom"/>
          </w:tcPr>
          <w:p>
            <w:pPr>
              <w:pStyle w:val="TableContents"/>
              <w:bidi w:val="0"/>
              <w:spacing w:before="0" w:after="283"/>
              <w:jc w:val="left"/>
              <w:rPr/>
            </w:pPr>
            <w:r>
              <w:rPr/>
              <w:t> </w:t>
            </w:r>
          </w:p>
        </w:tc>
      </w:tr>
      <w:tr>
        <w:trPr/>
        <w:tc>
          <w:tcPr>
            <w:tcW w:w="138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388"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3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w:t>
            </w:r>
          </w:p>
        </w:tc>
        <w:tc>
          <w:tcPr>
            <w:tcW w:w="620" w:type="dxa"/>
            <w:tcBorders/>
            <w:vAlign w:val="bottom"/>
          </w:tcPr>
          <w:p>
            <w:pPr>
              <w:pStyle w:val="TableContents"/>
              <w:bidi w:val="0"/>
              <w:spacing w:before="0" w:after="283"/>
              <w:jc w:val="right"/>
              <w:rPr/>
            </w:pPr>
            <w:r>
              <w:rPr/>
              <w:t>37.0</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99.6</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w:t>
            </w:r>
          </w:p>
        </w:tc>
        <w:tc>
          <w:tcPr>
            <w:tcW w:w="729" w:type="dxa"/>
            <w:tcBorders/>
            <w:vAlign w:val="bottom"/>
          </w:tcPr>
          <w:p>
            <w:pPr>
              <w:pStyle w:val="TableContents"/>
              <w:bidi w:val="0"/>
              <w:spacing w:before="0" w:after="283"/>
              <w:jc w:val="right"/>
              <w:rPr/>
            </w:pPr>
            <w:r>
              <w:rPr/>
              <w:t>16.1</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w:t>
            </w:r>
          </w:p>
        </w:tc>
        <w:tc>
          <w:tcPr>
            <w:tcW w:w="729" w:type="dxa"/>
            <w:tcBorders/>
            <w:vAlign w:val="bottom"/>
          </w:tcPr>
          <w:p>
            <w:pPr>
              <w:pStyle w:val="TableContents"/>
              <w:bidi w:val="0"/>
              <w:spacing w:before="0" w:after="283"/>
              <w:jc w:val="right"/>
              <w:rPr/>
            </w:pPr>
            <w:r>
              <w:rPr/>
              <w:t>76.0</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w:t>
            </w:r>
          </w:p>
        </w:tc>
        <w:tc>
          <w:tcPr>
            <w:tcW w:w="787" w:type="dxa"/>
            <w:tcBorders/>
            <w:vAlign w:val="bottom"/>
          </w:tcPr>
          <w:p>
            <w:pPr>
              <w:pStyle w:val="TableContents"/>
              <w:bidi w:val="0"/>
              <w:spacing w:before="0" w:after="283"/>
              <w:jc w:val="right"/>
              <w:rPr/>
            </w:pPr>
            <w:r>
              <w:rPr/>
              <w:t>223.2</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w:t>
            </w:r>
          </w:p>
        </w:tc>
        <w:tc>
          <w:tcPr>
            <w:tcW w:w="787" w:type="dxa"/>
            <w:tcBorders/>
            <w:vAlign w:val="bottom"/>
          </w:tcPr>
          <w:p>
            <w:pPr>
              <w:pStyle w:val="TableContents"/>
              <w:bidi w:val="0"/>
              <w:spacing w:before="0" w:after="283"/>
              <w:jc w:val="right"/>
              <w:rPr/>
            </w:pPr>
            <w:r>
              <w:rPr/>
              <w:t>435.6</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787" w:type="dxa"/>
            <w:tcBorders/>
            <w:vAlign w:val="bottom"/>
          </w:tcPr>
          <w:p>
            <w:pPr>
              <w:pStyle w:val="TableContents"/>
              <w:bidi w:val="0"/>
              <w:spacing w:before="0" w:after="283"/>
              <w:jc w:val="right"/>
              <w:rPr/>
            </w:pPr>
            <w:r>
              <w:rPr/>
              <w:t>876.5</w:t>
            </w:r>
          </w:p>
        </w:tc>
        <w:tc>
          <w:tcPr>
            <w:tcW w:w="167" w:type="dxa"/>
            <w:tcBorders/>
            <w:vAlign w:val="bottom"/>
          </w:tcPr>
          <w:p>
            <w:pPr>
              <w:pStyle w:val="TableContents"/>
              <w:bidi w:val="0"/>
              <w:spacing w:before="0" w:after="283"/>
              <w:jc w:val="left"/>
              <w:rPr/>
            </w:pPr>
            <w:r>
              <w:rPr/>
              <w:t> </w:t>
            </w:r>
          </w:p>
        </w:tc>
      </w:tr>
      <w:tr>
        <w:trPr>
          <w:trHeight w:val="120" w:hRule="atLeast"/>
        </w:trPr>
        <w:tc>
          <w:tcPr>
            <w:tcW w:w="1388" w:type="dxa"/>
            <w:tcBorders/>
            <w:vAlign w:val="center"/>
          </w:tcPr>
          <w:p>
            <w:pPr>
              <w:pStyle w:val="TableContents"/>
              <w:bidi w:val="0"/>
              <w:spacing w:before="0" w:after="283"/>
              <w:jc w:val="left"/>
              <w:rPr>
                <w:sz w:val="4"/>
                <w:szCs w:val="4"/>
              </w:rPr>
            </w:pPr>
            <w:r>
              <w:rPr>
                <w:sz w:val="4"/>
                <w:szCs w:val="4"/>
              </w:rPr>
            </w:r>
          </w:p>
        </w:tc>
        <w:tc>
          <w:tcPr>
            <w:tcW w:w="1211" w:type="dxa"/>
            <w:gridSpan w:val="4"/>
            <w:tcBorders/>
            <w:vAlign w:val="center"/>
          </w:tcPr>
          <w:p>
            <w:pPr>
              <w:pStyle w:val="TableContents"/>
              <w:bidi w:val="0"/>
              <w:spacing w:before="0" w:after="283"/>
              <w:jc w:val="left"/>
              <w:rPr>
                <w:sz w:val="4"/>
                <w:szCs w:val="4"/>
              </w:rPr>
            </w:pPr>
            <w:r>
              <w:rPr>
                <w:sz w:val="4"/>
                <w:szCs w:val="4"/>
              </w:rPr>
            </w:r>
          </w:p>
        </w:tc>
        <w:tc>
          <w:tcPr>
            <w:tcW w:w="1007"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316" w:type="dxa"/>
            <w:gridSpan w:val="4"/>
            <w:tcBorders/>
            <w:vAlign w:val="center"/>
          </w:tcPr>
          <w:p>
            <w:pPr>
              <w:pStyle w:val="TableContents"/>
              <w:bidi w:val="0"/>
              <w:spacing w:before="0" w:after="283"/>
              <w:jc w:val="left"/>
              <w:rPr>
                <w:sz w:val="4"/>
                <w:szCs w:val="4"/>
              </w:rPr>
            </w:pPr>
            <w:r>
              <w:rPr>
                <w:sz w:val="4"/>
                <w:szCs w:val="4"/>
              </w:rPr>
            </w:r>
          </w:p>
        </w:tc>
        <w:tc>
          <w:tcPr>
            <w:tcW w:w="1319" w:type="dxa"/>
            <w:gridSpan w:val="4"/>
            <w:tcBorders/>
            <w:vAlign w:val="center"/>
          </w:tcPr>
          <w:p>
            <w:pPr>
              <w:pStyle w:val="TableContents"/>
              <w:bidi w:val="0"/>
              <w:spacing w:before="0" w:after="283"/>
              <w:jc w:val="left"/>
              <w:rPr>
                <w:sz w:val="4"/>
                <w:szCs w:val="4"/>
              </w:rPr>
            </w:pPr>
            <w:r>
              <w:rPr>
                <w:sz w:val="4"/>
                <w:szCs w:val="4"/>
              </w:rPr>
            </w:r>
          </w:p>
        </w:tc>
        <w:tc>
          <w:tcPr>
            <w:tcW w:w="1319"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r>
      <w:tr>
        <w:trPr/>
        <w:tc>
          <w:tcPr>
            <w:tcW w:w="13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FX (gain) or loss</w:t>
            </w:r>
          </w:p>
        </w:tc>
        <w:tc>
          <w:tcPr>
            <w:tcW w:w="13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620" w:type="dxa"/>
            <w:tcBorders/>
            <w:shd w:fill="CCEEFF" w:val="clear"/>
            <w:vAlign w:val="bottom"/>
          </w:tcPr>
          <w:p>
            <w:pPr>
              <w:pStyle w:val="TableContents"/>
              <w:bidi w:val="0"/>
              <w:spacing w:before="0" w:after="283"/>
              <w:jc w:val="right"/>
              <w:rPr/>
            </w:pPr>
            <w:r>
              <w:rPr/>
              <w:t>0.7</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0.3</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r>
      <w:tr>
        <w:trPr/>
        <w:tc>
          <w:tcPr>
            <w:tcW w:w="1388"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13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7.4</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r>
      <w:tr>
        <w:trPr/>
        <w:tc>
          <w:tcPr>
            <w:tcW w:w="13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prepayments and other current assets</w:t>
            </w:r>
          </w:p>
        </w:tc>
        <w:tc>
          <w:tcPr>
            <w:tcW w:w="13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0.7</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r>
      <w:tr>
        <w:trPr/>
        <w:tc>
          <w:tcPr>
            <w:tcW w:w="1388"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accounts receivable</w:t>
            </w:r>
          </w:p>
        </w:tc>
        <w:tc>
          <w:tcPr>
            <w:tcW w:w="13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0.4</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r>
      <w:tr>
        <w:trPr/>
        <w:tc>
          <w:tcPr>
            <w:tcW w:w="13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Business development expenses</w:t>
            </w:r>
          </w:p>
        </w:tc>
        <w:tc>
          <w:tcPr>
            <w:tcW w:w="13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620" w:type="dxa"/>
            <w:tcBorders/>
            <w:shd w:fill="CCEEFF" w:val="clear"/>
            <w:vAlign w:val="bottom"/>
          </w:tcPr>
          <w:p>
            <w:pPr>
              <w:pStyle w:val="TableContents"/>
              <w:bidi w:val="0"/>
              <w:spacing w:before="0" w:after="283"/>
              <w:jc w:val="right"/>
              <w:rPr/>
            </w:pPr>
            <w:r>
              <w:rPr/>
              <w:t>5.2</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7.1</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r>
      <w:tr>
        <w:trPr/>
        <w:tc>
          <w:tcPr>
            <w:tcW w:w="1388" w:type="dxa"/>
            <w:tcBorders/>
          </w:tcPr>
          <w:p>
            <w:pPr>
              <w:pStyle w:val="TableContents"/>
              <w:bidi w:val="0"/>
              <w:spacing w:before="0" w:after="0"/>
              <w:jc w:val="left"/>
              <w:rPr>
                <w:rFonts w:ascii="Times New Roman" w:hAnsi="Times New Roman"/>
                <w:sz w:val="20"/>
              </w:rPr>
            </w:pPr>
            <w:r>
              <w:rPr>
                <w:rFonts w:ascii="Times New Roman" w:hAnsi="Times New Roman"/>
                <w:sz w:val="20"/>
              </w:rPr>
              <w:t>Share based compensation issued to related parties for consultancy services</w:t>
            </w:r>
          </w:p>
        </w:tc>
        <w:tc>
          <w:tcPr>
            <w:tcW w:w="13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w:t>
            </w:r>
          </w:p>
        </w:tc>
        <w:tc>
          <w:tcPr>
            <w:tcW w:w="620" w:type="dxa"/>
            <w:tcBorders/>
            <w:vAlign w:val="bottom"/>
          </w:tcPr>
          <w:p>
            <w:pPr>
              <w:pStyle w:val="TableContents"/>
              <w:bidi w:val="0"/>
              <w:spacing w:before="0" w:after="283"/>
              <w:jc w:val="right"/>
              <w:rPr/>
            </w:pPr>
            <w:r>
              <w:rPr/>
              <w:t>13.2</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39.5</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r>
      <w:tr>
        <w:trPr/>
        <w:tc>
          <w:tcPr>
            <w:tcW w:w="13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based compensation for consultancy services</w:t>
            </w:r>
          </w:p>
        </w:tc>
        <w:tc>
          <w:tcPr>
            <w:tcW w:w="13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620"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18.4</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r>
      <w:tr>
        <w:trPr/>
        <w:tc>
          <w:tcPr>
            <w:tcW w:w="1388" w:type="dxa"/>
            <w:tcBorders/>
          </w:tcPr>
          <w:p>
            <w:pPr>
              <w:pStyle w:val="TableContents"/>
              <w:bidi w:val="0"/>
              <w:spacing w:before="0" w:after="0"/>
              <w:jc w:val="left"/>
              <w:rPr>
                <w:rFonts w:ascii="Times New Roman" w:hAnsi="Times New Roman"/>
                <w:sz w:val="20"/>
              </w:rPr>
            </w:pPr>
            <w:r>
              <w:rPr>
                <w:rFonts w:ascii="Times New Roman" w:hAnsi="Times New Roman"/>
                <w:sz w:val="20"/>
              </w:rPr>
              <w:t>Employee and other share based compensation</w:t>
            </w:r>
          </w:p>
        </w:tc>
        <w:tc>
          <w:tcPr>
            <w:tcW w:w="13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w:t>
            </w:r>
          </w:p>
        </w:tc>
        <w:tc>
          <w:tcPr>
            <w:tcW w:w="620"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r>
      <w:tr>
        <w:trPr/>
        <w:tc>
          <w:tcPr>
            <w:tcW w:w="13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3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620"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r>
      <w:tr>
        <w:trPr/>
        <w:tc>
          <w:tcPr>
            <w:tcW w:w="138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388" w:type="dxa"/>
            <w:tcBorders/>
          </w:tcPr>
          <w:p>
            <w:pPr>
              <w:pStyle w:val="TableContents"/>
              <w:bidi w:val="0"/>
              <w:spacing w:before="0" w:after="0"/>
              <w:jc w:val="left"/>
              <w:rPr>
                <w:rFonts w:ascii="Times New Roman" w:hAnsi="Times New Roman"/>
                <w:sz w:val="20"/>
              </w:rPr>
            </w:pPr>
            <w:r>
              <w:rPr>
                <w:rFonts w:ascii="Times New Roman" w:hAnsi="Times New Roman"/>
                <w:sz w:val="20"/>
              </w:rPr>
              <w:t>Total adjustments</w:t>
            </w:r>
          </w:p>
        </w:tc>
        <w:tc>
          <w:tcPr>
            <w:tcW w:w="13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w:t>
            </w:r>
          </w:p>
        </w:tc>
        <w:tc>
          <w:tcPr>
            <w:tcW w:w="620" w:type="dxa"/>
            <w:tcBorders/>
            <w:vAlign w:val="bottom"/>
          </w:tcPr>
          <w:p>
            <w:pPr>
              <w:pStyle w:val="TableContents"/>
              <w:bidi w:val="0"/>
              <w:spacing w:before="0" w:after="283"/>
              <w:jc w:val="right"/>
              <w:rPr/>
            </w:pPr>
            <w:r>
              <w:rPr/>
              <w:t>23.7</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75.4</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r>
      <w:tr>
        <w:trPr/>
        <w:tc>
          <w:tcPr>
            <w:tcW w:w="138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13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EBITDA(3).</w:t>
            </w:r>
          </w:p>
        </w:tc>
        <w:tc>
          <w:tcPr>
            <w:tcW w:w="13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620" w:type="dxa"/>
            <w:tcBorders/>
            <w:shd w:fill="CCEEFF" w:val="clear"/>
            <w:vAlign w:val="bottom"/>
          </w:tcPr>
          <w:p>
            <w:pPr>
              <w:pStyle w:val="TableContents"/>
              <w:bidi w:val="0"/>
              <w:spacing w:before="0" w:after="283"/>
              <w:jc w:val="right"/>
              <w:rPr/>
            </w:pPr>
            <w:r>
              <w:rPr/>
              <w:t>13.3</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24.2</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16.1</w:t>
            </w:r>
          </w:p>
        </w:tc>
        <w:tc>
          <w:tcPr>
            <w:tcW w:w="15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76.0</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223.2</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435.6</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876.5</w:t>
            </w:r>
          </w:p>
        </w:tc>
        <w:tc>
          <w:tcPr>
            <w:tcW w:w="1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results for the years ended December 31, 2021 and 2022 exclude applicable adjustments. All of Management Projections are unaudited.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revenue from operations in China, Spain, France, Australia, and New Zealand in calendar year 2023 and no revenue from operations in Nordics in calendar years 2023 and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defined as EBITDA (net income (loss) adjusted for interest expense, income tax, depreciation of property and equipment and amortization of acquired intangibles) adjusted for unrealized foreign exchange gains (losses), impairment of goodwill and other assets, business development expenses, warrants issued and share-based compensation and, solely for purposes of the Projections, exclude applicable audit adjustments. See below Reconciliation of Non-GAAP Financial Measures for additional information.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The major inputs and assumptions used in Marshall &amp; Stevenss discounted cash flow method were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discussed above, Rezolve provided projection through 2027, which was extended to 2032 by Marshall &amp; Stevens reflecting a ramp-down in revenues growth coupled with constant margins, as the basis for the Discounted Cash Flow analysis. The duration of the projection provided assumes a time period by which Rezolve believes it would achieve a stabilized long-term growth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weighted average cost of capital (WACC), adjusted for exposure to emerging markets, was used as the discount rate in Marshall &amp; Stevenss analysis and applied to debt free, after-tax cash flows.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WACC was calculated to be approximately 27.0% and was determined based upon a cost of equity of approximately 28.08% and an after-tax cost of debt of approximately 6.20%.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cost of equity was determined using a 20-year U.S. Treasury Rate (3.94%), long-term regional/country inflation risk premium of 1.00% based upon the International Monetary Fund (IMF) and the weighted average inflation of the revenue-generating countries for Rezolve (China, UK, India, Germany, Mexico, Canada, Spain, France, Australia, New Zealand, Nordics, USA and the rest of the world (RoW)), Equity Risk Premium of 6.22% (Kroll Cost of Capital Navigator 2022 (KCOC)), Re-levered Equity beta of 1.00 based upon the Guideline Companies discussed below, a size premium of 1.34% based upon KCOC data for the 7th decile, and a company specific risk premium of 15.00% based upon anticipated forecast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After-tax cost of debt was determined using BBB rated bond yields, a country risk/inflation adjustment (based upon the IMF and Federal Reserve Bank of Philadelphia), and a tax rate of 26.48% based upon the weighted average tax rates of the revenue-generating countries for Rezolve (China, UK, India, Germany, Mexico, Canada, Spain, France, Australia, New Zealand, Nordics, USA, and RoW).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debt-to-capital ratio was estimated at 5.0% and the equity-to-capital ratio was estimated at 95.0% using input from the Guideline Companies discussed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income tax expense of 26.48% of pre-tax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expenditures for projected year 2023 through 2032 were based upon discussions with Rezolves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requirements for projected year 2023 through 2032 based upon Rezolves management estimates and a review of the Guideline Companies discussed below. The working capital requirements were estimated based on Rezolves normal debt-free, cash-free working capital to sales ratio of 3.00%, and the expectation that this level of debt-free, cash-free working capital would be sufficient going forward;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terminal year multiple of 4.17 was calculated using the Gordon Growth Model and based upon a WACC of 27.0% and terminal growth rate of 3.00% (multiple = 1/(WACC  growth 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Marshall &amp; Stevens performed sensitivity analyses utilizing the projections including varying the terminal growth rate, the WACC rate, and the revenues growth rate. </w:t>
      </w:r>
    </w:p>
    <w:p>
      <w:pPr>
        <w:pStyle w:val="TextBody"/>
        <w:bidi w:val="0"/>
        <w:spacing w:before="240" w:after="0"/>
        <w:jc w:val="left"/>
        <w:rPr>
          <w:rFonts w:ascii="Times New Roman" w:hAnsi="Times New Roman"/>
          <w:sz w:val="20"/>
        </w:rPr>
      </w:pPr>
      <w:r>
        <w:rPr>
          <w:rFonts w:ascii="Times New Roman" w:hAnsi="Times New Roman"/>
          <w:sz w:val="20"/>
        </w:rPr>
        <w:t xml:space="preserve">Marshall &amp; Stevens first determined the enterprise value of Rezolve, which is defined as the market value of invested capital, less cash, plus the present value of net operating losses (NOLs). Thus, the indication of enterprise value for Rezolve using the discounted cash flow method was estimated to be between approximately $1,580,000,000 and $1,850,000,000.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Guideline Public Company Analysis </w:t>
      </w:r>
    </w:p>
    <w:p>
      <w:pPr>
        <w:pStyle w:val="TextBody"/>
        <w:bidi w:val="0"/>
        <w:spacing w:before="120" w:after="0"/>
        <w:jc w:val="left"/>
        <w:rPr>
          <w:rFonts w:ascii="Times New Roman" w:hAnsi="Times New Roman"/>
          <w:sz w:val="20"/>
        </w:rPr>
      </w:pPr>
      <w:r>
        <w:rPr>
          <w:rFonts w:ascii="Times New Roman" w:hAnsi="Times New Roman"/>
          <w:sz w:val="20"/>
        </w:rPr>
        <w:t xml:space="preserve">Marshall &amp; Stevens reviewed and analyzed selected historical and projected information about Rezolve provided by Rezolves management and compared this information to certain financial information of thirteen (13) publicly traded companies that Marshall &amp; Stevens deemed to be reasonably comparable to Rezolve (each a Guideline Company and, collectively, the Guideline Companies). The initial Guideline Companies were provided by Rezolve, and Marshall &amp; Stevens reviewed these Guideline Companies to determine the comparability to Rezolve. Marshall &amp; Stevens also performed their own independent search for other Guideline Companies and added them to the list provided by Rezolve. The criteria for selecting the Guideline Companies were mainly based upon each Guideline Companys industry and business description. </w:t>
      </w:r>
    </w:p>
    <w:p>
      <w:pPr>
        <w:pStyle w:val="TextBody"/>
        <w:bidi w:val="0"/>
        <w:spacing w:before="240" w:after="0"/>
        <w:jc w:val="left"/>
        <w:rPr>
          <w:rFonts w:ascii="Times New Roman" w:hAnsi="Times New Roman"/>
          <w:sz w:val="20"/>
        </w:rPr>
      </w:pPr>
      <w:r>
        <w:rPr>
          <w:rFonts w:ascii="Times New Roman" w:hAnsi="Times New Roman"/>
          <w:sz w:val="20"/>
        </w:rPr>
        <w:t xml:space="preserve">Business descriptions and financial information are provided below for the selected Guideline Companies. The descriptions of these companies and the financial information for such companies set out below are derived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publicly available information and are summary in nature. Shareholders are referred to, and these summaries are qualified in full by reference to, the public reports filed by these companies with the SEC. Marshall &amp; Stevens has conducted no due diligence as to the truthfulness, accuracy or completeness of this information and makes no representation or warranty as to any such matter. </w:t>
      </w:r>
    </w:p>
    <w:p>
      <w:pPr>
        <w:pStyle w:val="TextBody"/>
        <w:bidi w:val="0"/>
        <w:spacing w:before="360" w:after="0"/>
        <w:jc w:val="left"/>
        <w:rPr>
          <w:rFonts w:ascii="Times New Roman" w:hAnsi="Times New Roman"/>
          <w:b/>
          <w:sz w:val="20"/>
        </w:rPr>
      </w:pPr>
      <w:r>
        <w:rPr>
          <w:rFonts w:ascii="Times New Roman" w:hAnsi="Times New Roman"/>
          <w:b/>
          <w:sz w:val="20"/>
        </w:rPr>
        <w:t xml:space="preserve">Shopify, Inc. (NYSE: SHOP) </w:t>
      </w:r>
    </w:p>
    <w:p>
      <w:pPr>
        <w:pStyle w:val="TextBody"/>
        <w:bidi w:val="0"/>
        <w:spacing w:before="120" w:after="0"/>
        <w:jc w:val="left"/>
        <w:rPr>
          <w:rFonts w:ascii="Times New Roman" w:hAnsi="Times New Roman"/>
          <w:sz w:val="20"/>
        </w:rPr>
      </w:pPr>
      <w:r>
        <w:rPr>
          <w:rFonts w:ascii="Times New Roman" w:hAnsi="Times New Roman"/>
          <w:sz w:val="20"/>
        </w:rPr>
        <w:t xml:space="preserve">Shopify Inc., a commerce company, provides a commerce platform and services in Canada, the United States, Europe, the Middle East, Africa, the Asia Pacific, and Latin America. The companys platform enables merchants to display, manage, market, and sell their products through various sales channels, including web and mobile storefronts, physical retail locations, pop-up shops, social media storefronts, native mobile apps, buy buttons, and marketplaces; and enables them to manage products and inventory, process orders and payments, fulfill and ship orders, identify new buyers and build customer relationships, source products, leverage analytics and reporting, manage cash, payments and transactions, and access financing. It also sells custom themes and apps, and registration of domain names; and merchant solutions, which include accepting payments, shipping and fulfillment, and securing working capital. The company was formerly known as Jaded Pixel Technologies Inc. and changed its name to Shopify Inc. in November 2011. Shopify Inc. was incorporated in 2004 and is headquartered in Ottawa, Canada. </w:t>
      </w:r>
    </w:p>
    <w:p>
      <w:pPr>
        <w:pStyle w:val="TextBody"/>
        <w:bidi w:val="0"/>
        <w:spacing w:before="360" w:after="0"/>
        <w:jc w:val="left"/>
        <w:rPr>
          <w:rFonts w:ascii="Times New Roman" w:hAnsi="Times New Roman"/>
          <w:b/>
          <w:sz w:val="20"/>
        </w:rPr>
      </w:pPr>
      <w:r>
        <w:rPr>
          <w:rFonts w:ascii="Times New Roman" w:hAnsi="Times New Roman"/>
          <w:b/>
          <w:sz w:val="20"/>
        </w:rPr>
        <w:t xml:space="preserve">The Trade Desk, Inc. (NasdaqGM: TTD) </w:t>
      </w:r>
    </w:p>
    <w:p>
      <w:pPr>
        <w:pStyle w:val="TextBody"/>
        <w:bidi w:val="0"/>
        <w:spacing w:before="120" w:after="0"/>
        <w:jc w:val="left"/>
        <w:rPr>
          <w:rFonts w:ascii="Times New Roman" w:hAnsi="Times New Roman"/>
          <w:sz w:val="20"/>
        </w:rPr>
      </w:pPr>
      <w:r>
        <w:rPr>
          <w:rFonts w:ascii="Times New Roman" w:hAnsi="Times New Roman"/>
          <w:sz w:val="20"/>
        </w:rPr>
        <w:t xml:space="preserve">The Trade Desk, Inc. operates as a technology company in the United States and internationally. The company operates a self-service cloud-based platform that allows buyers to plan, manage, optimize, and measure data-driven digital advertising campaigns across various ad formats and channels, including video, display, audio, digital-out-of-home, native, and social on various devices, such as computers, mobile devices, televisions, and streaming devices. It also provides data and other value-added services. The company serves advertising agencies, brands, and other service providers for advertisers. The Trade Desk, Inc. was incorporated in 2009 and is headquartered in Ventura, California. </w:t>
      </w:r>
    </w:p>
    <w:p>
      <w:pPr>
        <w:pStyle w:val="TextBody"/>
        <w:bidi w:val="0"/>
        <w:spacing w:before="360" w:after="0"/>
        <w:jc w:val="left"/>
        <w:rPr>
          <w:rFonts w:ascii="Times New Roman" w:hAnsi="Times New Roman"/>
          <w:b/>
          <w:sz w:val="20"/>
        </w:rPr>
      </w:pPr>
      <w:r>
        <w:rPr>
          <w:rFonts w:ascii="Times New Roman" w:hAnsi="Times New Roman"/>
          <w:b/>
          <w:sz w:val="20"/>
        </w:rPr>
        <w:t xml:space="preserve">HubSpot, Inc. (NYSE: HUBS) </w:t>
      </w:r>
    </w:p>
    <w:p>
      <w:pPr>
        <w:pStyle w:val="TextBody"/>
        <w:bidi w:val="0"/>
        <w:spacing w:before="120" w:after="0"/>
        <w:jc w:val="left"/>
        <w:rPr>
          <w:rFonts w:ascii="Times New Roman" w:hAnsi="Times New Roman"/>
          <w:sz w:val="20"/>
        </w:rPr>
      </w:pPr>
      <w:r>
        <w:rPr>
          <w:rFonts w:ascii="Times New Roman" w:hAnsi="Times New Roman"/>
          <w:sz w:val="20"/>
        </w:rPr>
        <w:t xml:space="preserve">HubSpot, Inc. provides a cloud-based customer relationship management (CRM) platform for businesses in the Americas, Europe, and the Asia Pacific. The companys CRM platform includes marketing, sales, service, and content management systems, as well as integrated applications, such as search engine optimization, blogging, website content management, messaging, chatbots, social media, marketing automation, email, predictive lead scoring, sales productivity, knowledge base, commerce, conversation routing, video hosting, ticketing and helpdesk tools, customer NPS surveys, analytics, and reporting. It also offers professional services to educate and train customers on how to leverage its CRM platform, as well as phone and/or email and chat-based support services. The company serves mid-market business-to-business companies. HubSpot, Inc. was incorporated in 2005 and is headquartered in Cambridge, Massachusetts. </w:t>
      </w:r>
    </w:p>
    <w:p>
      <w:pPr>
        <w:pStyle w:val="TextBody"/>
        <w:bidi w:val="0"/>
        <w:spacing w:before="360" w:after="0"/>
        <w:jc w:val="left"/>
        <w:rPr>
          <w:rFonts w:ascii="Times New Roman" w:hAnsi="Times New Roman"/>
          <w:b/>
          <w:sz w:val="20"/>
        </w:rPr>
      </w:pPr>
      <w:r>
        <w:rPr>
          <w:rFonts w:ascii="Times New Roman" w:hAnsi="Times New Roman"/>
          <w:b/>
          <w:sz w:val="20"/>
        </w:rPr>
        <w:t xml:space="preserve">DLocal Limited (NasdaqGS: DLO) </w:t>
      </w:r>
    </w:p>
    <w:p>
      <w:pPr>
        <w:pStyle w:val="TextBody"/>
        <w:bidi w:val="0"/>
        <w:spacing w:before="120" w:after="0"/>
        <w:jc w:val="left"/>
        <w:rPr>
          <w:rFonts w:ascii="Times New Roman" w:hAnsi="Times New Roman"/>
          <w:sz w:val="20"/>
        </w:rPr>
      </w:pPr>
      <w:r>
        <w:rPr>
          <w:rFonts w:ascii="Times New Roman" w:hAnsi="Times New Roman"/>
          <w:sz w:val="20"/>
        </w:rPr>
        <w:t xml:space="preserve">DLocal Limited operates a payment processing platform worldwide. Its payments platform enables merchants to get paid and to make payments online. The company serves commerce, streaming, ride-hailing, financial services, advertising, software as a service, travel, e-learning, on-demand delivery, gaming, and crypto industries. DLocal Limited was founded in 2016 and is headquartered in Montevideo, Uruguay. </w:t>
      </w:r>
    </w:p>
    <w:p>
      <w:pPr>
        <w:pStyle w:val="TextBody"/>
        <w:bidi w:val="0"/>
        <w:spacing w:before="360" w:after="0"/>
        <w:jc w:val="left"/>
        <w:rPr>
          <w:rFonts w:ascii="Times New Roman" w:hAnsi="Times New Roman"/>
          <w:b/>
          <w:sz w:val="20"/>
        </w:rPr>
      </w:pPr>
      <w:r>
        <w:rPr>
          <w:rFonts w:ascii="Times New Roman" w:hAnsi="Times New Roman"/>
          <w:b/>
          <w:sz w:val="20"/>
        </w:rPr>
        <w:t xml:space="preserve">DoubleVerify Holdings, Inc. (NYSE: DV) </w:t>
      </w:r>
    </w:p>
    <w:p>
      <w:pPr>
        <w:pStyle w:val="TextBody"/>
        <w:bidi w:val="0"/>
        <w:spacing w:before="120" w:after="0"/>
        <w:jc w:val="left"/>
        <w:rPr>
          <w:rFonts w:ascii="Times New Roman" w:hAnsi="Times New Roman"/>
          <w:sz w:val="20"/>
        </w:rPr>
      </w:pPr>
      <w:r>
        <w:rPr>
          <w:rFonts w:ascii="Times New Roman" w:hAnsi="Times New Roman"/>
          <w:sz w:val="20"/>
        </w:rPr>
        <w:t xml:space="preserve">DoubleVerify Holdings, Inc. provides a software platform for digital media measurement, and analytics in the United States and internationally. The company provides solutions to advertisers unbiased data analytics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enable advertisers to increase the effectiveness, quality and return on their digital advertising investments. It also offers solutions including DV Authentic Ad, a metric of digital media quality, which evaluates the existence of fraud-free, brand-suitable, viewability, and geography for each digital ad; DV Authentic Attention solution that provides exposure and engagement predictive analytics to drive campaign performance; and Custom Contextual solution, which allows advertisers to match their ads to relevant content to maximize user engagement and drive campaign performance. In addition, it offers DV Publisher suite, a solution for digital publishers to manage revenue and increase inventory yield by improving video delivery, identifying lost or unfilled sales, and aggregate data across all inventory sources; and DV Pinnacle, a service and analytics platform user interface that allows its customers to adjust and deploy controls for their media plan and track campaign performance metrics across channels, formats, and devices. Further, the company software solutions are integrated in the digital advertising ecosystem, including programmatic platforms, social media channels, and digital publishers. It serves brands, publishers, and other supply-side customers covering various industry verticals, including consumer packaged goods, financial services, telecommunications, technology, automotive, and healthcare. DoubleVerify Holdings, Inc. was founded in 2008 and is headquartered in New York,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Sprout Social, Inc. (NasdaqCM: SPT) </w:t>
      </w:r>
    </w:p>
    <w:p>
      <w:pPr>
        <w:pStyle w:val="TextBody"/>
        <w:bidi w:val="0"/>
        <w:spacing w:before="120" w:after="0"/>
        <w:jc w:val="left"/>
        <w:rPr>
          <w:rFonts w:ascii="Times New Roman" w:hAnsi="Times New Roman"/>
          <w:sz w:val="20"/>
        </w:rPr>
      </w:pPr>
      <w:r>
        <w:rPr>
          <w:rFonts w:ascii="Times New Roman" w:hAnsi="Times New Roman"/>
          <w:sz w:val="20"/>
        </w:rPr>
        <w:t xml:space="preserve">Sprout Social, Inc. designs, develops, and operates a web-based social media management platform in the Americas, Europe, the Middle East, Africa, and the Asia Pacific. It provides cloud software that brings together social messaging, data, and workflows in a unified system of record, intelligence, and action. The company offers various integrated tools in a range of functions comprising social engagement/response, publishing, reporting and analytics, social listening and business intelligence, reputation management, social commerce, employee advocacy, and automation and workflows. Its tools serve a range of use-cases within its customers organizations, including social and community management, public relations, marketing, customer service and care, commerce, sales, and customer acquisition, recruiting and hiring, product development, and business strategy. The company also offers professional services, which primarily consist of consulting and training services. It serves small-and-medium-sized businesses, mid-market companies, enterprises, marketing agencies, government, non-profit, and educational institutions. Sprout Social, Inc. was incorporated in 2010 and is headquartered in Chicago, Illinois. </w:t>
      </w:r>
    </w:p>
    <w:p>
      <w:pPr>
        <w:pStyle w:val="TextBody"/>
        <w:bidi w:val="0"/>
        <w:spacing w:before="360" w:after="0"/>
        <w:jc w:val="left"/>
        <w:rPr>
          <w:rFonts w:ascii="Times New Roman" w:hAnsi="Times New Roman"/>
          <w:b/>
          <w:sz w:val="20"/>
        </w:rPr>
      </w:pPr>
      <w:r>
        <w:rPr>
          <w:rFonts w:ascii="Times New Roman" w:hAnsi="Times New Roman"/>
          <w:b/>
          <w:sz w:val="20"/>
        </w:rPr>
        <w:t xml:space="preserve">Lightspeed Commerce Inc. (TSX: LSPD) </w:t>
      </w:r>
    </w:p>
    <w:p>
      <w:pPr>
        <w:pStyle w:val="TextBody"/>
        <w:bidi w:val="0"/>
        <w:spacing w:before="120" w:after="0"/>
        <w:jc w:val="left"/>
        <w:rPr>
          <w:rFonts w:ascii="Times New Roman" w:hAnsi="Times New Roman"/>
          <w:sz w:val="20"/>
        </w:rPr>
      </w:pPr>
      <w:r>
        <w:rPr>
          <w:rFonts w:ascii="Times New Roman" w:hAnsi="Times New Roman"/>
          <w:sz w:val="20"/>
        </w:rPr>
        <w:t xml:space="preserve">Lightspeed Commerce Inc. provides a commerce enabling Software as a Service (SaaS) platform for small and midsize businesses, retailers, restaurants, and golf course operators in Canada, the United States, Australia, the Netherlands, and other geographies. Its SaaS platform enables customers to engage with consumers, manage operations, accept payments, etc. The companys cloud platforms are designed interrelated elements, such as omni-channel consumer experience, a comprehensive back-office operations management suite to improve customers efficiency and insight, and the facilitation of payments. Its platform functionalities include full omni-channel capabilities, point of sale (POS), product and menu management, employee and inventory management, analytics and reporting, multi-location connectivity, order-ahead and curbside pickup functionality, loyalty, and customer management solutions. The company also offers tailored financial solutions, such as Lightspeed Analytics; Lightspeed Payments; and Lightspeed Capital, a merchant cash advance program. In addition, it sells POS peripheral hardware, including tablets, customer facing displays, receipt printers, networking hardware, cash drawers, payment terminals, servers, stands, bar-code scanners, and an assortment of accessories, as well as provides installation and implementation services. The company was formerly known as Lightspeed POS Inc. and changed its name to Lightspeed Commerce Inc. in August 2021. Lightspeed Commerce Inc. was incorporated in 2005 and is headquartered in Montréal, Canada.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EverCommerce Inc. (NasdaqGS: EVCM) </w:t>
      </w:r>
    </w:p>
    <w:p>
      <w:pPr>
        <w:pStyle w:val="TextBody"/>
        <w:bidi w:val="0"/>
        <w:spacing w:before="120" w:after="0"/>
        <w:jc w:val="left"/>
        <w:rPr>
          <w:rFonts w:ascii="Times New Roman" w:hAnsi="Times New Roman"/>
          <w:sz w:val="20"/>
        </w:rPr>
      </w:pPr>
      <w:r>
        <w:rPr>
          <w:rFonts w:ascii="Times New Roman" w:hAnsi="Times New Roman"/>
          <w:sz w:val="20"/>
        </w:rPr>
        <w:t xml:space="preserve">EverCommerce Inc., together with its subsidiaries, provides integrated software-as-a-service solutions for service-based small and medium sized businesses in the United States and internationally. The companys solutions include business management software that offers route-based dispatching, medical practice management, and gym member management solutions; billing and payment solutions comprising e-invoicing, mobile payments, and integrated payment processing; customer engagement applications, which include reputation management and messaging solutions; and marketing technology solutions that cover websites, hosting, and digital lead generation. It also provides EverPro suite of solutions in home services; EverHealth suite of solutions within health services; and EverWell suite of solutions in fitness and wellness services. In addition, the company offers professional services, such as implementation, configuration, installation, or training services. It serves home service professionals, including home improvement contractors and home maintenance technicians; physician practices and therapists in the health services industry; and personal trainers and salon owners in the fitness and wellness sectors. The company was formerly known as PaySimple Holdings, Inc. and changed its name to EverCommerce Inc. in December 2020. EverCommerce Inc. was incorporated in 2016 and is headquartered in Denver, Colorado. </w:t>
      </w:r>
    </w:p>
    <w:p>
      <w:pPr>
        <w:pStyle w:val="TextBody"/>
        <w:bidi w:val="0"/>
        <w:spacing w:before="360" w:after="0"/>
        <w:jc w:val="left"/>
        <w:rPr>
          <w:rFonts w:ascii="Times New Roman" w:hAnsi="Times New Roman"/>
          <w:b/>
          <w:sz w:val="20"/>
        </w:rPr>
      </w:pPr>
      <w:r>
        <w:rPr>
          <w:rFonts w:ascii="Times New Roman" w:hAnsi="Times New Roman"/>
          <w:b/>
          <w:sz w:val="20"/>
        </w:rPr>
        <w:t xml:space="preserve">Sprinklr, Inc. (NYSE: CXM) </w:t>
      </w:r>
    </w:p>
    <w:p>
      <w:pPr>
        <w:pStyle w:val="TextBody"/>
        <w:bidi w:val="0"/>
        <w:spacing w:before="120" w:after="0"/>
        <w:jc w:val="left"/>
        <w:rPr>
          <w:rFonts w:ascii="Times New Roman" w:hAnsi="Times New Roman"/>
          <w:sz w:val="20"/>
        </w:rPr>
      </w:pPr>
      <w:r>
        <w:rPr>
          <w:rFonts w:ascii="Times New Roman" w:hAnsi="Times New Roman"/>
          <w:sz w:val="20"/>
        </w:rPr>
        <w:t xml:space="preserve">Sprinklr, Inc. provides enterprise cloud software products worldwide. The company offers Unified Customer Experience Management platform, a purpose-built to analyze unstructured customer experience data, built to scale across future and modern channels, and integrates all stages of the customer journey. Its products include Sprinklr Insights that enables its customers to listen, learn from, and act on insights gleaned from modern channels; Sprinklr Service, a comprehensive, cloud-based, and AI-powered contact center as a service platform that enables customer service agents to service customers across digital, social, and voice channels; Sprinklr Marketing enables brands to streamline their marketing operations across the campaign lifecycle ability to derive insights and optimize their marketing and advertising strategies at scale; and Sprinklr Social helps customers listen to, triage, engage, and analyze conversations across modern channels. The company also provides professional, managed, training, and consultancy services. Sprinklr, Inc. was founded in 2009 and is headquartered in New York,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Amplitude, Inc. (NasdaqCM: AMPL) </w:t>
      </w:r>
    </w:p>
    <w:p>
      <w:pPr>
        <w:pStyle w:val="TextBody"/>
        <w:bidi w:val="0"/>
        <w:spacing w:before="120" w:after="0"/>
        <w:jc w:val="left"/>
        <w:rPr>
          <w:rFonts w:ascii="Times New Roman" w:hAnsi="Times New Roman"/>
          <w:sz w:val="20"/>
        </w:rPr>
      </w:pPr>
      <w:r>
        <w:rPr>
          <w:rFonts w:ascii="Times New Roman" w:hAnsi="Times New Roman"/>
          <w:sz w:val="20"/>
        </w:rPr>
        <w:t xml:space="preserve">Amplitude, Inc. provides a digital analytics platform to analyze customer behavior within digital products in the United States and internationally. It offers Amplitude Analytics provides product, marketing, experience analytics, and AI-Driven alerts; Experimentation, a solution that integrates with analytics to plan, deliver, monitor, and analyze tests and product changes; Audience Management tools leverage the data in analytics to build audience lists through behavioral segmentation or machine learning powered predictions; and Data Streaming tools helps to move event data and user profiles to other tools in customers stacks in real-time to destinations, such as marketing platforms, ad networks, personalization engines, and others; and Amplitude CDP, an insight-driven solution that encompasses the data infrastructure, audience management, and data streaming capabilities. The company also provides customer support services related to initial implementation setup, ongoing support, and application training. It delivers its application over the Internet as a subscription service using a software-as-a-service model. The company was formerly known as Sonalight, Inc. and changed its name to Amplitude, Inc. in December 2014. Amplitude, Inc. was incorporated in 2011 and is headquartered in San Francisco, California. </w:t>
      </w:r>
    </w:p>
    <w:p>
      <w:pPr>
        <w:pStyle w:val="TextBody"/>
        <w:bidi w:val="0"/>
        <w:spacing w:before="360" w:after="0"/>
        <w:jc w:val="left"/>
        <w:rPr>
          <w:rFonts w:ascii="Times New Roman" w:hAnsi="Times New Roman"/>
          <w:b/>
          <w:sz w:val="20"/>
        </w:rPr>
      </w:pPr>
      <w:r>
        <w:rPr>
          <w:rFonts w:ascii="Times New Roman" w:hAnsi="Times New Roman"/>
          <w:b/>
          <w:sz w:val="20"/>
        </w:rPr>
        <w:t xml:space="preserve">Olo, Inc. (NYSE: OLO) </w:t>
      </w:r>
    </w:p>
    <w:p>
      <w:pPr>
        <w:pStyle w:val="TextBody"/>
        <w:bidi w:val="0"/>
        <w:spacing w:before="120" w:after="0"/>
        <w:jc w:val="left"/>
        <w:rPr>
          <w:rFonts w:ascii="Times New Roman" w:hAnsi="Times New Roman"/>
          <w:sz w:val="20"/>
        </w:rPr>
      </w:pPr>
      <w:r>
        <w:rPr>
          <w:rFonts w:ascii="Times New Roman" w:hAnsi="Times New Roman"/>
          <w:sz w:val="20"/>
        </w:rPr>
        <w:t xml:space="preserve">Olo Inc. operates an open SaaS platform for restaurants in the United States. The companys platform enables on-demand digital commerce operations, which cover digital ordering, delivery, front-of-house management, and payments. Its solutions include Order, a suite of solutions powering restaurant brands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on-demand commerce operations, enabling digital ordering, delivery, and channel management through ordering, dispatch, rails, switchboard, network, virtual brands, kiosk, catering, and sync modules; Engage, a suite of restaurant-centric marketing solutions optimizing guest lifetime value by strengthening and enhancing the restaurants direct guest relationships, through the guest data platform, marketing, sentiment, and host modules; and Pay, a frictionless payment platform that enables restaurants to grow and protect their digital business through customer payment experience that offers advanced fraud prevention to improve authorization rates for valid transactions, and increase basket conversion through its Olo Pay module. The company was formerly known as Mobo Systems, Inc. and changed its name to Olo Inc. in January 2020. Olo Inc. was incorporated in 2005 and is headquartered in New York,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BigCommerce Holdings, Inc. (NasdaqGM: BIGC) </w:t>
      </w:r>
    </w:p>
    <w:p>
      <w:pPr>
        <w:pStyle w:val="TextBody"/>
        <w:bidi w:val="0"/>
        <w:spacing w:before="120" w:after="0"/>
        <w:jc w:val="left"/>
        <w:rPr>
          <w:rFonts w:ascii="Times New Roman" w:hAnsi="Times New Roman"/>
          <w:sz w:val="20"/>
        </w:rPr>
      </w:pPr>
      <w:r>
        <w:rPr>
          <w:rFonts w:ascii="Times New Roman" w:hAnsi="Times New Roman"/>
          <w:sz w:val="20"/>
        </w:rPr>
        <w:t xml:space="preserve">BigCommerce Holdings, Inc. operates a software-as-a-service platform for small businesses, mid-markets, and large enterprises in the United States, Europe, the Middle East, Africa, the Asia-Pacific, and other geographies. The companys platform provides various services for launching and scaling e-commerce operation, including store design, catalog management, hosting, checkout, order management, reporting, and pre-integrations. It serves online stores across industries. The company was founded in 2009 and is headquartered in Austin, Texas. </w:t>
      </w:r>
    </w:p>
    <w:p>
      <w:pPr>
        <w:pStyle w:val="TextBody"/>
        <w:bidi w:val="0"/>
        <w:spacing w:before="360" w:after="0"/>
        <w:jc w:val="left"/>
        <w:rPr>
          <w:rFonts w:ascii="Times New Roman" w:hAnsi="Times New Roman"/>
          <w:b/>
          <w:sz w:val="20"/>
        </w:rPr>
      </w:pPr>
      <w:r>
        <w:rPr>
          <w:rFonts w:ascii="Times New Roman" w:hAnsi="Times New Roman"/>
          <w:b/>
          <w:sz w:val="20"/>
        </w:rPr>
        <w:t xml:space="preserve">VTEX (NYSE: VTEX) </w:t>
      </w:r>
    </w:p>
    <w:p>
      <w:pPr>
        <w:pStyle w:val="TextBody"/>
        <w:bidi w:val="0"/>
        <w:spacing w:before="120" w:after="0"/>
        <w:jc w:val="left"/>
        <w:rPr>
          <w:rFonts w:ascii="Times New Roman" w:hAnsi="Times New Roman"/>
          <w:sz w:val="20"/>
        </w:rPr>
      </w:pPr>
      <w:r>
        <w:rPr>
          <w:rFonts w:ascii="Times New Roman" w:hAnsi="Times New Roman"/>
          <w:sz w:val="20"/>
        </w:rPr>
        <w:t xml:space="preserve">VTEX provides a software-as-a-service digital commerce platform for enterprise brands and retailers. Its platform enables customers to execute their commerce strategy, including building online stores, integrating, and managing orders across channels, and creating marketplaces to sell products from third-party vendors. It has operations in Brazil, Argentina, Chile, Colombia, France, Italy, Mexico, Peru, Portugal, Romania, Spain, the United Kingdom, and the United States. VTEX was founded in 2000 and is headquartered in London, the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Marshall &amp; Stevens reviewed, among other things, the Guideline Companies enterprise value as a multiple of revenues and EBITDA for the years ending December 31, 2023, December 31, 2024, and December 31, 2025 forecast for each Guideline Company. The Guideline Company multiples were then size-adjusted based on a comparison to the respective deciles, and the respective equity risk premium, to which each Guideline Company was classified compared to the 7th decile utilized for Rezolve. </w:t>
      </w:r>
    </w:p>
    <w:p>
      <w:pPr>
        <w:pStyle w:val="TextBody"/>
        <w:bidi w:val="0"/>
        <w:spacing w:before="240" w:after="0"/>
        <w:jc w:val="left"/>
        <w:rPr>
          <w:rFonts w:ascii="Times New Roman" w:hAnsi="Times New Roman"/>
          <w:sz w:val="20"/>
        </w:rPr>
      </w:pPr>
      <w:r>
        <w:rPr>
          <w:rFonts w:ascii="Times New Roman" w:hAnsi="Times New Roman"/>
          <w:sz w:val="20"/>
        </w:rPr>
        <w:t xml:space="preserve">Given the expected growth profile of Rezolve, the year ending December 31, 2024 forecasted value indications utilizing the enterprise value as a multiple of revenues and EBITDA were weighted 50.0% each to arrive at the final range of value and the average of the minimum and 25th percentile multiples were selected. The indication of enterprise value for Rezolve using the guideline public company method in the final value conclusion was estimated to be between approximately $1,645,000,000 to $1,995,000,000.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Guideline Transaction Analysis </w:t>
      </w:r>
    </w:p>
    <w:p>
      <w:pPr>
        <w:pStyle w:val="TextBody"/>
        <w:bidi w:val="0"/>
        <w:spacing w:before="120" w:after="0"/>
        <w:jc w:val="left"/>
        <w:rPr>
          <w:rFonts w:ascii="Times New Roman" w:hAnsi="Times New Roman"/>
          <w:sz w:val="20"/>
        </w:rPr>
      </w:pPr>
      <w:r>
        <w:rPr>
          <w:rFonts w:ascii="Times New Roman" w:hAnsi="Times New Roman"/>
          <w:sz w:val="20"/>
        </w:rPr>
        <w:t xml:space="preserve">The market transaction method is a variation of the market approach where transactions involving the actual sale or purchase of the Rezolves enterprise value, or the enterprise value of similar companies are analyzed to provide an indication of fair value. In the present instance, our transaction search did not yield any comparable transactions, so we did not consider the Guideline Transaction Method in the formation of our opinion.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Reconciled Conclusion of Value </w:t>
      </w:r>
    </w:p>
    <w:p>
      <w:pPr>
        <w:pStyle w:val="TextBody"/>
        <w:bidi w:val="0"/>
        <w:spacing w:before="120" w:after="0"/>
        <w:jc w:val="left"/>
        <w:rPr>
          <w:rFonts w:ascii="Times New Roman" w:hAnsi="Times New Roman"/>
          <w:sz w:val="20"/>
        </w:rPr>
      </w:pPr>
      <w:r>
        <w:rPr>
          <w:rFonts w:ascii="Times New Roman" w:hAnsi="Times New Roman"/>
          <w:sz w:val="20"/>
        </w:rPr>
        <w:t xml:space="preserve">Marshall &amp; Stevens considered the discounted cash flow method and the guideline public company method. A 75.0% weighting was placed on the discounted cash flow method given the detailed forecast provided by Rezolve management, while a 25.0% weighting was placed on the guideline public company method.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Giving the weighing discussed above, Marshall &amp; Stevens concluded a final enterprise value range of approximately $1,595,000,000 to $1,885,000,000.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of Northland </w:t>
      </w:r>
    </w:p>
    <w:p>
      <w:pPr>
        <w:pStyle w:val="TextBody"/>
        <w:bidi w:val="0"/>
        <w:spacing w:before="120" w:after="0"/>
        <w:jc w:val="left"/>
        <w:rPr>
          <w:rFonts w:ascii="Times New Roman" w:hAnsi="Times New Roman"/>
          <w:sz w:val="20"/>
        </w:rPr>
      </w:pPr>
      <w:r>
        <w:rPr>
          <w:rFonts w:ascii="Times New Roman" w:hAnsi="Times New Roman"/>
          <w:sz w:val="20"/>
        </w:rPr>
        <w:t xml:space="preserve">Armada retained Northland Securities, Inc. (Northland), to act as its financial advisor in connection with the Business Combination. In selecting Northland, Armada considered, among other things, Northlands qualifications, expertise, reputation, and knowledge of Armadas business and the industry in which Rezolve operates. </w:t>
      </w:r>
    </w:p>
    <w:p>
      <w:pPr>
        <w:pStyle w:val="TextBody"/>
        <w:bidi w:val="0"/>
        <w:spacing w:before="240" w:after="0"/>
        <w:jc w:val="left"/>
        <w:rPr>
          <w:rFonts w:ascii="Times New Roman" w:hAnsi="Times New Roman"/>
          <w:sz w:val="20"/>
        </w:rPr>
      </w:pPr>
      <w:r>
        <w:rPr>
          <w:rFonts w:ascii="Times New Roman" w:hAnsi="Times New Roman"/>
          <w:sz w:val="20"/>
        </w:rPr>
        <w:t xml:space="preserve">On December 16, 2021, Northland rendered its oral and written opinion to Armadas board of directors, and on March 31, 2022, Northland rendered an updated oral and written opinion stating that, as of the date of the letter and subject to and based on the assumptions made, procedures followed, matters considered, limitations of the review undertaken and qualifications in such letter, (a) the aggregate stock consideration is fair, from a financial point of view, to Armada, and (b) Rezolve has a fair market value equal to at least 80% of the balance of funds in Armadas Trust Account (excluding underwriting commissions and taxes payable). </w:t>
      </w:r>
    </w:p>
    <w:p>
      <w:pPr>
        <w:pStyle w:val="TextBody"/>
        <w:bidi w:val="0"/>
        <w:spacing w:before="240" w:after="0"/>
        <w:jc w:val="left"/>
        <w:rPr>
          <w:rFonts w:ascii="Times New Roman" w:hAnsi="Times New Roman"/>
          <w:b/>
          <w:sz w:val="20"/>
        </w:rPr>
      </w:pPr>
      <w:r>
        <w:rPr>
          <w:rFonts w:ascii="Times New Roman" w:hAnsi="Times New Roman"/>
          <w:b/>
          <w:sz w:val="20"/>
        </w:rPr>
        <w:t>The full text of Northlands updated written opinion letter, dated as of March 31, 2022 , is attached as</w:t>
      </w:r>
      <w:r>
        <w:rPr>
          <w:rFonts w:ascii="Times New Roman" w:hAnsi="Times New Roman"/>
          <w:b/>
          <w:sz w:val="20"/>
          <w:u w:val="single"/>
        </w:rPr>
        <w:t xml:space="preserve"> </w:t>
      </w:r>
      <w:r>
        <w:rPr>
          <w:rFonts w:ascii="Times New Roman" w:hAnsi="Times New Roman"/>
          <w:b/>
          <w:sz w:val="20"/>
        </w:rPr>
        <w:t xml:space="preserve">Annex                . You should read Northlands opinion letter carefully and in its entirety for a discussion of, among other things, the scope of the review undertaken, and the assumptions made, procedures followed, matters considered and qualifications and limitations upon the review undertaken by Northland in connection with its opinion. This summary is qualified in its entirety by reference to the full text of the opinion letter. Northlands opinion letter was directed to Armadas board of directors, in its capacity as the board of directors, and addressed only (a) the fairness from a financial point of view, as of March 31, 2022, to Armada of the aggregate stock consideration under the Business Combination Agreement and (b) whether Rezolve has a fair market value equal to at least 80% of the balance of funds in Armadas Trust Account (excluding underwriting commissions and taxes payable). The opinion letter does not constitute a recommendation as to how any stockholder should vote with respect to the Business Combination or any other matter and does not in any manner address the price at which Armadas securities will trade at any time.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Northland conducted such analyses, examinations, and inquiries and considered such other financial, economic and market criteria as it deemed necessary. Northland,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financial terms of the draft of the Business Combination Agreement, dated March 8,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Armadas Registration Statement on Form S-1, as amended, and Final Prospectus filed under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Armadas Quarterly Report on Form 10-Q and other reports filed with the Securities and Exchange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Rezolves historical financial statements for the calendar year ended December 31,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Rezolves revised projected financial statements for the calendar years ending December 31, 2021  December 31, 2024, which were revised by Rezolve in March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Rezolves roadshow presentation dated December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financial and business information provided to Northland by Armada, Rezolve, and their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internal financial information, estimates, and financial and operations forecasts for Rezolve, prepared by Rezolve or Armada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press releases issued by Armada and Rezolve;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financial and commercial due diligence reports prepared by KPMG;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of the side letter between Armada Sponsor LLC and Rezolve, dated March 28,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information above with members of Armadas management and had discussions concerning the information referred to above and the background and other elements of the Business Combination, the financial condition, current operating results, and business outlook for Armada and Rezolve;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certain valuation and comparative analyses using generally accepted valuation and analytical techniques including an analysis of selected public companies that Northland deemed relevant and an analysis of selected precedent transactions that Northland deemed relevant.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Northland relied upon the assessments of the management of Armada, as the case may be, as to, among other things, the potential impact on Armada and Rezolve of macroeconomic, geopolitical, market, competitive, and other conditions, trends, and developments in and prospects for, and governmental, regulatory and legislative matters relating to or otherwise affecting, the high-growth payments, e-commerce enablement, and high-growth marketing technology industries, including supply and demand for raw materials and supply chain availability, which may be subject to significant volatility and which, if different than assumed could have a material impact on Northlands analyses or opinion, the offerings, technology, and intellectual property, as the case may be, of Rezolve and associated risks (including, without limitation, the validity and duration of intellectual property rights relating to, and the useful life of, Rezolves offerings, services, and technology systems). Northland assumed that there would be no developments with respect to any such matters that would be meaningful in any respect to its analyses or opinion. In its review and analysis and in arriving at its opinion, Northland assumed and relied on the accuracy and completeness of all of the financial, business, and other information provided to or otherwise discussed with Northland or publicly available. Northland was not engaged to, and did not independently attempt to, verify any of such information. Northland also relied upon information provided by Armadas management as to the reasonableness and achievability of the financial projections (and the assumptions and bases therefor) provided to Northland, and, with Armadas consent, Northland assumed that the projections were reasonably prepared and reflect the best currently available estimates and judgments of Armadas management. Northland was not engaged to assess the reasonableness or achievability of the projections or the assumptions on which they were based, and Northland expressed no view as to such projections or assumptions. In addition, Northland did not conduct a physical inspection or appraisal of any of the assets, properties or facilities owned by Rezolve, and Northland was not furnished with any such evaluation or appraisal. Northland also assumed that all governmental, regulatory, or other consents and approvals necessary for the consummation of the Business Combination would be obtained without any material adverse effect on Armada, Rezolve, or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stock consideration was determined through arms-length negotiations between Armada and Rezolve and was approved by the Armada board of directors. Northland did not recommend any specific consideration to Armada or the Armada board of directors or suggest that any specific consideration constituted the only appropriate consideration for the Business Combination, including but not limited to the aggregate stock consideration. In addition, Northlands opinion and financial analyses were one of many factors taken into consideration by the Armada board of directors in evaluating the Business Combination. In rendering its opinion, Northland assumed, with Armadas consent, that the final executed form of the Business Combination Agreement would not differ in any material respect from the drafts that Northland examined, and that the conditions to the Business Combination in the Business Combination Agreement will be satisfied and that the Business Combination will be consummated on a timely basis in the manner contemplated by the Business Combination Agreement. Northland was not requested to opine as to, and its opinion did not address, the basic business decision to proceed with or effect the Business Combination. Northland was not asked to, nor did Northland, offer any opinion as to the material terms of the Business Combination Agreement or the form of the Business Combination. Northland expressed no opinion or view as to the relative merits of the Business Combination as compared to any alternative business strategies or transactions that might exist for Armada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 of any other transaction in which Armada might engage. Northland did not render any financial, legal, accounting or other advice and Northland relied on the assumptions of the management of Armada as to all accounting, tax, regulatory, legal and similar matters with respect to Armada, Rezolve, or the Business Combination, including, without limitation, as to tax or other consequences of the Business Combination or otherwise or changes in, or the impact of, accounting standards, or tax and other laws, regulations, and governmental and legislative policies affecting Armada, Rezolve, or the Business Combination and Northland assumed that Armada obtained advice as to such matters from appropriate professionals. The issuance of Northlands opinion was approved by the Northland Fairness Opinion Committee. </w:t>
      </w:r>
    </w:p>
    <w:p>
      <w:pPr>
        <w:pStyle w:val="TextBody"/>
        <w:bidi w:val="0"/>
        <w:spacing w:before="240" w:after="0"/>
        <w:jc w:val="left"/>
        <w:rPr>
          <w:rFonts w:ascii="Times New Roman" w:hAnsi="Times New Roman"/>
          <w:sz w:val="20"/>
        </w:rPr>
      </w:pPr>
      <w:r>
        <w:rPr>
          <w:rFonts w:ascii="Times New Roman" w:hAnsi="Times New Roman"/>
          <w:sz w:val="20"/>
        </w:rPr>
        <w:t xml:space="preserve">Northlands opinion was based on economic and market conditions and other circumstances existing on, and information made available to Northland as of, March 30, 2021 and does not address any matters subsequent to such date. Northlands opinion was limited to the fairness from a financial point of view, as of the date of the opinion, to Armada of the aggregate stock consideration under the Business Combination Agreement. Although subsequent developments may affect Northlands opinion, Northland does not have any obligation to update, revise, or reaffirm its opinion.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financial analyses performed by Northland in arriving at its opinion. Northlands opinion letter was only one of many factors considered by the board of directors in evaluating the Business Combination. Neither Northlands opinion nor its financial analyses were determinative of the aggregate stock consideration or of the views of Armadas board of directors or Armadas management with respect to the aggregate stock consideration or the Business Combination. None of the analyses performed by Northland were necessarily assigned a greater significance by Northland than any other, nor does the order of analyses described represent relative importance or weight given to those analyses by Northland. The summary text describing each financial analysis does not constitute a complete description of Northlands financial analyses, including the methodologies and assumptions underlying the analyses, and if viewed in isolation could create a misleading or incomplete view of the financial analyses performed by Northland. The summary text set forth below does not represent and should not be viewed by anyone as constituting conclusions reached by Northland with respect to any of the analyses performed by it in connection with its opinion. Rather, Northland made its determination as to the fairness, from a financial point of view, to Armada of the aggregate stock consideration under the Business Combination Agreement. As the board of directors of Amanda was aware, Northland did not conduct a discounted cash flow analysis of Rezolve given, based on discussions with the management of Armada, limited long-term financial projections and estimates for Rezolve.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Analysis of Selected Publicly Traded Companies </w:t>
      </w:r>
    </w:p>
    <w:p>
      <w:pPr>
        <w:pStyle w:val="TextBody"/>
        <w:bidi w:val="0"/>
        <w:spacing w:before="120" w:after="0"/>
        <w:jc w:val="left"/>
        <w:rPr>
          <w:rFonts w:ascii="Times New Roman" w:hAnsi="Times New Roman"/>
          <w:sz w:val="20"/>
        </w:rPr>
      </w:pPr>
      <w:r>
        <w:rPr>
          <w:rFonts w:ascii="Times New Roman" w:hAnsi="Times New Roman"/>
          <w:sz w:val="20"/>
        </w:rPr>
        <w:t xml:space="preserve">Northland performed a selected public companies analysis of Rezolve in which Northland reviewed certain financial and stock market information relating to Rezolve and the following 10 selected publicly traded high-growth payments, e-commerce enablement, and high-growth marketing technology companies with market capitalizations of more than $200 million that Northland considered generally relevant for purposes of analysis, collectively referred to as the Rezolve selected companies: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  Amplitude,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  BigCommerce Holdings,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  DLocal Limited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  EverCommerce Inc.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  HubSpot, Inc.</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  Lightspeed Commerce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  Shopify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  Sprout Social,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Trade Desk, Inc.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  VTEX</w:t>
            </w:r>
          </w:p>
        </w:tc>
      </w:tr>
    </w:tbl>
    <w:p>
      <w:pPr>
        <w:pStyle w:val="TextBody"/>
        <w:bidi w:val="0"/>
        <w:spacing w:before="240" w:after="0"/>
        <w:jc w:val="left"/>
        <w:rPr>
          <w:rFonts w:ascii="Times New Roman" w:hAnsi="Times New Roman"/>
          <w:sz w:val="20"/>
        </w:rPr>
      </w:pPr>
      <w:r>
        <w:rPr>
          <w:rFonts w:ascii="Times New Roman" w:hAnsi="Times New Roman"/>
          <w:sz w:val="20"/>
        </w:rPr>
        <w:t xml:space="preserve">Northland reviewed, among other information and to the extent publicly available and meaningful, enterprise values of the Rezolve selected companies, calculated as implied equity values based on closing stock prices on March 30, 2022 plus total debt, preferred equity, and non-controlling interests (as applicable) and 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 and cash equivalents, as multiples of such companies calendar year 2021 actual revenue, and calendar years 2022 and 2023 estimated revenue. Financial data of the Rezolve selected companies were based on publicly available Wall Street research analysts estimates, public filings, and other publicly available information. Because Rezolves audited financial statements for the year ended December 31, 2021 were not finalized at the time of Northlands analysis, Northland used estimated revenues of Rezolve for that year. Financial data for Rezolve was based on financial projections and estimates of Armadas management. Northland applied a 25% private company discount to the equity value of the Rezolve selected companies. </w:t>
      </w:r>
    </w:p>
    <w:p>
      <w:pPr>
        <w:pStyle w:val="TextBody"/>
        <w:bidi w:val="0"/>
        <w:spacing w:before="240" w:after="0"/>
        <w:jc w:val="left"/>
        <w:rPr>
          <w:rFonts w:ascii="Times New Roman" w:hAnsi="Times New Roman"/>
          <w:sz w:val="20"/>
        </w:rPr>
      </w:pPr>
      <w:r>
        <w:rPr>
          <w:rFonts w:ascii="Times New Roman" w:hAnsi="Times New Roman"/>
          <w:sz w:val="20"/>
        </w:rPr>
        <w:t xml:space="preserve">The discounted overall low to high calendar year 2021 actual and calendar years 2022 and 2023 estimated revenue multiples observed for the Rezolve selected companies were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2"/>
        <w:gridCol w:w="510"/>
        <w:gridCol w:w="9293"/>
      </w:tblGrid>
      <w:tr>
        <w:trPr/>
        <w:tc>
          <w:tcPr>
            <w:tcW w:w="4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Calendar year 2021 actual revenue multiples: low to high of 13.2x to 22.0x (with a mean of 16.5x and a median of 14.4x)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2"/>
        <w:gridCol w:w="510"/>
        <w:gridCol w:w="9293"/>
      </w:tblGrid>
      <w:tr>
        <w:trPr/>
        <w:tc>
          <w:tcPr>
            <w:tcW w:w="4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Calendar year 2022 estimated revenue multiples: low to high of 10.1x to 16.5x (with a mean of 12.5x and a median of 10.9x)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2"/>
        <w:gridCol w:w="510"/>
        <w:gridCol w:w="9293"/>
      </w:tblGrid>
      <w:tr>
        <w:trPr/>
        <w:tc>
          <w:tcPr>
            <w:tcW w:w="4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Calendar year 2023 estimated revenue multiples: low to high of 7.6x to 13.1x (with a mean of 9.8x and a median of 8.5x)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Northland then applied the calendar years 2021 actual and 2022 and 2023 estimated revenue multiples described above derived from the Rezolve selected companies to corresponding data of Rezolve. This analysis indicated approximate implied aggregate enterprise value reference ranges for Rezolve of $383 million to $2,282 million, $885 million to $3,935 million, and $1,419 million to $5,723 million based on calendar year 2021 actual revenues, and calendar years 2022 and 2023 estimated revenues, respectively. </w:t>
      </w:r>
    </w:p>
    <w:p>
      <w:pPr>
        <w:pStyle w:val="TextBody"/>
        <w:bidi w:val="0"/>
        <w:spacing w:before="240" w:after="0"/>
        <w:jc w:val="left"/>
        <w:rPr>
          <w:rFonts w:ascii="Times New Roman" w:hAnsi="Times New Roman"/>
          <w:sz w:val="20"/>
        </w:rPr>
      </w:pPr>
      <w:r>
        <w:rPr>
          <w:rFonts w:ascii="Times New Roman" w:hAnsi="Times New Roman"/>
          <w:sz w:val="20"/>
        </w:rPr>
        <w:t xml:space="preserve">No company used in the comparable company analysis is identical to Rezolve. In evaluating selected publicly traded companies, Northland made judgments and assumptions with regard to industry performance, general business, economic, market and financial conditions and other matters which are beyond Armadas control, such as the impact of competition on Rezolve and the industry generally, industry growth and the absence of any adverse material change in Armadas financial conditions and prospects or those of Rezolve or the industry or the financial markets in general. </w:t>
      </w:r>
    </w:p>
    <w:p>
      <w:pPr>
        <w:pStyle w:val="TextBody"/>
        <w:bidi w:val="0"/>
        <w:spacing w:before="360" w:after="0"/>
        <w:jc w:val="left"/>
        <w:rPr>
          <w:rFonts w:ascii="Times New Roman" w:hAnsi="Times New Roman"/>
          <w:b/>
          <w:i/>
          <w:sz w:val="20"/>
        </w:rPr>
      </w:pPr>
      <w:r>
        <w:rPr>
          <w:rFonts w:ascii="Times New Roman" w:hAnsi="Times New Roman"/>
          <w:b/>
          <w:i/>
          <w:sz w:val="20"/>
        </w:rPr>
        <w:t xml:space="preserve">Analysis of Selected Precedent Transactions </w:t>
      </w:r>
    </w:p>
    <w:p>
      <w:pPr>
        <w:pStyle w:val="TextBody"/>
        <w:bidi w:val="0"/>
        <w:spacing w:before="120" w:after="0"/>
        <w:jc w:val="left"/>
        <w:rPr>
          <w:rFonts w:ascii="Times New Roman" w:hAnsi="Times New Roman"/>
          <w:sz w:val="20"/>
        </w:rPr>
      </w:pPr>
      <w:r>
        <w:rPr>
          <w:rFonts w:ascii="Times New Roman" w:hAnsi="Times New Roman"/>
          <w:sz w:val="20"/>
        </w:rPr>
        <w:t xml:space="preserve">Using publicly available information, Northland reviewed financial data relating to the following 13 selected transactions that Northland considered generally relevant for purposes of analysis as transactions that closed between January 1, 2018 and March 30, 2022 involving target companies within the high-growth payments, e-commerce enablement, and high-growth marketing technology industries and implied enterprise values of less than $10 billion, collectively referred to as the selected precedent transactions: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3"/>
        <w:gridCol w:w="203"/>
        <w:gridCol w:w="3266"/>
        <w:gridCol w:w="202"/>
        <w:gridCol w:w="2961"/>
      </w:tblGrid>
      <w:tr>
        <w:trPr/>
        <w:tc>
          <w:tcPr>
            <w:tcW w:w="357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Closed</w:t>
            </w:r>
          </w:p>
        </w:tc>
        <w:tc>
          <w:tcPr>
            <w:tcW w:w="203"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Buyer / Seller</w:t>
            </w:r>
          </w:p>
        </w:tc>
        <w:tc>
          <w:tcPr>
            <w:tcW w:w="202" w:type="dxa"/>
            <w:tcBorders/>
            <w:vAlign w:val="bottom"/>
          </w:tcPr>
          <w:p>
            <w:pPr>
              <w:pStyle w:val="TableContents"/>
              <w:bidi w:val="0"/>
              <w:spacing w:before="0" w:after="283"/>
              <w:jc w:val="left"/>
              <w:rPr/>
            </w:pPr>
            <w:r>
              <w:rPr/>
              <w:t>  </w:t>
            </w:r>
          </w:p>
        </w:tc>
        <w:tc>
          <w:tcPr>
            <w:tcW w:w="29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Target</w:t>
            </w:r>
          </w:p>
        </w:tc>
      </w:tr>
      <w:tr>
        <w:trPr/>
        <w:tc>
          <w:tcPr>
            <w:tcW w:w="3573" w:type="dxa"/>
            <w:tcBorders/>
          </w:tcPr>
          <w:p>
            <w:pPr>
              <w:pStyle w:val="TableContents"/>
              <w:bidi w:val="0"/>
              <w:spacing w:before="0" w:after="283"/>
              <w:jc w:val="left"/>
              <w:rPr/>
            </w:pPr>
            <w:r>
              <w:rPr/>
              <w:t>January 2022</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Global-e Online Ltd.</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Flow Commerce Inc.</w:t>
            </w:r>
          </w:p>
        </w:tc>
      </w:tr>
      <w:tr>
        <w:trPr/>
        <w:tc>
          <w:tcPr>
            <w:tcW w:w="3573" w:type="dxa"/>
            <w:tcBorders/>
          </w:tcPr>
          <w:p>
            <w:pPr>
              <w:pStyle w:val="TableContents"/>
              <w:bidi w:val="0"/>
              <w:spacing w:before="0" w:after="283"/>
              <w:jc w:val="left"/>
              <w:rPr/>
            </w:pPr>
            <w:r>
              <w:rPr/>
              <w:t>October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Thoma Bravo, L.P.</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Medallia, Inc.</w:t>
            </w:r>
          </w:p>
        </w:tc>
      </w:tr>
      <w:tr>
        <w:trPr/>
        <w:tc>
          <w:tcPr>
            <w:tcW w:w="3573" w:type="dxa"/>
            <w:tcBorders/>
          </w:tcPr>
          <w:p>
            <w:pPr>
              <w:pStyle w:val="TableContents"/>
              <w:bidi w:val="0"/>
              <w:spacing w:before="0" w:after="283"/>
              <w:jc w:val="left"/>
              <w:rPr/>
            </w:pPr>
            <w:r>
              <w:rPr/>
              <w:t>October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Lightspeed Commerce Inc.</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Ecwid Inc.</w:t>
            </w:r>
          </w:p>
        </w:tc>
      </w:tr>
      <w:tr>
        <w:trPr/>
        <w:tc>
          <w:tcPr>
            <w:tcW w:w="3573" w:type="dxa"/>
            <w:tcBorders/>
          </w:tcPr>
          <w:p>
            <w:pPr>
              <w:pStyle w:val="TableContents"/>
              <w:bidi w:val="0"/>
              <w:spacing w:before="0" w:after="283"/>
              <w:jc w:val="left"/>
              <w:rPr/>
            </w:pPr>
            <w:r>
              <w:rPr/>
              <w:t>September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Constant Contact, Inc.</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SharpSpring, Inc.</w:t>
            </w:r>
          </w:p>
        </w:tc>
      </w:tr>
      <w:tr>
        <w:trPr/>
        <w:tc>
          <w:tcPr>
            <w:tcW w:w="3573" w:type="dxa"/>
            <w:tcBorders/>
          </w:tcPr>
          <w:p>
            <w:pPr>
              <w:pStyle w:val="TableContents"/>
              <w:bidi w:val="0"/>
              <w:spacing w:before="0" w:after="283"/>
              <w:jc w:val="left"/>
              <w:rPr/>
            </w:pPr>
            <w:r>
              <w:rPr/>
              <w:t>July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Stne Participacoes S.A.</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Linx S.A.</w:t>
            </w:r>
          </w:p>
        </w:tc>
      </w:tr>
      <w:tr>
        <w:trPr/>
        <w:tc>
          <w:tcPr>
            <w:tcW w:w="3573" w:type="dxa"/>
            <w:tcBorders/>
          </w:tcPr>
          <w:p>
            <w:pPr>
              <w:pStyle w:val="TableContents"/>
              <w:bidi w:val="0"/>
              <w:spacing w:before="0" w:after="283"/>
              <w:jc w:val="left"/>
              <w:rPr/>
            </w:pPr>
            <w:r>
              <w:rPr/>
              <w:t>June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FTAC Olympus Acquisition Corp.</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Payoneer Global Inc.</w:t>
            </w:r>
          </w:p>
        </w:tc>
      </w:tr>
      <w:tr>
        <w:trPr/>
        <w:tc>
          <w:tcPr>
            <w:tcW w:w="3573" w:type="dxa"/>
            <w:tcBorders/>
          </w:tcPr>
          <w:p>
            <w:pPr>
              <w:pStyle w:val="TableContents"/>
              <w:bidi w:val="0"/>
              <w:spacing w:before="0" w:after="283"/>
              <w:jc w:val="left"/>
              <w:rPr/>
            </w:pPr>
            <w:r>
              <w:rPr/>
              <w:t>June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Just Eat Takeaway.com N.V.</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Grubhub Inc.</w:t>
            </w:r>
          </w:p>
        </w:tc>
      </w:tr>
      <w:tr>
        <w:trPr/>
        <w:tc>
          <w:tcPr>
            <w:tcW w:w="3573" w:type="dxa"/>
            <w:tcBorders/>
          </w:tcPr>
          <w:p>
            <w:pPr>
              <w:pStyle w:val="TableContents"/>
              <w:bidi w:val="0"/>
              <w:spacing w:before="0" w:after="283"/>
              <w:jc w:val="left"/>
              <w:rPr/>
            </w:pPr>
            <w:r>
              <w:rPr/>
              <w:t>April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Lightspeed Commerce Inc.</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Vend Limited</w:t>
            </w:r>
          </w:p>
        </w:tc>
      </w:tr>
      <w:tr>
        <w:trPr/>
        <w:tc>
          <w:tcPr>
            <w:tcW w:w="3573" w:type="dxa"/>
            <w:tcBorders/>
          </w:tcPr>
          <w:p>
            <w:pPr>
              <w:pStyle w:val="TableContents"/>
              <w:bidi w:val="0"/>
              <w:spacing w:before="0" w:after="283"/>
              <w:jc w:val="left"/>
              <w:rPr/>
            </w:pPr>
            <w:r>
              <w:rPr/>
              <w:t>November 2020</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Lightspeed Commerce Inc.</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Shopkeep Inc.</w:t>
            </w:r>
          </w:p>
        </w:tc>
      </w:tr>
      <w:tr>
        <w:trPr/>
        <w:tc>
          <w:tcPr>
            <w:tcW w:w="3573" w:type="dxa"/>
            <w:tcBorders/>
          </w:tcPr>
          <w:p>
            <w:pPr>
              <w:pStyle w:val="TableContents"/>
              <w:bidi w:val="0"/>
              <w:spacing w:before="0" w:after="283"/>
              <w:jc w:val="left"/>
              <w:rPr/>
            </w:pPr>
            <w:r>
              <w:rPr/>
              <w:t>February 2019</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Vista Equity Partners</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MINDBODY, Inc.</w:t>
            </w:r>
          </w:p>
        </w:tc>
      </w:tr>
      <w:tr>
        <w:trPr/>
        <w:tc>
          <w:tcPr>
            <w:tcW w:w="3573" w:type="dxa"/>
            <w:tcBorders/>
          </w:tcPr>
          <w:p>
            <w:pPr>
              <w:pStyle w:val="TableContents"/>
              <w:bidi w:val="0"/>
              <w:spacing w:before="0" w:after="283"/>
              <w:jc w:val="left"/>
              <w:rPr/>
            </w:pPr>
            <w:r>
              <w:rPr/>
              <w:t>January 2019</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Cision Ltd.</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Trendkite, Inc.</w:t>
            </w:r>
          </w:p>
        </w:tc>
      </w:tr>
      <w:tr>
        <w:trPr/>
        <w:tc>
          <w:tcPr>
            <w:tcW w:w="3573" w:type="dxa"/>
            <w:tcBorders/>
          </w:tcPr>
          <w:p>
            <w:pPr>
              <w:pStyle w:val="TableContents"/>
              <w:bidi w:val="0"/>
              <w:spacing w:before="0" w:after="283"/>
              <w:jc w:val="left"/>
              <w:rPr/>
            </w:pPr>
            <w:r>
              <w:rPr/>
              <w:t>September 2018</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PayPal Holdings, Inc.</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iZettle AB</w:t>
            </w:r>
          </w:p>
        </w:tc>
      </w:tr>
      <w:tr>
        <w:trPr/>
        <w:tc>
          <w:tcPr>
            <w:tcW w:w="3573" w:type="dxa"/>
            <w:tcBorders/>
          </w:tcPr>
          <w:p>
            <w:pPr>
              <w:pStyle w:val="TableContents"/>
              <w:bidi w:val="0"/>
              <w:spacing w:before="0" w:after="283"/>
              <w:jc w:val="left"/>
              <w:rPr/>
            </w:pPr>
            <w:r>
              <w:rPr/>
              <w:t>May 2018</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GTCR, Sycamore Partners Management</w:t>
            </w:r>
          </w:p>
        </w:tc>
        <w:tc>
          <w:tcPr>
            <w:tcW w:w="202"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Commerce Technologies,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Northland reviewed transaction values in the selected precedent transactions, based on the consideration paid in such transactions, as multiples of the target companys most recent publicly reported last 12 months revenue, referred to as LTM, and next 12 months revenue estimates, referred to as NTM, available as of the closing date of the relevant transaction. Financial data of the selected precedent transactions were based on publicly available Wall Street research analysts estimates, public filings, and other publicly available information. Financial data for Rezolve was based on financial projections and estimates of Armadas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overall low to high LTM revenue multiples observed for the selected precedent transactions were 5.6x to 27.3x (with a mean of 13.0x and a median of 9.5x). Northland then applied the low to high of the LTM revenue multiples derived from the selected precedent transactions to corresponding data of Rezolve using Rezolves estimated 2021 revenues rather than LTM. This analysis indicated an approximate implied aggregate enterprise value reference range for Rezolve of $429 million to $2,078 million. The overall low to high NTM revenue multiples observed for the selected precedent transactions were 4.8x to 10.9x (with a mean of 7.3x and a median of 6.8x). Northland then applied the low to high of the NTM revenue multiples derived from the selected precedent transactions to corresponding data of Rezolve using Rezolves estimated 2022 revenues rather than NTM. This analysis indicated an approximate implied aggregate enterprise value reference range for Rezolve of $1,049 million to $2,399 million. </w:t>
      </w:r>
    </w:p>
    <w:p>
      <w:pPr>
        <w:pStyle w:val="TextBody"/>
        <w:bidi w:val="0"/>
        <w:spacing w:before="240" w:after="0"/>
        <w:jc w:val="left"/>
        <w:rPr>
          <w:rFonts w:ascii="Times New Roman" w:hAnsi="Times New Roman"/>
          <w:sz w:val="20"/>
        </w:rPr>
      </w:pPr>
      <w:r>
        <w:rPr>
          <w:rFonts w:ascii="Times New Roman" w:hAnsi="Times New Roman"/>
          <w:sz w:val="20"/>
        </w:rPr>
        <w:t xml:space="preserve">No transaction used in the analysis of comparable transactions is identical to Rezolve or the Business Combination. In evaluating the precedent transactions, Northland made judgments and assumptions with regard to general business, market and financial conditions and other matters, which are beyond Armadas control. These include, among other things, the impact of competition on the business of Rezolve or the industry generally, industry growth and the absence of any adverse material change in the financial condition of Rezolve or the industry or in the financial markets in general, which could affect the public trading value of the companies and the aggregate value and enterprise value of the transactions to which they are being compared.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Northland did not draw, in isolation, conclusions from or with regard to any factor or analysis that it considered. Rather, Northland made its determination as to fairness on the basis of its experience and professional judgment after considering the results of all of the analyses.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Northlands services as Armadas financial advisor in connection with the Business Combination, Armada paid Northland aggregate fees of $120,000, which were payable upon the delivery of Northlands original opinion and revised opinion. Armada will pay Northland an additional $1,030,000 upon the closing of Business Combination, which amount is not payable if the Business Combination does not close. In addition, Armada has agreed to reimburse Northland for certain of its expenses and to indemnify Northland and related persons against various potential liabilities, including certain liabilities that may arise in connection with Northland engagement. On August 12, 2021, Northland entered into an Underwriting Agreement with Armada, under which Northland received 1% of the gross proceeds of Armadas initial public offering. Such amount totaled $1,500,000. On August 12, 2021, Northland entered into a Business Combination Marketing Agreement with Armada, under which Northland is entitled to receive (a) a cash advisory fee of 2.25% of the gross proceeds of Armadas initial public offering; (b) a capital markets advisory fee of $2,500,000; and (c) a finder fee equal to 1% of the total consideration if Northland introduces Armada to a target with which a business combination is completed. Because Northland did not introduce Armada to Rezolve, Northland will not receive the finder fee in connection with the Business Combination. The fees under the Business Combination Marketing Agreement are payable upon the closing of Armadas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Regulatory Matters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and the transactions contemplated by the Business Combination Agreement are not subject to any additional federal or state regulatory requirement or approval, except for filings with the Registrar of Companies in England and Wales and such filings as are necessary to effectuate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an Ordinary Resolution, that the entry into the Business Combination Agreement, dated as of December 17, 2021, as amended on November 10, 2022 and as further amended and restated on June 16, 2023 (the Business Combination Agreement), by and among Armada, Rezolve, Rezolve Limited, and Rezolve Merger Sub, be confirmed, ratified and approved in all respects.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and Recommendation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is conditioned on the approval of the Business Combination Proposal, the Nasdaq Proposal and the Incentive Equity Plan Proposal at the Special Meeting. The proposals in this proxy statement/prospectus (other than the Adjournment Proposal) are conditioned on the approval of the Business Combination Proposal. </w:t>
      </w:r>
    </w:p>
    <w:p>
      <w:pPr>
        <w:pStyle w:val="TextBody"/>
        <w:bidi w:val="0"/>
        <w:spacing w:before="240" w:after="0"/>
        <w:jc w:val="left"/>
        <w:rPr>
          <w:rFonts w:ascii="Times New Roman" w:hAnsi="Times New Roman"/>
          <w:sz w:val="20"/>
        </w:rPr>
      </w:pPr>
      <w:r>
        <w:rPr>
          <w:rFonts w:ascii="Times New Roman" w:hAnsi="Times New Roman"/>
          <w:sz w:val="20"/>
        </w:rPr>
        <w:t>This Business Combination Proposal (and consequently, the Business Combination Agreement and the transactions contemplated thereby, including the Business Combination) will be adopted and approved only if at least a majority of the votes cast at the Special Meeting vote </w:t>
      </w:r>
      <w:r>
        <w:rPr>
          <w:rFonts w:ascii="Times New Roman" w:hAnsi="Times New Roman"/>
          <w:b/>
          <w:sz w:val="20"/>
        </w:rPr>
        <w:t>FOR</w:t>
      </w:r>
      <w:r>
        <w:rPr>
          <w:rFonts w:ascii="Times New Roman" w:hAnsi="Times New Roman"/>
          <w:sz w:val="20"/>
        </w:rPr>
        <w:t xml:space="preserve"> the Business Combination Proposal. A stockholders failure to vote, as well as an abstention and broker non-vote, will have no effect on the Business Combination Proposal. Abstentions will be counted in connection with the determination of whether a valid quorum is established but will have no effect on the Business Combination Proposal. </w:t>
      </w:r>
    </w:p>
    <w:p>
      <w:pPr>
        <w:pStyle w:val="TextBody"/>
        <w:bidi w:val="0"/>
        <w:spacing w:before="240" w:after="0"/>
        <w:jc w:val="left"/>
        <w:rPr>
          <w:rFonts w:ascii="Times New Roman" w:hAnsi="Times New Roman"/>
          <w:sz w:val="20"/>
        </w:rPr>
      </w:pPr>
      <w:r>
        <w:rPr>
          <w:rFonts w:ascii="Times New Roman" w:hAnsi="Times New Roman"/>
          <w:sz w:val="20"/>
        </w:rPr>
        <w:t xml:space="preserve">Our Sponsor has agreed to vote its shares of Armada Common Stock </w:t>
      </w:r>
      <w:r>
        <w:rPr>
          <w:rFonts w:ascii="Times New Roman" w:hAnsi="Times New Roman"/>
          <w:b/>
          <w:sz w:val="20"/>
        </w:rPr>
        <w:t>FOR</w:t>
      </w:r>
      <w:r>
        <w:rPr>
          <w:rFonts w:ascii="Times New Roman" w:hAnsi="Times New Roman"/>
          <w:sz w:val="20"/>
        </w:rPr>
        <w:t xml:space="preserve"> the Business Combination Proposal. As of the record date, our Sponsor owns approximately                 % of our issued and outstanding shares of Armada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THE ARMADA BOARD OF DIRECTORS UNANIMOUSLY RECOMMENDS THAT THE ARMADA STOCKHOLDERS VOTE FOR THE APPROVAL OF THE BUSINESS COMBINATION PROPOSAL. </w:t>
      </w:r>
    </w:p>
    <w:p>
      <w:pPr>
        <w:pStyle w:val="TextBody"/>
        <w:bidi w:val="0"/>
        <w:spacing w:before="240" w:after="0"/>
        <w:jc w:val="left"/>
        <w:rPr>
          <w:rFonts w:ascii="Times New Roman" w:hAnsi="Times New Roman"/>
          <w:sz w:val="20"/>
        </w:rPr>
      </w:pPr>
      <w:r>
        <w:rPr>
          <w:rFonts w:ascii="Times New Roman" w:hAnsi="Times New Roman"/>
          <w:sz w:val="20"/>
        </w:rPr>
        <w:t xml:space="preserve">The existence of financial and personal interests of one or more of the Companys directors or officers may result in a conflict of interest on the part of such director(s) or officer(s) between what he or they may believe is in the best interests of Armada and its stockholders and what he or they may believe is best for himself or themselves in determining to recommend that stockholders vote for the proposals. See the section above entitled  </w:t>
      </w:r>
      <w:r>
        <w:rPr>
          <w:rFonts w:ascii="Times New Roman" w:hAnsi="Times New Roman"/>
          <w:i/>
          <w:sz w:val="20"/>
        </w:rPr>
        <w:t></w:t>
      </w:r>
      <w:r>
        <w:rPr>
          <w:rFonts w:ascii="Times New Roman" w:hAnsi="Times New Roman"/>
          <w:sz w:val="20"/>
        </w:rPr>
        <w:t> </w:t>
      </w:r>
      <w:r>
        <w:rPr>
          <w:rFonts w:ascii="Times New Roman" w:hAnsi="Times New Roman"/>
          <w:i/>
          <w:sz w:val="20"/>
        </w:rPr>
        <w:t>Interests of Armadas Directors and Officers in the Business Combination</w:t>
      </w:r>
      <w:r>
        <w:rPr>
          <w:rFonts w:ascii="Times New Roman" w:hAnsi="Times New Roman"/>
          <w:sz w:val="20"/>
        </w:rPr>
        <w:t xml:space="preserve"> for a further discussion.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x309194_16"/>
      <w:bookmarkEnd w:id="18"/>
      <w:r>
        <w:rPr>
          <w:rFonts w:ascii="Times New Roman" w:hAnsi="Times New Roman"/>
          <w:b/>
          <w:sz w:val="20"/>
        </w:rPr>
        <w:t xml:space="preserve">MATERIAL TAX CONSIDERATIONS </w:t>
      </w:r>
    </w:p>
    <w:p>
      <w:pPr>
        <w:pStyle w:val="TextBody"/>
        <w:bidi w:val="0"/>
        <w:spacing w:before="240" w:after="0"/>
        <w:jc w:val="left"/>
        <w:rPr>
          <w:rFonts w:ascii="Times New Roman" w:hAnsi="Times New Roman"/>
          <w:b/>
          <w:sz w:val="20"/>
        </w:rPr>
      </w:pPr>
      <w:r>
        <w:rPr>
          <w:rFonts w:ascii="Times New Roman" w:hAnsi="Times New Roman"/>
          <w:b/>
          <w:sz w:val="20"/>
        </w:rPr>
        <w:t xml:space="preserve">Material United Kingdom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statements are based on current UK law as applied in England and HMRC published practice (which may not be binding on HMRC) as at the date of this document, both of which are subject to change, possibly with retrospective effect. </w:t>
      </w:r>
    </w:p>
    <w:p>
      <w:pPr>
        <w:pStyle w:val="TextBody"/>
        <w:bidi w:val="0"/>
        <w:spacing w:before="240" w:after="0"/>
        <w:jc w:val="left"/>
        <w:rPr>
          <w:rFonts w:ascii="Times New Roman" w:hAnsi="Times New Roman"/>
          <w:sz w:val="20"/>
        </w:rPr>
      </w:pPr>
      <w:r>
        <w:rPr>
          <w:rFonts w:ascii="Times New Roman" w:hAnsi="Times New Roman"/>
          <w:sz w:val="20"/>
        </w:rPr>
        <w:t xml:space="preserve">These statements are intended only as a general guide and are not a complete analysis of all potential UK tax consequences relating to the holding or disposing of Rezolve Ordinary Shares or Rezolve Warrants. They do not purport to provide any analysis of the UK tax consequences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apply only to persons who hold Rezolve Ordinary Shares or Rezolve Warrants as an investment and who are the absolute beneficial owners of the Rezolve Ordinary Shares or Rezolve Warrants. The statements do not apply to special categories of holders such as dealers in securities, insurance companies, collective investment schemes, charities, exempt pension funds or holders who have, or are deemed to have, acquired their Rezolve Ordinary Shares or Rezolve Warrants by virtue of an office or employment.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are not directed at and do not apply to persons who are resident, or in the case of individuals, domiciled for tax purposes in the UK. </w:t>
      </w:r>
    </w:p>
    <w:p>
      <w:pPr>
        <w:pStyle w:val="TextBody"/>
        <w:bidi w:val="0"/>
        <w:spacing w:before="240" w:after="0"/>
        <w:jc w:val="left"/>
        <w:rPr>
          <w:rFonts w:ascii="Times New Roman" w:hAnsi="Times New Roman"/>
          <w:sz w:val="20"/>
        </w:rPr>
      </w:pPr>
      <w:r>
        <w:rPr>
          <w:rFonts w:ascii="Times New Roman" w:hAnsi="Times New Roman"/>
          <w:sz w:val="20"/>
        </w:rPr>
        <w:t xml:space="preserve">IF YOU ARE IN ANY DOUBT AS TO YOUR TAX POSITION, YOU SHOULD CONSULT YOUR PROFESSIONAL TAX ADVISER.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Rezolve </w:t>
      </w:r>
    </w:p>
    <w:p>
      <w:pPr>
        <w:pStyle w:val="TextBody"/>
        <w:bidi w:val="0"/>
        <w:spacing w:before="120" w:after="0"/>
        <w:jc w:val="left"/>
        <w:rPr>
          <w:rFonts w:ascii="Times New Roman" w:hAnsi="Times New Roman"/>
          <w:sz w:val="20"/>
        </w:rPr>
      </w:pPr>
      <w:r>
        <w:rPr>
          <w:rFonts w:ascii="Times New Roman" w:hAnsi="Times New Roman"/>
          <w:sz w:val="20"/>
        </w:rPr>
        <w:t xml:space="preserve">Rezolve is subject to UK corporation tax on its taxable profits and gains, as it is tax resident in the UK. The Business Combination will not give rise to any taxable profits or gains for Rezolve.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Disposals </w:t>
      </w:r>
    </w:p>
    <w:p>
      <w:pPr>
        <w:pStyle w:val="TextBody"/>
        <w:bidi w:val="0"/>
        <w:spacing w:before="120" w:after="0"/>
        <w:jc w:val="left"/>
        <w:rPr>
          <w:rFonts w:ascii="Times New Roman" w:hAnsi="Times New Roman"/>
          <w:sz w:val="20"/>
        </w:rPr>
      </w:pPr>
      <w:r>
        <w:rPr>
          <w:rFonts w:ascii="Times New Roman" w:hAnsi="Times New Roman"/>
          <w:sz w:val="20"/>
        </w:rPr>
        <w:t xml:space="preserve">Holders who are not resident in the UK will not generally be subject to UK taxation of capital gains on the disposal or deemed disposal of Rezolve Ordinary Shares or Rezolve Warrants unless they are carrying on a trade, profession or vocation in the UK through a branch or agency there (or, in the case of a company, they are carrying on a trade in the UK through a permanent establishment there) in connection with which the Rezolve Ordinary Shares or Rezolve Warrants are used, held or acquired. Non-UK tax resident holders may be subject to non-UK taxation on any gain under local law. </w:t>
      </w:r>
    </w:p>
    <w:p>
      <w:pPr>
        <w:pStyle w:val="TextBody"/>
        <w:bidi w:val="0"/>
        <w:spacing w:before="240" w:after="0"/>
        <w:jc w:val="left"/>
        <w:rPr>
          <w:rFonts w:ascii="Times New Roman" w:hAnsi="Times New Roman"/>
          <w:sz w:val="20"/>
        </w:rPr>
      </w:pPr>
      <w:r>
        <w:rPr>
          <w:rFonts w:ascii="Times New Roman" w:hAnsi="Times New Roman"/>
          <w:sz w:val="20"/>
        </w:rPr>
        <w:t xml:space="preserve">An individual holder who has been resident for tax purposes in the UK but who ceases to be so or becomes treated as resident outside the UK for the purposes of a double tax treaty for a period of five years or less and who disposes of all or part of his or her Rezolve Ordinary Shares or Rezolve Warrants during that period may be liable to capital gains tax on his or her return to the UK, subject to any available exemptions or reliefs.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Dividends </w:t>
      </w:r>
    </w:p>
    <w:p>
      <w:pPr>
        <w:pStyle w:val="TextBody"/>
        <w:bidi w:val="0"/>
        <w:spacing w:before="120" w:after="0"/>
        <w:jc w:val="left"/>
        <w:rPr>
          <w:rFonts w:ascii="Times New Roman" w:hAnsi="Times New Roman"/>
          <w:sz w:val="20"/>
        </w:rPr>
      </w:pPr>
      <w:r>
        <w:rPr>
          <w:rFonts w:ascii="Times New Roman" w:hAnsi="Times New Roman"/>
          <w:sz w:val="20"/>
        </w:rPr>
        <w:t xml:space="preserve">Rezolve is not required to withhold UK tax when paying a dividend. </w:t>
      </w:r>
    </w:p>
    <w:p>
      <w:pPr>
        <w:pStyle w:val="TextBody"/>
        <w:bidi w:val="0"/>
        <w:spacing w:before="240" w:after="0"/>
        <w:jc w:val="left"/>
        <w:rPr>
          <w:rFonts w:ascii="Times New Roman" w:hAnsi="Times New Roman"/>
          <w:sz w:val="20"/>
        </w:rPr>
      </w:pPr>
      <w:r>
        <w:rPr>
          <w:rFonts w:ascii="Times New Roman" w:hAnsi="Times New Roman"/>
          <w:sz w:val="20"/>
        </w:rPr>
        <w:t xml:space="preserve">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Rezolve Ordinary Shares are used by, or held by or for, that UK permanent establishment). Rezolve shareholders resident outside the UK should consult their own tax adviser concerning their tax position on dividends received from Rezolve.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Stamp Duty and Stamp Duty Reserve Tax (SDRT) </w:t>
      </w:r>
    </w:p>
    <w:p>
      <w:pPr>
        <w:pStyle w:val="TextBody"/>
        <w:bidi w:val="0"/>
        <w:spacing w:before="120" w:after="0"/>
        <w:jc w:val="left"/>
        <w:rPr>
          <w:rFonts w:ascii="Times New Roman" w:hAnsi="Times New Roman"/>
          <w:sz w:val="20"/>
        </w:rPr>
      </w:pPr>
      <w:r>
        <w:rPr>
          <w:rFonts w:ascii="Times New Roman" w:hAnsi="Times New Roman"/>
          <w:sz w:val="20"/>
        </w:rPr>
        <w:t xml:space="preserve">No UK stamp duty or UK SDRT should arise on the issue of Rezolve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An agreement to transfer Rezolve Ordinary Shares or Rezolve Warrants will normally give rise to a charge to UK SDRT at the rate of 0.5% of the amount or value of the consideration payable for the transfer. SDRT is, in general, payable by the purchaser. Instruments transferring Rezolve Ordinary Shares or Rezolve Warrants will generally be subject to UK stamp duty at the rate of 0.5% of the consideration given for the transfer (rounded up to the next £5). The purchaser normally pays the stamp duty. Any SDRT should be cancelled and any SDRT that has been paid should be repaid where an instrument of transfer has been executed in respect of the transfer of securities (and certain conditions are met). </w:t>
      </w:r>
    </w:p>
    <w:p>
      <w:pPr>
        <w:pStyle w:val="TextBody"/>
        <w:bidi w:val="0"/>
        <w:spacing w:before="240" w:after="0"/>
        <w:jc w:val="left"/>
        <w:rPr>
          <w:rFonts w:ascii="Times New Roman" w:hAnsi="Times New Roman"/>
          <w:sz w:val="20"/>
        </w:rPr>
      </w:pPr>
      <w:r>
        <w:rPr>
          <w:rFonts w:ascii="Times New Roman" w:hAnsi="Times New Roman"/>
          <w:sz w:val="20"/>
        </w:rPr>
        <w:t xml:space="preserve">The transfer of existing Rezolve Ordinary Shares or Rezolve Warrants to a depository trust company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Rezolve Ordinary Shares or Rezolve Warrants within the facilities of the DTC.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This section describes the material U.S. federal income tax considerations for beneficial owners of Armada Common Stock and Armada Warrants (collectively, the Armada securities) (i) electing to have their Armada Common Stock redeemed for cash if the Business Combination is completed, (ii) of the Business Combination and (iii) of the ownership and disposition of Rezolve AI Limited, a private limited company organized under the law of England and Wales (Rezolve) Ordinary Shares and Rezolve Warrants acquired pursuant to the Business Combination. This discussion applies only to Armada securities and Rezolve Ordinary Shares and Rezolve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and other investors that do not own their Armada securities, Rezolve Ordinary Shares or Rezolve Warrants as capital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use a mark-to-market method of accounting for their securities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qualified retirement plans, individual retirement accounts or other tax deferred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or other financial institutions, underwriters, insurance companies, 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or former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(directly, indirectly, or by attribution) 5% or more (by vote or value) of the Armada Common Stock or Rezolve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pass-through entities for U.S. federal income tax purposes, or beneficial owners of partnerships or other pass-through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Armada securities, Rezolve Ordinary Shares or Rezolve Warrants as part of a straddle, hedging or conversion transaction, constructive sale, or other arrangement involving more than one position;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required to accelerate the recognition of any item of gross income with respect to Armada securities, Rezolve Ordinary Shares or Rezolve Warrants as a result of such income being recognized on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received Armada securities, Rezolve Ordinary Shares or Rezolve Warrants as compensation for services;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or passive foreign investment companies.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its legislative history, existing and proposed Treasury regulations promulgated under the Code (the Treasury Regulations),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Armada securities, Rezolve Ordinary Shares or Rezolve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 IRS will not take positions concerning the tax consequences of the Business Combination that are different from those discussed below, or that any such different positions would not be sustained by a court. </w:t>
      </w:r>
    </w:p>
    <w:p>
      <w:pPr>
        <w:pStyle w:val="TextBody"/>
        <w:bidi w:val="0"/>
        <w:spacing w:before="240" w:after="0"/>
        <w:jc w:val="left"/>
        <w:rPr>
          <w:rFonts w:ascii="Times New Roman" w:hAnsi="Times New Roman"/>
          <w:sz w:val="20"/>
        </w:rPr>
      </w:pPr>
      <w:r>
        <w:rPr>
          <w:rFonts w:ascii="Times New Roman" w:hAnsi="Times New Roman"/>
          <w:sz w:val="20"/>
        </w:rPr>
        <w:t xml:space="preserve">Except as specifically provided, the discussion below applies only to U.S. holders. For purposes of this discussion, a U.S. holder means a beneficial owner of Armada securities, Rezolve Ordinary Shares or Rezolve Warrants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who are not U.S. holders should consult with their own tax advisors regarding the U.S. federal income tax consequences of exercising redemption rights, of the Business Combination, and of holding Rezolve Securities, including U.S. federal withholding tax that may be imposed on any amounts received on a redemption of Armada Common Stock that are characterized as dividends for U.S. federal income tax purposes and the consequences of holding Armada Securities or Rezolve Securities for non-U.S. holders who are engaged in a trade or business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ALL HOLDERS OF ARMADA SECURITIES SHOULD CONSULT WITH THEIR OWN TAX ADVISORS REGARDING THE TAX CONSEQUENCES TO THEM OF THE BUSINESS COMBINATION AND CONSIDERATIONS RELATING TO THE OWNERSHIP AND DISPOSITION OF REZOLVE ORDINARY SHARES AND REZOLVE WARRANTS, INCLUDING THE EFFECTS OF U.S. FEDERAL, STATE, AND LOCAL AND NON-U.S.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Federal Income Tax Treatment of Rezolve </w:t>
      </w:r>
    </w:p>
    <w:p>
      <w:pPr>
        <w:pStyle w:val="TextBody"/>
        <w:bidi w:val="0"/>
        <w:spacing w:before="120" w:after="0"/>
        <w:jc w:val="left"/>
        <w:rPr>
          <w:rFonts w:ascii="Times New Roman" w:hAnsi="Times New Roman"/>
          <w:sz w:val="20"/>
        </w:rPr>
      </w:pPr>
      <w:r>
        <w:rPr>
          <w:rFonts w:ascii="Times New Roman" w:hAnsi="Times New Roman"/>
          <w:sz w:val="20"/>
        </w:rPr>
        <w:t xml:space="preserve">A corporation is generally considered for U.S. federal income tax purposes to be a tax resident in the jurisdiction of its organization or incorporation. Accordingly, under the generally applicable U.S. federal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tax rules, Rezolve, which is organized under the laws of England and Wales,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 </w:t>
      </w:r>
    </w:p>
    <w:p>
      <w:pPr>
        <w:pStyle w:val="TextBody"/>
        <w:bidi w:val="0"/>
        <w:spacing w:before="240" w:after="0"/>
        <w:jc w:val="left"/>
        <w:rPr>
          <w:rFonts w:ascii="Times New Roman" w:hAnsi="Times New Roman"/>
          <w:sz w:val="20"/>
        </w:rPr>
      </w:pPr>
      <w:r>
        <w:rPr>
          <w:rFonts w:ascii="Times New Roman" w:hAnsi="Times New Roman"/>
          <w:sz w:val="20"/>
        </w:rPr>
        <w:t xml:space="preserve">Under Section 7874, a corporation created or organized outside the United States (i.e., a non-U.S. corporation) will nevertheless be treated as a U.S. corporation for U.S. federal income tax purposes (and, therefore, as a U.S. tax resident subject to U.S. federal income tax on its worldwide income) if each of the following three conditions is met: (i) the non-U.S. corporation, directly or indirectly, acquires substantially all of the properties held directly or indirectly by a U.S. corporation (including through the acquisition of all of the outstanding shares of the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former stockholders of the acquired U.S. corporation hold at least 80% (by either vote or value) of the shares of the non-U.S. acquiring corporation by reason of holding shares in the U.S. acquired corporation (taking into account the receipt of the non-U.S. corporations shares in exchange for the U.S. corporations shares) as determined for purposes of Section 7874 (this test is referred to as the 80% ownership test).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Section 7874, the first condition described above will be met with respect to the Business Combination because Rezolve will acquire indirectly all of the assets of Armada through the Business Combination, and it is unclear whether Rezolve, including its expanded affiliated group, is expected to satisfy the substantial business activities test upon consummation of the Business Combination. As a result, whether Section 7874 will apply to cause Rezolve to be treated as a U.S. corporation for U.S. federal income tax purposes following the Business Combination should depend on the satisfaction of the 80% ownership test.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terms of the Business Combination, the rules for determining share ownership under Section 7874 and the Treasury Regulations promulgated thereunder, and certain factual assumptions, Armada and Rezolve currently expect that the Section 7874 ownership percentage of the Armada stockholders in Rezolve should be less than 80%. Accordingly, Rezolve is not currently expected to be treated as a U.S. corporation for U.S. federal income tax purposes under Section 7874. However, whether the 80% ownership test has been satisfied must be finally determined after completion of the Business Combination, by which time there could be adverse changes to the relevant facts and circumstances or facts and circumstances of which Armada and Rezolve are not currently aware. Further, for purposes of determining the ownership percentage of former Armada stockholders for purposes of Section 7874, former Armada stockholders will be deemed to own an amount of Rezolve Ordinary Shares in respect to certain redemptions by Armada prior to the Business Combination. In addition, as discussed above, the rules for determining ownership under Section 7874 are complex, unclear and the subject of ongoing regulatory change. Accordingly, there can be no assurance that Rezolve will not be treated as a U.S. corporation for U.S. federal income tax purposes under Section 7874 of the Code. </w:t>
      </w:r>
    </w:p>
    <w:p>
      <w:pPr>
        <w:pStyle w:val="TextBody"/>
        <w:bidi w:val="0"/>
        <w:spacing w:before="240" w:after="0"/>
        <w:jc w:val="left"/>
        <w:rPr>
          <w:rFonts w:ascii="Times New Roman" w:hAnsi="Times New Roman"/>
          <w:sz w:val="20"/>
        </w:rPr>
      </w:pPr>
      <w:r>
        <w:rPr>
          <w:rFonts w:ascii="Times New Roman" w:hAnsi="Times New Roman"/>
          <w:sz w:val="20"/>
        </w:rPr>
        <w:t xml:space="preserve">If Rezolve were to be treated as a U.S. corporation for U.S. federal income tax purposes, it could be subject to substantial liability for additional U.S. income taxes, and the gross amount of any dividend payments to its non-U.S. holders could be subject to 30% U.S. withholding tax, depending on the application of any income tax treaty that might apply to reduce the 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The remainder of this discussion assumes that Rezolve will not be treated as a U.S. corporation for U.S. federal income tax purposes under Section 7874 of the Code. </w:t>
      </w:r>
    </w:p>
    <w:p>
      <w:pPr>
        <w:pStyle w:val="TextBody"/>
        <w:bidi w:val="0"/>
        <w:spacing w:before="240" w:after="0"/>
        <w:jc w:val="left"/>
        <w:rPr>
          <w:rFonts w:ascii="Times New Roman" w:hAnsi="Times New Roman"/>
          <w:sz w:val="20"/>
        </w:rPr>
      </w:pPr>
      <w:r>
        <w:rPr>
          <w:rFonts w:ascii="Times New Roman" w:hAnsi="Times New Roman"/>
          <w:sz w:val="20"/>
        </w:rPr>
        <w:t xml:space="preserve">Section 7874 contains an alternative set of rules that results in a non-U.S. corporation being treated as a surrogate foreign corporation and an acquired U.S. corporation being treated as an expatriated entity, if the first two conditions described above are met but former shareholders of the acquired U.S. corporation hold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least sixty percent (60%) but less than eighty percent (80%) (by vote or value) of the shares of the non-U.S. acquiror by reason of holding shares of the U.S. acquired corporation as determined for purposes of Section 7874 (this test is referred to as the 60% ownership test).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terms of the Business Combination, the rules for determining share ownership under Section 7874 and the Treasury Regulations promulgated thereunder, and certain factual assumptions, Armada and Rezolve currently expect that the Section 7874 ownership percentage of the Armada stockholders in Rezolve should be less than 60%. Accordingly, Rezolve is not currently expected to be treated as a surrogate foreign corporation and Armada is not expected to be treated as an expatriated entity under Section 7874. However, whether the 60% ownership test has been satisfied must be finally determined after completion of the Business Combination, by which time there could be adverse changes to the relevant facts and circumstances or facts and circumstances of which Armada and Rezolve are not currently aware. Further, as discussed above, for purposes of determining the ownership percentage of former Armada stockholders, former Armada stockholders will be deemed to own an amount of Rezolve Ordinary Shares in respect to certain redemptions by Armada prior to the Business Combination. In addition, as discussed above, the rules for determining ownership under Section 7874 are complex, unclear and the subject of ongoing regulatory change. Accordingly, there can be no assurance that Section 7874 ownership percentage of Armada stockholders in Rezolve will be less than 60%. </w:t>
      </w:r>
    </w:p>
    <w:p>
      <w:pPr>
        <w:pStyle w:val="TextBody"/>
        <w:bidi w:val="0"/>
        <w:spacing w:before="240" w:after="0"/>
        <w:jc w:val="left"/>
        <w:rPr>
          <w:rFonts w:ascii="Times New Roman" w:hAnsi="Times New Roman"/>
          <w:sz w:val="20"/>
        </w:rPr>
      </w:pPr>
      <w:r>
        <w:rPr>
          <w:rFonts w:ascii="Times New Roman" w:hAnsi="Times New Roman"/>
          <w:sz w:val="20"/>
        </w:rPr>
        <w:t xml:space="preserve">If Armada were treated as an expatriated entity, then certain items of its taxable income that constitute inversion gain (generally gain from the transfer of shares or other property that is not inventory and income from the license of property to related foreign persons) recognized during the ten year period following the inversion transaction would not be offset by its tax attributes, if any, including foreign tax credit or net operating loss carryforwards. Additionally, if Rezolve were treated as a surrogate foreign corporation, any dividends paid by Rezolve to U.S. holders who are individuals would not be eligible for the reduced rate of tax on qualified dividend income under Section 1(h)(11)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Business Combination </w:t>
      </w:r>
    </w:p>
    <w:p>
      <w:pPr>
        <w:pStyle w:val="TextBody"/>
        <w:bidi w:val="0"/>
        <w:spacing w:before="120" w:after="0"/>
        <w:jc w:val="left"/>
        <w:rPr>
          <w:rFonts w:ascii="Times New Roman" w:hAnsi="Times New Roman"/>
          <w:i/>
          <w:sz w:val="20"/>
        </w:rPr>
      </w:pPr>
      <w:r>
        <w:rPr>
          <w:rFonts w:ascii="Times New Roman" w:hAnsi="Times New Roman"/>
          <w:i/>
          <w:sz w:val="20"/>
        </w:rPr>
        <w:t xml:space="preserve">Qualification of the Business Combination as a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is intended to qualify as a reorganization under Section 368(a) of the Code (a Reorganization). In order for the Business Combination to so qualify, among other requirements, it is necessary that Rezolve either (i) continue Armadas historic business or (ii) use a significant portion of Armadas historic business assets in a business. There is no authority applying this test to the acquisition of a blank check company in a transaction comparable to the Business Combination. Consequently, it is unclear under applicable law whether Armadas operations and assets acquired in the Business Combination will qualify as a historic business or historic business assets for this purpose. If they do not so qualify, the Business Combination will not qualify as a Reorganization. Additionally, in order for the Business Combination to qualify as a Reorganization, it is necessary that a substantial part of the value of the proprietary interests in Armada be preserved in the Business Combination. It is unclear whether Redemption Rights will be exercised by Armada Public Shareholders to a degree that will prevent a substantial part of the value of the propriety interests in Armada from being preserved for this purpose. If it is not so preserved, then the Business Combination would not qualify as a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Neither Rezolve, Armada, nor any other party to the Business Combination Agreement makes any representations or provides any assurances regarding the tax treatment of the Business Combination, including whether the Business Combination qualifies as Reorganization, or any related transactions. Furthermore, because of the legal and factual uncertainties described above, no opinion of counsel has or will be provided regarding the qualification of the Business Combination as a Reorganization and neither Armada nor Rezolve intends to file the statement described in Treasury Regulation section 1.368-3(a), reporting the Business Combination as a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FOREGOING AND BECAUSE THE FOLLOWING DISCUSSION IS INTENDED AS A GENERAL SUMMARY ONLY, EACH HOLDER OF ARMADA SHARES OR WARRANTS IS URGED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CONSULT SUCH HOLDERS OWN TAX ADVISOR REGARDING THE TAX CONSEQUENCES OF THE BUSINESS COMBINATION AND OF HOLDING REZOLVE SHARES OR WARRANTS, INCLUDING STATE, LOCAL AND NON-U.S. TAX CONSEQUENCES, AND ANY TAX REPORTING REQUIREMENTS OF THE BUSINESS COMBINATION AND ANY RELATED TRANSACTIONS IN LIGHT OF SUCH HOLDERS OWN TAX SITUATION. </w:t>
      </w:r>
    </w:p>
    <w:p>
      <w:pPr>
        <w:pStyle w:val="TextBody"/>
        <w:bidi w:val="0"/>
        <w:spacing w:before="360" w:after="0"/>
        <w:jc w:val="left"/>
        <w:rPr>
          <w:rFonts w:ascii="Times New Roman" w:hAnsi="Times New Roman"/>
          <w:i/>
          <w:sz w:val="20"/>
        </w:rPr>
      </w:pPr>
      <w:r>
        <w:rPr>
          <w:rFonts w:ascii="Times New Roman" w:hAnsi="Times New Roman"/>
          <w:i/>
          <w:sz w:val="20"/>
        </w:rPr>
        <w:t xml:space="preserve">Consequences if the Business Combination Qualifies as a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If the Business Combination qualifies as a Reorganization, subject to the discussion regarding the application of Section 367 of the Code to the Business Combination below, the U.S. federal income tax consequences of the Business Combination would generally be as follows: (i) a U.S. Holder of Armada Shares who receives Rezolve Shares in exchange for his or her Armada Shares would not recognize gain or loss in respect of such exchange; (ii) a U.S. Holder of Armada warrants whose Armada warrants are assumed by Rezolve would not recognize gain or loss in respect of such assumptions; (iii) the aggregate tax basis of the Rezolve shares or warrants that are received in the Business Combination by each U.S. Holder would be equal to the aggregate tax basis of the Armada Shares or warrants surrendered in exchange for such Rezolve shares or warrants; and (iv) the holding period for the Rezolve shares or warrants received in the Business Combination would include the period during which the Armada Shares or warrants surrendered in exchange for such Rezolve shares or warrants were held, provided that such Rezolve share or warrants were held as capital assets at the time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for the reasons described below relating to Rezolves status as a foreign corporation and the application of Section 367 of the Code, even if the Business Combination qualifies as a Reorganization, the Business Combination could still be taxable for U.S. federal income tax purposes. Because Rezolve is a foreign corporation, the additional requirements of Section 367(a) of the Code described below must be satisfied in order for the Business Combination to be tax deferred for U.S. holders of Armada Common Stock or warrants. </w:t>
      </w:r>
    </w:p>
    <w:p>
      <w:pPr>
        <w:pStyle w:val="TextBody"/>
        <w:bidi w:val="0"/>
        <w:spacing w:before="360" w:after="0"/>
        <w:jc w:val="left"/>
        <w:rPr>
          <w:rFonts w:ascii="Times New Roman" w:hAnsi="Times New Roman"/>
          <w:i/>
          <w:sz w:val="20"/>
        </w:rPr>
      </w:pPr>
      <w:r>
        <w:rPr>
          <w:rFonts w:ascii="Times New Roman" w:hAnsi="Times New Roman"/>
          <w:i/>
          <w:sz w:val="20"/>
        </w:rPr>
        <w:t xml:space="preserve">Section 367(a) </w:t>
      </w:r>
    </w:p>
    <w:p>
      <w:pPr>
        <w:pStyle w:val="TextBody"/>
        <w:bidi w:val="0"/>
        <w:spacing w:before="120" w:after="0"/>
        <w:jc w:val="left"/>
        <w:rPr>
          <w:rFonts w:ascii="Times New Roman" w:hAnsi="Times New Roman"/>
          <w:sz w:val="20"/>
        </w:rPr>
      </w:pPr>
      <w:r>
        <w:rPr>
          <w:rFonts w:ascii="Times New Roman" w:hAnsi="Times New Roman"/>
          <w:sz w:val="20"/>
        </w:rPr>
        <w:t xml:space="preserve">Section 367(a) of the Code and the Treasury Regulations promulgated thereunder, in certain circumstances described below, impose additional requirements for a U.S. holder to qualify for tax-deferred treatment with respect to the exchange of Armada Common Stock and/or Armada Warrants in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367(a) of the Code generally requires a U.S. holder of stock or warrants in a U.S. corporation to recognize gain (but not loss) when such stock or warrants are exchanged for stock or warrants of a non-U.S. corporation in an exchange that would otherwise qualify for tax-deferred treatment (such as pursuant to a reorganization under Section 368 of the Code) and any of the following is true: (i) the U.S. corporation fails to comply with certain reporting requirements; (ii) U.S. holders of stock or warrants of the acquired U.S. corporation receive more than 50% (by vote or value) of the stock or warrants of the non-U.S. corporation; (iii) U.S. persons that are officers, directors, or 5% or greater shareholders of the acquired U.S. corporation own more than 50% (by vote or value) of the stock or warrants of the non-U.S. corporation immediately after the acquisition; (iv) such U.S. holder is a 5% (by vote or value) or greater shareholder of the acquired U.S. corporation and fails to enter into a 5-year gain recognition agreement with the IRS to recognize gain with respect to the acquired U.S. corporation stock or warrants exchanged in the acquisition; or (v) the U.S. and non-U.S. corporations (and other relevant parties) fail to meet the active trade or business test. For purposes of the foregoing ownership percentage thresholds, certain constructive ownership rules apply that may treat a holder as owning stock that person does not directly own. A holder of an acquired U.S. corporation is presumed to be a U.S. person unless that person signs an ownership statement certifying certain information, including its residency. The active trade or business test generally requires (A) that the non-U.S. corporation (and its qualified subsidiaries) be engaged in an active trade or business outside of the U.S. for the 36-month period immediately before the exchange and that neither the transferors nor the non-U.S. corporation has an intention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substantially dispose of or discontinue such trade or business, and (B) that the fair market value of the non-U.S. corporation be at least equal to the fair market value of the U.S. corporation, as specifically determined for purposes of Section 367 of the Code, as of the closing of the exchange (the substantiality test). For purposes of applying the substantiality test to the Business Combination, the fair market value of Armada generally will be deemed to include the value of any non-ordinary course distributions, as determined under applicable Treasury Regulations, made by Armada during the 36-month period ending on the closing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inherently factual nature of these tests under the applicable Treasury Regulations, and the fact that these tests are generally applied based on the relevant facts at the time of, and following, the completion of the Business Combination, counsel is unable to opine on the application of Section 367(a) of the Code to the exchange by a U.S. holder of Armada Common Stock and/or Armada Warrants in the Business Combination. Additionally, there can be no assurance that Armada will comply with the reporting requirements referenced above.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 U.S. holder of Armada Common Stock and/or Armada Warrants is required to recognize gain under Section 367(a) of the Code for any of the foregoing reasons, such U.S. holder generally would recognize gain, if any, (but not loss) in an amount equal to the excess of (i) the sum of the fair market value of the Rezolve Ordinary Shares received and/or Rezolve Warrants deemed received by such U.S. holder, over (ii) such U.S. holders adjusted tax basis in the Armada Common Stock exchanged and/or Armada Warrants deemed exchanged therefor. Any such gain would generally be capital gain and would be long-term capital gain if the U.S. holders holding period for the Armada Common Stock and/or Armada Warrants was more than one year at the time of the Business Combination. It is unclear whether the redemption rights with respect to the Armada Common Stock have suspended the applicable holding period for this purpose. The U.S. holders tax basis in the Rezolve Ordinary Shares and/or Public Warrants received in the exchange would be equal to the fair market value of such Rezolve Ordinary Shares and/or Public Warrants at the time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rules dealing with Section 367(a) of the Code discussed above are very complex and are affected by various factors in addition to those described above. Accordingly, you are strongly urged to consult your own tax advisor concerning the application of these rules to your exchange of Armada Common Stock and/or Armada Warrants under your particular circumstances, including, if you believe you may be a 5% or greater shareholder and the possibility of entering into a gain recognition agreement under applicable Treasury Regulations. </w:t>
      </w:r>
    </w:p>
    <w:p>
      <w:pPr>
        <w:pStyle w:val="TextBody"/>
        <w:bidi w:val="0"/>
        <w:spacing w:before="360" w:after="0"/>
        <w:jc w:val="left"/>
        <w:rPr>
          <w:rFonts w:ascii="Times New Roman" w:hAnsi="Times New Roman"/>
          <w:i/>
          <w:sz w:val="20"/>
        </w:rPr>
      </w:pPr>
      <w:r>
        <w:rPr>
          <w:rFonts w:ascii="Times New Roman" w:hAnsi="Times New Roman"/>
          <w:i/>
          <w:sz w:val="20"/>
        </w:rPr>
        <w:t xml:space="preserve">Consequences if the Business Combination Fails to Qualify as a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If the Business Combination fails to qualify as a Reorganization, U.S. Holders of Armada Shares or warrants would be treated as if they sold their Armada Shares or warrants in a fully taxable transaction. In such event, each U.S. Holder would recognize gain or loss with respect to the disposition of each of his or her Armada Shares or warrants or rights equal to the difference between (i) the U.S. Holders adjusted basis in each such shares or warrants and (ii) the fair market value of the Rezolve shares or warrants received in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Such gain or loss with respect to Armada Shares or warrants would be capital gain or loss. Capital gain or loss will be long-term capital gain or loss if the Armada Shares or warrants were held for more than one year. Long-term capital gains of noncorporate taxpayers are taxed at a preferential rate. Capital gain that is not long-term capital gain is taxed at ordinary income tax rates. It is unclear whether the redemption rights with respect to the Armada Common Stock have suspended the applicable holding period for this purpose. </w:t>
      </w:r>
    </w:p>
    <w:p>
      <w:pPr>
        <w:pStyle w:val="TextBody"/>
        <w:bidi w:val="0"/>
        <w:spacing w:before="240" w:after="0"/>
        <w:jc w:val="left"/>
        <w:rPr>
          <w:rFonts w:ascii="Times New Roman" w:hAnsi="Times New Roman"/>
          <w:sz w:val="20"/>
        </w:rPr>
      </w:pPr>
      <w:r>
        <w:rPr>
          <w:rFonts w:ascii="Times New Roman" w:hAnsi="Times New Roman"/>
          <w:sz w:val="20"/>
        </w:rPr>
        <w:t xml:space="preserve">Recognized loss would be treated as capital loss. For corporate U.S. Holders, capital losses can be deducted only to the extent of capital gains, and, for individual U.S. Holders, capital losses are similarly deductible up to the extent of capital gains, but may be further deductible up to a maximum of $3 thousand in any one taxable year. The amount and character of gain or loss would be computed separately for each block of Armada Shares or warrants that was purchased by the holder in the same transaction. For purposes of the foregoing, a block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Armada Shares or warrants generally consists of those shares of a particular class of securities of Armada that were acquired at the same time and at the same price. A U.S. Holders aggregate tax basis in the Rezolve shares or warrants so received would equal their fair market value, and a U.S. Holders holding period for such Rezolve shares or warrants would begin the day after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of Armada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a U.S. holder of Armada Common Stock exercises such holders right to have such holders Armada Common Stock redeemed pursuant to the redemption provisions described herein, the treatment of the transaction for U.S. federal income tax purposes will depend on whether the redemption qualifies as a sale of such stock pursuant to Section 302 of the Code or whether the U.S. holder will be treated as receiving a corporate distribution. Whether that redemption qualifies for sale treatment will depend largely on the total number of shares of Armada common stock treated as held by the U.S. holder (including any stock constructively owned by the U.S. holder as a result of, among other things, owning warrants) relative to all of shares of Armada Common Stock both before and after the redemption. The redemption of stock generally will be treated as a sale of the stock (rather than as a corporate distribution) if the redemption is substantially disproportionate with respect to the U.S. holder, results in a complete termination of the U.S. holders interest in Armada or is not essentially equivalent to a dividend with respect to the U.S. holder. These tests are explained more fully below.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any of the foregoing tests are satisfied, a U.S. holder takes into account not only stock actually owned by the U.S. holder, but also shares of Armada Common Stock that are constructively owned by such U.S. holder.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generally would include common stock that could be acquired pursuant to the exercise of the Armada Warrants. In order to meet the substantially disproportionate test, the percentage of Armadas outstanding voting stock actually and constructively owned by the U.S. holder immediately following the redemption of Armada Common Stock must, among other requirements, be less than 80% of the percentage of Armadas outstanding voting stock actually and constructively owned by the U.S. holder immediately before the redemption. There will be a complete termination of a U.S. holders interest if either all the shares of Armada Common Stock actually and constructively owned by the U.S. holder are redeemed or all the shares of Armada Common Stock actually owned by the U.S. holder are redeemed and the U.S. holder is eligible to waive, and effectively waives in accordance with specific rules, the attribution of stock owned by certain family members and the U.S. holder does not constructively own any other stock. The redemption of the Armada Common Stock will not be essentially equivalent to a dividend if a U.S. holders redemption results in a meaningful reduction of the U.S. holders proportionate interest in Armada. Whether the redemption will result in a meaningful reduction in a U.S. holders proportionate interest in Armada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redemption. </w:t>
      </w:r>
    </w:p>
    <w:p>
      <w:pPr>
        <w:pStyle w:val="TextBody"/>
        <w:bidi w:val="0"/>
        <w:spacing w:before="240" w:after="0"/>
        <w:jc w:val="left"/>
        <w:rPr>
          <w:rFonts w:ascii="Times New Roman" w:hAnsi="Times New Roman"/>
          <w:sz w:val="20"/>
        </w:rPr>
      </w:pPr>
      <w:r>
        <w:rPr>
          <w:rFonts w:ascii="Times New Roman" w:hAnsi="Times New Roman"/>
          <w:sz w:val="20"/>
        </w:rPr>
        <w:t xml:space="preserve">If the redemption qualifies as a sale of stock by the U.S. holder under Section 302 of the Code, the U.S. holder generally will be required to recognize gain or loss in an amount equal to the difference, if any, between the amount of cash received and the tax basis of the shares of Armada Common Stock redeemed. Such gain or loss should be treated as capital gain or loss if such shares were held as a capital asset on the date of the redemption. A U.S. holders tax basis in such holders shares of Armada Common Stock generally will equal the cost of such shares. A U.S. holder that purchased Armada Units would have been required to allocate the cost between the shares of Armada Common Stock and the Armada Warrants comprising the units based on their relative fair market values at the time of the purchase. </w:t>
      </w:r>
    </w:p>
    <w:p>
      <w:pPr>
        <w:pStyle w:val="TextBody"/>
        <w:bidi w:val="0"/>
        <w:spacing w:before="240" w:after="0"/>
        <w:jc w:val="left"/>
        <w:rPr>
          <w:rFonts w:ascii="Times New Roman" w:hAnsi="Times New Roman"/>
          <w:sz w:val="20"/>
        </w:rPr>
      </w:pPr>
      <w:r>
        <w:rPr>
          <w:rFonts w:ascii="Times New Roman" w:hAnsi="Times New Roman"/>
          <w:sz w:val="20"/>
        </w:rPr>
        <w:t xml:space="preserve">If the redemption does not qualify as a sale of stock under Section 302 of the Code, then the U.S. holder will be treated as receiving a corporate distribution. Such distribution generally will constitute a dividend for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federal income tax purposes to the extent paid from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such U.S. holders Armada Common Stock. Any remaining excess will be treated as gain realized on the sale or other disposition of the Armada Common Stock. Special rules apply to dividends received by U.S. holders that are taxable corporations. After the application of the foregoing rules, any remaining tax basis of the U.S. holder in the redeemed Armada Common Stock will be added to the U.S. holders adjusted tax basis in its remaining stock, or, to the basis of stock constructively owned by such holder if the stock actually owned by the holder is completely redeemed.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on Rezolve Ordinary Shares </w:t>
      </w:r>
    </w:p>
    <w:p>
      <w:pPr>
        <w:pStyle w:val="TextBody"/>
        <w:bidi w:val="0"/>
        <w:spacing w:before="120" w:after="0"/>
        <w:jc w:val="left"/>
        <w:rPr>
          <w:rFonts w:ascii="Times New Roman" w:hAnsi="Times New Roman"/>
          <w:sz w:val="20"/>
        </w:rPr>
      </w:pPr>
      <w:r>
        <w:rPr>
          <w:rFonts w:ascii="Times New Roman" w:hAnsi="Times New Roman"/>
          <w:sz w:val="20"/>
        </w:rPr>
        <w:t>Subject to the discussion under the section entitled </w:t>
      </w:r>
      <w:r>
        <w:rPr>
          <w:rFonts w:ascii="Times New Roman" w:hAnsi="Times New Roman"/>
          <w:i/>
          <w:sz w:val="20"/>
        </w:rPr>
        <w:t>Material Tax Considerations  Material U.S. Federal Income Tax Considerations</w:t>
      </w:r>
      <w:r>
        <w:rPr>
          <w:rFonts w:ascii="Times New Roman" w:hAnsi="Times New Roman"/>
          <w:sz w:val="20"/>
        </w:rPr>
        <w:t xml:space="preserve"> </w:t>
      </w:r>
      <w:r>
        <w:rPr>
          <w:rFonts w:ascii="Times New Roman" w:hAnsi="Times New Roman"/>
          <w:i/>
          <w:sz w:val="20"/>
        </w:rPr>
        <w:t> Passive Foreign Investment Company Rules</w:t>
      </w:r>
      <w:r>
        <w:rPr>
          <w:rFonts w:ascii="Times New Roman" w:hAnsi="Times New Roman"/>
          <w:sz w:val="20"/>
        </w:rPr>
        <w:t xml:space="preserve">, the gross amount of any distribution on Rezolve Ordinary Shares that is made out of Rezolves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Rezolve Ordinary Shares, and thereafter as capital gain recognized on a sale or exchange. </w:t>
      </w:r>
    </w:p>
    <w:p>
      <w:pPr>
        <w:pStyle w:val="TextBody"/>
        <w:bidi w:val="0"/>
        <w:spacing w:before="240" w:after="0"/>
        <w:jc w:val="left"/>
        <w:rPr>
          <w:rFonts w:ascii="Times New Roman" w:hAnsi="Times New Roman"/>
          <w:sz w:val="20"/>
        </w:rPr>
      </w:pPr>
      <w:r>
        <w:rPr>
          <w:rFonts w:ascii="Times New Roman" w:hAnsi="Times New Roman"/>
          <w:sz w:val="20"/>
        </w:rPr>
        <w:t>Subject to the discussion under the section entitled </w:t>
      </w:r>
      <w:r>
        <w:rPr>
          <w:rFonts w:ascii="Times New Roman" w:hAnsi="Times New Roman"/>
          <w:i/>
          <w:sz w:val="20"/>
        </w:rPr>
        <w:t>Material Tax Considerations  Material U.S. Federal Income Tax Considerations  Passive Foreign Investment Company Rules</w:t>
      </w:r>
      <w:r>
        <w:rPr>
          <w:rFonts w:ascii="Times New Roman" w:hAnsi="Times New Roman"/>
          <w:sz w:val="20"/>
        </w:rPr>
        <w:t>, 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Rezolve Ordinary Shares are expected to be) will be considered readily tradable on an established securities market in the United States. There can be no assurance that Rezolve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hAnsi="Times New Roman"/>
          <w:i/>
          <w:sz w:val="20"/>
        </w:rPr>
        <w:t>Material Tax Considerations  Material U.S. Federal Income Tax Considerations  Passive Foreign Investment Company Rules.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Rezolve Ordinary Shares will generally be treated as income from sources outside the United States and will generally constitute passive category income. The rules governing the U.S. foreign tax credit are complex. U.S.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should consult their own tax advisors regarding the availability of the U.S. foreign tax credit under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Redemption or Other Taxable Disposition of Rezolve Ordinary Shares and Rezolve Warrants </w:t>
      </w:r>
    </w:p>
    <w:p>
      <w:pPr>
        <w:pStyle w:val="TextBody"/>
        <w:bidi w:val="0"/>
        <w:spacing w:before="120" w:after="0"/>
        <w:jc w:val="left"/>
        <w:rPr>
          <w:rFonts w:ascii="Times New Roman" w:hAnsi="Times New Roman"/>
          <w:sz w:val="20"/>
        </w:rPr>
      </w:pPr>
      <w:r>
        <w:rPr>
          <w:rFonts w:ascii="Times New Roman" w:hAnsi="Times New Roman"/>
          <w:sz w:val="20"/>
        </w:rPr>
        <w:t>Subject to the discussion under the section entitled </w:t>
      </w:r>
      <w:r>
        <w:rPr>
          <w:rFonts w:ascii="Times New Roman" w:hAnsi="Times New Roman"/>
          <w:i/>
          <w:sz w:val="20"/>
        </w:rPr>
        <w:t>Material Tax Considerations  Material U.S. Federal Income Tax Considerations  Passive Foreign Investment Company Rules</w:t>
      </w:r>
      <w:r>
        <w:rPr>
          <w:rFonts w:ascii="Times New Roman" w:hAnsi="Times New Roman"/>
          <w:sz w:val="20"/>
        </w:rPr>
        <w:t xml:space="preserve">, a U.S. holder generally will recognize gain or loss on any sale, exchange, redemption or other taxable disposition of Rezolve Ordinary Shares or Rezolve Warrants in an amount equal to the difference between (i) the amount realized on the disposition and (ii) such U.S. holders adjusted tax basis in such shares and/or warrants. Any gain or loss recognized by a U.S. holder on a taxable disposition of Rezolve Ordinary Shares or Rezolve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Rezolve Ordinary Shares or Rezolve Warrants generally will be treated as U.S. source gain or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or Lapse of a Rezolve Warrant </w:t>
      </w:r>
    </w:p>
    <w:p>
      <w:pPr>
        <w:pStyle w:val="TextBody"/>
        <w:bidi w:val="0"/>
        <w:spacing w:before="120" w:after="0"/>
        <w:jc w:val="left"/>
        <w:rPr>
          <w:rFonts w:ascii="Times New Roman" w:hAnsi="Times New Roman"/>
          <w:sz w:val="20"/>
        </w:rPr>
      </w:pPr>
      <w:r>
        <w:rPr>
          <w:rFonts w:ascii="Times New Roman" w:hAnsi="Times New Roman"/>
          <w:sz w:val="20"/>
        </w:rPr>
        <w:t xml:space="preserve">Except as discussed below with respect to the cashless exercise of a Rezolve Warrant, a U.S. holder generally will not recognize gain or loss upon the acquisition of a Rezolve Ordinary Share on the exercise of a Rezolve Warrant for cash. A U.S. holders tax basis in a Rezolve Ordinary Shares received upon exercise of the Rezolve Warrant generally should be an amount equal to the sum of the U.S. holders tax basis in the Rezolve Warrant exchanged therefor and the exercise price. The U.S. holders holding period for a Rezolve Ordinary Share received upon exercise of the Rezolve Warrant will begin on the date following the date of exercise (or possibly the date of exercise) of the Rezolve Warrant and will not include the period during which the U.S. holder held the Rezolve Warrant. If a Rezolve Warrant is allowed to lapse unexercised, a U.S. holder generally will recognize a capital loss equal to such holders tax basis in the Rezolve Warrant. </w:t>
      </w:r>
    </w:p>
    <w:p>
      <w:pPr>
        <w:pStyle w:val="TextBody"/>
        <w:bidi w:val="0"/>
        <w:spacing w:before="240" w:after="0"/>
        <w:jc w:val="left"/>
        <w:rPr>
          <w:rFonts w:ascii="Times New Roman" w:hAnsi="Times New Roman"/>
          <w:sz w:val="20"/>
        </w:rPr>
      </w:pPr>
      <w:r>
        <w:rPr>
          <w:rFonts w:ascii="Times New Roman" w:hAnsi="Times New Roman"/>
          <w:sz w:val="20"/>
        </w:rPr>
        <w:t xml:space="preserve">The tax consequences of a cashless exercise of a Rezolve Warrant are not clear under current tax law. A cashless exercise may be tax-deferred, either because the exercise is not a gain realization event or because the exercise is treated as a recapitalization for U.S. federal income tax purposes. In either tax-deferred situation, a U.S. holders basis in the Rezolve Ordinary Shares received would equal the holders basis in the Rezolve Warrants exercised therefore. If the cashless exercise were treated as not being a gain realization event, a U.S. holders holding period in the Rezolve Ordinary Shares would be treated as commencing on the date following the date of exercise (or possibly the date of exercise) of the Rezolve Warrants. If the cashless exercise were treated as a recapitalization, the holding period of the Rezolve Ordinary Shares would include the holding period of the Rezolve Warrants exercised therefore. </w:t>
      </w:r>
    </w:p>
    <w:p>
      <w:pPr>
        <w:pStyle w:val="TextBody"/>
        <w:bidi w:val="0"/>
        <w:spacing w:before="240" w:after="0"/>
        <w:jc w:val="left"/>
        <w:rPr>
          <w:rFonts w:ascii="Times New Roman" w:hAnsi="Times New Roman"/>
          <w:sz w:val="20"/>
        </w:rPr>
      </w:pPr>
      <w:r>
        <w:rPr>
          <w:rFonts w:ascii="Times New Roman" w:hAnsi="Times New Roman"/>
          <w:sz w:val="20"/>
        </w:rPr>
        <w:t xml:space="preserve">It is also possible that a cashless exercise of a Rezolve Warrant could be treated in part as a taxable exchange in which gain or loss would be recognized. In such event, a U.S. holder would recognize gain or loss with respect to the portion of the exercised Rezolve Warrants treated as surrendered to pay the exercise price of the Rezolve Warrants (the surrendered warrants). The U.S. holder would recognize capital gain or loss with respect to the surrendered warrants in an amount generally equal to the difference between (i) the fair market value of the Rezolve Ordinary Shares that would have been received with respect to the surrendered warrants in a regular exercise of the Rezolve Warrants and (ii) the sum of the U.S. holders tax basis in the surrendered warrants and the aggregate cash exercise price of such warrants (if they had been exercised in a regular exercise). In this case, a U.S. holders tax basis in the Rezolve Ordinary Shares received would equal the U.S. holders tax basis in the Rezolve Warrants exercised plus (or minus) the gain (or loss) recognized with respect to the surrendered warrants. A U.S. holders holding period for the Rezolve Ordinary Shares would commence on the date following the date of exercise (or possibly the date of exercise) of the Rezolve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the absence of authority on the U.S. federal income tax treatment of a cashless exercise of warrants, there can be no assurance which, if any, of the alternative tax consequences and holding periods described above would be adopted by the IRS or a court of law. Accordingly, U.S. holders should consult their own tax advisors regarding the tax consequences of a cashless exercise of Rezolve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Possible Constructive Distributions </w:t>
      </w:r>
    </w:p>
    <w:p>
      <w:pPr>
        <w:pStyle w:val="TextBody"/>
        <w:bidi w:val="0"/>
        <w:spacing w:before="120" w:after="0"/>
        <w:jc w:val="left"/>
        <w:rPr>
          <w:rFonts w:ascii="Times New Roman" w:hAnsi="Times New Roman"/>
          <w:sz w:val="20"/>
        </w:rPr>
      </w:pPr>
      <w:r>
        <w:rPr>
          <w:rFonts w:ascii="Times New Roman" w:hAnsi="Times New Roman"/>
          <w:sz w:val="20"/>
        </w:rPr>
        <w:t>The terms of each Rezolve Warrant provide for an adjustment to the number of Rezolve Ordinary Shares for which the Rezolve Warrant may be exercised or to the exercise price of the Rezolve Warrant in certain events, as discussed in the section entitled </w:t>
      </w:r>
      <w:r>
        <w:rPr>
          <w:rFonts w:ascii="Times New Roman" w:hAnsi="Times New Roman"/>
          <w:i/>
          <w:sz w:val="20"/>
        </w:rPr>
        <w:t>Description of Rezolve Securities</w:t>
      </w:r>
      <w:r>
        <w:rPr>
          <w:rFonts w:ascii="Times New Roman" w:hAnsi="Times New Roman"/>
          <w:sz w:val="20"/>
        </w:rPr>
        <w:t>. An adjustment which has the effect of preventing dilution generally is not taxable. A U.S. holder of a Rezolve Warrant would, however, be treated as receiving a constructive distribution from Rezolve if, for example, the adjustment increases the holders proportionate interest in Rezolves assets or earnings and profits (e.g., through an increase in the number of Rezolve Ordinary Shares that would be obtained upon exercise of such warrant) as a result of a distribution of cash to the holders of the Rezolve Ordinary Shares which is taxable to the U.S. holders of such shares as described under the section entitled </w:t>
      </w:r>
      <w:r>
        <w:rPr>
          <w:rFonts w:ascii="Times New Roman" w:hAnsi="Times New Roman"/>
          <w:i/>
          <w:sz w:val="20"/>
        </w:rPr>
        <w:t>Material Tax Considerations  Material U.S. Federal Income Tax Considerations Distributions on Rezolve Ordinary Shares.</w:t>
      </w:r>
      <w:r>
        <w:rPr>
          <w:rFonts w:ascii="Times New Roman" w:hAnsi="Times New Roman"/>
          <w:sz w:val="20"/>
        </w:rPr>
        <w:t xml:space="preserve"> Such constructive distribution would be subject to tax as described under that section in the same 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i/>
          <w:sz w:val="20"/>
        </w:rPr>
        <w:t>Generally.</w:t>
      </w:r>
      <w:r>
        <w:rPr>
          <w:rFonts w:ascii="Times New Roman" w:hAnsi="Times New Roman"/>
          <w:sz w:val="20"/>
        </w:rPr>
        <w:t xml:space="preserve"> The treatment of U.S. holders of the Rezolve Ordinary Shares could be materially different from that described above if Rezolve is treated as a passive 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 </w:t>
      </w:r>
    </w:p>
    <w:p>
      <w:pPr>
        <w:pStyle w:val="TextBody"/>
        <w:bidi w:val="0"/>
        <w:spacing w:before="240" w:after="0"/>
        <w:jc w:val="left"/>
        <w:rPr>
          <w:rFonts w:ascii="Times New Roman" w:hAnsi="Times New Roman"/>
          <w:sz w:val="20"/>
        </w:rPr>
      </w:pPr>
      <w:r>
        <w:rPr>
          <w:rFonts w:ascii="Times New Roman" w:hAnsi="Times New Roman"/>
          <w:sz w:val="20"/>
        </w:rPr>
        <w:t xml:space="preserve">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Rezolve Ordinary Shares, and (b) the composition of the assets and income of Rezolve. Further, because Rezolve may value its goodwill based on the market value of the Rezolve Ordinary Shares, a decrease in the market value of the Rezolve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 be provided that Rezolve will not be a PFIC for the taxable year that includes the date of the Business Combination or in a future year. </w:t>
      </w:r>
    </w:p>
    <w:p>
      <w:pPr>
        <w:pStyle w:val="TextBody"/>
        <w:bidi w:val="0"/>
        <w:spacing w:before="240" w:after="0"/>
        <w:jc w:val="left"/>
        <w:rPr>
          <w:rFonts w:ascii="Times New Roman" w:hAnsi="Times New Roman"/>
          <w:sz w:val="20"/>
        </w:rPr>
      </w:pPr>
      <w:r>
        <w:rPr>
          <w:rFonts w:ascii="Times New Roman" w:hAnsi="Times New Roman"/>
          <w:sz w:val="20"/>
        </w:rPr>
        <w:t xml:space="preserve">If Rezolve is or becomes a PFIC during any year in which a U.S. holder holds Rezolve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 </w:t>
      </w:r>
    </w:p>
    <w:p>
      <w:pPr>
        <w:pStyle w:val="TextBody"/>
        <w:bidi w:val="0"/>
        <w:spacing w:before="240" w:after="0"/>
        <w:jc w:val="left"/>
        <w:rPr>
          <w:rFonts w:ascii="Times New Roman" w:hAnsi="Times New Roman"/>
          <w:sz w:val="20"/>
        </w:rPr>
      </w:pPr>
      <w:r>
        <w:rPr>
          <w:rFonts w:ascii="Times New Roman" w:hAnsi="Times New Roman"/>
          <w:i/>
          <w:sz w:val="20"/>
        </w:rPr>
        <w:t>Excess Distribution Regime.</w:t>
      </w:r>
      <w:r>
        <w:rPr>
          <w:rFonts w:ascii="Times New Roman" w:hAnsi="Times New Roman"/>
          <w:sz w:val="20"/>
        </w:rPr>
        <w:t xml:space="preserve"> If a U.S. holder does not make a mark-to-market election, as described below, the U.S. holder will be subject to the default excess distribution regime under the PFIC rules with respect to (i) any gain realized on a sale or other disposition (including a pledge) of Rezolve Ordinary Shares, and (ii) any excess distribution received on Rezolve Ordinary Shares (generally, any distributions in excess of 125% of the average of the annual distributions on Rezolve Ordinary Shares during the preceding three years or the U.S. holders holding period, whichever is shorter). Generally, under this excess distribution regime: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or excess distribution will be allocated ratably over the period during which the U.S. holder held Rezolve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the current taxable year, will be treated as ordinary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prior taxable years will be subject to the highest tax rate in effect for that taxable year and the interest charge generally applicable to underpayments of tax will be imposed on the resulting tax attributable to each such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tax liability for amounts allocated to years prior to the year of disposition or excess distribution will be payable generally without regard to offsets from deductions, losses and expenses. In addition, gains (but not losses) realized on the sale of Rezolve Ordinary Shares cannot be treated as capital gains, even if you hold the shares as capital assets. Further, no portion of any distribution will be treated as QDI. </w:t>
      </w:r>
    </w:p>
    <w:p>
      <w:pPr>
        <w:pStyle w:val="TextBody"/>
        <w:bidi w:val="0"/>
        <w:spacing w:before="240" w:after="0"/>
        <w:jc w:val="left"/>
        <w:rPr>
          <w:rFonts w:ascii="Times New Roman" w:hAnsi="Times New Roman"/>
          <w:sz w:val="20"/>
        </w:rPr>
      </w:pPr>
      <w:r>
        <w:rPr>
          <w:rFonts w:ascii="Times New Roman" w:hAnsi="Times New Roman"/>
          <w:i/>
          <w:sz w:val="20"/>
        </w:rPr>
        <w:t>Mark-to-Market Regime.</w:t>
      </w:r>
      <w:r>
        <w:rPr>
          <w:rFonts w:ascii="Times New Roman" w:hAnsi="Times New Roman"/>
          <w:sz w:val="20"/>
        </w:rPr>
        <w:t xml:space="preserve"> Alternatively, a U.S. holder may make an election to mark marketable shares in a PFIC to market on an annual basis. PFIC 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Rezolve Ordinary Shares, which are expected to be listed on Nasdaq, will qualify as marketable shares for the PFIC rules purposes, but there can be no assurance that Rezolve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Rezolve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Rezolve Warrants will not be able to make a mark-to-market election with respect to their Rezolve Warrants. </w:t>
      </w:r>
    </w:p>
    <w:p>
      <w:pPr>
        <w:pStyle w:val="TextBody"/>
        <w:bidi w:val="0"/>
        <w:spacing w:before="240" w:after="0"/>
        <w:jc w:val="left"/>
        <w:rPr>
          <w:rFonts w:ascii="Times New Roman" w:hAnsi="Times New Roman"/>
          <w:sz w:val="20"/>
        </w:rPr>
      </w:pPr>
      <w:r>
        <w:rPr>
          <w:rFonts w:ascii="Times New Roman" w:hAnsi="Times New Roman"/>
          <w:i/>
          <w:sz w:val="20"/>
        </w:rPr>
        <w:t>QEF Regime.</w:t>
      </w:r>
      <w:r>
        <w:rPr>
          <w:rFonts w:ascii="Times New Roman" w:hAnsi="Times New Roman"/>
          <w:sz w:val="20"/>
        </w:rPr>
        <w:t xml:space="preserve"> Alternatively, a U.S. holder of a PFIC may avoid the adverse PFIC tax consequences described above in respect of stock of the PFIC (but not warrants) by making and maintaining a timely and valid qualified electing fund (QEF)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 </w:t>
      </w:r>
    </w:p>
    <w:p>
      <w:pPr>
        <w:pStyle w:val="TextBody"/>
        <w:bidi w:val="0"/>
        <w:spacing w:before="240" w:after="0"/>
        <w:jc w:val="left"/>
        <w:rPr>
          <w:rFonts w:ascii="Times New Roman" w:hAnsi="Times New Roman"/>
          <w:sz w:val="20"/>
        </w:rPr>
      </w:pPr>
      <w:r>
        <w:rPr>
          <w:rFonts w:ascii="Times New Roman" w:hAnsi="Times New Roman"/>
          <w:i/>
          <w:sz w:val="20"/>
        </w:rPr>
        <w:t>PFIC Reporting Requirements.</w:t>
      </w:r>
      <w:r>
        <w:rPr>
          <w:rFonts w:ascii="Times New Roman" w:hAnsi="Times New Roman"/>
          <w:sz w:val="20"/>
        </w:rPr>
        <w:t xml:space="preserve"> A U.S. holder of Rezolve Ordinary Shares will be required to file an annual report on IRS Form 8621 containing such 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Reporting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Certain U.S. holders holding specified foreign financial assets with an aggregate value in excess of the applicable dollar thresholds are required to report information to the IRS relating to Rezolve Ordinary Shares, subject to certain exceptions (including an exception for Rezolve Ordinary Shares held in accounts maintained by U.S. financial institutions), by attaching a complete IRS Form 8938 to their tax return, for each year in which they hold Rezolve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Rezolve Ordinary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requirements may apply to cash received in redemption of Armada Common Stock, dividends received by U.S. holders of Rezolve Ordinary Shares, and the proceeds received on the disposition of Rezolve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Armada Common Stock and Rezolve Ordinary Shares and proceeds from the sale, exchange, redemption or other disposition of Rezolve Ordinary Shares may be subject to information reporting to the IRS and possible U.S. backup withholding. U.S. holders should consult their own tax advisors regarding the application of the U.S. information reporting and backup withholding rules. </w:t>
      </w:r>
    </w:p>
    <w:p>
      <w:pPr>
        <w:pStyle w:val="TextBody"/>
        <w:bidi w:val="0"/>
        <w:spacing w:before="240" w:after="0"/>
        <w:jc w:val="left"/>
        <w:rPr>
          <w:rFonts w:ascii="Times New Roman" w:hAnsi="Times New Roman"/>
          <w:sz w:val="20"/>
        </w:rPr>
      </w:pPr>
      <w:r>
        <w:rPr>
          <w:rFonts w:ascii="Times New Roman" w:hAnsi="Times New Roman"/>
          <w:sz w:val="20"/>
        </w:rPr>
        <w:t xml:space="preserve">Information returns may be filed with the IRS in connection with, and non-U.S. holders may be subject to backup withholding on amounts received in respect of their Armada Common Stock, Armada Warrants or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Rezolve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Rezolve Ordinary Shares and proceeds from the sale of other disposition of Rezolve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x309194_17"/>
      <w:bookmarkEnd w:id="19"/>
      <w:r>
        <w:rPr>
          <w:rFonts w:ascii="Times New Roman" w:hAnsi="Times New Roman"/>
          <w:b/>
          <w:sz w:val="20"/>
        </w:rPr>
        <w:t xml:space="preserve">THE NASDAQ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Assuming the Business Combination Proposal is approved, the consideration to be paid to the Armada Stockholders will consist of, assuming minimum redemptions by Armadas public stockholders, approximately                 million Rezolve Ordinary Shares to be issued by Rezolve, as set forth in and pursuant to the terms of the Business Combination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Rezolve Limited has issued an aggregate of $31,125,000 Convertible Loan Notes which will increase to $39,625,000 Convertible Loan Notes upon completion of the Pre-Closing Demerger, which can convert into ordinary shares in Rezolve Limited (or after the Pre-Closing Demerger, Rezolve Ordinary Shares) at a conversion price equal to 70% of the lesser of (1) the price per share implied in connection with an initial public offering or a business combination with a publicly-listed company and (2) the annual volume-weighted average share price of Rezolve Limited (or after the Pre-Closing Demerger, Rezolve) on the last calendar day of each calendar year ending after the date of an initial public offering or a business combination with a publicly-listed company and prior to the maturity date. </w:t>
      </w:r>
    </w:p>
    <w:p>
      <w:pPr>
        <w:pStyle w:val="TextBody"/>
        <w:bidi w:val="0"/>
        <w:spacing w:before="240" w:after="0"/>
        <w:jc w:val="left"/>
        <w:rPr>
          <w:rFonts w:ascii="Times New Roman" w:hAnsi="Times New Roman"/>
          <w:sz w:val="20"/>
        </w:rPr>
      </w:pPr>
      <w:r>
        <w:rPr>
          <w:rFonts w:ascii="Times New Roman" w:hAnsi="Times New Roman"/>
          <w:sz w:val="20"/>
        </w:rPr>
        <w:t>As contemplated by the Incentive Equity Plan Proposal, we intend to reserve                  Rezolve Ordinary Shares for grants of awards under the Rezolve Incentive Equity Plan, which is equal to 10% of the fully diluted and issued equity securities post-Closing less any amount issued or reserved for issuance pursuant to any Other Arrangements. For more information on the Incentive Equity Plan Proposal, see </w:t>
      </w:r>
      <w:r>
        <w:rPr>
          <w:rFonts w:ascii="Times New Roman" w:hAnsi="Times New Roman"/>
          <w:i/>
          <w:sz w:val="20"/>
        </w:rPr>
        <w:t>Proposal No. 3The Incentive Equity Plan Proposal</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Why Armada Needs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We are seeking stockholder approval in order to comply with Nasdaq Listing Rule 5635. </w:t>
      </w:r>
    </w:p>
    <w:p>
      <w:pPr>
        <w:pStyle w:val="TextBody"/>
        <w:bidi w:val="0"/>
        <w:spacing w:before="240" w:after="0"/>
        <w:jc w:val="left"/>
        <w:rPr>
          <w:rFonts w:ascii="Times New Roman" w:hAnsi="Times New Roman"/>
          <w:sz w:val="20"/>
        </w:rPr>
      </w:pPr>
      <w:r>
        <w:rPr>
          <w:rFonts w:ascii="Times New Roman" w:hAnsi="Times New Roman"/>
          <w:sz w:val="20"/>
        </w:rPr>
        <w:t xml:space="preserve">Under Nasdaq Listing Rule 5635, stockholder approval is required prior to the issuance of shares of common stock in certain circumstances, including in connection with: (i) the acquisition of the stock or assets of another company; (ii) a change of control; and (iii) transactions other than public offerings. Under Nasdaq Listing Rule 5635, stockholder approval is required prior to the issuance of shares of common stock in certain circumstances, including if the issuance of Rezolve Ordinary Shares to be issued will result in a change of control of Armada. The maximum aggregate number of shares of common stock issuable as consideration to be paid to Armadas stockholders pursuant to the Business Combination Agreement, as well as upon conversion of the Convertible Notes represents greater than 20% of the number of shares of common stock before such issuance and results in a change of control of Armada. As a result, stockholder approval of the issuance of shares of common stock is required under the Nasdaq regulations. </w:t>
      </w:r>
    </w:p>
    <w:p>
      <w:pPr>
        <w:pStyle w:val="TextBody"/>
        <w:bidi w:val="0"/>
        <w:spacing w:before="240" w:after="0"/>
        <w:jc w:val="left"/>
        <w:rPr>
          <w:rFonts w:ascii="Times New Roman" w:hAnsi="Times New Roman"/>
          <w:b/>
          <w:sz w:val="20"/>
        </w:rPr>
      </w:pPr>
      <w:r>
        <w:rPr>
          <w:rFonts w:ascii="Times New Roman" w:hAnsi="Times New Roman"/>
          <w:b/>
          <w:sz w:val="20"/>
        </w:rPr>
        <w:t xml:space="preserve">THE ARMADA BOARD OF DIRECTORS UNANIMOUSLY RECOMMENDS THAT ARMADA SHAREHOLDERS VOTE FOR THE APPROVAL OF THE NASDAQ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bidi w:val="0"/>
        <w:spacing w:before="120" w:after="0"/>
        <w:jc w:val="left"/>
        <w:rPr>
          <w:rFonts w:ascii="Times New Roman" w:hAnsi="Times New Roman"/>
          <w:sz w:val="20"/>
        </w:rPr>
      </w:pPr>
      <w:r>
        <w:rPr>
          <w:rFonts w:ascii="Times New Roman" w:hAnsi="Times New Roman"/>
          <w:sz w:val="20"/>
        </w:rPr>
        <w:t xml:space="preserve">The full text of the resolution to be passed is as follows: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an Ordinary Resolution, that for the purposes of complying with the applicable provisions of the Nasdaq Listing Rule 5635, the issuance of Rezolves Ordinary Shares in connection with the Business Combination and Rezolves Ordinary Shares in connection with the conversion of the Convertible Notes be approved.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and Recommendation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If the Business Combination Proposal is not approved, the Nasdaq Proposal will not be presented at the Special Meeting. The approval of the Nasdaq Proposal requires the majority of the votes cast by the stockholders present in person (which would include presence at a virtual meeting) or represented by proxy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Failure to vote by proxy or to vote in person (which would include presence at a virtual meeting) at the Special Meeting, abstentions and broker non-votes will have no effect on the Nasdaq Proposal.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is conditioned upon the approval of the Nasdaq Proposal, subject to the terms of the Business Combination Agreement. Notwithstanding the approval of the Nasdaq Proposal, if the Business Combination is not consummated for any reason, the actions contemplated by the Nasdaq Proposal will not be effected. </w:t>
      </w:r>
    </w:p>
    <w:p>
      <w:pPr>
        <w:pStyle w:val="TextBody"/>
        <w:bidi w:val="0"/>
        <w:spacing w:before="240" w:after="0"/>
        <w:jc w:val="left"/>
        <w:rPr>
          <w:rFonts w:ascii="Times New Roman" w:hAnsi="Times New Roman"/>
          <w:sz w:val="20"/>
        </w:rPr>
      </w:pPr>
      <w:r>
        <w:rPr>
          <w:rFonts w:ascii="Times New Roman" w:hAnsi="Times New Roman"/>
          <w:sz w:val="20"/>
        </w:rPr>
        <w:t>The Sponsor and Armadas directors and officers have agreed to vote the Founder Shares and any Armada public shares owned by them in favor of Nasdaq Proposal. See </w:t>
      </w:r>
      <w:r>
        <w:rPr>
          <w:rFonts w:ascii="Times New Roman" w:hAnsi="Times New Roman"/>
          <w:i/>
          <w:sz w:val="20"/>
        </w:rPr>
        <w:t>Proposal No.1The Business Combination ProposalAncillary Agreements</w:t>
      </w:r>
      <w:r>
        <w:rPr>
          <w:rFonts w:ascii="Times New Roman" w:hAnsi="Times New Roman"/>
          <w:sz w:val="20"/>
        </w:rPr>
        <w:t xml:space="preserve"> for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THE ARMADA BOARD OF DIRECTORS UNANIMOUSLY RECOMMENDS THAT ARMADA STOCKHOLDERS VOTE FOR THE APPROVAL OF THE NASDAQ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x309194_18"/>
      <w:bookmarkEnd w:id="20"/>
      <w:r>
        <w:rPr>
          <w:rFonts w:ascii="Times New Roman" w:hAnsi="Times New Roman"/>
          <w:b/>
          <w:sz w:val="20"/>
        </w:rPr>
        <w:t xml:space="preserve">THE INCENTIVE EQUITY PLAN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b/>
          <w:sz w:val="20"/>
        </w:rPr>
        <w:t>The Incentive Equity Plan Proposal </w:t>
      </w:r>
      <w:r>
        <w:rPr>
          <w:rFonts w:ascii="Times New Roman" w:hAnsi="Times New Roman"/>
          <w:sz w:val="20"/>
        </w:rPr>
        <w:t xml:space="preserve"> Armada is asking its shareholders to approve the Rezolve Long Term Incentive Plan (the Main LTIP), including Annex 1 to the LTIP (the Non-Employee LTIP) (Rezolve Incentive Equity Plan). If the Rezolve Incentive Equity Plan, which will also be approved by Rezolve, is approved by our stockholders, the Rezolve Incentive Equity Plan will become effective on or prior to Closing. If the Rezolve Incentive Equity Plan is not approved by our stockholders, it will not become effective and no stock awards will be granted thereunder. The Rezolve Incentive Equity Plan is described in more detail below. This summary is qualified in its entirety by reference to the complete text of the Rezolve Incentive Equity Plan, a copy of which is attached to this proxy statement/prospectus as Annex                . </w:t>
      </w:r>
    </w:p>
    <w:p>
      <w:pPr>
        <w:pStyle w:val="TextBody"/>
        <w:bidi w:val="0"/>
        <w:spacing w:before="360" w:after="0"/>
        <w:jc w:val="left"/>
        <w:rPr>
          <w:rFonts w:ascii="Times New Roman" w:hAnsi="Times New Roman"/>
          <w:b/>
          <w:sz w:val="20"/>
        </w:rPr>
      </w:pPr>
      <w:r>
        <w:rPr>
          <w:rFonts w:ascii="Times New Roman" w:hAnsi="Times New Roman"/>
          <w:b/>
          <w:sz w:val="20"/>
        </w:rPr>
        <w:t xml:space="preserve">Reasons to Approve the Rezolve Incentive Equity Plan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Rezolve Incentive Equity Plan is to enhance our ability to attract, retain and incentivize employees, independent contractors and directors and promote the success of our business. We consider equity compensation to be a vital element of our compensation program and believe that the ability to grant stock-based awards at competitive levels is in the best interest of us and our shareholders. Our board of directors believes the Rezolve Incentive Equity Plan is critical in enabling us to grant stock awards as an incentive and retention tool as we continue to compete for talent.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Rezolve Incentive Equity Plan by our stockholders is required, among other things, to comply with stock exchange rules requiring shareholder approval of equity compensation plans and allow the grant of incentive stock options under the Rezolve Incentive Equity Plan.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Rezolve Incentive Equity Plan </w:t>
      </w:r>
    </w:p>
    <w:p>
      <w:pPr>
        <w:pStyle w:val="TextBody"/>
        <w:bidi w:val="0"/>
        <w:spacing w:before="120" w:after="0"/>
        <w:jc w:val="left"/>
        <w:rPr>
          <w:rFonts w:ascii="Times New Roman" w:hAnsi="Times New Roman"/>
          <w:sz w:val="20"/>
        </w:rPr>
      </w:pPr>
      <w:r>
        <w:rPr>
          <w:rFonts w:ascii="Times New Roman" w:hAnsi="Times New Roman"/>
          <w:sz w:val="20"/>
        </w:rPr>
        <w:t xml:space="preserve">The Rezolve Incentive Equity Plan, which will be adopted and become effective on or prior to Closing, allows for the grant of equity-based incentive awards in respect of our Ordinary Shares to employees, and, under the Annex of the relevant Rezolve Incentive Equity Plan, to directors, officers and consultants. The material terms of the Rezolve Incentive Equity Plan are summarized below. Save where specified below, the material terms of the Non-Employee LTIP are substantively similar to the material terms of the Main LTIP.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Eligibility and 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Main LTIP provides for the grant of restricted share units, deferred share units, or incentive share units to employees of Rezolve and its subsidiaries; and the Non-Employee LTIP provides for the grant of options, restricted share units, deferred share units, or incentive share units to non-employee directors, officers, or consultants of Rezolve and its subsidiaries (the holder of an award is referred to here as a participant). The Rezolve Incentive Equity Plan will be administered by the Rezolve board of directors, which may delegate its duties and responsibilities to one or more committees of the directors of Rezolve (referred to collectively as the plan administrator below). In addition, in 2023, the right to grant and determine who shall be granted one half of the awards has been delegated to Daniel Wagner for the whole of 2023. </w:t>
      </w:r>
    </w:p>
    <w:p>
      <w:pPr>
        <w:pStyle w:val="TextBody"/>
        <w:bidi w:val="0"/>
        <w:spacing w:before="240" w:after="0"/>
        <w:jc w:val="left"/>
        <w:rPr>
          <w:rFonts w:ascii="Times New Roman" w:hAnsi="Times New Roman"/>
          <w:sz w:val="20"/>
        </w:rPr>
      </w:pPr>
      <w:r>
        <w:rPr>
          <w:rFonts w:ascii="Times New Roman" w:hAnsi="Times New Roman"/>
          <w:sz w:val="20"/>
        </w:rPr>
        <w:t xml:space="preserve">The plan administrator will have the authority to take all actions and make all determinations under the Rezolve Incentive Equity Plan, to interpret the Rezolve Incentive Equity Plan and award agreements and to adopt, amend and repeal rules for the administration of the Rezolve Incentive Equity Plan as it deems advisable. The plan administrator will also have the authority to grant awards (provided that the chairman of Rezolve must be consulted), determine which eligible service providers receive awards and set the terms and conditions of all awards under the Rezolve Incentive Equity Plan, including any vesting and vesting acceleration provisions, subject to the conditions and limitations in the Rezolve Incentive Equity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Shares available for award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adjustment provisions contained in the Rezolve Incentive Equity Plan, the maximum aggregate number of Ordinary Shares that may be issued (whether from treasury or by subscription) pursuant to awards under the Rezolve Incentive Equity Plan (and any sub-plan thereto, including the Non-Employee LTIP) is equal to 10% of the fully diluted issued and outstanding equity securities of the Company (which includes any option, warrant, right or security (including debt securities) convertible, exchangeable or exercisable into shares) as of the Closing less certain amounts issued or reserved for issuance pursuant to any other arrangement pursuant to which current, prospective or former directors, officers, employees or consultants or their related companies or certain other persons not contemplated by the BCA are to be issued equity securities or are to be granted options, units or awards over such Ordinary Shares which are expressed in writing to be subject to such limit (Other Arrangements). The amount reserved for such issuance or share transfer may be increased by the plan administrator at any time on or after January 1, 2024 by an additional 5% per annum. </w:t>
      </w:r>
    </w:p>
    <w:p>
      <w:pPr>
        <w:pStyle w:val="TextBody"/>
        <w:bidi w:val="0"/>
        <w:spacing w:before="240" w:after="0"/>
        <w:jc w:val="left"/>
        <w:rPr>
          <w:rFonts w:ascii="Times New Roman" w:hAnsi="Times New Roman"/>
          <w:sz w:val="20"/>
        </w:rPr>
      </w:pPr>
      <w:r>
        <w:rPr>
          <w:rFonts w:ascii="Times New Roman" w:hAnsi="Times New Roman"/>
          <w:sz w:val="20"/>
        </w:rPr>
        <w:t xml:space="preserve">If an award under the Rezolve Incentive Equity Plan (including any sub-plan thereto including the Non-Employee LTIP) expires, lapses or is forfeited or is settled by a transfer of shares other than from treasury, or is settled in cash, any unused shares subject to the award will, as applicable, become or again be available for new grants under the Rezolve Incentive Equity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Awards </w:t>
      </w:r>
    </w:p>
    <w:p>
      <w:pPr>
        <w:pStyle w:val="TextBody"/>
        <w:bidi w:val="0"/>
        <w:spacing w:before="120" w:after="0"/>
        <w:jc w:val="left"/>
        <w:rPr>
          <w:rFonts w:ascii="Times New Roman" w:hAnsi="Times New Roman"/>
          <w:sz w:val="20"/>
        </w:rPr>
      </w:pPr>
      <w:r>
        <w:rPr>
          <w:rFonts w:ascii="Times New Roman" w:hAnsi="Times New Roman"/>
          <w:sz w:val="20"/>
        </w:rPr>
        <w:t xml:space="preserve">The Rezolve Incentive Equity Plan provides for the grant of options, restricted share units, deferred share units, and incentive share units. All awards under the Rezolve Incentive Equity Plan will be set forth in award agreements, which will detail the terms and conditions of awards, including any applicable vesting and payment terms, change of control provisions and post-termination exercise limitations. A brief description of each award type follows. In all cases, units granted pursuant to the Non-Employee Plan may contain a term requiring the participant to pay an amount at least equal to the nominal value of a share as a condition of settlement in shares of the relevant award. </w:t>
      </w:r>
    </w:p>
    <w:p>
      <w:pPr>
        <w:pStyle w:val="TextBody"/>
        <w:bidi w:val="0"/>
        <w:spacing w:before="240" w:after="0"/>
        <w:jc w:val="left"/>
        <w:rPr>
          <w:rFonts w:ascii="Times New Roman" w:hAnsi="Times New Roman"/>
          <w:sz w:val="20"/>
        </w:rPr>
      </w:pPr>
      <w:r>
        <w:rPr>
          <w:rFonts w:ascii="Times New Roman" w:hAnsi="Times New Roman"/>
          <w:i/>
          <w:sz w:val="20"/>
        </w:rPr>
        <w:t xml:space="preserve">Options. </w:t>
      </w:r>
      <w:r>
        <w:rPr>
          <w:rFonts w:ascii="Times New Roman" w:hAnsi="Times New Roman"/>
          <w:sz w:val="20"/>
        </w:rPr>
        <w:t xml:space="preserve">Options are contractual rights to acquire Ordinary Shares in the future at an exercise price set at no less than the nominal value of an Ordinary Share, which may remain forfeitable unless and until specified conditions are met. The participant may elect to have the option settled partly or wholly in cash rather than shares. The terms and conditions applicable to options will be determined by the plan administrator, subject to the conditions and limitations contained in the Rezolve Incentive Equity Plan. Options may not be exercised after the tenth anniversary of grant. </w:t>
      </w:r>
    </w:p>
    <w:p>
      <w:pPr>
        <w:pStyle w:val="TextBody"/>
        <w:bidi w:val="0"/>
        <w:spacing w:before="240" w:after="0"/>
        <w:jc w:val="left"/>
        <w:rPr>
          <w:rFonts w:ascii="Times New Roman" w:hAnsi="Times New Roman"/>
          <w:sz w:val="20"/>
        </w:rPr>
      </w:pPr>
      <w:r>
        <w:rPr>
          <w:rFonts w:ascii="Times New Roman" w:hAnsi="Times New Roman"/>
          <w:i/>
          <w:sz w:val="20"/>
        </w:rPr>
        <w:t>Restricted share units.</w:t>
      </w:r>
      <w:r>
        <w:rPr>
          <w:rFonts w:ascii="Times New Roman" w:hAnsi="Times New Roman"/>
          <w:sz w:val="20"/>
        </w:rPr>
        <w:t xml:space="preserve"> Restricted share units are contractual promises to deliver Ordinary Shares in the future, which may also remain forfeitable unless and until specified conditions are met and may be accompanied by the right to receive the equivalent value of dividends paid on Ordinary Shares prior to the settlement of the unit. The participant may elect to have the unit settled partly or wholly in cash rather than shares. The terms and conditions applicable to restricted share units will be determined by the plan administrator, subject to the conditions and limitations contained in the Rezolve Incentive Equity Plan. In the absence of any vesting period set out in the award agreement, restricted share units will vest as to one third each year over the course of three years. </w:t>
      </w:r>
    </w:p>
    <w:p>
      <w:pPr>
        <w:pStyle w:val="TextBody"/>
        <w:bidi w:val="0"/>
        <w:spacing w:before="240" w:after="0"/>
        <w:jc w:val="left"/>
        <w:rPr>
          <w:rFonts w:ascii="Times New Roman" w:hAnsi="Times New Roman"/>
          <w:sz w:val="20"/>
        </w:rPr>
      </w:pPr>
      <w:r>
        <w:rPr>
          <w:rFonts w:ascii="Times New Roman" w:hAnsi="Times New Roman"/>
          <w:i/>
          <w:sz w:val="20"/>
        </w:rPr>
        <w:t>Deferred share units</w:t>
      </w:r>
      <w:r>
        <w:rPr>
          <w:rFonts w:ascii="Times New Roman" w:hAnsi="Times New Roman"/>
          <w:sz w:val="20"/>
        </w:rPr>
        <w:t xml:space="preserve">. Deferred share units are contractual promises to deliver Ordinary Shares in the future and may be accompanied by the right to receive the equivalent value of dividends paid on Ordinary Shares prior to the settlement of the unit. Only directors of Rezolve (whether employees or not) are eligible to be granted deferred share units. Deferred share units may be recommended by the Board or, in the case of the Non-Employee Plan only, a participant may elect to have up to 100% of their annual retainer (together with Board committee fees, attendance fees and additional fees and retainers to committee chairs) deferred into deferred share units rather than paid in cash. The participant may elect to have the unit settled partly or wholly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 rather than shares. The terms and conditions applicable to deferred share units will be determined by the plan administrator, subject to the conditions and limitations contained in the Rezolve Incentive Equity Plan, provided that a deferred share unit may, subject to the terms of the Rezolve Incentive Equity Plan (in particular on a change of control) only vest on the date on which the participant ceases to be a director. </w:t>
      </w:r>
    </w:p>
    <w:p>
      <w:pPr>
        <w:pStyle w:val="TextBody"/>
        <w:bidi w:val="0"/>
        <w:spacing w:before="240" w:after="0"/>
        <w:jc w:val="left"/>
        <w:rPr>
          <w:rFonts w:ascii="Times New Roman" w:hAnsi="Times New Roman"/>
          <w:sz w:val="20"/>
        </w:rPr>
      </w:pPr>
      <w:r>
        <w:rPr>
          <w:rFonts w:ascii="Times New Roman" w:hAnsi="Times New Roman"/>
          <w:i/>
          <w:sz w:val="20"/>
        </w:rPr>
        <w:t>Incentive share units</w:t>
      </w:r>
      <w:r>
        <w:rPr>
          <w:rFonts w:ascii="Times New Roman" w:hAnsi="Times New Roman"/>
          <w:sz w:val="20"/>
        </w:rPr>
        <w:t xml:space="preserve">. Incentive share units are contractual promises to deliver Ordinary Shares in the future, which may also remain forfeitable unless and until specified conditions are met and may be accompanied by the right to receive the equivalent value of dividends paid on Ordinary Shares prior to the settlement of the unit. The participant may elect to have the unit settled partly or wholly in cash rather than shares. The terms and conditions applicable to incentive share units will be determined by the plan administrator, subject to the conditions and limitations contained in the Rezolve Incentive Equity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Criteria </w:t>
      </w:r>
    </w:p>
    <w:p>
      <w:pPr>
        <w:pStyle w:val="TextBody"/>
        <w:bidi w:val="0"/>
        <w:spacing w:before="120" w:after="0"/>
        <w:jc w:val="left"/>
        <w:rPr>
          <w:rFonts w:ascii="Times New Roman" w:hAnsi="Times New Roman"/>
          <w:sz w:val="20"/>
        </w:rPr>
      </w:pPr>
      <w:r>
        <w:rPr>
          <w:rFonts w:ascii="Times New Roman" w:hAnsi="Times New Roman"/>
          <w:sz w:val="20"/>
        </w:rPr>
        <w:t xml:space="preserve">The plan administrator may set performance goals in respect of any awards (but in particular incentive share units) in its discretion.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certain corporate transactions and events affecting Ordinary Shares, including a change of control, the plan administrator has discretion to accelerate the vesting of awards or convert or exchange awards into securities or units of any entity participating in or resulting from the transaction. Options may, if no treatment is prescribed in a relevant change of control agreement, be exercised within a set period of certain corporate transactions, and participants may elect to exchange awards. In addition, in the event of certain equity restructuring transactions and variations of capital, the plan administrator will make equitable adjustments to the outstanding awards as it deems appropriate to reflect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Plan 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plan administrator may amend or terminate the Rezolve Incentive Equity Plan at any time; however, no amendment may adversely affect an award outstanding under the Rezolve Incentive Equity Plan and shareholder approval will be obtained for any amendment to the extent necessary to comply with applicable laws. Further, the plan administrator will seek the approval of shareholders in respect of any amendment to: (i) the limits on the number of shares that may be issued pursuant to the Rezolve Incentive Equity Plan (other than an adjustment as reflected in Certain Transactions above); or (ii) the provisions relating to amendments to the Rezolve Incentive Equity Plan. No awards may be granted under the Rezolve Incentive Equity Plan after their 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and Participant Payments </w:t>
      </w:r>
    </w:p>
    <w:p>
      <w:pPr>
        <w:pStyle w:val="TextBody"/>
        <w:bidi w:val="0"/>
        <w:spacing w:before="120" w:after="0"/>
        <w:jc w:val="left"/>
        <w:rPr>
          <w:rFonts w:ascii="Times New Roman" w:hAnsi="Times New Roman"/>
          <w:sz w:val="20"/>
        </w:rPr>
      </w:pPr>
      <w:r>
        <w:rPr>
          <w:rFonts w:ascii="Times New Roman" w:hAnsi="Times New Roman"/>
          <w:sz w:val="20"/>
        </w:rPr>
        <w:t xml:space="preserve">Awards under the Rezolve Incentive Equity Plan are generally non-transferrable, except to a participants legal representative in the case of death. With regard to tax and/or social security withholding obligations arising in connection with awards under the Rezolve Incentive Equity Plan, the plan administrator may accept cash, wire transfer or check or the participant may sell sufficient shares to meet the relevant liability or elect to have their award settled at least partly in cash with such amount then being withheld.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Non-U.K. Participants </w:t>
      </w:r>
    </w:p>
    <w:p>
      <w:pPr>
        <w:pStyle w:val="TextBody"/>
        <w:bidi w:val="0"/>
        <w:spacing w:before="120" w:after="0"/>
        <w:jc w:val="left"/>
        <w:rPr>
          <w:rFonts w:ascii="Times New Roman" w:hAnsi="Times New Roman"/>
          <w:sz w:val="20"/>
        </w:rPr>
      </w:pPr>
      <w:r>
        <w:rPr>
          <w:rFonts w:ascii="Times New Roman" w:hAnsi="Times New Roman"/>
          <w:sz w:val="20"/>
        </w:rPr>
        <w:t xml:space="preserve">The plan administrator may modify awards granted to participants who are non-U.K. nationals or employed outside the United Kingdom or establish sub-plans or procedures to address differences in laws, rules, regulations or customs of such international jurisdictions with respect to tax, securities, currency, foreign exchange control, employee benefit or other matters or to enable awards to be granted in compliance with a tax favorable regime that may be available in any jurisdiction and any sub-plan may include provision to grant equity-based awards that are not units and/or to grant awards to be settled in cash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Description of Legacy Option Arrangements </w:t>
      </w:r>
    </w:p>
    <w:p>
      <w:pPr>
        <w:pStyle w:val="TextBody"/>
        <w:bidi w:val="0"/>
        <w:spacing w:before="120" w:after="0"/>
        <w:jc w:val="left"/>
        <w:rPr>
          <w:rFonts w:ascii="Times New Roman" w:hAnsi="Times New Roman"/>
          <w:sz w:val="20"/>
        </w:rPr>
      </w:pPr>
      <w:r>
        <w:rPr>
          <w:rFonts w:ascii="Times New Roman" w:hAnsi="Times New Roman"/>
          <w:sz w:val="20"/>
        </w:rPr>
        <w:t xml:space="preserve">Certain current, former and prospective employees and directors, and current and former consultants currently hold or have been promised options over Ordinary Shares or otherwise been promised rights to acquire Ordinary Shares in Rezolve which vest and become exercisable either immediately or subject to the meeting of certain conditions. Such options and promised options/rights are expected to be released and regranted as options over Ordinary Shares in Rezolve prior to or on Closing. The material terms of the expected options are set out below (the Expected Options).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and eligibility </w:t>
      </w:r>
    </w:p>
    <w:p>
      <w:pPr>
        <w:pStyle w:val="TextBody"/>
        <w:bidi w:val="0"/>
        <w:spacing w:before="120" w:after="0"/>
        <w:jc w:val="left"/>
        <w:rPr>
          <w:rFonts w:ascii="Times New Roman" w:hAnsi="Times New Roman"/>
          <w:sz w:val="20"/>
        </w:rPr>
      </w:pPr>
      <w:r>
        <w:rPr>
          <w:rFonts w:ascii="Times New Roman" w:hAnsi="Times New Roman"/>
          <w:sz w:val="20"/>
        </w:rPr>
        <w:t xml:space="preserve">The Expected Options will be administered by the Rezolve board of directors or a duly authorized committee thereof (the EO administrator). Only those individuals who have previously been granted an option or promised an option or right to acquire shares shall be eligible for the grant of an Expected Option. Where such individual has not yet commenced service, the grant will be conditional on their commencing service.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Shares available for award </w:t>
      </w:r>
    </w:p>
    <w:p>
      <w:pPr>
        <w:pStyle w:val="TextBody"/>
        <w:bidi w:val="0"/>
        <w:spacing w:before="120" w:after="0"/>
        <w:jc w:val="left"/>
        <w:rPr>
          <w:rFonts w:ascii="Times New Roman" w:hAnsi="Times New Roman"/>
          <w:sz w:val="20"/>
        </w:rPr>
      </w:pPr>
      <w:r>
        <w:rPr>
          <w:rFonts w:ascii="Times New Roman" w:hAnsi="Times New Roman"/>
          <w:sz w:val="20"/>
        </w:rPr>
        <w:t xml:space="preserve">The number of shares that may be subject to the Expected Options will be designated Other Arrangements and subject to the cap specified in the summary above in respect of the LTIP. It is expected that in aggregate                  Ordinary Shares will be subject to Expected Options.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Options </w:t>
      </w:r>
    </w:p>
    <w:p>
      <w:pPr>
        <w:pStyle w:val="TextBody"/>
        <w:bidi w:val="0"/>
        <w:spacing w:before="120" w:after="0"/>
        <w:jc w:val="left"/>
        <w:rPr>
          <w:rFonts w:ascii="Times New Roman" w:hAnsi="Times New Roman"/>
          <w:sz w:val="20"/>
        </w:rPr>
      </w:pPr>
      <w:r>
        <w:rPr>
          <w:rFonts w:ascii="Times New Roman" w:hAnsi="Times New Roman"/>
          <w:sz w:val="20"/>
        </w:rPr>
        <w:t xml:space="preserve">The Expected Options will take the form of options only. Options provide for the purchase of Ordinary Shares in the future at an exercise price set at no less than the nominal value of a share. The EO administrator will determine the number of Ordinary Shares covered by each option, and the conditions and limitations applicable to the exercise of each option.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Criteria </w:t>
      </w:r>
    </w:p>
    <w:p>
      <w:pPr>
        <w:pStyle w:val="TextBody"/>
        <w:bidi w:val="0"/>
        <w:spacing w:before="120" w:after="0"/>
        <w:jc w:val="left"/>
        <w:rPr>
          <w:rFonts w:ascii="Times New Roman" w:hAnsi="Times New Roman"/>
          <w:sz w:val="20"/>
        </w:rPr>
      </w:pPr>
      <w:r>
        <w:rPr>
          <w:rFonts w:ascii="Times New Roman" w:hAnsi="Times New Roman"/>
          <w:sz w:val="20"/>
        </w:rPr>
        <w:t xml:space="preserve">The EO administrator may set performance goals in respect of any options.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w:t>
      </w:r>
    </w:p>
    <w:p>
      <w:pPr>
        <w:pStyle w:val="TextBody"/>
        <w:bidi w:val="0"/>
        <w:spacing w:before="120" w:after="0"/>
        <w:jc w:val="left"/>
        <w:rPr>
          <w:rFonts w:ascii="Times New Roman" w:hAnsi="Times New Roman"/>
          <w:sz w:val="20"/>
        </w:rPr>
      </w:pPr>
      <w:r>
        <w:rPr>
          <w:rFonts w:ascii="Times New Roman" w:hAnsi="Times New Roman"/>
          <w:sz w:val="20"/>
        </w:rPr>
        <w:t xml:space="preserve">Expected Options are expected to vest subject to the conditions that the original options/promised options or promised right to acquire shares were subject to. In some cases, this is subject to a certain period of time passing; in others, this is subject to performance conditions being met or the Closing occurring. Once vested, Expected Options may be exercised at any point up until the tenth anniversary of their grant, subject to payment of the associated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Expected Options will ordinarily lapse: (i) in full on cessation of the option holders employment or service if the option holder falls into a prescribed category of bad leaver (e.g. cessation due to their dishonesty, fraud or misconduct or their termination or dismissal in circumstances which would justify summary dismissal or immediate termination); and (ii) to the extent unvested on cessation of employment for any other reason (save to the extent the EO administrator determines otherwise).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death, vested options may be exercised within 12 months of death and unvested options will only be exercisable if permitted by the EO administrator. At the end of this 12 month period, the options will lapse.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certain corporate transactions and events including a change of control, a sale of the groups assets, options may be exercised to the extent vested (and the EO administrator shall have discretion to accelerate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options) within six months (or 90 days in the case of an asset sale) of the transaction or may, if the acquiring company agrees, be exchanged for options over shares in the acquiring company. In addition, in the event of certain variations of capital, the EO administrator may make equitable adjustments to the outstanding options.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EO Options may only be amended or terminated with the consent of the relevant option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and Participant Payments </w:t>
      </w:r>
    </w:p>
    <w:p>
      <w:pPr>
        <w:pStyle w:val="TextBody"/>
        <w:bidi w:val="0"/>
        <w:spacing w:before="120" w:after="0"/>
        <w:jc w:val="left"/>
        <w:rPr>
          <w:rFonts w:ascii="Times New Roman" w:hAnsi="Times New Roman"/>
          <w:sz w:val="20"/>
        </w:rPr>
      </w:pPr>
      <w:r>
        <w:rPr>
          <w:rFonts w:ascii="Times New Roman" w:hAnsi="Times New Roman"/>
          <w:sz w:val="20"/>
        </w:rPr>
        <w:t xml:space="preserve">Expected Options will not be transferable save to a personal representative in the case of death. With regard to tax and/or social security withholding obligations arising in connection with the Expected Options, the EO administrator may accept cash, wire transfer or check or deduction from cash sums owed to the optionholder, or the participant may sell sufficient shares to meet the relevant liability.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Non-UK Participants </w:t>
      </w:r>
    </w:p>
    <w:p>
      <w:pPr>
        <w:pStyle w:val="TextBody"/>
        <w:bidi w:val="0"/>
        <w:spacing w:before="120" w:after="0"/>
        <w:jc w:val="left"/>
        <w:rPr>
          <w:rFonts w:ascii="Times New Roman" w:hAnsi="Times New Roman"/>
          <w:sz w:val="20"/>
        </w:rPr>
      </w:pPr>
      <w:r>
        <w:rPr>
          <w:rFonts w:ascii="Times New Roman" w:hAnsi="Times New Roman"/>
          <w:sz w:val="20"/>
        </w:rPr>
        <w:t xml:space="preserve">The EO administrator may amend the terms described above prior to grant in respect of any non-UK nationals or employed outside the United Kingdom to address differences in laws, rules, regulations or customs of such international jurisdictions with respect to tax, securities, foreign exchange control, currency, employee benefit or other matters or to enable awards to be granted in compliance with a tax favorable regime that may be available in any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Description of Employee Benefit Trust </w:t>
      </w:r>
    </w:p>
    <w:p>
      <w:pPr>
        <w:pStyle w:val="TextBody"/>
        <w:bidi w:val="0"/>
        <w:spacing w:before="120" w:after="0"/>
        <w:jc w:val="left"/>
        <w:rPr>
          <w:rFonts w:ascii="Times New Roman" w:hAnsi="Times New Roman"/>
          <w:sz w:val="20"/>
        </w:rPr>
      </w:pPr>
      <w:r>
        <w:rPr>
          <w:rFonts w:ascii="Times New Roman" w:hAnsi="Times New Roman"/>
          <w:sz w:val="20"/>
        </w:rPr>
        <w:t xml:space="preserve">Rezolve may set up one or more employee benefit trusts to, among other things, hold shares on behalf of employees of Rezolve and its subsidiaries and/or satisfy the vesting or exercise of awards pursuant to any of Rezolves equity incentive arrangements, including the Rezolve Incentive Equity Plan and the Expected Options.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Description of Employee Incentive Shares </w:t>
      </w:r>
    </w:p>
    <w:p>
      <w:pPr>
        <w:pStyle w:val="TextBody"/>
        <w:bidi w:val="0"/>
        <w:spacing w:before="120" w:after="0"/>
        <w:jc w:val="left"/>
        <w:rPr>
          <w:rFonts w:ascii="Times New Roman" w:hAnsi="Times New Roman"/>
          <w:sz w:val="20"/>
        </w:rPr>
      </w:pPr>
      <w:r>
        <w:rPr>
          <w:rFonts w:ascii="Times New Roman" w:hAnsi="Times New Roman"/>
          <w:sz w:val="20"/>
        </w:rPr>
        <w:t xml:space="preserve">Rezolve has in issue certain shares held by certain employees, directors, and consultants which were issued to incentivize performance and may be forfeited in the event of cessation of service.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bidi w:val="0"/>
        <w:spacing w:before="120" w:after="0"/>
        <w:jc w:val="left"/>
        <w:rPr>
          <w:rFonts w:ascii="Times New Roman" w:hAnsi="Times New Roman"/>
          <w:sz w:val="20"/>
        </w:rPr>
      </w:pPr>
      <w:r>
        <w:rPr>
          <w:rFonts w:ascii="Times New Roman" w:hAnsi="Times New Roman"/>
          <w:sz w:val="20"/>
        </w:rPr>
        <w:t xml:space="preserve">The full text of the resolution to be passed is as follows: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 xml:space="preserve">RESOLVED, </w:t>
      </w:r>
      <w:r>
        <w:rPr>
          <w:rFonts w:ascii="Times New Roman" w:hAnsi="Times New Roman"/>
          <w:sz w:val="20"/>
        </w:rPr>
        <w:t xml:space="preserve">as an Ordinary Resolution, that the Rezolve Incentive Equity Plan, substantially in the form attached to the proxy statement/prospectus as Annex                 , be adopted and approved.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and Recommendation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If the Business Combination Proposal is not approved, the Incentive Equity Plan Proposal will not be presented at the Special Meeting. The approval of the Incentive Equity Plan Proposal requires the majority of the votes cast by the stockholders present in person (which would include presence at a virtual meeting) or represented by proxy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Failure to vote by proxy or to vote in person (which would include presence at a virtual meeting) at the Special Meeting, abstentions and broker non-votes will have no effect on the Incentive Equity Plan Proposal.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is conditioned upon the approval of the Incentive Equity Plan Proposal, subject to the terms of the Business Combination Agreement. Notwithstanding the approval of the Incentive Equity Plan Proposal, if the Business Combination is not consummated for any reason, the actions contemplated by the Incentive Equity Plan Proposal will not be effected.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Sponsor and Armadas directors and officers have agreed to vote the Founder Shares and any of Armadas public shares owned by them in favor of Incentive Equity Plan Proposal. See </w:t>
      </w:r>
      <w:r>
        <w:rPr>
          <w:rFonts w:ascii="Times New Roman" w:hAnsi="Times New Roman"/>
          <w:i/>
          <w:sz w:val="20"/>
        </w:rPr>
        <w:t>Proposal No.1The Business Combination ProposalAncillary Agreements</w:t>
      </w:r>
      <w:r>
        <w:rPr>
          <w:rFonts w:ascii="Times New Roman" w:hAnsi="Times New Roman"/>
          <w:sz w:val="20"/>
        </w:rPr>
        <w:t xml:space="preserve"> for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THE ARMADA BOARD OF DIRECTORS UNANIMOUSLY RECOMMENDS THAT ARMADA STOCKHOLDERS VOTE FOR THE APPROVAL OF THE INCENTIVE EQUITY PLAN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x309194_18a"/>
      <w:bookmarkEnd w:id="21"/>
      <w:r>
        <w:rPr>
          <w:rFonts w:ascii="Times New Roman" w:hAnsi="Times New Roman"/>
          <w:b/>
          <w:sz w:val="20"/>
        </w:rPr>
        <w:t xml:space="preserve">THE CHARTER LIMITATION AMENDMENT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this proxy statement/prospectus, Armada is asking its stockholders to approve the Charter Limitation Amendment Proposal. The Charter Limitation Amendment Proposal is not conditioned on any other proposal, though the Charter Limitation Amendment contemplated by the Charter Limitation Amendment Proposal will be adopted only if the Business Combination Proposal is approved.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Charter Limitation Amendment Proposal </w:t>
      </w:r>
    </w:p>
    <w:p>
      <w:pPr>
        <w:pStyle w:val="TextBody"/>
        <w:bidi w:val="0"/>
        <w:spacing w:before="120" w:after="0"/>
        <w:jc w:val="left"/>
        <w:rPr>
          <w:rFonts w:ascii="Times New Roman" w:hAnsi="Times New Roman"/>
          <w:sz w:val="20"/>
        </w:rPr>
      </w:pPr>
      <w:r>
        <w:rPr>
          <w:rFonts w:ascii="Times New Roman" w:hAnsi="Times New Roman"/>
          <w:sz w:val="20"/>
        </w:rPr>
        <w:t xml:space="preserve">Armada stockholders are being asked to adopt the proposed amendments to the Armada Charter, prior to the Closing, which, in the judgment of Armadas board of directors, is necessary to facilitate the Business Combination. The Armada Charter limits Armadas ability to consummate a Business Combination, if it would cause Armada to have less than $5,000,001 in net tangible assets. The purpose of such limitation is to ensure that the Armada Common Stock are not deemed to be a penny stock pursuant to Rule 3a51-1 under the Exchange Act. Because the Armada Common Stock and the Rezolve Ordinary Shares, if listed, would not be deemed to be a penny stock since it will be listed on the Nasdaq, Armada is presenting the Charter Limitation Amendment Proposal to facilitate the consummation of the Business Combination. In connection with the approval of the Charter Limitation Amendment Proposal, the parties to the Business Combination Agreement have waived the condition to Closing under the Business Combination Agreement that Rezolve have, after giving effect to the Company Reorganization, the Merger and the Promissory Note, at least $5,000,0001 in net tangible assets (as determined in accordance with Rule 3a51-1(g)(1) under the Exchange Act), subject to the approval of the Charter Limitation Amendment Proposal and implementation. If the Charter Limitation Amendment Proposal is not approved and implemented, and there are significant requests for redemption such that Armadas net tangible assets would be less than $5,000,001 upon the consummation of the Business Combination, we would be unable to consummate the Business Combination even if all other conditions to Closing are met.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and Recommendation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the Charter Limitation Amendment Proposal requires the affirmative vote of a majority of the votes cast by the stockholders present in person or represented by proxy and entitled to vote at the Special Meeting. Accordingly, an Armada stockholders failure to vote, as well as an abstention from voting and a broker non-vote, will have no effect on the Charter Limitation Amendment Proposal. Abstentions will be counted in connection with the determination of whether a valid quorum is established but will have no effect on the Charter Limitation Amendment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ARMADA BOARD OF DIRECTORS UNANIMOUSLY RECOMMENDS THAT ARMADA STOCKHOLDERS VOTE FOR THE APPROVAL OF THE CHARTER LIMITATION AMENDMENT PROPOSAL. </w:t>
      </w:r>
    </w:p>
    <w:p>
      <w:pPr>
        <w:pStyle w:val="TextBody"/>
        <w:bidi w:val="0"/>
        <w:spacing w:before="240" w:after="0"/>
        <w:jc w:val="left"/>
        <w:rPr>
          <w:rFonts w:ascii="Times New Roman" w:hAnsi="Times New Roman"/>
          <w:sz w:val="20"/>
        </w:rPr>
      </w:pPr>
      <w:r>
        <w:rPr>
          <w:rFonts w:ascii="Times New Roman" w:hAnsi="Times New Roman"/>
          <w:sz w:val="20"/>
        </w:rPr>
        <w:t>The existence of financial and personal interests of one or more of Armadas directors or officers may result in a conflict of interest on the part of such director(s) or officer(s) between what he or they may believe is in the best interests of Armada and its stockholders and what he or they may believe is best for himself or themselves in determining to recommend that stockholders vote for the proposals. See the section above entitled </w:t>
      </w:r>
      <w:r>
        <w:rPr>
          <w:rFonts w:ascii="Times New Roman" w:hAnsi="Times New Roman"/>
          <w:i/>
          <w:sz w:val="20"/>
        </w:rPr>
        <w:t>Proposal No. 1  Approval of the Business Combination  Interests of Armadas Directors and Officers in the Business Combination</w:t>
      </w:r>
      <w:r>
        <w:rPr>
          <w:rFonts w:ascii="Times New Roman" w:hAnsi="Times New Roman"/>
          <w:sz w:val="20"/>
        </w:rPr>
        <w:t xml:space="preserve"> for a further discussion.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tx309194_19"/>
      <w:bookmarkEnd w:id="22"/>
      <w:r>
        <w:rPr>
          <w:rFonts w:ascii="Times New Roman" w:hAnsi="Times New Roman"/>
          <w:b/>
          <w:sz w:val="20"/>
        </w:rPr>
        <w:t xml:space="preserve">THE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Adjournment Proposal, if adopted, will allow our Board to adjourn the Special Meeting to a later date or dates to permit further solicitation of proxies (the Adjournment Proposal). The Adjournment Proposal will only be presented to our stockholders in the event that there are insufficient votes for, or otherwise in connection with, the approval of the Business Combination Proposal, the Nasdaq Proposal, the Incentive Equity Plan Proposal, or the Charter Limitation Amendment Proposal but no other proposal than the Business Combination Proposal, the Nasdaq Proposal, the Incentive Equity Plan Proposal and the Charter Limitation Amendment Proposal are approved.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if the Adjournment Proposal is Not Approved </w:t>
      </w:r>
    </w:p>
    <w:p>
      <w:pPr>
        <w:pStyle w:val="TextBody"/>
        <w:bidi w:val="0"/>
        <w:spacing w:before="120" w:after="0"/>
        <w:jc w:val="left"/>
        <w:rPr>
          <w:rFonts w:ascii="Times New Roman" w:hAnsi="Times New Roman"/>
          <w:sz w:val="20"/>
        </w:rPr>
      </w:pPr>
      <w:r>
        <w:rPr>
          <w:rFonts w:ascii="Times New Roman" w:hAnsi="Times New Roman"/>
          <w:sz w:val="20"/>
        </w:rPr>
        <w:t xml:space="preserve">If the Adjournment Proposal is not approved by our stockholders, our Board may not be able to adjourn the Special Meeting to a later date in the event that there are insufficient votes for, or otherwise in connection with, the approval of the Business Combination Proposal, the Nasdaq Proposal, the Incentive Equity Plan Proposal or any other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bidi w:val="0"/>
        <w:spacing w:before="120" w:after="0"/>
        <w:jc w:val="left"/>
        <w:rPr>
          <w:rFonts w:ascii="Times New Roman" w:hAnsi="Times New Roman"/>
          <w:sz w:val="20"/>
        </w:rPr>
      </w:pPr>
      <w:r>
        <w:rPr>
          <w:rFonts w:ascii="Times New Roman" w:hAnsi="Times New Roman"/>
          <w:sz w:val="20"/>
        </w:rPr>
        <w:t xml:space="preserve">The full text of the resolution to be passed is as follows: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an Ordinary Resolution, the adjournment of the meeting to a later date or dates to be determined by the chairman of the meeting, if necessary, to permit further solicitation and vote of proxies if, based upon the tabulated vote at the time of the meeting that more time is necessary or appropriate to approve one or more proposals of the meeting be approved in all respects.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and Recommendation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the Adjournment Proposal requires the affirmative vote of a majority of the votes cast by the stockholders present in person or represented by proxy and entitled to vote at the Special Meeting. Accordingly, an Armada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ARMADA BOARD OF DIRECTORS UNANIMOUSLY RECOMMENDS THAT ARMADA STOCKHOLDERS VOTE FOR THE APPROVAL OF THE ADJOURNMENT PROPOSAL. </w:t>
      </w:r>
    </w:p>
    <w:p>
      <w:pPr>
        <w:pStyle w:val="TextBody"/>
        <w:bidi w:val="0"/>
        <w:spacing w:before="240" w:after="0"/>
        <w:jc w:val="left"/>
        <w:rPr>
          <w:rFonts w:ascii="Times New Roman" w:hAnsi="Times New Roman"/>
          <w:sz w:val="20"/>
        </w:rPr>
      </w:pPr>
      <w:r>
        <w:rPr>
          <w:rFonts w:ascii="Times New Roman" w:hAnsi="Times New Roman"/>
          <w:sz w:val="20"/>
        </w:rPr>
        <w:t>The existence of financial and personal interests of one or more of Armadas directors or officers may result in a conflict of interest on the part of such director(s) or officer(s) between what he or they may believe is in the best interests of Armada and its stockholders and what he or they may believe is best for himself or themselves in determining to recommend that stockholders vote for the proposals. See the section above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1  Approval of the Business Combination  Interests of Armadas Directors and Officers in the Business Combination</w:t>
      </w:r>
      <w:r>
        <w:rPr>
          <w:rFonts w:ascii="Times New Roman" w:hAnsi="Times New Roman"/>
          <w:sz w:val="20"/>
        </w:rPr>
        <w:t xml:space="preserve"> for a further discussion.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tx309194_20"/>
      <w:bookmarkEnd w:id="23"/>
      <w:r>
        <w:rPr>
          <w:rFonts w:ascii="Times New Roman" w:hAnsi="Times New Roman"/>
          <w:b/>
          <w:sz w:val="20"/>
        </w:rPr>
        <w:t xml:space="preserve">OTHER INFORMATION RELATED TO ARMADA </w:t>
      </w:r>
    </w:p>
    <w:p>
      <w:pPr>
        <w:pStyle w:val="TextBody"/>
        <w:bidi w:val="0"/>
        <w:spacing w:before="240" w:after="0"/>
        <w:jc w:val="left"/>
        <w:rPr>
          <w:rFonts w:ascii="Times New Roman" w:hAnsi="Times New Roman"/>
          <w:i/>
          <w:sz w:val="20"/>
        </w:rPr>
      </w:pPr>
      <w:r>
        <w:rPr>
          <w:rFonts w:ascii="Times New Roman" w:hAnsi="Times New Roman"/>
          <w:i/>
          <w:sz w:val="20"/>
        </w:rPr>
        <w:t xml:space="preserve">References in this section to Armada, we, our, us or the Company refer to Armada Acquisition Corp. I., a Delaware 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a blank check company formed for the purpose of effecting a merger, capital stock exchange, asset acquisition, stock purchase, reorganization or similar business combination with one or more businesses, which we refer to as our initial business combination throughout this proxy statement/prospectus. While we could have pursued an initial business combination target in any business or industry, we concentrated our efforts identifying businesses in the FinTech industry with an enterprise value of approximately $500 million to $1.0 billion, with particular emphasis on businesses that are providing digital, on-line or mobile payment solutions, processing and gateway services, point-of-sale technologies, consumer engagement platforms, and ecommerce and loyalty solutions.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creation, delivery and servicing of financial payment products and related services for consumers and businesses is undergoing continuous evolution, which will further and dramatically develop in the years ahead. Amid an increased level of sophistication in financial technology and services, we believe that there were many potential targets within the financial technology industry that could become attractive public companies. These potential targets exhibited a diverse range of business models and growth characteristics, ranging from high-growth companies to established firms with stable revenues and strong cash flow. In addition, these businesses tended to have above-industry growth rates and would greatly benefit from access to public market capital and managements extensive operational experience in both public and private companies. We believe our management team is well-positioned to capitalize on these trends and to identify, acquire, and manage a business in the financial technologies industry that can benefit from their operational, strategic, managerial and transaction experience, as well as their differentiated networks. </w:t>
      </w:r>
    </w:p>
    <w:p>
      <w:pPr>
        <w:pStyle w:val="TextBody"/>
        <w:bidi w:val="0"/>
        <w:spacing w:before="240" w:after="0"/>
        <w:jc w:val="left"/>
        <w:rPr>
          <w:rFonts w:ascii="Times New Roman" w:hAnsi="Times New Roman"/>
          <w:sz w:val="20"/>
        </w:rPr>
      </w:pPr>
      <w:r>
        <w:rPr>
          <w:rFonts w:ascii="Times New Roman" w:hAnsi="Times New Roman"/>
          <w:sz w:val="20"/>
        </w:rPr>
        <w:t xml:space="preserve">We are not, however, required to complete our initial business combination with a financial technologies business and, as a result, we could have pursued a business combination outside of that industry. We sought to acquire an established business that we believe is fundamentally sound but potentially in need of financial, operational, strategic or managerial redirection to maximize value. We also looked at earlier stage companies that exhibit the potential to change the industries in which they participate and which will offer the potential of sustained high levels of revenue and earnings growth. </w:t>
      </w:r>
    </w:p>
    <w:p>
      <w:pPr>
        <w:pStyle w:val="TextBody"/>
        <w:bidi w:val="0"/>
        <w:spacing w:before="240" w:after="0"/>
        <w:jc w:val="left"/>
        <w:rPr>
          <w:rFonts w:ascii="Times New Roman" w:hAnsi="Times New Roman"/>
          <w:sz w:val="20"/>
        </w:rPr>
      </w:pPr>
      <w:r>
        <w:rPr>
          <w:rFonts w:ascii="Times New Roman" w:hAnsi="Times New Roman"/>
          <w:sz w:val="20"/>
        </w:rPr>
        <w:t xml:space="preserve">On December 17, 2021, we announced that we entered into a business combination agreement, dated as of December 17, 2021 (as amended on November 10, 2022 and as further amended and restated on June 16, 2023), with Rezolve Limited, a private limited liability company registered under the laws of England and Wales, Rezolve AI Limited, a private limited liability company registered under the laws of England and Wales (Rezolve), and Rezolve Merger Sub, Inc., a Delaware corporation (Rezolve Merger Sub) (such business combination agreement, the Business Combination Agreement, and such business combination, the Business Combination). Pursuant to the terms of the Business Combination Agreement, Armada, Rezolve Limited, Rezolve and Rezolve Merger Sub will effect a series of transactions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the Promissory Note, to enable Rezolve to fund working capital and transaction expenses. Each of the outstanding shares of Armada Common Stock held by the shareholders of Armada will be exchanged for one Ordinary Share of Rezolve.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the closing of the transactions, it is expected that the Combined Company will be named Rezolve PLC and will be listed on The Nasdaq Stock Market LLC under the new ticker symbol                 . </w:t>
      </w:r>
    </w:p>
    <w:p>
      <w:pPr>
        <w:pStyle w:val="TextBody"/>
        <w:bidi w:val="0"/>
        <w:spacing w:before="360" w:after="0"/>
        <w:jc w:val="left"/>
        <w:rPr>
          <w:rFonts w:ascii="Times New Roman" w:hAnsi="Times New Roman"/>
          <w:b/>
          <w:sz w:val="20"/>
        </w:rPr>
      </w:pPr>
      <w:r>
        <w:rPr>
          <w:rFonts w:ascii="Times New Roman" w:hAnsi="Times New Roman"/>
          <w:b/>
          <w:sz w:val="20"/>
        </w:rPr>
        <w:t xml:space="preserve">Our Management Team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team has significant operational experience working as executives and advisors in the financial technologies industry, particularly in the FinTech payments ecosystem. Our management team consists of seasoned leaders that have years of experience identifying and capitalizing on emerging technological and secular trends across the financial technologies industry, building and scaling high growth FinTech companies, a history of value creation in C-level operating roles in public companies, and delivering operational strategies designed to improve businesses over the long-term. Our management team is experienced in a variety of delivery models, including direct-to-consumer and business-to-business services as well as scalable networks, consumer engagement services, open platform technologies and robust ecosystems. Our management team is also well-versed in the regulatory and quasi-regulatory landscape that directly and indirectly impacts the financial technologies industry. In addition, our management team has significant transaction experience having executed and integrated numerous transactions in the financial technologies industry as operators and advisors. Messrs. Stephen P. Herbert and Douglas Lurio, our Chief Executive Officer and President, respectively, have worked together in the FinTech space for over 25 years. From 1996 to 2019, the two worked together at USA Technologies, Inc. (which changed its name to Cantaloupe, Inc. on April 15, 2021, Nasdaq: CTLP), a publicly traded FinTech company (USAT), of which Mr. Herbert served as Chairman and Chief Executive Officer for eight years (and as an executive officer prior thereto) and Mr. Lurio served as outside general counsel for 29 years. While at USAT, the two were involved in the companys private and public funding of over $390 million, including public financings in excess of $100 million, as well as the companys acquisitions, including the companys nearly $90 million acquisition of Cantaloupe Systems, Inc. in November 2017. While Messrs. Herbert and Lurio worked together at USAT, the companys revenues grew from approximately $80,000 to approximately $170 million on an annualized basis, customer connections grew from 135 to 1.2 million, customers grew from approximately 135 to 20,000, annual transaction processing dollars grew from a nominal amount to $1.73 billion, the number of annual customer transactions increased from a nominal amount to nearly 890 million, recurring revenues on an annualized basis increased from a nominal amount to $140 million, and USAT attained its largest market cap of nearly $1 billion as of August 17, 2018. </w:t>
      </w:r>
    </w:p>
    <w:p>
      <w:pPr>
        <w:pStyle w:val="TextBody"/>
        <w:bidi w:val="0"/>
        <w:spacing w:before="240" w:after="0"/>
        <w:jc w:val="left"/>
        <w:rPr>
          <w:rFonts w:ascii="Times New Roman" w:hAnsi="Times New Roman"/>
          <w:sz w:val="20"/>
        </w:rPr>
      </w:pPr>
      <w:r>
        <w:rPr>
          <w:rFonts w:ascii="Times New Roman" w:hAnsi="Times New Roman"/>
          <w:sz w:val="20"/>
        </w:rPr>
        <w:t xml:space="preserve">During his tenure at USAT, Mr. Herbert was recognized for his innovative leadership, including by Smart CEO, and as an EY Entrepreneur of the Year Finalist in the Greater Philadelphia area, and USAT received the following awards: Frost and Sullivan for Customer Value Leadership in the Integrated Financial Services and Retail Market, IoT Evolution Smart Machines Innovation, and a Deloitte Fast 500 Company. Previously, Mr. Herbert was employed by Pepsi-Cola, the beverage division of PepsiCo, Inc. (Nasdaq: PEP), and was a Manager of Market Strategy at Pepsi-Cola from 1994 to April 1996, responsible for directing development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market strategy for the vending channel, and subsequently, the supermarket channel for Pepsi-Cola in North America. Mr. Herbert resigned as Chief Executive Officer of USAT on October 17, 2019, and pursuant to his separation agreement was engaged as a consultant to serve as a resource for the incoming interim Chief Executive Officer for a one year period and was subject to a non-compete and a non-solicitation of clients, customers and employees during such one year period. Commencing in October 2020, Mr. Herbert has focused on the business of our Company as our Chairman and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adjustments to previously reported revenues that were identified in connection with certain customer transactions, in February 2019, USAT determined to restate certain of its financial statements. Subsequent thereto, and during the audit and restatement process, additional adjustments related to financial reporting and accounting policy issues were identified which were unrelated to the foregoing adjustments. Based upon these additional adjustments, USAT determined to restate additional financial statements. Due to the foregoing, USAT was not able to file certain of its periodic reports within the time period required by Nasdaq, and USATs shares were suspended from trading on Nasdaq on September 26, 2019 and were subsequently relisted on Nasdaq. On October 9, 2019, USAT filed its outstanding periodic financial reports and announced that it had raised $20 million in an equity funding and obtained a commitment from the investor to extend a $30 million senior debt term loan facility. USAT has publicly disclosed that it has responded to a subpoena received from a regulatory agency that sought records regarding prior financial reporting periods, including the aforementioned restatements. USAT publicly disclosed that it cooperated fully with the agencys queries and was notified during fiscal year 2022 that the agency concluded its investigation and does not intend to proceed with any further investigation or enforcement. Since fiscal year 2019, USAT has publicly disclosed that it has received inquiries from the SEC into the facts and circumstances of the 2019 investigation and has fully cooperated with these inquiries. </w:t>
      </w:r>
    </w:p>
    <w:p>
      <w:pPr>
        <w:pStyle w:val="TextBody"/>
        <w:bidi w:val="0"/>
        <w:spacing w:before="240" w:after="0"/>
        <w:jc w:val="left"/>
        <w:rPr>
          <w:rFonts w:ascii="Times New Roman" w:hAnsi="Times New Roman"/>
          <w:sz w:val="20"/>
        </w:rPr>
      </w:pPr>
      <w:r>
        <w:rPr>
          <w:rFonts w:ascii="Times New Roman" w:hAnsi="Times New Roman"/>
          <w:sz w:val="20"/>
        </w:rPr>
        <w:t xml:space="preserve">Mr. Lurio is a former securities and corporate law partner of the Dilworth Paxson law firm and has been the founder and President of the Lurio &amp; Associates, P.C. law firm since 1991 which specializes in corporate and securities law. He was counsel and a Director of Moro Corporation (OTCQX: MRCR), a Delaware corporation, which is in the construction contracting business, for 20 years from start-up founding in 1999 until July 2019. Since 1989, he has also served as Secretary and Director of Elbeco Incorporated, a leading manufacturer of career apparel and uniforms for first responders such as EMS personnel, police and firefighters.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Messrs. Lurio and Herbert, our Board of Directors consists of Mohammad A. Khan, Celso L. White and Thomas (Tad) A. Decker. Our independent directors have highly relevant experiences and skill sets, including prior independent Board experience at United States listed companies, significant private and public equity, and capital markets experience, and international transaction and business development experience. </w:t>
      </w:r>
    </w:p>
    <w:p>
      <w:pPr>
        <w:pStyle w:val="TextBody"/>
        <w:bidi w:val="0"/>
        <w:spacing w:before="240" w:after="0"/>
        <w:jc w:val="left"/>
        <w:rPr>
          <w:rFonts w:ascii="Times New Roman" w:hAnsi="Times New Roman"/>
          <w:sz w:val="20"/>
        </w:rPr>
      </w:pPr>
      <w:r>
        <w:rPr>
          <w:rFonts w:ascii="Times New Roman" w:hAnsi="Times New Roman"/>
          <w:sz w:val="20"/>
        </w:rPr>
        <w:t xml:space="preserve">Mohammad A. Khan has been an industry leader in the development and adoption of mobile payments, mobile/omni-channel marketing, efficient and secured payment infrastructure, multi factor authentication, and technologies like NFC-contactless, QR codes, tokenization and Blockchain. He is currently the President and a Board member of Omnyway, Inc. (previously OmnyPay), which he co-founded in August 2014, and which abstracts the complexities of disparate digital wallet payment systems to enable elegant, flexible and scalable implementations in physical stores and online. He was the President and Board member of ViVOtech (acquired by Sequent Software, Inc. in August 2012) from the time he founded it in May 2001 until August 2012. ViVOtech pioneered making a mobile device a viable payment media for consumers using Near Field Communications (NFC) technology as well as making mobile an efficient marketing and advertising channel. While at ViVOtech, Mr. Khan assisted in enabling the adoption of NFC mobile payments through shipping of more than 800,000 NFC POS readers to merchants globally and driving more than 20 field trials of NFC mobile payments, coupons, and loyalty. From 1984 until 1998, he was part of the industry team at VeriFone (acquired by Hewlett Packard in 1997) that lead the effort to make Magnetic Stripe Cards the primary payment media for in-store payments, Smart Cards to be secured payment media for in-store payments, and the adoption of Internet payments and online e-commerce globally. From February 2014 to January 2021, Mr. Khan had been a Board advisor of Poynt Co. which offers an all-in-one omnicommerce payment solution and which was acquired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GoDaddy, Inc. (NYSE: GDDY) in February 2021. He has served on the Boards of numerous Fintech companies, including as Chairman of the Board of YellowPepper Holding Corporation from June 2015 to September 2018, which provided mobile payment solutions, and which was acquired by VISA in October 2020. Mr. Khan is the inventor of more than 40 United States patents which have been granted by the United States Patent and Trademark Office. </w:t>
      </w:r>
    </w:p>
    <w:p>
      <w:pPr>
        <w:pStyle w:val="TextBody"/>
        <w:bidi w:val="0"/>
        <w:spacing w:before="240" w:after="0"/>
        <w:jc w:val="left"/>
        <w:rPr>
          <w:rFonts w:ascii="Times New Roman" w:hAnsi="Times New Roman"/>
          <w:sz w:val="20"/>
        </w:rPr>
      </w:pPr>
      <w:r>
        <w:rPr>
          <w:rFonts w:ascii="Times New Roman" w:hAnsi="Times New Roman"/>
          <w:sz w:val="20"/>
        </w:rPr>
        <w:t xml:space="preserve">Thomas (Tad) A. Decker has significant experience in corporate finance, mergers and acquisitions, complex regulatory and legal issues, financial reporting and accounting and controls. He has also served in senior leadership roles in a number of global organizations such as Cozen OConnor, Asbury Automotive, Inc., Unisource Worldwide, Inc. and Saint-Gobain Corporation. Since 2013, he has been the Vice Chairman of Cozen OConnor, a law firm with 30 offices and over 775 attorneys. He served as Chief Executive Officer of the firm from 2007 to 2012, and as Managing Partner from May 2000 until 2004. From 2004 until 2007, he served as inaugural Chairman of the Pennsylvania Gaming Control Board following the appointment by Pennsylvania Governor Edward G. Rendell. He served as General Counsel and Executive Vice President for Asbury Automotive, Inc. from 1999 to 2000; General Counsel and Executive Vice President for Unisource Worldwide, Inc. (NYSE: UWW) from 1997 to 1999; and General Counsel, Secretary, Acting CFO and Chief Operating Officer for Saint-Gobain Corporation from 1974 to 1997. He led the corporate merger and acquisition activities during his tenures at Saint-Gobain Corporation and Unisource Worldwide, Inc. Since 2004, he has served on the board of directors of Actua Corporation (Nasdaq: ACTA), including serving as a member of its Audit Committee, Compensation Committee and Nominating and Corporate Governance Committee. He served as a Director and a member at various times of the Audit Committee and Compensation Committee of Pierce Leahy Corporation (NYSE: PLH) from 1993 to 1999, and has served as a Board member of numerous nonprofit institutions. </w:t>
      </w:r>
    </w:p>
    <w:p>
      <w:pPr>
        <w:pStyle w:val="TextBody"/>
        <w:bidi w:val="0"/>
        <w:spacing w:before="240" w:after="0"/>
        <w:jc w:val="left"/>
        <w:rPr>
          <w:rFonts w:ascii="Times New Roman" w:hAnsi="Times New Roman"/>
          <w:sz w:val="20"/>
        </w:rPr>
      </w:pPr>
      <w:r>
        <w:rPr>
          <w:rFonts w:ascii="Times New Roman" w:hAnsi="Times New Roman"/>
          <w:sz w:val="20"/>
        </w:rPr>
        <w:t xml:space="preserve">Celso L. White brings operational, industry, international business, strategic initiative, risk management and environmental and safety expertise to the Board as well as public Board experience. From 2013 to December 2019, he served as Global Chief Supply Chain Officer at Molson Coors Brewing Company (NYSE: TAP), one of the largest global brewers with more than 40 breweries in the United States, Canada, Europe and India and worldwide distribution, and with annual net sales of approximately $10.6 billion during 2019. From 2010 to January 2013, he was Vice President of International Supply Chain at Molson Coors. From 1998 to 2010, he was at PepsiCola (Nasdaq: PEP), leading the R&amp;D process and manufacturing technology teams from 1998 to 2004, and then as Vice President and General Manager of Concentrate Operations, responsible for the Americas and parts of Asia, from 2004 to 2010. He served in various senior operational roles at Silgin White Corp. from 1984 until 1990, M&amp;M/Mars from 1990 until 1993, and Campbell Soup Company (NYSE: CPB) from 1993 until 1998. In January 2020, he co-founded Igniting Business Growth LLC, a consultancy business. Since 2018, Mr. White has served as a Board member and a member of the Compensation and Management Development Committee of CF Industries Holdings, Inc. (NYSE: CF), one of the worlds largest manufacturers and distributors of nitrogen fertilizer and other nitrogen products. He serves on the Board of Colorado UpLift, whose mission is to build long-term, life-changing relationships with urban youth, based in Denver, Colorado. He is also a member of the Bradley University Board of Trustees.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management teams extensive relationships across the financial technologies industries, comprehensive operating experience building leading companies, transaction experience in acquiring and integrating businesses and focus on partnering with management teams to share our industry knowledge and network of long-standing industry relationships will enable us to access premium acquisition opportunities, consummate an initial business combination and facilitate innovative operational improvements and potential additional acquisitions post-close. Our collective experience in addressing complex situations across consumer- and business-facing business models involving a variety of revenue models and constituents, including the FinTech payment ecosystem and related consumer engagement platforms, and developing creative solutions forms the foundation of our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past performance of our management team is not a guarantee of success with respect to any business combination we may consummate. No member of our management team has had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 experience with any special purpose acquisition company in the past. You should not rely on the historical record of our management teams performance as indicative of future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In determining which potential business combination opportunities to pursue, Armadas management considered a variety of factors in selecting potential business combination targets, including, but not limited to, the potential transaction size and enterprise value for the target relative to the size of Armadas Trust Account; the industry in which the target operates, with a focus on those targets that fit within the acquisition criteria set forth in its final prospectus for Armadas initial public offering in the digital, on-line or mobile payment solutions, processing and gateway services sectors, and/or with point-of-sale technologies, consumer marketing platforms, and e-commerce and loyalty solutions; and the public company readiness of the potential business combination targets, including the experience and composition of the management teams of the potential business combination targets. </w:t>
      </w:r>
    </w:p>
    <w:p>
      <w:pPr>
        <w:pStyle w:val="TextBody"/>
        <w:bidi w:val="0"/>
        <w:spacing w:before="240" w:after="0"/>
        <w:jc w:val="left"/>
        <w:rPr>
          <w:rFonts w:ascii="Times New Roman" w:hAnsi="Times New Roman"/>
          <w:sz w:val="20"/>
        </w:rPr>
      </w:pPr>
      <w:r>
        <w:rPr>
          <w:rFonts w:ascii="Times New Roman" w:hAnsi="Times New Roman"/>
          <w:sz w:val="20"/>
        </w:rPr>
        <w:t xml:space="preserve">Armada determined to enter into a letter of intent with Rezolve and to pursue a potential Business Combination with Rezolve, due to, among other things, Rezolves public company readiness, including its expressed interest and pursuit of a potential business combination with a special purpose acquisition company, and the fact that Rezolve had already commenced the Public Company Accounting Oversight Board (PCAOB) audit of its 2020 financial statements. Additionally, Armadas management prioritized Rezolve as a potential business combination target because its business fit within the acquisition criteria set forth in Armadas final prospectus for its initial public offering, notably that Rezolve was a provider of ecommerce software solutions that had commenced generating recurring revenues on a projected annualized basis of approximately $180 million and had approximately 100,000 merchants engaged on its platform. </w:t>
      </w:r>
    </w:p>
    <w:p>
      <w:pPr>
        <w:pStyle w:val="TextBody"/>
        <w:bidi w:val="0"/>
        <w:spacing w:before="360" w:after="0"/>
        <w:jc w:val="left"/>
        <w:rPr>
          <w:rFonts w:ascii="Times New Roman" w:hAnsi="Times New Roman"/>
          <w:b/>
          <w:sz w:val="20"/>
        </w:rPr>
      </w:pPr>
      <w:r>
        <w:rPr>
          <w:rFonts w:ascii="Times New Roman" w:hAnsi="Times New Roman"/>
          <w:b/>
          <w:sz w:val="20"/>
        </w:rPr>
        <w:t xml:space="preserve">Acquisition / Investment Criteria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our initial public offering, we identified the following general criteria that we believed would be important in evaluating prospective target businesses. We used these criteria in evaluating initial business combination opportunities, but we did not limit our evaluation of our initial business combination to target businesses that meet these criteria. We expected that no individual criterion would entirely determine a decision to pursue a particular opportunity. We sought a business combination with a business that we believed: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fundamentally sound and can unlock and enhance stockholder value through a combination with us, thereby offering attractive risk-adjusted returns for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at an inflection point, such as requiring additional management expertise, and able to accelerate growth and financial performance through differentiated business models and the addition of our operational, financial, transactional and legal expertise and networks;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in need of a flexible, creative or opportunistic structure where we can deliver additional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a strong, experienced management team, or provides a platform to assemble an effective management team with a track record of driving growth and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 benefit from being a publicly traded company, with access to broader capital markets, to achieve the business growth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poised to grow both organically through the application of technology, as well as inorganically, through bolt-on or transformational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a leading or niche market position and demonstrates advantages when compared to competitors, which may help to create barriers to entry against new competitors;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Exhibits unrecognized value or other characteristics that we believe can be enhanced based on our analysis and due diligence review.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Rezolve meets these criteria.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anticipate offering the following benefits to Rezolve: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 with our management team members who have extensive and proven experience in operating, leading, advising and investing in market-leading financial services and FinTech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to our deep and broad networks, insights and operational, financial, transactional, and legal and regulatory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company profile and improved credibility with investors, customers, suppliers and other key stakeholders;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Higher level of engagement with core, relevant, fundamental investors as anchor stockholders than what a traditional IPO book-building process offers;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Lower risk path to a public listing with flexible structuring;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Infusion of cash and ongoing access to public capital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Listed public currency for future acquisitions and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for management team to retain control and focus on growing the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Opportunity to motivate and retain employees using stock-based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criteria were not intended to be exhaustive. Our evaluation relating to the merits of our business combination with Rezolve were based, to the extent relevant, on these general criteria as well as other considerations and factors that our management team and advisors deemed relevant as discussed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our amended and restated certificate of incorporation, we will have until 24 months from the closing of our initial public offering to consummate an initial business combination (as extended). Pursuant to the terms of our amended and restated certificate of incorporation and the trust agreement between us and Continental Stock Transfer &amp; Trust Company, in order to extend the initial time available for us to consummate our initial business combination from 15 months to 18 months from the closing of our initial public offering, our sponsor or its affiliates or designees, upon ten days advance notice prior to the applicable deadline, deposited into the trust account $1,500,000, or $0.10 per share, which were made in the form of a non-interest bearing loan payable upon the consummation of our initial business combination. If we complete our initial business combination, we will be entitled to be repaid such loaned amounts out of the proceeds of the Trust Account released to us. If we do not complete a business combination, we will not be repaid such loans. On February 2, 2023, our stockholders approved an extension of the date by which we must consummate our initial business combination from February 17, 2023 for up to six additional months at the election of the Company, ultimately until as late as August 17, 2023. In connection with the extension, on January 20, 2023, Armada and its Sponsor, entered into one or more agreements (the Non-Redemption Agreements ) with one or more third parties (the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to the Non-Redeeming Stockholders, which shares will be transferred to the Non-Redeeming Stockholders subject to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Our Acquisition Process </w:t>
      </w:r>
    </w:p>
    <w:p>
      <w:pPr>
        <w:pStyle w:val="TextBody"/>
        <w:bidi w:val="0"/>
        <w:spacing w:before="120" w:after="0"/>
        <w:jc w:val="left"/>
        <w:rPr>
          <w:rFonts w:ascii="Times New Roman" w:hAnsi="Times New Roman"/>
          <w:sz w:val="20"/>
        </w:rPr>
      </w:pPr>
      <w:r>
        <w:rPr>
          <w:rFonts w:ascii="Times New Roman" w:hAnsi="Times New Roman"/>
          <w:sz w:val="20"/>
        </w:rPr>
        <w:t xml:space="preserve">In evaluating a prospective target business, we conducted thorough due diligence that encompassed, among other things, meetings with incumbent management and employees, document reviews, inspection of facilities, as well as a review of financial and other information. We utilized our operational and capital allocation experience.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17, 2021, we announced that we entered into the Business Combination Agreement. Each of our officers and directors presently has,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opportunity to such entity. We do not believe, however, that the fiduciary duties or contractual obligations of our officers or directors will materially affect our ability to complete our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Initial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Our initial business combination must occur with one or more target businesses that together have an aggregate fair market value of at least 80% of the assets held in the Trust Account (excluding deferred underwriting commissions and taxes payable on the income earned on the Trust Account) at the time of the agreement to enter into the initial business combination. If our board is not able to independently determine the fair market value of the target business or businesses, we will obtain an opinion from an independent investment banking firm or another independent entity that commonly renders valuation opinions with respect to the satisfaction of such criteria. </w:t>
      </w:r>
    </w:p>
    <w:p>
      <w:pPr>
        <w:pStyle w:val="TextBody"/>
        <w:bidi w:val="0"/>
        <w:spacing w:before="360" w:after="0"/>
        <w:jc w:val="left"/>
        <w:rPr>
          <w:rFonts w:ascii="Times New Roman" w:hAnsi="Times New Roman"/>
          <w:b/>
          <w:sz w:val="20"/>
        </w:rPr>
      </w:pPr>
      <w:r>
        <w:rPr>
          <w:rFonts w:ascii="Times New Roman" w:hAnsi="Times New Roman"/>
          <w:b/>
          <w:sz w:val="20"/>
        </w:rPr>
        <w:t xml:space="preserve">Effecting a Business Combination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not presently engaged in, and we will not engage in, any substantive commercial business for an indefinite period of time. We intend to utilize cash derived from the proceeds of our initial public offering and the sale of private shares, our capital stock, debt or a combination of these in effecting a business combination which at the time of our IPO had not yet been identified. Accordingly, investors invested without first having an opportunity to evaluate the specific merits or risks of any one or more business combinations.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significant expense, loss of voting control and compliance with various federal and state securities laws.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Selection of a Target Business and Structuring of a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our management teams pre-existing fiduciary obligations and the limitations that a target business have a fair market value of at least 80% of the balance in the Trust Account (excluding deferred underwriting commissions and taxes payable)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 </w:t>
      </w:r>
    </w:p>
    <w:p>
      <w:pPr>
        <w:pStyle w:val="TextBody"/>
        <w:bidi w:val="0"/>
        <w:spacing w:before="240" w:after="0"/>
        <w:jc w:val="left"/>
        <w:rPr>
          <w:rFonts w:ascii="Times New Roman" w:hAnsi="Times New Roman"/>
          <w:sz w:val="20"/>
        </w:rPr>
      </w:pPr>
      <w:r>
        <w:rPr>
          <w:rFonts w:ascii="Times New Roman" w:hAnsi="Times New Roman"/>
          <w:sz w:val="20"/>
        </w:rPr>
        <w:t xml:space="preserve">We have not established any specific attributes or criteria (financial or otherwise) for prospective target businesses. In evaluating Rezolve, our management considered a variety of factors, including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condition and results of operation;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growth potential;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brand recognition and potential;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 and skill of management and availability of additional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barriers to entry;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stage of development of the products, processes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distribution and potential for expansion;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degree of current or potential market acceptance of the products, processes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proprietary aspects of products and the extent of intellectual property or other protection for products or formulas;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of regulation on the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environment of the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effecting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industry leadership, sustainability of market share and attractiveness of market industries in which a target business participates;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macro competitive dynamics in the industry within which the company competes.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Rezolve, we conducted an extensive due diligence review which encompassed, among other things, meetings with incumbent management and inspection of facilities, as well as review of financial and other information which was made available to us. This due diligence review was conducted by our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Market Value of Target Business </w:t>
      </w:r>
    </w:p>
    <w:p>
      <w:pPr>
        <w:pStyle w:val="TextBody"/>
        <w:bidi w:val="0"/>
        <w:spacing w:before="120" w:after="0"/>
        <w:jc w:val="left"/>
        <w:rPr>
          <w:rFonts w:ascii="Times New Roman" w:hAnsi="Times New Roman"/>
          <w:sz w:val="20"/>
        </w:rPr>
      </w:pPr>
      <w:r>
        <w:rPr>
          <w:rFonts w:ascii="Times New Roman" w:hAnsi="Times New Roman"/>
          <w:sz w:val="20"/>
        </w:rPr>
        <w:t xml:space="preserve">Nasdaq listing rules require that the target business or businesses that we acquire must collectively have a fair market value equal to at least 80% of the balance of the funds in the Trust Account (excluding deferred underwriting commissions and taxes payable) at the time of the execution of a definitive agreement for our initial business combination. Notwithstanding the foregoing, if we are not then listed on Nasdaq for whatever reason, we would no longer be required to meet the foregoing 80% fair market value test.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is structured whereby following the Company Reorganization, (a) Rezolve Merger Sub will be merged with and into Armada whereupon Rezolve Merger Sub will cease to exist and Armada will survive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 </w:t>
      </w:r>
    </w:p>
    <w:p>
      <w:pPr>
        <w:pStyle w:val="TextBody"/>
        <w:bidi w:val="0"/>
        <w:spacing w:before="240" w:after="0"/>
        <w:jc w:val="left"/>
        <w:rPr>
          <w:rFonts w:ascii="Times New Roman" w:hAnsi="Times New Roman"/>
          <w:sz w:val="20"/>
        </w:rPr>
      </w:pPr>
      <w:r>
        <w:rPr>
          <w:rFonts w:ascii="Times New Roman" w:hAnsi="Times New Roman"/>
          <w:sz w:val="20"/>
        </w:rPr>
        <w:t>The fair market value of the target will be determined by our board of directors based upon one or more standards generally accepted by the financial community (such as actual and potential sales, earnings, cash flow and/or book value). This proxy statement/prospectus contains analysis of the fair market value of the target business, as well as the basis for our determinations upon which Armadas board of directors relied. (Please see the section entitled </w:t>
      </w:r>
      <w:r>
        <w:rPr>
          <w:rFonts w:ascii="Times New Roman" w:hAnsi="Times New Roman"/>
          <w:i/>
          <w:sz w:val="20"/>
        </w:rPr>
        <w:t>The Business Combination Proposal  Opinion of Marshall</w:t>
      </w:r>
      <w:r>
        <w:rPr>
          <w:rFonts w:ascii="Times New Roman" w:hAnsi="Times New Roman"/>
          <w:sz w:val="20"/>
        </w:rPr>
        <w:t> </w:t>
      </w:r>
      <w:r>
        <w:rPr>
          <w:rFonts w:ascii="Times New Roman" w:hAnsi="Times New Roman"/>
          <w:i/>
          <w:sz w:val="20"/>
        </w:rPr>
        <w:t>&amp; Stevens</w:t>
      </w:r>
      <w:r>
        <w:rPr>
          <w:rFonts w:ascii="Times New Roman" w:hAnsi="Times New Roman"/>
          <w:sz w:val="20"/>
        </w:rPr>
        <w:t xml:space="preserve"> and the written opinion of Marshall &amp; Stevens attached as </w:t>
      </w:r>
      <w:r>
        <w:rPr>
          <w:rFonts w:ascii="Times New Roman" w:hAnsi="Times New Roman"/>
          <w:i/>
          <w:sz w:val="20"/>
        </w:rPr>
        <w:t xml:space="preserve">Annex </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Stockholders May Not Have the Ability to Approve an Initial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any proposed business combination, we will seek stockholder approval of our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We will consummate our initial business combination only if we have net tangible assets of at least $5,000,001 immediately prior to or upon consummation of such business combination, unless the Charter Limitation Amendment Proposal is approved and is implemented, and a majority of the outstanding shares of common stock voted are voted in favor of the business combination. We cannot assure you as to how such anchor investors will vote on the Business Combination. We have no specified maximum percentage threshold for redemptions in our amended and restated certificate of incorporation and even those public stockholders who vote in favor of our initial business combination have the right to redeem their public shares. As a result, this may make it easier for us to consummate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Our sponsor, officers and directors have agreed (1) to vote any shares of common stock owned by them in favor of any proposed business combination (which includes the Business Combination), (2) not to redeem any shares of common stock in connection with a stockholder vote to approve a proposed initial business combination (which includes the Business Combination) and (3) not to sell any shares of common stock in any tender in connection with a proposed initial business combination (which includes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None of our officers, directors, sponsor, or their affiliates has indicated any intention to purchase units or shares of common stock from persons in the open market or in private transactions. However, if a significant number of stockholders vote, or indicate an intention to vote, against Business Combination or that they wish to redeem their shares, our officers, directors, sponsor, or their affiliates could make such purchases in the open market or in private transactions in order to influence the vote and reduce the number of redemptions. Notwithstanding the foregoing, our officers, directors, sponsor, and their affiliates will not make purchases of shares of common stock if the purchases would violate Section 9(a)(2) or Rule 10b-5 of the Exchange Act, which are rules designed to stop potential manipulation of a companys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In order to exercise your redemption rights, you must (i)(a) hold public shares or (b) hold public shares through units and elect to separate your units into the underlying public shares and public warrants prior to exercising your redemption rights with respect to the public shares; and (ii) prior to 5:00 p.m. Eastern time on                 , 2023 (two business days before the Special Meeting) (a) submit a written request to the Transfer Agent that Armada redeem your public shares for cash and (b) deliver your public shares to the Transfer Agent, physically or electronically through Depository Trust Company (DTC). Any demand for redemption, once made, may be withdrawn at any time until the deadline for exercising redemption requests and thereafter, with our consent, until the vote is taken with respect to the Business Combination. The Transfer Agents address is as follows: </w:t>
      </w:r>
    </w:p>
    <w:p>
      <w:pPr>
        <w:pStyle w:val="TextBody"/>
        <w:bidi w:val="0"/>
        <w:spacing w:before="240" w:after="0"/>
        <w:jc w:val="center"/>
        <w:rPr>
          <w:rFonts w:ascii="Times New Roman" w:hAnsi="Times New Roman"/>
          <w:sz w:val="20"/>
        </w:rPr>
      </w:pPr>
      <w:r>
        <w:rPr>
          <w:rFonts w:ascii="Times New Roman" w:hAnsi="Times New Roman"/>
          <w:sz w:val="20"/>
        </w:rPr>
        <w:t xml:space="preserve">Continental Stock Transfer &amp; Trust Company </w:t>
      </w:r>
    </w:p>
    <w:p>
      <w:pPr>
        <w:pStyle w:val="TextBody"/>
        <w:bidi w:val="0"/>
        <w:spacing w:before="240" w:after="0"/>
        <w:jc w:val="center"/>
        <w:rPr>
          <w:rFonts w:ascii="Times New Roman" w:hAnsi="Times New Roman"/>
          <w:sz w:val="20"/>
        </w:rPr>
      </w:pPr>
      <w:r>
        <w:rPr>
          <w:rFonts w:ascii="Times New Roman" w:hAnsi="Times New Roman"/>
          <w:sz w:val="20"/>
        </w:rPr>
        <w:t xml:space="preserve">1 State Street  30th Floor </w:t>
      </w:r>
    </w:p>
    <w:p>
      <w:pPr>
        <w:pStyle w:val="TextBody"/>
        <w:bidi w:val="0"/>
        <w:spacing w:before="240" w:after="0"/>
        <w:jc w:val="center"/>
        <w:rPr>
          <w:rFonts w:ascii="Times New Roman" w:hAnsi="Times New Roman"/>
          <w:sz w:val="20"/>
        </w:rPr>
      </w:pPr>
      <w:r>
        <w:rPr>
          <w:rFonts w:ascii="Times New Roman" w:hAnsi="Times New Roman"/>
          <w:sz w:val="20"/>
        </w:rPr>
        <w:t xml:space="preserve">New York, New York 10004 </w:t>
      </w:r>
    </w:p>
    <w:p>
      <w:pPr>
        <w:pStyle w:val="TextBody"/>
        <w:bidi w:val="0"/>
        <w:spacing w:before="240" w:after="0"/>
        <w:jc w:val="left"/>
        <w:rPr>
          <w:rFonts w:ascii="Times New Roman" w:hAnsi="Times New Roman"/>
          <w:sz w:val="20"/>
        </w:rPr>
      </w:pPr>
      <w:r>
        <w:rPr>
          <w:rFonts w:ascii="Times New Roman" w:hAnsi="Times New Roman"/>
          <w:sz w:val="20"/>
        </w:rPr>
        <w:t xml:space="preserve">You must also affirmatively certify in your request to the Transfer Agent for redemption if you ARE or ARE NOT acting in concert or as a group (as defined in Section 13d-3 of the Exchange Act) with any other stockholder with respect to shares of Armada Common Stock. Notwithstanding the foregoing, a holder of public shares, together with any affiliate of his or any other person with whom he is acting in concert or as a group (as defined in Section 13d-3 of the Exchange Act) will be restricted from seeking Redemption Rights with respect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 than 15% of the public shares, which we refer to as the 15% threshold. Accordingly, all public shares in excess of the 15% threshold beneficially owned by a public stockholder or group (as defined in Section 13d-3 of the Exchange Act) will not be redeemed for cash. </w:t>
      </w:r>
    </w:p>
    <w:p>
      <w:pPr>
        <w:pStyle w:val="TextBody"/>
        <w:bidi w:val="0"/>
        <w:spacing w:before="240" w:after="0"/>
        <w:jc w:val="left"/>
        <w:rPr>
          <w:rFonts w:ascii="Times New Roman" w:hAnsi="Times New Roman"/>
          <w:sz w:val="20"/>
        </w:rPr>
      </w:pPr>
      <w:r>
        <w:rPr>
          <w:rFonts w:ascii="Times New Roman" w:hAnsi="Times New Roman"/>
          <w:sz w:val="20"/>
        </w:rPr>
        <w:t xml:space="preserve">Public 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 </w:t>
      </w:r>
    </w:p>
    <w:p>
      <w:pPr>
        <w:pStyle w:val="TextBody"/>
        <w:bidi w:val="0"/>
        <w:spacing w:before="240" w:after="0"/>
        <w:jc w:val="left"/>
        <w:rPr>
          <w:rFonts w:ascii="Times New Roman" w:hAnsi="Times New Roman"/>
          <w:sz w:val="20"/>
        </w:rPr>
      </w:pPr>
      <w:r>
        <w:rPr>
          <w:rFonts w:ascii="Times New Roman" w:hAnsi="Times New Roman"/>
          <w:sz w:val="20"/>
        </w:rPr>
        <w:t xml:space="preserve">Public stockholders seeking to exercise their Redemption Rights, whether they are record holders or hold their shares in street name, are required to either tender their certificates to our Transfer Agent prior to the date that is two business days prior to the Special Meeting, or to deliver their shares to the Transfer Agent electronically using DTC Deposit/Withdrawal At Custodian (DWAC) system, at such public stockholders option. The requirement for physical or electronic delivery prior to the Special Meeting ensures that a redeeming public stockholders election to redeem is irrevocable once the Business Combination is approved. </w:t>
      </w:r>
    </w:p>
    <w:p>
      <w:pPr>
        <w:pStyle w:val="TextBody"/>
        <w:bidi w:val="0"/>
        <w:spacing w:before="240" w:after="0"/>
        <w:jc w:val="left"/>
        <w:rPr>
          <w:rFonts w:ascii="Times New Roman" w:hAnsi="Times New Roman"/>
          <w:sz w:val="20"/>
        </w:rPr>
      </w:pPr>
      <w:r>
        <w:rPr>
          <w:rFonts w:ascii="Times New Roman" w:hAnsi="Times New Roman"/>
          <w:sz w:val="20"/>
        </w:rPr>
        <w:t xml:space="preserve">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such delivery must be effectuated. </w:t>
      </w:r>
    </w:p>
    <w:p>
      <w:pPr>
        <w:pStyle w:val="TextBody"/>
        <w:bidi w:val="0"/>
        <w:spacing w:before="240" w:after="0"/>
        <w:jc w:val="left"/>
        <w:rPr>
          <w:rFonts w:ascii="Times New Roman" w:hAnsi="Times New Roman"/>
          <w:sz w:val="20"/>
        </w:rPr>
      </w:pPr>
      <w:r>
        <w:rPr>
          <w:rFonts w:ascii="Times New Roman" w:hAnsi="Times New Roman"/>
          <w:sz w:val="20"/>
        </w:rPr>
        <w:t xml:space="preserve">Each public stockholder may elect to redeem its public shares irrespective of whether they vote for or against the Proposed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under the question Who can help answer my questions? Furthermore, if a holder of public shares delivered his certificate in connection with an election of their redemption and subsequently decides prior to the applicable date not to elect to exercise such rights, he may simply request that the transfer agent return the certificate (physically or electronically). </w:t>
      </w:r>
    </w:p>
    <w:p>
      <w:pPr>
        <w:pStyle w:val="TextBody"/>
        <w:bidi w:val="0"/>
        <w:spacing w:before="240" w:after="0"/>
        <w:jc w:val="left"/>
        <w:rPr>
          <w:rFonts w:ascii="Times New Roman" w:hAnsi="Times New Roman"/>
          <w:sz w:val="20"/>
        </w:rPr>
      </w:pPr>
      <w:r>
        <w:rPr>
          <w:rFonts w:ascii="Times New Roman" w:hAnsi="Times New Roman"/>
          <w:sz w:val="20"/>
        </w:rPr>
        <w:t xml:space="preserve">If the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shares delivered by public 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if No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we will have only 24 months (as extended) from the closing of our initial public offering to complete an initial business combination. If we have not completed an initial business combination by such date,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not previously released to us but net of taxes payable, divided by the number of then outstanding public shares, which redemption will completely extinguish public stockholders rights as stockholders (including the right to receive further liquidation distributions,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Our sponsor, officers and directors have agreed that they will not propose any amendment to our amended and restated certificate of incorporation that would affect our public stockholders ability to redeem or sell their shares to us in connection with a business combination as described herein or affect the substance or timing of our obligation to redeem 100% of our public shares if we do not complete a business combination within 24 months (as extended) from the closing of our initial public offering unless we provide our public stockholders with the opportunity to redeem their shares of common stock upon such approval at a per-share price, payable in cash, equal to the aggregate amount then on deposit in the Trust Account, including interest not previously released to us but net of franchise and income taxes payable, divided by the number of then outstanding public shares. This redemption right shall apply in the event of the approval of any such amendment, whether proposed by our sponsor, executive officers, directors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It is our intention to redeem our public shares as soon as reasonably possible following August 17, 2023 (unless further extended),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 </w:t>
      </w:r>
    </w:p>
    <w:p>
      <w:pPr>
        <w:pStyle w:val="TextBody"/>
        <w:bidi w:val="0"/>
        <w:spacing w:before="240" w:after="0"/>
        <w:jc w:val="left"/>
        <w:rPr>
          <w:rFonts w:ascii="Times New Roman" w:hAnsi="Times New Roman"/>
          <w:sz w:val="20"/>
        </w:rPr>
      </w:pPr>
      <w:r>
        <w:rPr>
          <w:rFonts w:ascii="Times New Roman" w:hAnsi="Times New Roman"/>
          <w:sz w:val="20"/>
        </w:rPr>
        <w:t xml:space="preserve">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w:t>
      </w:r>
    </w:p>
    <w:p>
      <w:pPr>
        <w:pStyle w:val="TextBody"/>
        <w:bidi w:val="0"/>
        <w:spacing w:before="240" w:after="0"/>
        <w:jc w:val="left"/>
        <w:rPr>
          <w:rFonts w:ascii="Times New Roman" w:hAnsi="Times New Roman"/>
          <w:sz w:val="20"/>
        </w:rPr>
      </w:pPr>
      <w:r>
        <w:rPr>
          <w:rFonts w:ascii="Times New Roman" w:hAnsi="Times New Roman"/>
          <w:sz w:val="20"/>
        </w:rPr>
        <w:t xml:space="preserve">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claims that we expect could arise would be from our vendors for the Business Combination (including, without limitation, our lawyers, investment bankers and other advisors).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seek to have all third parties (including any vendors or other entities we engage after our initial public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any liability extending to the trust. We therefore believe that any necessary provision for creditors will be reduced and should not have a significant impact on our ability to distribute the funds in the Trust Account to our public stockholders. Nevertheless, Marcum LLP, our independent registered public accounting firm, and the underwriters of the offering, have not agreed to execute agreements with us waiving such claims to the monies held in the Trust Account. Furthermore, there is no guarantee that other vendors, service providers and prospective target businesses will execute such agreements. Nor is there any guarantee that, even if they execute such agreements with us, they will not seek recourse against the Trust Account. Our sponsor has agreed that it will be liable to ensure that the proceeds in the Trust Account are not reduced below $10.00 per share by the claims of target businesses or claims of vendors or other entities that are owed money by us for services rendered or contracted for or products sold to us, but we cannot assure you that it will be able to satisfy its indemnification obligations if it is required to do so.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Additionally, the agreement entered into by our sponsor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our initial public offering against certain liabilities, including liabilities under the Securities Act. As a result, if we liquidate, the per-share distribution from the Trust Account could be less than $10.00 due to claims or potential claims of creditors. </w:t>
      </w:r>
    </w:p>
    <w:p>
      <w:pPr>
        <w:pStyle w:val="TextBody"/>
        <w:bidi w:val="0"/>
        <w:spacing w:before="240" w:after="0"/>
        <w:jc w:val="left"/>
        <w:rPr>
          <w:rFonts w:ascii="Times New Roman" w:hAnsi="Times New Roman"/>
          <w:sz w:val="20"/>
        </w:rPr>
      </w:pPr>
      <w:r>
        <w:rPr>
          <w:rFonts w:ascii="Times New Roman" w:hAnsi="Times New Roman"/>
          <w:sz w:val="20"/>
        </w:rPr>
        <w:t xml:space="preserve">We anticipate notifying the trustee of the Trust Account to begin liquidating such assets promptly after our 15th month or if extended, 18th month and anticipate it will take no more than 10 business days to effectuate such distribution. The holders of the founder shares have waived their rights to participate in any liquidation distribution from the Trust Account with respect to such shares. There will be no distribution from the Trust Account with respect to our warrants, which will expire worthless. 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$100,000) and has contractually agreed not to seek repayment for such expenses.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complete an initial business combination and expend all of the net proceeds of our initial public offering and the sale of the private shares, other than the proceeds deposited in the Trust Account, and without taking into account interest, if any, earned on the Trust Account, the initial per-share redemption price would be $10.00. As discussed above, the proceeds deposited in the Trust Account could become subject to claims of our creditors that are in preference to the claims of public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public stockholders shall be entitled to receive funds from the Trust Account only in the event of our failure to complete a business combination within the required time period, if the stockholders seek to have us redeem or purchase their respective shares upon a business combination which is actually completed by us or upon certain amendments to our amended and restated certificate of incorporation prior to consummating an initial business combination. In no other circumstances shall a stockholder have any right or interest of any kind to or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share. </w:t>
      </w:r>
    </w:p>
    <w:p>
      <w:pPr>
        <w:pStyle w:val="TextBody"/>
        <w:bidi w:val="0"/>
        <w:spacing w:before="240" w:after="0"/>
        <w:jc w:val="left"/>
        <w:rPr>
          <w:rFonts w:ascii="Times New Roman" w:hAnsi="Times New Roman"/>
          <w:sz w:val="20"/>
        </w:rPr>
      </w:pPr>
      <w:r>
        <w:rPr>
          <w:rFonts w:ascii="Times New Roman" w:hAnsi="Times New Roman"/>
          <w:sz w:val="20"/>
        </w:rPr>
        <w:t xml:space="preserve">If we are forced to file a bankruptcy case or an involuntary bankruptcy case is filed against us which is not dismissed, any distributions received by stockholders could be viewed under applicable debtor/creditor and/or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24 months (as extended) from the closing of our initial public offering,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and Restated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contains certain requirements and restrictions relating to our initial public offering that will apply to us until the consummation of our initial business combination. These provisions cannot be amended without the approval of a majority of our stockholders. If we seek to amend any provisions of our amended and restated certificate of incorporation that would affect our public stockholders ability to redeem or sell their shares to us in connection with a business combination as described herein or affect the substance or timing of our obligation to redeem 100% of our public shares if we do not complete a business combination within 24 months (as extended) from the closing of our initial public offering, we will provide dissenting public stockholders with the opportunity to redeem their public shares in connection with any such vote. This redemption right shall apply in the event of the approval of any such amendment, whether proposed by our sponsor, any executive officer, director or any other person. Our sponsor, officers and directors have agreed to waive any redemption rights with respect to any founder shares and any public shares they may hold in connection with any vote to amend our amended and restated certificate of incorporation. Specifically, our amended and restated certificate of incorporation provides, among other things,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shall either (1) seek stockholder approval of our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consummate our initial business combination only if we have net tangible assets of at least $5,000,001 immediately prior to or upon consummation of such business combination, unless the Charter Limitation Amendment Proposal is approved and implemented, and, if we seek stockholder approval, a majority of the outstanding shares of common stock voted are voted in favor of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initial business combination is not consummated within 24 months (as extended) from the closing of our initial public offering, then we will redeem all of the outstanding public shares and thereafter liquidate and dissolve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consummation of our initial public offering, $150.0 million shall be placed into the Trust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consummate any other business combination, merger, capital stock exchange, asset acquisition, stock purchase, reorganization or similar transaction prior to our initial business combination;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our initial business combination, we may not issue additional stock that participates in any manner in the proceeds of the Trust Account, or that votes as a class with the common stock sold in our initial public offering on an initial business combination.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maintain our principal executive offices at 2005 Market Street, Suite 3120, Philadelphia, PA 19103. The cost for this space is included in the $10,000 per-month fee to our sponsor. We believe, based on rents and fees for similar services, that the fee charged by our sponsor is at least as favorable as we could have obtained from an unaffiliated person. We consider our current office space adequate for our current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w:t>
      </w:r>
    </w:p>
    <w:p>
      <w:pPr>
        <w:pStyle w:val="TextBody"/>
        <w:bidi w:val="0"/>
        <w:spacing w:before="120" w:after="0"/>
        <w:jc w:val="left"/>
        <w:rPr>
          <w:rFonts w:ascii="Times New Roman" w:hAnsi="Times New Roman"/>
          <w:sz w:val="20"/>
        </w:rPr>
      </w:pPr>
      <w:r>
        <w:rPr>
          <w:rFonts w:ascii="Times New Roman" w:hAnsi="Times New Roman"/>
          <w:sz w:val="20"/>
        </w:rPr>
        <w:t xml:space="preserve">We have two executive officers. These individuals are not obligated to devote any specific number of hours to our matters and intend to devote only as much time as they deem necessary to our affairs. The amount of time they will devote in any time period will vary based on the stage of the business combination process the company is in. We presently expect our executive officers to devote such amount of time as they reasonably believe is necessary to our business. We do not intend to have any full-time employees prior to the consummation of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Armada will continue to exist as a wholly-owned subsidiary of Rezolve for potential business purposes, including, but not limited to, potential expansions of Rezolves operations into the United States as may be determined by Rezolves board of directors. Rezolves board of directors may, however, in its judgment, determine to dissolve Armada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There is no material litigation, arbitration or governmental proceeding currently pending against us or any members of our management team in their capacity as such. </w:t>
      </w:r>
    </w:p>
    <w:p>
      <w:pPr>
        <w:pStyle w:val="TextBody"/>
        <w:bidi w:val="0"/>
        <w:spacing w:before="360" w:after="0"/>
        <w:jc w:val="left"/>
        <w:rPr>
          <w:rFonts w:ascii="Times New Roman" w:hAnsi="Times New Roman"/>
          <w:b/>
          <w:sz w:val="20"/>
        </w:rPr>
      </w:pPr>
      <w:r>
        <w:rPr>
          <w:rFonts w:ascii="Times New Roman" w:hAnsi="Times New Roman"/>
          <w:b/>
          <w:sz w:val="20"/>
        </w:rPr>
        <w:t xml:space="preserve">Periodic Reporting and Audited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registered our units, common stock and warrants under the Exchange Act and are subject to reporting obligations, including the requirement that we file annual, quarterly and current reports with the SEC. In accordance with the requirements of the Exchange Act, our annual report contains financial statements audited and reported on by our independent registered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contains the audited financial statements of our target business, Rezolve, to assist our stockholders in assessing the Business Combination. These financial statements have been prepared in accordance with or reconciled to United States generally accepted accounting principles or international financial reporting standards as promulgated by the International Accounting Standards Board. </w:t>
      </w:r>
    </w:p>
    <w:p>
      <w:pPr>
        <w:pStyle w:val="TextBody"/>
        <w:bidi w:val="0"/>
        <w:spacing w:before="240" w:after="0"/>
        <w:jc w:val="left"/>
        <w:rPr>
          <w:rFonts w:ascii="Times New Roman" w:hAnsi="Times New Roman"/>
          <w:sz w:val="20"/>
        </w:rPr>
      </w:pPr>
      <w:r>
        <w:rPr>
          <w:rFonts w:ascii="Times New Roman" w:hAnsi="Times New Roman"/>
          <w:sz w:val="20"/>
        </w:rPr>
        <w:t xml:space="preserve">We may be required to have our internal control procedures audited for the fiscal year ending September 30, 2023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tx309194_21"/>
      <w:bookmarkEnd w:id="24"/>
      <w:r>
        <w:rPr>
          <w:rFonts w:ascii="Times New Roman" w:hAnsi="Times New Roman"/>
          <w:b/>
          <w:sz w:val="20"/>
        </w:rPr>
        <w:t xml:space="preserve">ARMADAS MANAGEMENTS DISCUSSION AND ANALYSIS OF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In this section, references to the Company, us or we refer to Armada Acquisition Corp. I.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and analysis of the Companys financial condition and results of operations should be read in conjunction with the financial statements and the notes thereto contained elsewhere in this report.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blank check company incorporated in Delaware on November 5, 2020, for the purpose of effecting a merger, stock exchange, asset acquisition, stock purchase, reorganization or other similar business combination with one or more businesses. </w:t>
      </w:r>
    </w:p>
    <w:p>
      <w:pPr>
        <w:pStyle w:val="TextBody"/>
        <w:bidi w:val="0"/>
        <w:spacing w:before="240" w:after="0"/>
        <w:jc w:val="left"/>
        <w:rPr>
          <w:rFonts w:ascii="Times New Roman" w:hAnsi="Times New Roman"/>
          <w:sz w:val="20"/>
        </w:rPr>
      </w:pPr>
      <w:r>
        <w:rPr>
          <w:rFonts w:ascii="Times New Roman" w:hAnsi="Times New Roman"/>
          <w:sz w:val="20"/>
        </w:rPr>
        <w:t xml:space="preserve">On August 17, 2021, we consummated our IPO of 15,000,000 units, at $10.00 per unit, generating gross proceeds of $150 million.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closing of the IPO, we consummated the private placement of 459,500 Private Shares for an aggregate purchase price of $4,595,000. </w:t>
      </w:r>
    </w:p>
    <w:p>
      <w:pPr>
        <w:pStyle w:val="TextBody"/>
        <w:bidi w:val="0"/>
        <w:spacing w:before="240" w:after="0"/>
        <w:jc w:val="left"/>
        <w:rPr>
          <w:rFonts w:ascii="Times New Roman" w:hAnsi="Times New Roman"/>
          <w:sz w:val="20"/>
        </w:rPr>
      </w:pPr>
      <w:r>
        <w:rPr>
          <w:rFonts w:ascii="Times New Roman" w:hAnsi="Times New Roman"/>
          <w:sz w:val="20"/>
        </w:rPr>
        <w:t xml:space="preserve">Upon the closing of the IPO on August 17, 2021, $150,000,000 ($10.00 per unit) from the net proceeds of the sale of the units in the IPO and the sale of Private Shares were placed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complete the initial Business Combination within the Combination Period,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us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liquidate and dissolve, subject (in the case of (ii) and (iii) above) to our obligations under Delaware law to provide for claims of creditors and the requirements of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On February 2, 2023, we held an annual meeting of our stockholders (the Annual Meeting). At the Annual Meeting, our stockholders approved an amendment to the Armada Charter to extend the date by which the Company must consummate a business combination or, if it fails to do so, cease its operations and redeem or repurchase 100% of the shares of the Companys Common Stock issued in the Companys initial public offering, from February 17, 2023 for up to six additional months at the election of the Company, ultimately until as late as August 17, 2023 (the Extension). We filed an amendment to the Armada Charter with the Secretary of State of the State of Delaware reflecting the Extension. In connection with the Extension, the holders of 11,491,148 shares of Armada Common Stock elected to redeem their shares at a per share redemption price of approximately $10.19. As a result, we removed $117,079,879 to pay such holders.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our plans to complete our initial business combination will be successful.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17, 2021, we announced that we entered into a business combination agreement, dated as of December 17, 2021, and amended on November 10, 2022, and as further amended and restated on June 16, 2023, with Rezolve Limited, a private limited liability company registered under the laws of England and Wales, Rezolve AI Limited, a private limited liability company registered under the laws of England and Wales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(Rezolve), and Rezolve Merger Sub, Inc., a Delaware corporation (Rezolve Merger Sub) (such business combination agreement, the Business Combination Agreement, and such business combination,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Business Combination Agreement Rezolve and Rezolve Merger Sub will effect a series of transactions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 Company Reorganization and the Business Combination (i) the shareholders of Rezolve will hold a number of Rezolve Ordinary Shares equal to the quotient obtained by dividing (x) $1,600,000,000 by (y) $10.00. They will also hold                  shares issued since December 17, 2021; and (ii) Rezolve will pay or cause to be paid all of the transaction expenses. </w:t>
      </w:r>
    </w:p>
    <w:p>
      <w:pPr>
        <w:pStyle w:val="TextBody"/>
        <w:bidi w:val="0"/>
        <w:spacing w:before="240" w:after="0"/>
        <w:jc w:val="left"/>
        <w:rPr>
          <w:rFonts w:ascii="Times New Roman" w:hAnsi="Times New Roman"/>
          <w:sz w:val="20"/>
        </w:rPr>
      </w:pPr>
      <w:r>
        <w:rPr>
          <w:rFonts w:ascii="Times New Roman" w:hAnsi="Times New Roman"/>
          <w:sz w:val="20"/>
        </w:rPr>
        <w:t xml:space="preserve">The proposed business combination values Rezolve at a pro forma enterprise value of approximately $1.60 billion. </w:t>
      </w:r>
    </w:p>
    <w:p>
      <w:pPr>
        <w:pStyle w:val="TextBody"/>
        <w:bidi w:val="0"/>
        <w:spacing w:before="240" w:after="0"/>
        <w:jc w:val="left"/>
        <w:rPr>
          <w:rFonts w:ascii="Times New Roman" w:hAnsi="Times New Roman"/>
          <w:sz w:val="20"/>
        </w:rPr>
      </w:pPr>
      <w:r>
        <w:rPr>
          <w:rFonts w:ascii="Times New Roman" w:hAnsi="Times New Roman"/>
          <w:sz w:val="20"/>
        </w:rPr>
        <w:t xml:space="preserve">Upon the closing of the transactions, it is expected that the company will be named Rezolve PLC and will be listed on The Nasdaq Stock Market LLC under the new ticker symbol                 . </w:t>
      </w:r>
    </w:p>
    <w:p>
      <w:pPr>
        <w:pStyle w:val="TextBody"/>
        <w:bidi w:val="0"/>
        <w:spacing w:before="240" w:after="0"/>
        <w:jc w:val="left"/>
        <w:rPr>
          <w:rFonts w:ascii="Times New Roman" w:hAnsi="Times New Roman"/>
          <w:sz w:val="20"/>
        </w:rPr>
      </w:pPr>
      <w:r>
        <w:rPr>
          <w:rFonts w:ascii="Times New Roman" w:hAnsi="Times New Roman"/>
          <w:sz w:val="20"/>
        </w:rPr>
        <w:t xml:space="preserve">The consummation of the Business Combination is subject to the satisfaction or waiver of certain customary closing conditions of the respective parties, including the completion of the Company Reorganization, the requisite approvals of our stockholders and Rezolves shareholders and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our plans to complete our initial business combination will be successful.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September 30, 2022, we had a net loss of $3,622,794, which consisted of formation and operating costs of $4,391,263, stock-based compensation of $111,852, and income tax provision of $145,621, partially offset by trust interest income of $1,025,942.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period from November 5, 2020 (inception) through September 30, 2021, we had a net loss of $468,899, which consisted of formation and operating costs of $184,105 and stock-based compensation of $285,846, partially offset by trust interest income of $1,052.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December 31, 2022, we had a net income of $607,027, which consisted of trust interest income of $1,289,673, offset by formation and operating costs of $394,352, stock-based compensation of $27,963, and income tax provision of $260,331.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December 31, 2021, we had a net loss of $2,036,114, which consisted of operating costs and costs related to a prospective initial Business Combination of $2,010,995 and stock-based compensation of $27,963, partially offset by trust interest income of $2,844.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March 31, 2023, we had a net loss of $27,143, which consisted of formation and operating costs of $790,735, stock-based compensation of $27,963, and income tax provision of $182,853, offset by trust interest income of $974,408.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March 31, 2023, we had a net income of $579,884, which consisted of trust interest income of $2,264,081, offset by formation and operating costs of $1,185,087, stock-based compensation of $55,926, and income tax provision of $443,184.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March 31, 2022, we had a net loss of $372,286, which consisted of operating costs and costs related to a prospective initial Business Combination of $356,666 and stock-based compensation of $27,963, partially offset by trust interest income of $12,243.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March 31, 2022, we had a net loss of $2,408,500, which consisted of operating costs and costs related to a prospective initial Business Combination of $2,367,661 and stock-based compensation of $55,926, partially offset by trust interest income of $15,087. </w:t>
      </w:r>
    </w:p>
    <w:p>
      <w:pPr>
        <w:pStyle w:val="TextBody"/>
        <w:bidi w:val="0"/>
        <w:spacing w:before="240" w:after="0"/>
        <w:jc w:val="left"/>
        <w:rPr>
          <w:rFonts w:ascii="Times New Roman" w:hAnsi="Times New Roman"/>
          <w:sz w:val="20"/>
        </w:rPr>
      </w:pPr>
      <w:r>
        <w:rPr>
          <w:rFonts w:ascii="Times New Roman" w:hAnsi="Times New Roman"/>
          <w:sz w:val="20"/>
        </w:rPr>
        <w:t xml:space="preserve">Following the exercise of the automatic extension of the deadline for us to complete an initial business combination under our second amended and restated certificate of incorporation (Charter), we had until February 17, 2023 (or 18 months following our initial public offering) to consummate a business combination (unless we further extend the period of time to consummate a business combination) (the Combination Period). At our Annual Meeting held on February 2, 2023, our stockholders approved an amendment to our Charter to consummate a business combination for up to six months until August 17, 2023 (unless we further extend the period of time to consummate a business combination) (the Combination Period). However, if we are unable to complete the initial Business Combination within the Combination Period (unless such period is further extended pursuant to the approval of our stockholders),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the Companys board of directors, liquidate and dissolve, subject (in the case of (ii) and (iii) above) to our obligations under Delaware law to provide for claims of creditors and the requirements of other applicable law. As of September 30, 2022 and December 31, 2022, the Trust Account has released $182,069 to the Company to pay tax obligations. As of March 31, 2023 the Trust Account has released $118,066,020 to the Company to pay tax obligations and for redemptions, including $117,079,879 for redemptions and $986,141 for tax obligations. </w:t>
      </w:r>
    </w:p>
    <w:p>
      <w:pPr>
        <w:pStyle w:val="TextBody"/>
        <w:bidi w:val="0"/>
        <w:spacing w:before="240" w:after="0"/>
        <w:jc w:val="left"/>
        <w:rPr>
          <w:rFonts w:ascii="Times New Roman" w:hAnsi="Times New Roman"/>
          <w:sz w:val="20"/>
        </w:rPr>
      </w:pPr>
      <w:r>
        <w:rPr>
          <w:rFonts w:ascii="Times New Roman" w:hAnsi="Times New Roman"/>
          <w:sz w:val="20"/>
        </w:rPr>
        <w:t xml:space="preserve">We have also agreed to reimburse the Sponsor for office space, secretarial and administrative services provided to members of our management team, in an amount not to exceed $10,000 per month. Upon completion of our initial business combination or our liquidation, we will cease paying these monthly fees. For the year 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September 30, 2022 and the period from November 5, 2020 (inception) through September 30, 2021, the Company paid $120,000 and $20,000 under this agreement, respectively. For the three months ended December 31, 2022 and 2021, the Company paid $30,000 under this agreement. For the three and six months ended March 31, 2023 and 2022, the Company paid $30,000 and $60,000, respectively, under this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2022, December 31, 2022 and March 31, 2023, we had cash outside our Trust Account of $177,578, $363,247, $235,949, respectively, available for working capital needs. All remaining cash was held in the Trust Account and is generally unavailable for our use, prior to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August 17, 2021, we completed the sale of 15,000,000 Units at $10.00 per Unit, generating gross proceeds of $150,000,000.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consummation of the IPO, the Company consummated the private placement of 459,500 shares of common stock (Private Shares), at a price of $10.00 per share for an aggregate purchase price of $4,595,000.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IPO, the underwriters were granted a 45-day option from the date of the prospectus for the IPO to purchase up to 2,250,000 additional units to cover over-allotments, if any. On October 1, 2021 this option expired unused. </w:t>
      </w:r>
    </w:p>
    <w:p>
      <w:pPr>
        <w:pStyle w:val="TextBody"/>
        <w:bidi w:val="0"/>
        <w:spacing w:before="240" w:after="0"/>
        <w:jc w:val="left"/>
        <w:rPr>
          <w:rFonts w:ascii="Times New Roman" w:hAnsi="Times New Roman"/>
          <w:sz w:val="20"/>
        </w:rPr>
      </w:pPr>
      <w:r>
        <w:rPr>
          <w:rFonts w:ascii="Times New Roman" w:hAnsi="Times New Roman"/>
          <w:sz w:val="20"/>
        </w:rPr>
        <w:t xml:space="preserve">Following our IPO and the sale of the Private Shares, a total of $150,000,000 ($10.00 per Unit) was placed in the Trust Account. We incurred $3,537,515 in IPO related costs, including $1,500,000 of underwriting fees and $2,037,515 of other costs. </w:t>
      </w:r>
    </w:p>
    <w:p>
      <w:pPr>
        <w:pStyle w:val="TextBody"/>
        <w:bidi w:val="0"/>
        <w:spacing w:before="240" w:after="0"/>
        <w:jc w:val="left"/>
        <w:rPr>
          <w:rFonts w:ascii="Times New Roman" w:hAnsi="Times New Roman"/>
          <w:sz w:val="20"/>
        </w:rPr>
      </w:pPr>
      <w:r>
        <w:rPr>
          <w:rFonts w:ascii="Times New Roman" w:hAnsi="Times New Roman"/>
          <w:sz w:val="20"/>
        </w:rPr>
        <w:t xml:space="preserve">On May 9, 2022, the Sponsor loaned us the aggregate amount of $483,034 in order to assist us to fund our working capital needs. On November 10, 2022 our Sponsor loaned us $1,500,000 in order to cover the additional contribution to the trust account required in connection with the automatic extension of our deadline to complete our Initial Business Combination and $450,000 for our working capital needs. These loans are evidenced by four promissory notes in the aggregate principal amount of $2,433,034 from us, as maker, to our Sponsor, as payee. The promissory notes are non-interest bearing and due on the earlier of: (i) the liquidation or release of all of the monies held in the Trust Account or (ii) the date on which we consummate an acquisition, merger or other business combination transaction involving us or our affiliates. The principal balance may be prepaid at any time. During July 2022, we fully repaid one of the promissory notes in the amount of $187,034 which represented monies loaned to us for the payment of Delaware franchise taxes. We utilized the interest earned on the Trust Account to repay the promissory note, $120,000 of which was distributed to it from the Trust Account during June 2022, and $62,069 of which was distributed to it from the Trust Account during July 2022. We also paid $44,246 on behalf of the Sponsor for tax services in August and September 2022. The aggregate balance outstanding under all promissory notes as of September 30, 2022, December 31, 2022 and March 31, 2023 was $2,201,754, $251,754 and $251,754,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2022, December 31, 2022 and March 31, 2023, we had investment held in the Trust Account of $150,844,925, $153,634,598 and $36,725,055, respectively. The investment held in the Trust Account was held in U.S. Treasury Bills with a maturity of 185 days or less and in money market funds which invest in U.S. Treasury securities. Interest income on the balance in the Trust Account may be used by us to pay taxes.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2022, December 31, 2022 and March 31, 2023 the Trust Account has released $182,069, $182,069 and $118,066,020, respectively, to the Company to pay tax obligations and for redemptions. In connection with the Extension approved by our stockholders on February 2, 2023, the holders of 11,491,148 shares of Common Stock elected to redeem their shares at a per share redemption price of approximately $10.19. As a result, $117,079,879 was removed from the Companys Trust Account to pay such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year ended September 30, 2022, cash used in operating activities was $913,835. Net loss of $3,622,794 was impacted primarily by changes in operating assets and liabilities of $3,623,049, stock-based compensation of $111,852, partially offset by trust interest income of $1,025,942.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December 31, 2021, cash used in operating activities was $237,890. Net loss of $2,036,114 was impacted primarily by changes in operating assets and liabilities of $1,773,105, stock-based compensation of $27,963, and trust interest income of $2,844.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March 31, 2023, cash used in operating activities was $1,195,701. Net income of $579,884 was impacted primarily by trust interest income of $2,264,081, changes in operating assets and liabilities of $432,570 and stock-based compensation of $55,926.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March 31, 2022, cash used in operating activities was $313,990. Net loss of $2,408,500 was impacted primarily by changes in operating assets and liabilities of $2,053,671, stock-based compensation of $55,926, partially offset by trust interest income of $15,087.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substantially all of the funds held in the Trust Account, including any amounts representing interest earned on the Trust Account to complete our initial business combination. We may withdraw interest to pay our taxes and liquidation expenses if we are unsuccessful in completing a business combination. We estimate our annual franchise tax obligations to be $200,000, which is the maximum amount of annual franchise taxes payable by us as a Delaware corporation per annum, which we may pay from funds from the Public Offering held outside of the Trust Account or from interest earned on the funds held in the Trust Account and released to us for this purpose. Our 2021 Delaware franchise tax amounted to $182,069 and our 2022 Delaware franchise tax exclusive of interest and penalty amounted to $200,000. Our annual income tax obligations will depend on the amount of interest and other income earned on the amounts held in the Trust Account reduced by our operating expense and franchise taxes.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The Trust Account has released $804,072 and $182,069 as of March 31, 2023 and September 30, 2022, respectively, to the Company to pay its income and franchise tax obligations. </w:t>
      </w:r>
    </w:p>
    <w:p>
      <w:pPr>
        <w:pStyle w:val="TextBody"/>
        <w:bidi w:val="0"/>
        <w:spacing w:before="240" w:after="0"/>
        <w:jc w:val="left"/>
        <w:rPr>
          <w:rFonts w:ascii="Times New Roman" w:hAnsi="Times New Roman"/>
          <w:sz w:val="20"/>
        </w:rPr>
      </w:pPr>
      <w:r>
        <w:rPr>
          <w:rFonts w:ascii="Times New Roman" w:hAnsi="Times New Roman"/>
          <w:sz w:val="20"/>
        </w:rPr>
        <w:t xml:space="preserve">Further, our sponsor, officers and directors or their respective affiliates may, but are not obligated to, loan us funds as may be required. If we complete a business combination, we would repay the loans. In the event that a business combination does not close, we may use a portion of proceeds held outside the Trust Account to repay the loans, but no proceeds held in the Trust Account would be used to repay the loans. Such loans would be evidenced by promissory notes and would be repaid upon consummation of a business combination, without interest. There was a balance due to the Sponsor of $2,201,754 and $251,754 under the loans as of March 31, 2023, and September 30,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November 10, 2022, our Sponsor loaned us $1.5 million in order to cover the additional contribution to the trust account required in connection with the automatic extension of the deadline to complete our initial business combination and $0.45 million for working capital purposes. However, if our estimates of the operating costs are less than the actual amount necessary to do so, we may have insufficient funds available to operate our business prior to our business combination. Under the original Business Combination Agreement, either we or Rezolve could have terminated the Business Combination Agreement if the aggregate transaction proceeds (excluding certain amounts invested by the investors specified in the Business Combination Agreement) provided or committed to be provided was not more than $50 million. The Amendment entered into in November 2022 eliminated this provision in its entirety. If we are unable to complete a business combination (including the Business Combination) because we do not have sufficient funds available to us, we will be forced to cease operations and liquidate the Trust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our assessment of going concern considerations in accordance with FASB Accounting Standards Update (ASU) 2014-15, Disclosures of Uncertainties about an Entitys Ability to Continue as a Going Concern, our management has determined that we have and will continue to incur significant costs in pursuit of acquisition plans which, in addition to possibility that we might not be able to a close business combination and be forced to liquidate after August 17, 2023 raises substantial doubt about our ability to continue as a going concern. No adjustments have been made to the carrying amounts of assets or liabilities that might be necessary if we are unable to continue as a going concern.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these unaudited condensed financial statements in conformity with US GAAP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Actual results could differ from those estimates. We have identified the following as our critical accounting policies: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Offering Costs </w:t>
      </w:r>
    </w:p>
    <w:p>
      <w:pPr>
        <w:pStyle w:val="TextBody"/>
        <w:bidi w:val="0"/>
        <w:spacing w:before="120" w:after="0"/>
        <w:jc w:val="left"/>
        <w:rPr>
          <w:rFonts w:ascii="Times New Roman" w:hAnsi="Times New Roman"/>
          <w:sz w:val="20"/>
        </w:rPr>
      </w:pPr>
      <w:r>
        <w:rPr>
          <w:rFonts w:ascii="Times New Roman" w:hAnsi="Times New Roman"/>
          <w:sz w:val="20"/>
        </w:rPr>
        <w:t xml:space="preserve">We comply with the requirements of ASC 340-10-S99-1 and SEC Staff Accounting Bulletin Topic 5AExpenses of Offering. Offering costs consist of legal, accounting, underwriting and other costs incurred through the balance sheet date that are related to the IPO. We incurred offering costs amounting to $3,537,515 as a result of the IPO consisting of a $1,500,000 underwriting commissions, and $2,037,515 of other offering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Redeemable Shares of Armada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account for our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Our shares of common stock feature certain redemption rights that are considered to be outside of the Companys control and subject to the occurrence of uncertain future events. Accordingly, 15,000,000 shares of common stock subject to possible redemption are presented at redemption value as temporary equity, outside of the stockholders equity section of the Companys balance sheet. </w:t>
      </w:r>
    </w:p>
    <w:p>
      <w:pPr>
        <w:pStyle w:val="TextBody"/>
        <w:bidi w:val="0"/>
        <w:spacing w:before="240" w:after="0"/>
        <w:jc w:val="left"/>
        <w:rPr>
          <w:rFonts w:ascii="Times New Roman" w:hAnsi="Times New Roman"/>
          <w:sz w:val="20"/>
        </w:rPr>
      </w:pPr>
      <w:r>
        <w:rPr>
          <w:rFonts w:ascii="Times New Roman" w:hAnsi="Times New Roman"/>
          <w:sz w:val="20"/>
        </w:rPr>
        <w:t xml:space="preserve">All of the common stock sold as part of the Units in the IPO contain a redemption feature which allows for the redemption of such public shares in connection with the Companys liquidation, if there is a shareholder vote or tender offer in connection with the Business Combination and in connection with certain amendments to the Companys certificate of incorporation. In accordance with ASC 480-10-S99, redemption provisions not solely within the control of the Company require common stock subject to redemption to be classified outside of permanent equity.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We comply with accounting and disclosure requirements of FASB ASC Topic 260, Earnings Per Share. Net loss per common stock is computed by dividing net loss by the weighted average number of common stock outstanding for the period. Remeasurement adjustments associated with the redeemable shares of common stock is excluded from earnings per share as the redemption value approximates fair value.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March 31, 2023, we did not have any dilutive securities or other contracts that could, potentially, be exercised or converted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and then share in the earnings of the Company. As a result, diluted net loss per common stock is the same as basic net loss per common stock for the period presented. </w:t>
      </w:r>
    </w:p>
    <w:p>
      <w:pPr>
        <w:pStyle w:val="TextBody"/>
        <w:bidi w:val="0"/>
        <w:spacing w:before="240" w:after="0"/>
        <w:jc w:val="left"/>
        <w:rPr>
          <w:rFonts w:ascii="Times New Roman" w:hAnsi="Times New Roman"/>
          <w:sz w:val="20"/>
        </w:rPr>
      </w:pPr>
      <w:r>
        <w:rPr>
          <w:rFonts w:ascii="Times New Roman" w:hAnsi="Times New Roman"/>
          <w:sz w:val="20"/>
        </w:rPr>
        <w:t xml:space="preserve">Accretion of the carrying value of common stock subject to redemption value is excluded from net loss per common stock because the redemption value approximates fair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 </w:t>
      </w:r>
    </w:p>
    <w:p>
      <w:pPr>
        <w:pStyle w:val="TextBody"/>
        <w:bidi w:val="0"/>
        <w:spacing w:before="240" w:after="0"/>
        <w:jc w:val="left"/>
        <w:rPr>
          <w:rFonts w:ascii="Times New Roman" w:hAnsi="Times New Roman"/>
          <w:sz w:val="20"/>
        </w:rPr>
      </w:pPr>
      <w:r>
        <w:rPr>
          <w:rFonts w:ascii="Times New Roman" w:hAnsi="Times New Roman"/>
          <w:sz w:val="20"/>
        </w:rPr>
        <w:t xml:space="preserve">Management does not believe that any recently issued, but not effective, accounting pronouncements, if currently adopted, would have a material effect on our unaudited condensed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Commitments and 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 </w:t>
      </w:r>
    </w:p>
    <w:p>
      <w:pPr>
        <w:pStyle w:val="TextBody"/>
        <w:bidi w:val="0"/>
        <w:spacing w:before="240" w:after="0"/>
        <w:jc w:val="left"/>
        <w:rPr>
          <w:rFonts w:ascii="Times New Roman" w:hAnsi="Times New Roman"/>
          <w:sz w:val="20"/>
        </w:rPr>
      </w:pPr>
      <w:r>
        <w:rPr>
          <w:rFonts w:ascii="Times New Roman" w:hAnsi="Times New Roman"/>
          <w:sz w:val="20"/>
        </w:rPr>
        <w:t xml:space="preserve">We have not entered into any off-balance sheet financing arrangements, established any special purpose entities, guaranteed any debt or commitments of other entities, or entered into any non-financial agreements involving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any long-term debt, capital lease obligations, operating lease obligations or long-term liabilities other than an administrative agreement to reimburse our sponsor for office space, secretarial and administrative services not to exceed $10,000 per month from the date of closing of the Public Offering. Upon completion of a business combination or the Companys liquidation, the Company will cease paying these monthly fees. </w:t>
      </w:r>
    </w:p>
    <w:p>
      <w:pPr>
        <w:pStyle w:val="TextBody"/>
        <w:bidi w:val="0"/>
        <w:spacing w:before="360" w:after="0"/>
        <w:jc w:val="left"/>
        <w:rPr>
          <w:rFonts w:ascii="Times New Roman" w:hAnsi="Times New Roman"/>
          <w:i/>
          <w:sz w:val="20"/>
        </w:rPr>
      </w:pPr>
      <w:r>
        <w:rPr>
          <w:rFonts w:ascii="Times New Roman" w:hAnsi="Times New Roman"/>
          <w:i/>
          <w:sz w:val="20"/>
        </w:rPr>
        <w:t xml:space="preserve">Financial Advisory Fee </w:t>
      </w:r>
    </w:p>
    <w:p>
      <w:pPr>
        <w:pStyle w:val="TextBody"/>
        <w:bidi w:val="0"/>
        <w:spacing w:before="120" w:after="0"/>
        <w:jc w:val="left"/>
        <w:rPr>
          <w:rFonts w:ascii="Times New Roman" w:hAnsi="Times New Roman"/>
          <w:sz w:val="20"/>
        </w:rPr>
      </w:pPr>
      <w:r>
        <w:rPr>
          <w:rFonts w:ascii="Times New Roman" w:hAnsi="Times New Roman"/>
          <w:sz w:val="20"/>
        </w:rPr>
        <w:t xml:space="preserve">We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we paid to CCM an aggregate of $1,500,000. CCM has agreed to defer the payment of the portion of the advisory fee attributable to over-allotment option until the consummation of the initial Business Combination. CCM is engaged to represent our interests only. We have also engaged CCM as an advisor in connection with the initial Business Combination for which it will earn an advisory fee of 2.25%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gross proceeds of the IPO, or $3,375,000, payable at closing of the Business Combination. On October 1, 2021 the underwriters over-allotment option expired unused resulting in no additional fees and commissions related to the over-allotment option to be payable to CCM by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Business Combination Marketing Agreement </w:t>
      </w:r>
    </w:p>
    <w:p>
      <w:pPr>
        <w:pStyle w:val="TextBody"/>
        <w:bidi w:val="0"/>
        <w:spacing w:before="120" w:after="0"/>
        <w:jc w:val="left"/>
        <w:rPr>
          <w:rFonts w:ascii="Times New Roman" w:hAnsi="Times New Roman"/>
          <w:sz w:val="20"/>
        </w:rPr>
      </w:pPr>
      <w:r>
        <w:rPr>
          <w:rFonts w:ascii="Times New Roman" w:hAnsi="Times New Roman"/>
          <w:sz w:val="20"/>
        </w:rPr>
        <w:t xml:space="preserve">We engaged the representative of the underwriter as an advisor in connection with the Business Combination to assist in holding meetings with our stockholders to discuss the potential Business Combination and the target business attributes, introduce us to potential investors that are interested in purchasing our securities in connection with the initial Business Combination and assist us with press releases and public filings in connection with the Business Combination. We will pay the representative a cash fee for such services upon the consummation of the initial Business Combination in an amount equal to 2.25% of the gross proceeds of the IPO, or $3,375,000. We will also pay the representative a separate capital market advisory fee of $3,000,000 upon completion of the initial Business Combination. Additionally, we will pay the representative a cash fee equal to 1.0% of the total consideration payable in the proposed Business Combination if the representative introduces us to the target business with which the Company completes a Business Combination. </w:t>
      </w:r>
    </w:p>
    <w:p>
      <w:pPr>
        <w:pStyle w:val="TextBody"/>
        <w:bidi w:val="0"/>
        <w:spacing w:before="360" w:after="0"/>
        <w:jc w:val="left"/>
        <w:rPr>
          <w:rFonts w:ascii="Times New Roman" w:hAnsi="Times New Roman"/>
          <w:i/>
          <w:sz w:val="20"/>
        </w:rPr>
      </w:pPr>
      <w:r>
        <w:rPr>
          <w:rFonts w:ascii="Times New Roman" w:hAnsi="Times New Roman"/>
          <w:i/>
          <w:sz w:val="20"/>
        </w:rPr>
        <w:t xml:space="preserve">Right of First Refusal </w:t>
      </w:r>
    </w:p>
    <w:p>
      <w:pPr>
        <w:pStyle w:val="TextBody"/>
        <w:bidi w:val="0"/>
        <w:spacing w:before="120" w:after="0"/>
        <w:jc w:val="left"/>
        <w:rPr>
          <w:rFonts w:ascii="Times New Roman" w:hAnsi="Times New Roman"/>
          <w:sz w:val="20"/>
        </w:rPr>
      </w:pPr>
      <w:r>
        <w:rPr>
          <w:rFonts w:ascii="Times New Roman" w:hAnsi="Times New Roman"/>
          <w:sz w:val="20"/>
        </w:rPr>
        <w:t xml:space="preserve">If we determine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The holders of the Founder Shares issued and outstanding on the date of the IPO, as well as the holders of the representative shares, Private Shares and any shares the sponsor, officers, directors or their affiliates may issue in payment of Working Capital Loans made to us, will be entitled to registration rights pursuant to an agreement to be signed prior to or on the effective date of the IPO. The holders of a majority of these securities (other than the holders of the representative shares)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officers, directors or their affiliates in payment of Working Capital Loans made to us can elect to exercise these registration rights at any time after we consummate a business combination. In addition, the holders have certain piggy-back registration rights with respect to registration statements filed subsequent to the consummation of a business combination. We will bear the expenses incurred in connection with the filing of any such registration statements. Pursuant to the terms of the Business Combination Agreement, in connection with the Business Combination, our sponsor, certain stockholders of Rezolve and certain other parties will enter into an investor rights agreement (the </w:t>
      </w:r>
      <w:r>
        <w:rPr>
          <w:rFonts w:ascii="Times New Roman" w:hAnsi="Times New Roman"/>
          <w:sz w:val="20"/>
          <w:u w:val="single"/>
        </w:rPr>
        <w:t>Investor Rights Agreement</w:t>
      </w:r>
      <w:r>
        <w:rPr>
          <w:rFonts w:ascii="Times New Roman" w:hAnsi="Times New Roman"/>
          <w:sz w:val="20"/>
        </w:rPr>
        <w:t xml:space="preserve">) at the closing of the transactions contemplated by the Business Combination Agreement, which will, among other things, provide for registration rights for the parties thereto. The registration rights agreement with the holders of the Founders Shares will be terminated and superseded by the Investor Rights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We granted the underwriters a 45-day option from the date of the IPO to purchase up to an additional 2,250,000 units to cover over-allotments, if any. On October 1, 2021 the underwriters over-allotment option expired unused.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were paid a cash underwriting discount of 1.0% of the gross proceeds of the IPO, or $1,500,000.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Business Combination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 definitive business combination agreement with Rezolve and Rezolve Merger Sub, dated December 17, 2021 as amended on November 10, 2022 and further amended and restated on June 16, 2023. Completion of the Proposed Transactions pursuant to the Business Combination Agreement is subject to customary closing conditions, including the approval of the Companys and Rezolves respective stockholders and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and delivery of the Business Combination Agreement, Armada and the Key Company Shareholders (as defined in the Business Combination Agreement) have entered into the Transaction Support Agreement (the Transaction Support Agreement), pursuant to which, among other things, the Key Company Shareholders have agreed to (a) vote in favor of the Pre-Closing Demerger and the Company Reorganization, (b) vote in favor of the Business Combination Agreement and the agreements contemplated thereby and the transactions contemplated hereby, (c) enter into an Investor Rights Agreement at Closing and (d) the termination of certain agreements effective as of Closing.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consummation of our IPO on August 17, 2021, after releasing funds to Armada to be held outside of the Trust, $150,000,000 from the net proceeds of the sale of the units in the IPO was held in a Trust Account and has been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Due to the short-term nature of these investments, we believe there will be no associated material exposure to interest rate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tx309194_22"/>
      <w:bookmarkEnd w:id="25"/>
      <w:r>
        <w:rPr>
          <w:rFonts w:ascii="Times New Roman" w:hAnsi="Times New Roman"/>
          <w:b/>
          <w:sz w:val="20"/>
        </w:rPr>
        <w:t xml:space="preserve">BUSINESS OF REZOLVE LIMITED </w:t>
      </w:r>
    </w:p>
    <w:p>
      <w:pPr>
        <w:pStyle w:val="TextBody"/>
        <w:bidi w:val="0"/>
        <w:spacing w:before="240" w:after="0"/>
        <w:jc w:val="left"/>
        <w:rPr>
          <w:rFonts w:ascii="Times New Roman" w:hAnsi="Times New Roman"/>
          <w:i/>
          <w:sz w:val="20"/>
        </w:rPr>
      </w:pPr>
      <w:r>
        <w:rPr>
          <w:rFonts w:ascii="Times New Roman" w:hAnsi="Times New Roman"/>
          <w:i/>
          <w:sz w:val="20"/>
        </w:rPr>
        <w:t xml:space="preserve">Shareholders should read this section in conjunction with the more detailed information about Rezolve contained in this proxy statement/prospectus, including the Rezolve Financial Statements and the other information appearing in the section entitled Rezolves Managements Discussion &amp; Analysis of Financial Condition and Results of Operations. In this section, references to we, us, the Company, Rezolve and our are intended to refer to Rezolve Limited and its subsidiaries prior to the Pre-Closing Demerger, unless the context clearly indicates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recognized7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 </w:t>
      </w:r>
    </w:p>
    <w:p>
      <w:pPr>
        <w:pStyle w:val="TextBody"/>
        <w:bidi w:val="0"/>
        <w:spacing w:before="240" w:after="0"/>
        <w:jc w:val="left"/>
        <w:rPr>
          <w:rFonts w:ascii="Times New Roman" w:hAnsi="Times New Roman"/>
          <w:sz w:val="20"/>
        </w:rPr>
      </w:pPr>
      <w:r>
        <w:rPr>
          <w:rFonts w:ascii="Times New Roman" w:hAnsi="Times New Roman"/>
          <w:sz w:val="20"/>
        </w:rPr>
        <w:t xml:space="preserve">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 </w:t>
      </w:r>
    </w:p>
    <w:p>
      <w:pPr>
        <w:pStyle w:val="TextBody"/>
        <w:bidi w:val="0"/>
        <w:spacing w:before="240" w:after="0"/>
        <w:jc w:val="left"/>
        <w:rPr>
          <w:rFonts w:ascii="Times New Roman" w:hAnsi="Times New Roman"/>
          <w:sz w:val="20"/>
        </w:rPr>
      </w:pPr>
      <w:r>
        <w:rPr>
          <w:rFonts w:ascii="Times New Roman" w:hAnsi="Times New Roman"/>
          <w:sz w:val="20"/>
        </w:rPr>
        <w:t xml:space="preserve">Consumers and merchants expect to be able to transact anywhere, anytime, in a simple, seamless and secure way. We built our platform to address these challenges while simplifying complex processes. Merchants can deploy Rezolve technology quickly and easily and consumers can interact with most Rezolve capabilities intuitively. For example, our platform prompts a consumers device to react to certain triggers such as location, audio, images, beacons, touch or QR codes. These triggers result in various instant transaction events, ranging from checkout to e-ticketing to engagement events such as requesting a brochure or booking an appointment. Merchants can utilize our solution to enable consumers to immediately engage via a web-based dashboard which facilitates instant transactions via social media and other digital channels, and for enhanced capabilities, merchants can easily integrate our technology with their mobile applications, which requires minimal time and training. </w:t>
      </w:r>
    </w:p>
    <w:p>
      <w:pPr>
        <w:pStyle w:val="TextBody"/>
        <w:bidi w:val="0"/>
        <w:spacing w:before="240" w:after="0"/>
        <w:jc w:val="left"/>
        <w:rPr>
          <w:rFonts w:ascii="Times New Roman" w:hAnsi="Times New Roman"/>
          <w:sz w:val="20"/>
        </w:rPr>
      </w:pPr>
      <w:r>
        <w:rPr>
          <w:rFonts w:ascii="Times New Roman" w:hAnsi="Times New Roman"/>
          <w:sz w:val="20"/>
        </w:rPr>
        <w:t xml:space="preserve">We provide an actionable platform for merchants that utilizes proprietary technology to engage directly with consumers. Our platform is able to manage large spikes in traffic that accompany events such as new offering releases, holiday shopping seasons and flash sales, and has been benchmarked to process at least 10,000 concurrent requests per second based on results from platform load testing. This capacity enables our merchants and brands on our platform to continuously engage with consumers in real time, gathering valuable engagement data. Our platform can scale to meet the needs of large merchants, and we focus on selling to merchants regardless of size, including small and medium-sized businesses, or SMBs.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7 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see Rezolve Press Release dated July 25, 2023, available at </w:t>
            </w:r>
            <w:r>
              <w:rPr>
                <w:rFonts w:ascii="Times New Roman" w:hAnsi="Times New Roman"/>
                <w:sz w:val="20"/>
                <w:u w:val="single"/>
              </w:rPr>
              <w:t>https://www.rezolve.com/investors/britains-brain-heralds-new-era-of-commerce-enabled-ai/</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enterprise SaaS commerce platform has a global reach, including in our key geographies: India, the U.S., Latin America, and Europe. We believe that there are significant geographies and distribution and consumer-facing networks, which we refer to as our Channels, to expand as we establish new strategic alliances in new geographies. </w:t>
      </w:r>
    </w:p>
    <w:p>
      <w:pPr>
        <w:pStyle w:val="TextBody"/>
        <w:bidi w:val="0"/>
        <w:spacing w:before="240" w:after="0"/>
        <w:jc w:val="left"/>
        <w:rPr>
          <w:rFonts w:ascii="Times New Roman" w:hAnsi="Times New Roman"/>
          <w:sz w:val="20"/>
        </w:rPr>
      </w:pPr>
      <w:r>
        <w:rPr>
          <w:rFonts w:ascii="Times New Roman" w:hAnsi="Times New Roman"/>
          <w:sz w:val="20"/>
        </w:rPr>
        <w:t xml:space="preserve">Our total revenues were $3.9 million and $12.3 million, for the years ended December 31, 2021 and 2022, respectively. We had net losses of $37.7 million and $104.1 million inclusive of non-cash items representing $18.4m and $68.2m, respectively for the years ended December 31, 2021 and 2022,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Developments </w:t>
      </w:r>
    </w:p>
    <w:p>
      <w:pPr>
        <w:pStyle w:val="TextBody"/>
        <w:bidi w:val="0"/>
        <w:spacing w:before="120" w:after="0"/>
        <w:jc w:val="left"/>
        <w:rPr>
          <w:rFonts w:ascii="Times New Roman" w:hAnsi="Times New Roman"/>
          <w:sz w:val="20"/>
        </w:rPr>
      </w:pPr>
      <w:r>
        <w:rPr>
          <w:rFonts w:ascii="Times New Roman" w:hAnsi="Times New Roman"/>
          <w:sz w:val="20"/>
        </w:rPr>
        <w:t xml:space="preserve">On July 25, 2023, Rezolve announced the introduction of two new offerings: (1) myBrain, Rezolves offering to individual users; and (2) Brain, Rezolves offering to businesses using AI and GPT technologies, with Brain offered in the following geographies: (a) Latin America, (b) Europe, (c) Asia and (d) North America. As a result,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inclusive of a set amount of anticipated transactions which would be reviewed with customers annually (or half yearly). Rezolves myBrain and Brain offerings are discussed in further detail in this Section captioned Business of Rezolve Limited. For additional information regarding Rezolves business model and Rezolve managements anticipated impacts to its business from the transition of its business model to its myBrain and Brain offerings, see The Business Combination ProposalOpinion of Marshall &amp; StevensRezolve Financial Projections. </w:t>
      </w:r>
    </w:p>
    <w:p>
      <w:pPr>
        <w:pStyle w:val="TextBody"/>
        <w:bidi w:val="0"/>
        <w:spacing w:before="360" w:after="0"/>
        <w:jc w:val="left"/>
        <w:rPr>
          <w:rFonts w:ascii="Times New Roman" w:hAnsi="Times New Roman"/>
          <w:b/>
          <w:sz w:val="20"/>
        </w:rPr>
      </w:pPr>
      <w:r>
        <w:rPr>
          <w:rFonts w:ascii="Times New Roman" w:hAnsi="Times New Roman"/>
          <w:b/>
          <w:sz w:val="20"/>
        </w:rPr>
        <w:t xml:space="preserve">Industry Overview and Trends </w:t>
      </w:r>
    </w:p>
    <w:p>
      <w:pPr>
        <w:pStyle w:val="TextBody"/>
        <w:bidi w:val="0"/>
        <w:spacing w:before="120" w:after="0"/>
        <w:jc w:val="left"/>
        <w:rPr>
          <w:rFonts w:ascii="Times New Roman" w:hAnsi="Times New Roman"/>
          <w:sz w:val="20"/>
        </w:rPr>
      </w:pPr>
      <w:r>
        <w:rPr>
          <w:rFonts w:ascii="Times New Roman" w:hAnsi="Times New Roman"/>
          <w:sz w:val="20"/>
        </w:rPr>
        <w:t xml:space="preserve">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 </w:t>
      </w:r>
    </w:p>
    <w:p>
      <w:pPr>
        <w:pStyle w:val="TextBody"/>
        <w:bidi w:val="0"/>
        <w:spacing w:before="240" w:after="0"/>
        <w:jc w:val="left"/>
        <w:rPr>
          <w:rFonts w:ascii="Times New Roman" w:hAnsi="Times New Roman"/>
          <w:sz w:val="20"/>
        </w:rPr>
      </w:pPr>
      <w:r>
        <w:rPr>
          <w:rFonts w:ascii="Times New Roman" w:hAnsi="Times New Roman"/>
          <w:sz w:val="20"/>
        </w:rPr>
        <w:t xml:space="preserve">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Consumers Are Increasingly Engaging Through Digital Channels </w:t>
      </w:r>
    </w:p>
    <w:p>
      <w:pPr>
        <w:pStyle w:val="TextBody"/>
        <w:bidi w:val="0"/>
        <w:spacing w:before="120" w:after="0"/>
        <w:jc w:val="left"/>
        <w:rPr>
          <w:rFonts w:ascii="Times New Roman" w:hAnsi="Times New Roman"/>
          <w:sz w:val="20"/>
        </w:rPr>
      </w:pPr>
      <w:r>
        <w:rPr>
          <w:rFonts w:ascii="Times New Roman" w:hAnsi="Times New Roman"/>
          <w:sz w:val="20"/>
        </w:rPr>
        <w:t xml:space="preserve">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 </w:t>
      </w:r>
    </w:p>
    <w:p>
      <w:pPr>
        <w:pStyle w:val="TextBody"/>
        <w:bidi w:val="0"/>
        <w:spacing w:before="240" w:after="0"/>
        <w:jc w:val="left"/>
        <w:rPr>
          <w:rFonts w:ascii="Times New Roman" w:hAnsi="Times New Roman"/>
          <w:sz w:val="20"/>
        </w:rPr>
      </w:pPr>
      <w:r>
        <w:rPr>
          <w:rFonts w:ascii="Times New Roman" w:hAnsi="Times New Roman"/>
          <w:sz w:val="20"/>
        </w:rPr>
        <w:t xml:space="preserve">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 </w:t>
      </w:r>
    </w:p>
    <w:p>
      <w:pPr>
        <w:pStyle w:val="TextBody"/>
        <w:bidi w:val="0"/>
        <w:spacing w:before="240" w:after="0"/>
        <w:jc w:val="left"/>
        <w:rPr>
          <w:rFonts w:ascii="Times New Roman" w:hAnsi="Times New Roman"/>
          <w:sz w:val="20"/>
        </w:rPr>
      </w:pPr>
      <w:r>
        <w:rPr>
          <w:rFonts w:ascii="Times New Roman" w:hAnsi="Times New Roman"/>
          <w:sz w:val="20"/>
        </w:rPr>
        <w:t xml:space="preserve">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Merchants have Lost Connectivity to the End Consumer </w:t>
      </w:r>
    </w:p>
    <w:p>
      <w:pPr>
        <w:pStyle w:val="TextBody"/>
        <w:bidi w:val="0"/>
        <w:spacing w:before="120" w:after="0"/>
        <w:jc w:val="left"/>
        <w:rPr>
          <w:rFonts w:ascii="Times New Roman" w:hAnsi="Times New Roman"/>
          <w:sz w:val="20"/>
        </w:rPr>
      </w:pPr>
      <w:r>
        <w:rPr>
          <w:rFonts w:ascii="Times New Roman" w:hAnsi="Times New Roman"/>
          <w:sz w:val="20"/>
        </w:rPr>
        <w:t xml:space="preserve">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Consumers Expect a Seamless Interaction Between Offline and Online Channels </w:t>
      </w:r>
    </w:p>
    <w:p>
      <w:pPr>
        <w:pStyle w:val="TextBody"/>
        <w:bidi w:val="0"/>
        <w:spacing w:before="120" w:after="0"/>
        <w:jc w:val="left"/>
        <w:rPr>
          <w:rFonts w:ascii="Times New Roman" w:hAnsi="Times New Roman"/>
          <w:sz w:val="20"/>
        </w:rPr>
      </w:pPr>
      <w:r>
        <w:rPr>
          <w:rFonts w:ascii="Times New Roman" w:hAnsi="Times New Roman"/>
          <w:sz w:val="20"/>
        </w:rPr>
        <w:t xml:space="preserve">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Merchants Are Struggling to Differentiate </w:t>
      </w:r>
    </w:p>
    <w:p>
      <w:pPr>
        <w:pStyle w:val="TextBody"/>
        <w:bidi w:val="0"/>
        <w:spacing w:before="120" w:after="0"/>
        <w:jc w:val="left"/>
        <w:rPr>
          <w:rFonts w:ascii="Times New Roman" w:hAnsi="Times New Roman"/>
          <w:sz w:val="20"/>
        </w:rPr>
      </w:pPr>
      <w:r>
        <w:rPr>
          <w:rFonts w:ascii="Times New Roman" w:hAnsi="Times New Roman"/>
          <w:sz w:val="20"/>
        </w:rPr>
        <w:t xml:space="preserve">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 82% of shoppers want a consumer brands values to align with their own, according to an April 2022 report, and 75% of shoppers reported parting ways with a brand over a conflict in values. Experiences that enable merchants to connect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directly with consumers allow merchants to make a memorable impression. Globally, 60% of consumers say they will make repeat purchase at a retailer after a personalized shopping experience, according to a June 2021 report. 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 </w:t>
      </w:r>
    </w:p>
    <w:p>
      <w:pPr>
        <w:pStyle w:val="TextBody"/>
        <w:bidi w:val="0"/>
        <w:spacing w:before="360" w:after="0"/>
        <w:jc w:val="left"/>
        <w:rPr>
          <w:rFonts w:ascii="Times New Roman" w:hAnsi="Times New Roman"/>
          <w:b/>
          <w:sz w:val="20"/>
        </w:rPr>
      </w:pPr>
      <w:r>
        <w:rPr>
          <w:rFonts w:ascii="Times New Roman" w:hAnsi="Times New Roman"/>
          <w:b/>
          <w:sz w:val="20"/>
        </w:rPr>
        <w:t xml:space="preserve">Complicated Experiences Result in Lost Opportunities with Consumers </w:t>
      </w:r>
    </w:p>
    <w:p>
      <w:pPr>
        <w:pStyle w:val="TextBody"/>
        <w:bidi w:val="0"/>
        <w:spacing w:before="120" w:after="0"/>
        <w:jc w:val="left"/>
        <w:rPr>
          <w:rFonts w:ascii="Times New Roman" w:hAnsi="Times New Roman"/>
          <w:sz w:val="20"/>
        </w:rPr>
      </w:pPr>
      <w:r>
        <w:rPr>
          <w:rFonts w:ascii="Times New Roman" w:hAnsi="Times New Roman"/>
          <w:sz w:val="20"/>
        </w:rPr>
        <w:t xml:space="preserve">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 </w:t>
      </w:r>
    </w:p>
    <w:p>
      <w:pPr>
        <w:pStyle w:val="TextBody"/>
        <w:bidi w:val="0"/>
        <w:spacing w:before="360" w:after="0"/>
        <w:jc w:val="left"/>
        <w:rPr>
          <w:rFonts w:ascii="Times New Roman" w:hAnsi="Times New Roman"/>
          <w:b/>
          <w:sz w:val="20"/>
        </w:rPr>
      </w:pPr>
      <w:r>
        <w:rPr>
          <w:rFonts w:ascii="Times New Roman" w:hAnsi="Times New Roman"/>
          <w:b/>
          <w:sz w:val="20"/>
        </w:rPr>
        <w:t xml:space="preserve">Our Solution </w:t>
      </w:r>
    </w:p>
    <w:p>
      <w:pPr>
        <w:pStyle w:val="TextBody"/>
        <w:bidi w:val="0"/>
        <w:spacing w:before="120" w:after="0"/>
        <w:jc w:val="left"/>
        <w:rPr>
          <w:rFonts w:ascii="Times New Roman" w:hAnsi="Times New Roman"/>
          <w:sz w:val="20"/>
        </w:rPr>
      </w:pPr>
      <w:r>
        <w:rPr>
          <w:rFonts w:ascii="Times New Roman" w:hAnsi="Times New Roman"/>
          <w:sz w:val="20"/>
        </w:rPr>
        <w:t xml:space="preserve">We provide a AI- and cloud-based advertising, engagement and commerce platform designed for merchants of all sizes. We expect merchants to be able to use our software to create sales events across all of their channelsweb, tablet and mobile storefronts, social media storefronts, print and radio advertising and brick-and-mortar locations. Our technology enabled on a consumers phone react to those triggers and provide immediate opportunities for sales interactions in any of 95 languages. </w:t>
      </w:r>
    </w:p>
    <w:p>
      <w:pPr>
        <w:pStyle w:val="TextBody"/>
        <w:bidi w:val="0"/>
        <w:spacing w:before="240" w:after="0"/>
        <w:jc w:val="left"/>
        <w:rPr>
          <w:rFonts w:ascii="Times New Roman" w:hAnsi="Times New Roman"/>
          <w:sz w:val="20"/>
        </w:rPr>
      </w:pPr>
      <w:r>
        <w:rPr>
          <w:rFonts w:ascii="Times New Roman" w:hAnsi="Times New Roman"/>
          <w:sz w:val="20"/>
        </w:rPr>
        <w:t xml:space="preserve">Our platform provides the following key benefits to merchants: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eCommerce-Specific AI Platform and SuiteBrain.</w:t>
            </w:r>
            <w:r>
              <w:rPr>
                <w:rFonts w:ascii="Times New Roman" w:hAnsi="Times New Roman"/>
                <w:sz w:val="20"/>
              </w:rPr>
              <w:t xml:space="preserve"> Rezolves Brain allows customers, either online or instore, to ask, via voice or text and in any of 95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Instant Checkout. </w:t>
            </w:r>
            <w:r>
              <w:rPr>
                <w:rFonts w:ascii="Times New Roman" w:hAnsi="Times New Roman"/>
                <w:sz w:val="20"/>
              </w:rPr>
              <w:t xml:space="preserve">Rezolves Instant Checkout allows websites to convert passive browsers into actors or buyers with one click directly from the product detail pages on merchant websites. Our Instant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Anti-counterfeiting Solution</w:t>
            </w:r>
            <w:r>
              <w:rPr>
                <w:rFonts w:ascii="Times New Roman" w:hAnsi="Times New Roman"/>
                <w:sz w:val="20"/>
              </w:rPr>
              <w:t xml:space="preserve">. Our watermarking solution is based on our proprietary machine-learning technology that hides encoded images, invisible to the naked eye, onto a merchants products. Those images can be viewed from a phone camera to verify the authenticity of the product. This solution can be applied to color-rich images, graphical images and text. The versatility of our solution is in 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watermark printed content on different surfaces such as leather, plastic, and wood. These watermarks further protect a merchants products by including encoded messages that enhance tracking and traceability.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Omnichannel Interactions. </w:t>
            </w:r>
            <w:r>
              <w:rPr>
                <w:rFonts w:ascii="Times New Roman" w:hAnsi="Times New Roman"/>
                <w:sz w:val="20"/>
              </w:rPr>
              <w:t xml:space="preserve">The Rezolve platform provides multiple opportunities for interaction. For example, triggers can include a location 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Direct Brand Engagement</w:t>
            </w:r>
            <w:r>
              <w:rPr>
                <w:rFonts w:ascii="Times New Roman" w:hAnsi="Times New Roman"/>
                <w:sz w:val="20"/>
              </w:rPr>
              <w:t xml:space="preserve">. We deliver a comprehensive commerce and engagement platform that allows merchants to easily create direct 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Seamless Integration with Existing Applications. </w:t>
            </w:r>
            <w:r>
              <w:rPr>
                <w:rFonts w:ascii="Times New Roman" w:hAnsi="Times New Roman"/>
                <w:sz w:val="20"/>
              </w:rPr>
              <w:t xml:space="preserve">We expect the Rezolve solution to be able to be integrated with a merchants application 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hAnsi="Times New Roman"/>
                <w:i/>
                <w:sz w:val="20"/>
              </w:rPr>
              <w:t>Shop Beautiful</w:t>
            </w:r>
            <w:r>
              <w:rPr>
                <w:rFonts w:ascii="Times New Roman" w:hAnsi="Times New Roman"/>
                <w:sz w:val="20"/>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Actionable Analytics and Insights. </w:t>
            </w:r>
            <w:r>
              <w:rPr>
                <w:rFonts w:ascii="Times New Roman" w:hAnsi="Times New Roman"/>
                <w:sz w:val="20"/>
              </w:rPr>
              <w:t xml:space="preserve">With our platform, we expect merchants will be able to receive direct insights into consumer behavior that 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 Frictionless Consumer Experience. </w:t>
            </w:r>
            <w:r>
              <w:rPr>
                <w:rFonts w:ascii="Times New Roman" w:hAnsi="Times New Roman"/>
                <w:sz w:val="20"/>
              </w:rPr>
              <w:t xml:space="preserve">We expect that our platform will provide consumers with an intuitive and immediate user experience. 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3453765" cy="200787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453765" cy="200787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agreements with distribution and consumer-facing networks, which we refer to as our Channels, to sign up merchants to the Rezolve platform. Our Channels also receive significant benefits from deploying our solutions to their merchant base. </w:t>
      </w:r>
    </w:p>
    <w:p>
      <w:pPr>
        <w:pStyle w:val="TextBody"/>
        <w:bidi w:val="0"/>
        <w:spacing w:before="240" w:after="0"/>
        <w:jc w:val="left"/>
        <w:rPr>
          <w:rFonts w:ascii="Times New Roman" w:hAnsi="Times New Roman"/>
          <w:sz w:val="20"/>
        </w:rPr>
      </w:pPr>
      <w:r>
        <w:rPr>
          <w:rFonts w:ascii="Times New Roman" w:hAnsi="Times New Roman"/>
          <w:sz w:val="20"/>
        </w:rPr>
        <w:t xml:space="preserve">Our platform provides the following key benefits to these Channels: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Upsell Opportunities:</w:t>
            </w:r>
            <w:r>
              <w:rPr>
                <w:rFonts w:ascii="Times New Roman" w:hAnsi="Times New Roman"/>
                <w:sz w:val="20"/>
              </w:rPr>
              <w:t xml:space="preserve"> We will collaborate with our Channels to sign up merchants and share with them a portion of the revenue generated from those merchants. The Rezolve platform offers an additional revenue stream for these Channels and the opportunity to extract incremental economics from their existing customer base. Our offering generates incremental revenue with minimal cannibalization of existing revenue for our Channels given limited comparable offerings among existing functionalities.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Enhanced Offerings:</w:t>
            </w:r>
            <w:r>
              <w:rPr>
                <w:rFonts w:ascii="Times New Roman" w:hAnsi="Times New Roman"/>
                <w:sz w:val="20"/>
              </w:rPr>
              <w:t xml:space="preserve"> The Rezolve platform augments our Channels offerings and services to further retain and attract more merchants onto the platform. Our platform enables our Channels to provide a seamless digital solution for the merchants with minimum investment required. As our Channels expand their merchant network, they further fuel our growth.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3823970" cy="230441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823970" cy="230441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The Opportunity </w:t>
      </w:r>
    </w:p>
    <w:p>
      <w:pPr>
        <w:pStyle w:val="TextBody"/>
        <w:bidi w:val="0"/>
        <w:spacing w:before="120" w:after="0"/>
        <w:jc w:val="left"/>
        <w:rPr>
          <w:rFonts w:ascii="Times New Roman" w:hAnsi="Times New Roman"/>
          <w:sz w:val="20"/>
        </w:rPr>
      </w:pPr>
      <w:r>
        <w:rPr>
          <w:rFonts w:ascii="Times New Roman" w:hAnsi="Times New Roman"/>
          <w:sz w:val="20"/>
        </w:rPr>
        <w:t xml:space="preserve">We believe we have a significant opportunity to transform the customer engagement journey for new merchants and our Channels with targeted instant marketing and software. Our mobile commerce and engagement platform enables retailers, brands, media, and others to deliver rich and engaging mobile experiences to consumers that, in turn, increases sales for our Channels through seamless transactions. </w:t>
      </w:r>
    </w:p>
    <w:p>
      <w:pPr>
        <w:pStyle w:val="TextBody"/>
        <w:bidi w:val="0"/>
        <w:spacing w:before="240" w:after="0"/>
        <w:jc w:val="left"/>
        <w:rPr>
          <w:rFonts w:ascii="Times New Roman" w:hAnsi="Times New Roman"/>
          <w:sz w:val="20"/>
        </w:rPr>
      </w:pPr>
      <w:r>
        <w:rPr>
          <w:rFonts w:ascii="Times New Roman" w:hAnsi="Times New Roman"/>
          <w:sz w:val="20"/>
        </w:rPr>
        <w:t xml:space="preserve">Our enterprise SaaS commerce platform has a global reach including in our key geographies: India, the U.S. Latin America, and Europe. We believe that there are significant geographies and distribution channels to expand to as we establish new strategic alliances in new geographies. </w:t>
      </w:r>
    </w:p>
    <w:p>
      <w:pPr>
        <w:pStyle w:val="TextBody"/>
        <w:bidi w:val="0"/>
        <w:spacing w:before="240" w:after="0"/>
        <w:jc w:val="left"/>
        <w:rPr>
          <w:rFonts w:ascii="Times New Roman" w:hAnsi="Times New Roman"/>
          <w:sz w:val="20"/>
        </w:rPr>
      </w:pPr>
      <w:r>
        <w:rPr>
          <w:rFonts w:ascii="Times New Roman" w:hAnsi="Times New Roman"/>
          <w:sz w:val="20"/>
        </w:rPr>
        <w:t xml:space="preserve">These geographic markets include India, the U.S., Latin America, and Europe. We have preliminarily established relationships with Channels such as Grupo Carso (Latin America), ACI Worldwide (U.S. and Europe), Concardis (Germany), MobiKwik (India), and CompuTop (Germany), although these Channels are currently pre-revenue. Following the completion of the Pre-Closing Demerger, we will cease operations in China and are currently focused on growing our footprint in other geographic markets, but at a future date, we will consider re-engaging with the Chinese market. </w:t>
      </w:r>
    </w:p>
    <w:p>
      <w:pPr>
        <w:pStyle w:val="TextBody"/>
        <w:bidi w:val="0"/>
        <w:spacing w:before="240" w:after="0"/>
        <w:jc w:val="left"/>
        <w:rPr>
          <w:rFonts w:ascii="Times New Roman" w:hAnsi="Times New Roman"/>
          <w:sz w:val="20"/>
        </w:rPr>
      </w:pPr>
      <w:r>
        <w:rPr>
          <w:rFonts w:ascii="Times New Roman" w:hAnsi="Times New Roman"/>
          <w:sz w:val="20"/>
        </w:rPr>
        <w:t xml:space="preserve">We initially entered the Chinese market in 2016 in order to trial the Rezolve platform on a large scale. This was done with support from China Union Pay (CUP) and Allinpay (AP). Rezolve limiteds subsidiary, Rezolve Information Technology (Shanghai) Limited (Rezolve Shanghai) is a Wholly owned Foreign Entity (WoFE), which limits its influence locally in China. A WoFE in China must generally contract with a local third-party company if it wants to do business with a state-owned enterprise (SOE),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in the future, a new Rezolve entity can be accredited to operate directly with CUP and AP, the board will consider re-entering the China market. However, the current focus is on rolling out our technologies with partners in other markets around the world. </w:t>
      </w:r>
    </w:p>
    <w:p>
      <w:pPr>
        <w:pStyle w:val="TextBody"/>
        <w:bidi w:val="0"/>
        <w:spacing w:before="240" w:after="0"/>
        <w:jc w:val="left"/>
        <w:rPr>
          <w:rFonts w:ascii="Times New Roman" w:hAnsi="Times New Roman"/>
          <w:sz w:val="20"/>
        </w:rPr>
      </w:pPr>
      <w:r>
        <w:rPr>
          <w:rFonts w:ascii="Times New Roman" w:hAnsi="Times New Roman"/>
          <w:sz w:val="20"/>
        </w:rPr>
        <w:t xml:space="preserve">We believe Rezolves Brain and our Instant Checkout (Act Now and Buy Now) offerings will operate in large global market opportunities. We believe Rezolves Brain can supplement existing retailer site search platforms and that AI enabled search platforms, like Rezolves Brain, will replace all existing retailer site search platforms. Act Now will operate in the Global Search Advertising market that is estimated to be $279 billion in 2023 according to the Statista Digital Market Outlook. </w:t>
      </w:r>
    </w:p>
    <w:p>
      <w:pPr>
        <w:pStyle w:val="TextBody"/>
        <w:bidi w:val="0"/>
        <w:spacing w:before="240" w:after="0"/>
        <w:jc w:val="left"/>
        <w:rPr>
          <w:rFonts w:ascii="Times New Roman" w:hAnsi="Times New Roman"/>
          <w:sz w:val="20"/>
        </w:rPr>
      </w:pPr>
      <w:r>
        <w:rPr>
          <w:rFonts w:ascii="Times New Roman" w:hAnsi="Times New Roman"/>
          <w:sz w:val="20"/>
        </w:rPr>
        <w:t xml:space="preserve">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 </w:t>
      </w:r>
    </w:p>
    <w:p>
      <w:pPr>
        <w:pStyle w:val="TextBody"/>
        <w:bidi w:val="0"/>
        <w:spacing w:before="240" w:after="0"/>
        <w:jc w:val="left"/>
        <w:rPr>
          <w:rFonts w:ascii="Times New Roman" w:hAnsi="Times New Roman"/>
          <w:sz w:val="20"/>
        </w:rPr>
      </w:pPr>
      <w:r>
        <w:rPr>
          <w:rFonts w:ascii="Times New Roman" w:hAnsi="Times New Roman"/>
          <w:sz w:val="20"/>
        </w:rPr>
        <w:t xml:space="preserve">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 </w:t>
      </w:r>
    </w:p>
    <w:p>
      <w:pPr>
        <w:pStyle w:val="TextBody"/>
        <w:bidi w:val="0"/>
        <w:spacing w:before="240" w:after="0"/>
        <w:jc w:val="left"/>
        <w:rPr>
          <w:rFonts w:ascii="Times New Roman" w:hAnsi="Times New Roman"/>
          <w:sz w:val="20"/>
        </w:rPr>
      </w:pPr>
      <w:r>
        <w:rPr>
          <w:rFonts w:ascii="Times New Roman" w:hAnsi="Times New Roman"/>
          <w:sz w:val="20"/>
        </w:rPr>
        <w:t xml:space="preserve">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 </w:t>
      </w:r>
    </w:p>
    <w:p>
      <w:pPr>
        <w:pStyle w:val="TextBody"/>
        <w:bidi w:val="0"/>
        <w:spacing w:before="240" w:after="0"/>
        <w:jc w:val="left"/>
        <w:rPr>
          <w:rFonts w:ascii="Times New Roman" w:hAnsi="Times New Roman"/>
          <w:sz w:val="20"/>
        </w:rPr>
      </w:pPr>
      <w:r>
        <w:rPr>
          <w:rFonts w:ascii="Times New Roman" w:hAnsi="Times New Roman"/>
          <w:sz w:val="20"/>
        </w:rPr>
        <w:t xml:space="preserve">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 </w:t>
      </w:r>
    </w:p>
    <w:p>
      <w:pPr>
        <w:pStyle w:val="TextBody"/>
        <w:bidi w:val="0"/>
        <w:spacing w:before="240" w:after="0"/>
        <w:jc w:val="left"/>
        <w:rPr>
          <w:rFonts w:ascii="Times New Roman" w:hAnsi="Times New Roman"/>
          <w:sz w:val="20"/>
        </w:rPr>
      </w:pPr>
      <w:r>
        <w:rPr>
          <w:rFonts w:ascii="Times New Roman" w:hAnsi="Times New Roman"/>
          <w:sz w:val="20"/>
        </w:rPr>
        <w:t xml:space="preserve">Key web search statistics: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98% of consumers use the Internet to find a local business in 2022. (BrightLocal survey)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76% of consumers always or regularly read online reviews for local businesses. (BrightLocal survey)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29% of consumers search for local businesses at least every week. (BrightLocal survey)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Growth Strategy </w:t>
      </w:r>
    </w:p>
    <w:p>
      <w:pPr>
        <w:pStyle w:val="TextBody"/>
        <w:bidi w:val="0"/>
        <w:spacing w:before="120" w:after="0"/>
        <w:jc w:val="left"/>
        <w:rPr>
          <w:rFonts w:ascii="Times New Roman" w:hAnsi="Times New Roman"/>
          <w:sz w:val="20"/>
        </w:rPr>
      </w:pPr>
      <w:r>
        <w:rPr>
          <w:rFonts w:ascii="Times New Roman" w:hAnsi="Times New Roman"/>
          <w:sz w:val="20"/>
        </w:rPr>
        <w:t xml:space="preserve">Key elements of our strategy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Scaling Existing Channels.</w:t>
            </w:r>
            <w:r>
              <w:rPr>
                <w:rFonts w:ascii="Times New Roman" w:hAnsi="Times New Roman"/>
                <w:sz w:val="20"/>
              </w:rPr>
              <w:t xml:space="preserve"> We believe that we have a significant opportunity to work with our existing Channels to grow their customer base. We intend to continue to strategically invest in marketing and strategic relationships. Our existing Channels deliver an opportunity for growth in the near term within our existing geographies and current platform.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Win New Channels</w:t>
            </w:r>
            <w:r>
              <w:rPr>
                <w:rFonts w:ascii="Times New Roman" w:hAnsi="Times New Roman"/>
                <w:sz w:val="20"/>
              </w:rPr>
              <w:t xml:space="preserve">. We see significant potential in opening up new distribution channels in other markets, such as Telcos and banks, who we believe will be able to replicate the success we are experiencing in our current markets. Opening new distribution channels will allow us to accelerate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New Offering Features</w:t>
            </w:r>
            <w:r>
              <w:rPr>
                <w:rFonts w:ascii="Times New Roman" w:hAnsi="Times New Roman"/>
                <w:sz w:val="20"/>
              </w:rPr>
              <w:t xml:space="preserve">. We plan to add to and expand our platform with further functionality including live event notifications, dynamic coupons, more personalization and personal experiences as well as provided artificial intelligence layers to enable more convenient and segmented merchandizing.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Upsell/Cross Sell</w:t>
            </w:r>
            <w:r>
              <w:rPr>
                <w:rFonts w:ascii="Times New Roman" w:hAnsi="Times New Roman"/>
                <w:sz w:val="20"/>
              </w:rPr>
              <w:t xml:space="preserve">. We expect to further penetrate our customer base. We intend to expand direct and indirect sales capabilities, drive dynamic customer segmentation capabilities, introduce analytics to improve customer insights and improve customer lifetime value. Combined with additional functionalities and offering capabilities, we expect to upsell and cross sell across our new merchants, increasing our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Enter New Geographies</w:t>
            </w:r>
            <w:r>
              <w:rPr>
                <w:rFonts w:ascii="Times New Roman" w:hAnsi="Times New Roman"/>
                <w:sz w:val="20"/>
              </w:rPr>
              <w:t xml:space="preserve">. We intend to capitalize on our global growth momentum in India, the U.S., Latin America, East Asia, broader Europe, Australia, Canada and Brazil.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Strategic Acquisitions</w:t>
            </w:r>
            <w:r>
              <w:rPr>
                <w:rFonts w:ascii="Times New Roman" w:hAnsi="Times New Roman"/>
                <w:sz w:val="20"/>
              </w:rPr>
              <w:t xml:space="preserve">. We intend to selectively pursue acquisitions that enhance our existing platform capabilities and are consistent with our 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The Rezolve Platform </w:t>
      </w:r>
    </w:p>
    <w:p>
      <w:pPr>
        <w:pStyle w:val="TextBody"/>
        <w:bidi w:val="0"/>
        <w:spacing w:before="120" w:after="0"/>
        <w:jc w:val="left"/>
        <w:rPr>
          <w:rFonts w:ascii="Times New Roman" w:hAnsi="Times New Roman"/>
          <w:sz w:val="20"/>
        </w:rPr>
      </w:pPr>
      <w:r>
        <w:rPr>
          <w:rFonts w:ascii="Times New Roman" w:hAnsi="Times New Roman"/>
          <w:sz w:val="20"/>
        </w:rPr>
        <w:t xml:space="preserve">The cloud-based Rezolve AI platform integrates the features and functionalities that merchants need to seamlessly transact across different Channels. Capabilities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Ecommerce Chat and Search.</w:t>
            </w:r>
            <w:r>
              <w:rPr>
                <w:rFonts w:ascii="Times New Roman" w:hAnsi="Times New Roman"/>
                <w:sz w:val="20"/>
              </w:rPr>
              <w:t xml:space="preserve"> Rezolves Brain allows customers, either online or instore, to ask, via voice or text and in any language,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3632835" cy="1254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32835" cy="12541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Customer Loyalty Programs.</w:t>
            </w:r>
            <w:r>
              <w:rPr>
                <w:rFonts w:ascii="Times New Roman" w:hAnsi="Times New Roman"/>
                <w:sz w:val="20"/>
              </w:rPr>
              <w:t xml:space="preserve"> We expect to bring together merchants and consumers with the goal of empowering merchants to engage directly with their customers and not solely through third-party intermediaries. By enabling direct consumer engagement, merchants are able to build customer loyalty and can launch campaigns or targeted offers through the Rezolve platform with a higher level of engagement and relevancy.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Direct Customer Insights</w:t>
            </w:r>
            <w:r>
              <w:rPr>
                <w:rFonts w:ascii="Times New Roman" w:hAnsi="Times New Roman"/>
                <w:sz w:val="20"/>
              </w:rPr>
              <w:t xml:space="preserve">. We expect our platform to provide merchants with direct access to their customers and their key information about shopping preferences, which they can use to drive further consumer engagement. For brands that typically sell their products through third-party intermediaries, these insights are useful for building brand affinity and loyalty.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Mobile Vouchering.</w:t>
            </w:r>
            <w:r>
              <w:rPr>
                <w:rFonts w:ascii="Times New Roman" w:hAnsi="Times New Roman"/>
                <w:sz w:val="20"/>
              </w:rPr>
              <w:t xml:space="preserve"> We expect to enable merchants to be more flexible in their offerings to consumers. With the Rezolve platform integrated into merchants apps, consumers are able to scan products and buy them through the app, eliminating the need to wait online in retail stores.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Retailer Point-of-Sale / Back office.</w:t>
            </w:r>
            <w:r>
              <w:rPr>
                <w:rFonts w:ascii="Times New Roman" w:hAnsi="Times New Roman"/>
                <w:sz w:val="20"/>
              </w:rPr>
              <w:t xml:space="preserve"> We expect to provide merchants with a self-service portal, featuring an accessible dashboard to manage shoppable campaigns and to track consumers shopping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Mobile Payments.</w:t>
            </w:r>
            <w:r>
              <w:rPr>
                <w:rFonts w:ascii="Times New Roman" w:hAnsi="Times New Roman"/>
                <w:sz w:val="20"/>
              </w:rPr>
              <w:t xml:space="preserve"> We expect to enhance merchants platforms by making the checkout process frictionless. Consumers only need a mobile device to use the Rezolve platform to instantly buy products that are featured in advertisements or scan and buy products in retail stores.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Ability to Pay Online or Offline.</w:t>
            </w:r>
            <w:r>
              <w:rPr>
                <w:rFonts w:ascii="Times New Roman" w:hAnsi="Times New Roman"/>
                <w:sz w:val="20"/>
              </w:rPr>
              <w:t xml:space="preserve"> We expect to offer instant salesware through one-click checkouts that enable seamless transactions through the app. Consumers are able to find offers nearby and browse through products both online and offline. For local offers, consumers can simply go into the brick-and-mortar stores or can order through an app.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Engagement Opportunities </w:t>
      </w:r>
    </w:p>
    <w:p>
      <w:pPr>
        <w:pStyle w:val="TextBody"/>
        <w:bidi w:val="0"/>
        <w:spacing w:before="120" w:after="0"/>
        <w:jc w:val="left"/>
        <w:rPr>
          <w:rFonts w:ascii="Times New Roman" w:hAnsi="Times New Roman"/>
          <w:sz w:val="20"/>
        </w:rPr>
      </w:pPr>
      <w:r>
        <w:rPr>
          <w:rFonts w:ascii="Times New Roman" w:hAnsi="Times New Roman"/>
          <w:sz w:val="20"/>
        </w:rPr>
        <w:t xml:space="preserve">We expect our platform to integrate with and address the following engagement opportunities: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Chat and Search</w:t>
            </w:r>
            <w:r>
              <w:rPr>
                <w:rFonts w:ascii="Times New Roman" w:hAnsi="Times New Roman"/>
                <w:sz w:val="20"/>
              </w:rPr>
              <w:t xml:space="preserve">. Merchants can interact naturally with customers via Rezolve Brain.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GeoZones.</w:t>
            </w:r>
            <w:r>
              <w:rPr>
                <w:rFonts w:ascii="Times New Roman" w:hAnsi="Times New Roman"/>
                <w:sz w:val="20"/>
              </w:rPr>
              <w:t xml:space="preserve"> Merchants can interact with consumers based on proximity to certain locations.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Media with Audio.</w:t>
            </w:r>
            <w:r>
              <w:rPr>
                <w:rFonts w:ascii="Times New Roman" w:hAnsi="Times New Roman"/>
                <w:sz w:val="20"/>
              </w:rPr>
              <w:t xml:space="preserve"> Merchants can integrate watermarks in broadcast and streaming media.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Visual Events. </w:t>
            </w:r>
            <w:r>
              <w:rPr>
                <w:rFonts w:ascii="Times New Roman" w:hAnsi="Times New Roman"/>
                <w:sz w:val="20"/>
              </w:rPr>
              <w:t xml:space="preserve">Merchants can integrate watermarks in posters, advertising, product labels and merchandise.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Beacons</w:t>
            </w:r>
            <w:r>
              <w:rPr>
                <w:rFonts w:ascii="Times New Roman" w:hAnsi="Times New Roman"/>
                <w:sz w:val="20"/>
              </w:rPr>
              <w:t xml:space="preserve">. Merchants can establish near-proximity beacons which allow near-field proximity engagements (3 inches to 36 inches plus) in both indoor and outdoor locations.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SmartLinks. </w:t>
            </w:r>
            <w:r>
              <w:rPr>
                <w:rFonts w:ascii="Times New Roman" w:hAnsi="Times New Roman"/>
                <w:sz w:val="20"/>
              </w:rPr>
              <w:t xml:space="preserve">Merchants can embed URL links into social media posts and email communications (amongst others) which trigger Instant Checkout and Instant Act engagements.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SmartCodes. </w:t>
            </w:r>
            <w:r>
              <w:rPr>
                <w:rFonts w:ascii="Times New Roman" w:hAnsi="Times New Roman"/>
                <w:sz w:val="20"/>
              </w:rPr>
              <w:t xml:space="preserve">Merchants can establish QR codes integrated with their media with a richer engagement experience for the consumer.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Instant Checkout. </w:t>
            </w:r>
            <w:r>
              <w:rPr>
                <w:rFonts w:ascii="Times New Roman" w:hAnsi="Times New Roman"/>
                <w:sz w:val="20"/>
              </w:rPr>
              <w:t xml:space="preserve">Merchants can embed Buy Now and Act Now buttons on their websites and advertisements for instant engagement and conversion.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Transaction Events </w:t>
      </w:r>
    </w:p>
    <w:p>
      <w:pPr>
        <w:pStyle w:val="TextBody"/>
        <w:bidi w:val="0"/>
        <w:spacing w:before="120" w:after="0"/>
        <w:jc w:val="left"/>
        <w:rPr>
          <w:rFonts w:ascii="Times New Roman" w:hAnsi="Times New Roman"/>
          <w:sz w:val="20"/>
        </w:rPr>
      </w:pPr>
      <w:r>
        <w:rPr>
          <w:rFonts w:ascii="Times New Roman" w:hAnsi="Times New Roman"/>
          <w:sz w:val="20"/>
        </w:rPr>
        <w:t xml:space="preserve">Using the Rezolve dashboard, we expect that merchants can link a trigger from one of the above Channel opportunities with the following types of events or actions as examples of use cases: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Fast Checkout: </w:t>
            </w:r>
            <w:r>
              <w:rPr>
                <w:rFonts w:ascii="Times New Roman" w:hAnsi="Times New Roman"/>
                <w:sz w:val="20"/>
              </w:rPr>
              <w:t xml:space="preserve">Consumers can scan products, bag and exit the store without waiting in 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Expanding Walls: </w:t>
            </w:r>
            <w:r>
              <w:rPr>
                <w:rFonts w:ascii="Times New Roman" w:hAnsi="Times New Roman"/>
                <w:sz w:val="20"/>
              </w:rPr>
              <w:t xml:space="preserve">Consumers can view a broader selection of products than available in a store (e.g., furniture and clothing) that can be sold from a display wall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Stay at Table or Reserve: </w:t>
            </w:r>
            <w:r>
              <w:rPr>
                <w:rFonts w:ascii="Times New Roman" w:hAnsi="Times New Roman"/>
                <w:sz w:val="20"/>
              </w:rPr>
              <w:t xml:space="preserve">Consumers can scan advertisement or menu, order items, pay and either pick up at counter or have delivered to 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Buy and Fly:</w:t>
            </w:r>
            <w:r>
              <w:rPr>
                <w:rFonts w:ascii="Times New Roman" w:hAnsi="Times New Roman"/>
                <w:sz w:val="20"/>
              </w:rPr>
              <w:t xml:space="preserve"> Consumers can pick up items, scan, buy, bag, leave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e-Ticketing and Access Control: </w:t>
            </w:r>
            <w:r>
              <w:rPr>
                <w:rFonts w:ascii="Times New Roman" w:hAnsi="Times New Roman"/>
                <w:sz w:val="20"/>
              </w:rPr>
              <w:t xml:space="preserve">Tickets are electronically delivered to their handset to enable secure and streamlined access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Pre-Order Queue-Busting: </w:t>
            </w:r>
            <w:r>
              <w:rPr>
                <w:rFonts w:ascii="Times New Roman" w:hAnsi="Times New Roman"/>
                <w:sz w:val="20"/>
              </w:rPr>
              <w:t xml:space="preserve">Enable supporters to pre-order food, beverage and merchandise from their seat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Location sensitive:</w:t>
            </w:r>
            <w:r>
              <w:rPr>
                <w:rFonts w:ascii="Times New Roman" w:hAnsi="Times New Roman"/>
                <w:sz w:val="20"/>
              </w:rPr>
              <w:t xml:space="preserve"> Offers and promotions nearby, navigate to the location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Instant engagement: </w:t>
            </w:r>
            <w:r>
              <w:rPr>
                <w:rFonts w:ascii="Times New Roman" w:hAnsi="Times New Roman"/>
                <w:sz w:val="20"/>
              </w:rPr>
              <w:t xml:space="preserve">Buy or get more information directly from any form of advertising or directly from posters in shop windows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Technology </w:t>
      </w:r>
    </w:p>
    <w:p>
      <w:pPr>
        <w:pStyle w:val="TextBody"/>
        <w:bidi w:val="0"/>
        <w:spacing w:before="120" w:after="0"/>
        <w:jc w:val="left"/>
        <w:rPr>
          <w:rFonts w:ascii="Times New Roman" w:hAnsi="Times New Roman"/>
          <w:sz w:val="20"/>
        </w:rPr>
      </w:pPr>
      <w:r>
        <w:rPr>
          <w:rFonts w:ascii="Times New Roman" w:hAnsi="Times New Roman"/>
          <w:sz w:val="20"/>
        </w:rPr>
        <w:t xml:space="preserve">The Rezolve platform is a multi-tenant cloud-based system that is engineered for high scalability, reliability and performance. </w:t>
      </w:r>
    </w:p>
    <w:p>
      <w:pPr>
        <w:pStyle w:val="TextBody"/>
        <w:bidi w:val="0"/>
        <w:spacing w:before="240" w:after="0"/>
        <w:jc w:val="left"/>
        <w:rPr>
          <w:rFonts w:ascii="Times New Roman" w:hAnsi="Times New Roman"/>
          <w:sz w:val="20"/>
        </w:rPr>
      </w:pPr>
      <w:r>
        <w:rPr>
          <w:rFonts w:ascii="Times New Roman" w:hAnsi="Times New Roman"/>
          <w:sz w:val="20"/>
        </w:rPr>
        <w:t xml:space="preserve">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Artificial Intelligence. </w:t>
            </w:r>
            <w:r>
              <w:rPr>
                <w:rFonts w:ascii="Times New Roman" w:hAnsi="Times New Roman"/>
                <w:sz w:val="20"/>
              </w:rPr>
              <w:t xml:space="preserve">Our Large Language Model (LLM) uses proprietary AI to interrogate presales, sales and post-sales content as well as 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 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3107690" cy="184086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107690" cy="184086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Security.</w:t>
            </w:r>
            <w:r>
              <w:rPr>
                <w:rFonts w:ascii="Times New Roman" w:hAnsi="Times New Roman"/>
                <w:sz w:val="20"/>
              </w:rPr>
              <w:t xml:space="preserve"> Our proprietary AI-Platform keeps both merchant and customer confidential and PII data secure and is regulated by the strict GDPR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Encryption.</w:t>
            </w:r>
            <w:r>
              <w:rPr>
                <w:rFonts w:ascii="Times New Roman" w:hAnsi="Times New Roman"/>
                <w:sz w:val="20"/>
              </w:rPr>
              <w:t xml:space="preserve"> All data is encrypted at rest (AES-256) and in transit.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Data usage.</w:t>
            </w:r>
            <w:r>
              <w:rPr>
                <w:rFonts w:ascii="Times New Roman" w:hAnsi="Times New Roman"/>
                <w:sz w:val="20"/>
              </w:rPr>
              <w:t xml:space="preserve"> All uploaded content such as support documentation, manuals, knowledge base and product catalogue is stored in isolated 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The environment is designed to be highly isolated and secure and exceeds the requirements of PCI DSS.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Anti-counterfeiting Solution</w:t>
            </w:r>
            <w:r>
              <w:rPr>
                <w:rFonts w:ascii="Times New Roman" w:hAnsi="Times New Roman"/>
                <w:sz w:val="20"/>
              </w:rPr>
              <w:t xml:space="preserve">. Rezolves watermarking solution is based on our proprietary machine-learning technology that hides encoded images, invisible to the naked eye, onto a merchants products. Those images can be viewed from a phone camera to verify the authenticity of the product. This solution can be applied to color rich images, graphical images and text. The versatility of Rezolves solution is in its ability to watermark printed content on different surfaces like leather, plastic and wood. These watermarks further protect a merchants products by including encoded messages that enhance tracking and traceability.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Scalability. </w:t>
            </w:r>
            <w:r>
              <w:rPr>
                <w:rFonts w:ascii="Times New Roman" w:hAnsi="Times New Roman"/>
                <w:sz w:val="20"/>
              </w:rPr>
              <w:t xml:space="preserve">Our platform Core services are built on Open Telecom Platform technology Erlang which allows us to create highly distributed microservices to easily and quickly scale end user activity and transactions. Rezolves CORE gateway can spawn a massive number of processes with little overhead on demand which makes it highly scalable and reliable.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Resilience.</w:t>
            </w:r>
            <w:r>
              <w:rPr>
                <w:rFonts w:ascii="Times New Roman" w:hAnsi="Times New Roman"/>
                <w:sz w:val="20"/>
              </w:rPr>
              <w:t xml:space="preserve"> Our platform applications and system architectures are designed to support High Availability and Redundancy across all services 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Embedded Connectivity.</w:t>
            </w:r>
            <w:r>
              <w:rPr>
                <w:rFonts w:ascii="Times New Roman" w:hAnsi="Times New Roman"/>
                <w:sz w:val="20"/>
              </w:rPr>
              <w:t xml:space="preserve"> Rezolves mobile SDK provides a quick and easy solution to embed and enable Rezolve platform functionality in any Android and iOS app. The accompanying SDK sample app and documents allow third-party developers to quickly leverage the power of our 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Central Management. </w:t>
            </w:r>
            <w:r>
              <w:rPr>
                <w:rFonts w:ascii="Times New Roman" w:hAnsi="Times New Roman"/>
                <w:sz w:val="20"/>
              </w:rPr>
              <w:t xml:space="preserve">Rezolve maintains a central management and configuration tool that allows it to quickly setup partners, merchants, payments, apps and index content from its merchants so its available via the SDK.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Analytics</w:t>
            </w:r>
            <w:r>
              <w:rPr>
                <w:rFonts w:ascii="Times New Roman" w:hAnsi="Times New Roman"/>
                <w:sz w:val="20"/>
              </w:rPr>
              <w:t> </w:t>
            </w:r>
            <w:r>
              <w:rPr>
                <w:rFonts w:ascii="Times New Roman" w:hAnsi="Times New Roman"/>
                <w:i/>
                <w:sz w:val="20"/>
              </w:rPr>
              <w:t xml:space="preserve">&amp; Reporting. </w:t>
            </w:r>
            <w:r>
              <w:rPr>
                <w:rFonts w:ascii="Times New Roman" w:hAnsi="Times New Roman"/>
                <w:sz w:val="20"/>
              </w:rPr>
              <w:t xml:space="preserve">Rezolve SDK and Backend Data Ingestor Service gathers metrics on usage, transactions, interactions and feeds it to the Analytics Engine to churn out smart Dashboards and Reports.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Snap-on Integrations.</w:t>
            </w:r>
            <w:r>
              <w:rPr>
                <w:rFonts w:ascii="Times New Roman" w:hAnsi="Times New Roman"/>
                <w:sz w:val="20"/>
              </w:rPr>
              <w:t xml:space="preserve"> Rezolves Platform supports a snap-on integration design that allows integrations to any payment provider or gateway as well as eCommerce platforms with minimum effort. Rezolve already supports a large number of payment providers and ramping up support for e-commerce platforms via its unique plugin architecture and webhooks.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Mass Onboarding.</w:t>
            </w:r>
            <w:r>
              <w:rPr>
                <w:rFonts w:ascii="Times New Roman" w:hAnsi="Times New Roman"/>
                <w:sz w:val="20"/>
              </w:rPr>
              <w:t xml:space="preserve"> Bulk Onboarding of Merchants is a new and unique offering of our platform that allows us to set up and configure more than 10,000 merchants. Admin portal provides an easy to operate tool for operations teams to quickly add a large merchant base in any market on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Smart Triggers.</w:t>
            </w:r>
            <w:r>
              <w:rPr>
                <w:rFonts w:ascii="Times New Roman" w:hAnsi="Times New Roman"/>
                <w:sz w:val="20"/>
              </w:rPr>
              <w:t xml:space="preserve"> Rezolves implementation of GeoZones, Beacons and Watermarking are important elements of its platform. The creation of these triggers via Rezolves Experience Platform when combined with its SDK delivers a powerful tool to Merchants to deliver non spamming targeted engagements.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Developer Friendly.</w:t>
            </w:r>
            <w:r>
              <w:rPr>
                <w:rFonts w:ascii="Times New Roman" w:hAnsi="Times New Roman"/>
                <w:sz w:val="20"/>
              </w:rPr>
              <w:t xml:space="preserve"> Rezolves REST API provides another integration point for any partner or client not using native mobile apps. We can easily support progressive web applications, hybrid applications, web-based services and other applications.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Channels </w:t>
      </w:r>
    </w:p>
    <w:p>
      <w:pPr>
        <w:pStyle w:val="TextBody"/>
        <w:bidi w:val="0"/>
        <w:spacing w:before="120" w:after="0"/>
        <w:jc w:val="left"/>
        <w:rPr>
          <w:rFonts w:ascii="Times New Roman" w:hAnsi="Times New Roman"/>
          <w:sz w:val="20"/>
        </w:rPr>
      </w:pPr>
      <w:r>
        <w:rPr>
          <w:rFonts w:ascii="Times New Roman" w:hAnsi="Times New Roman"/>
          <w:sz w:val="20"/>
        </w:rPr>
        <w:t xml:space="preserve">We have preliminarily established relationships with Channels such as Grupo Carso (Latin America), ACI Worldwide (U.S. and Europe), Concardis (Germany), MobiKwik (India), and CompuTop (Germany), although these Channels are currently pre-revenue.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acquiror Channels promote the use of Rezolve technology embedded into their apps directly (using Rezolves SDK and mobile application libraries). All merchants are encouraged to use our Rezolve Experience Platform to create engagements with their end-customers, whether it is labelled with the brand of the Channel or our brand.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Our market is transforming, competitive and highly fragmented, and we expect competition to increase in the future. We believe the principal competitive factors in our market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proprietary actionable AI-engineered products and solutions focused on commerce;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simplicity and ease of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integration of multiple Channels;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breadth and depth of functionality;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pace of innovation;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scale;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security and reliability;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support for brand development;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brand recognition and reputation.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each of these factors, we believe that we provide a number of favorable offerings. </w:t>
      </w:r>
    </w:p>
    <w:p>
      <w:pPr>
        <w:pStyle w:val="TextBody"/>
        <w:bidi w:val="0"/>
        <w:spacing w:before="240" w:after="0"/>
        <w:jc w:val="left"/>
        <w:rPr>
          <w:rFonts w:ascii="Times New Roman" w:hAnsi="Times New Roman"/>
          <w:sz w:val="20"/>
        </w:rPr>
      </w:pPr>
      <w:r>
        <w:rPr>
          <w:rFonts w:ascii="Times New Roman" w:hAnsi="Times New Roman"/>
          <w:sz w:val="20"/>
        </w:rPr>
        <w:t xml:space="preserve">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Our intellectual property and proprietary rights are important to our business. In our efforts to safeguard them, we rely on a combination of copyright, trade secret, trademark, patent and other rights in jurisdictions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 </w:t>
      </w:r>
    </w:p>
    <w:p>
      <w:pPr>
        <w:pStyle w:val="TextBody"/>
        <w:bidi w:val="0"/>
        <w:spacing w:before="240" w:after="0"/>
        <w:jc w:val="left"/>
        <w:rPr>
          <w:rFonts w:ascii="Times New Roman" w:hAnsi="Times New Roman"/>
          <w:sz w:val="20"/>
        </w:rPr>
      </w:pPr>
      <w:r>
        <w:rPr>
          <w:rFonts w:ascii="Times New Roman" w:hAnsi="Times New Roman"/>
          <w:sz w:val="20"/>
        </w:rPr>
        <w:t xml:space="preserve">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 </w:t>
      </w:r>
    </w:p>
    <w:p>
      <w:pPr>
        <w:pStyle w:val="TextBody"/>
        <w:bidi w:val="0"/>
        <w:spacing w:before="240" w:after="0"/>
        <w:jc w:val="left"/>
        <w:rPr>
          <w:rFonts w:ascii="Times New Roman" w:hAnsi="Times New Roman"/>
          <w:sz w:val="20"/>
        </w:rPr>
      </w:pPr>
      <w:r>
        <w:rPr>
          <w:rFonts w:ascii="Times New Roman" w:hAnsi="Times New Roman"/>
          <w:sz w:val="20"/>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hAnsi="Times New Roman"/>
          <w:i/>
          <w:sz w:val="20"/>
        </w:rPr>
        <w:t>Risk FactorsRisks Related to our Business and Industry</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we had 70 employees and 90 contractors. None of our employees is represented by a labor organization or is a party to a collective bargaining arrangement. We consider our relationship with our employees to be excellent.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We are headquartered in London, England, United Kingdom. We do not own any real property. All of our employees based in the United Kingdom work remotely.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 </w:t>
      </w:r>
    </w:p>
    <w:p>
      <w:pPr>
        <w:pStyle w:val="TextBody"/>
        <w:bidi w:val="0"/>
        <w:spacing w:before="240" w:after="0"/>
        <w:jc w:val="left"/>
        <w:rPr>
          <w:rFonts w:ascii="Times New Roman" w:hAnsi="Times New Roman"/>
          <w:sz w:val="20"/>
        </w:rPr>
      </w:pPr>
      <w:r>
        <w:rPr>
          <w:rFonts w:ascii="Times New Roman" w:hAnsi="Times New Roman"/>
          <w:sz w:val="20"/>
        </w:rPr>
        <w:t xml:space="preserve">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 </w:t>
      </w:r>
    </w:p>
    <w:p>
      <w:pPr>
        <w:pStyle w:val="TextBody"/>
        <w:bidi w:val="0"/>
        <w:spacing w:before="240" w:after="0"/>
        <w:jc w:val="left"/>
        <w:rPr>
          <w:rFonts w:ascii="Times New Roman" w:hAnsi="Times New Roman"/>
          <w:sz w:val="20"/>
        </w:rPr>
      </w:pPr>
      <w:r>
        <w:rPr>
          <w:rFonts w:ascii="Times New Roman" w:hAnsi="Times New Roman"/>
          <w:sz w:val="20"/>
        </w:rPr>
        <w:t xml:space="preserve">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tx309194_23"/>
      <w:bookmarkEnd w:id="26"/>
      <w:r>
        <w:rPr>
          <w:rFonts w:ascii="Times New Roman" w:hAnsi="Times New Roman"/>
          <w:b/>
          <w:sz w:val="20"/>
        </w:rPr>
        <w:t xml:space="preserve">REZOLVES MANAGEMENTS DISCUSSION AND ANALYSIS OF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In this section, we, us, our and Rezolve refer to Rezolve AI Limited and its subsidiaries prior to the consummation of the Business Combination and to Rezolve PLC and its subsidiaries following the consummation of the Business Combination. </w:t>
      </w:r>
    </w:p>
    <w:p>
      <w:pPr>
        <w:pStyle w:val="TextBody"/>
        <w:bidi w:val="0"/>
        <w:spacing w:before="240" w:after="0"/>
        <w:jc w:val="left"/>
        <w:rPr>
          <w:rFonts w:ascii="Times New Roman" w:hAnsi="Times New Roman"/>
          <w:sz w:val="20"/>
        </w:rPr>
      </w:pPr>
      <w:r>
        <w:rPr>
          <w:rFonts w:ascii="Times New Roman" w:hAnsi="Times New Roman"/>
          <w:i/>
          <w:sz w:val="20"/>
        </w:rPr>
        <w:t>The following discussion should be read in conjunction with the Business of Rezolve</w:t>
      </w:r>
      <w:r>
        <w:rPr>
          <w:rFonts w:ascii="Times New Roman" w:hAnsi="Times New Roman"/>
          <w:sz w:val="20"/>
        </w:rPr>
        <w:t>,</w:t>
      </w:r>
      <w:r>
        <w:rPr>
          <w:rFonts w:ascii="Times New Roman" w:hAnsi="Times New Roman"/>
          <w:i/>
          <w:sz w:val="20"/>
        </w:rPr>
        <w:t xml:space="preserve"> Selected Historical Consolidated Financial Data of Rezolve, Unaudited Pro Forma Consolidated Financial Information and the Rezolve Financial Statements and related notes thereto included elsewhere in this proxy statement/prospectus. In addition to historical information, this discussion contains forward-looking statements that involve risks, uncertainties and assumptions, such as statements regarding our plans, objectives, expectations and intentions, that could cause actual results to differ materially from managements expectations. Factors that could cause such differences are discussed in Forward-Looking Statements and Risk Factors.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recognized8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 </w:t>
      </w:r>
    </w:p>
    <w:p>
      <w:pPr>
        <w:pStyle w:val="TextBody"/>
        <w:bidi w:val="0"/>
        <w:spacing w:before="240" w:after="0"/>
        <w:jc w:val="left"/>
        <w:rPr>
          <w:rFonts w:ascii="Times New Roman" w:hAnsi="Times New Roman"/>
          <w:sz w:val="20"/>
        </w:rPr>
      </w:pPr>
      <w:r>
        <w:rPr>
          <w:rFonts w:ascii="Times New Roman" w:hAnsi="Times New Roman"/>
          <w:sz w:val="20"/>
        </w:rPr>
        <w:t xml:space="preserve">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 </w:t>
      </w:r>
    </w:p>
    <w:p>
      <w:pPr>
        <w:pStyle w:val="TextBody"/>
        <w:bidi w:val="0"/>
        <w:spacing w:before="240" w:after="0"/>
        <w:jc w:val="left"/>
        <w:rPr>
          <w:rFonts w:ascii="Times New Roman" w:hAnsi="Times New Roman"/>
          <w:sz w:val="20"/>
        </w:rPr>
      </w:pPr>
      <w:r>
        <w:rPr>
          <w:rFonts w:ascii="Times New Roman" w:hAnsi="Times New Roman"/>
          <w:sz w:val="20"/>
        </w:rPr>
        <w:t xml:space="preserve">Rezolve was incorporated in England and Wales as a private limited company on January 5, 2023 under the name Rezolve Group Limited with company number 14573691 and changed its name on June 5, 2023 to Rezolve AI Limited. Rezolve was re-registered as a public limited company on                 , 2023.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 </w:t>
      </w:r>
    </w:p>
    <w:p>
      <w:pPr>
        <w:pStyle w:val="TextBody"/>
        <w:bidi w:val="0"/>
        <w:spacing w:before="240" w:after="0"/>
        <w:jc w:val="left"/>
        <w:rPr>
          <w:rFonts w:ascii="Times New Roman" w:hAnsi="Times New Roman"/>
          <w:sz w:val="20"/>
        </w:rPr>
      </w:pPr>
      <w:r>
        <w:rPr>
          <w:rFonts w:ascii="Times New Roman" w:hAnsi="Times New Roman"/>
          <w:sz w:val="20"/>
        </w:rPr>
        <w:t xml:space="preserve">We currently derive revenues through the following offerings: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of radio advertisements in our German subsidiary Any Lifestyle Marketing GmbH (ANY) to a single customer, Radio Group GmbH and its related companies, collectively referred to as the Radio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 fees based on sales of ticketing for La Liga football events in Spain.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8 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see Rezolve Press Release dated July 25, 2023, available at </w:t>
            </w:r>
            <w:r>
              <w:rPr>
                <w:rFonts w:ascii="Times New Roman" w:hAnsi="Times New Roman"/>
                <w:sz w:val="20"/>
                <w:u w:val="single"/>
              </w:rPr>
              <w:t>https://www.rezolve.com/investors/britains-brain-heralds-new-era-of-commerce-enabled-ai/</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Acquisitions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Any Lifestyle Marketing GmbH </w:t>
      </w:r>
    </w:p>
    <w:p>
      <w:pPr>
        <w:pStyle w:val="TextBody"/>
        <w:bidi w:val="0"/>
        <w:spacing w:before="120" w:after="0"/>
        <w:jc w:val="left"/>
        <w:rPr>
          <w:rFonts w:ascii="Times New Roman" w:hAnsi="Times New Roman"/>
          <w:sz w:val="20"/>
        </w:rPr>
      </w:pPr>
      <w:r>
        <w:rPr>
          <w:rFonts w:ascii="Times New Roman" w:hAnsi="Times New Roman"/>
          <w:sz w:val="20"/>
        </w:rPr>
        <w:t xml:space="preserve">On August 30, 2021, the Company acquired Any Lifestyle Marketing GmbH (ANY) from its shareholders including the Radio Group GmbH. ANY was incorporated on August 13, 2021. ANY was established to purchase the rights to sell services of the companies owned by Radio Group GmbH (Radio Group) such as airtime advertisements. ANYs business from incorporation is Radio Groups predecessor marketing business prior to being carved-out and inserted into the newly formed company, 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acquired ANY by agreeing to issue 14,427,185 ordinary shares valued at $1.03 per share (the consideration shares). The shares were issued on February 11, 2022. Subject to completion having occurred then on August 30, 2022 (the Settlement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Rezolve was then publicly listed with a valuation of $1 billion or more, Rezolve was to pay $10 million in cash to the sellers of ANY and 9,708,738 of the consideration shares were to be reclassified as deferred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Rezolve was then publicly listed with a valuation of less than $1 billion, Rezolve was to pay $14.86 million in cash to the Sellers of ANY and all consideration shares were to be reclassified as deferred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Rezolve was not then publicly listed and had a valuation of $1 billion or more, Rezolve was to pay $9 million in cash to the sellers of ANY and 8,737,864 of the consideration shares were to be reclassified as deferred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Rezolve was not then publicly listed and had a valuation of less than $1 billion, Rezolve was to pay $14.86 million in cash to the sellers of ANY and all of the consideration shares were to be reclassified as deferred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Company failed to pay the cash in any of the above mentioned scenarios by the Settlement Date, the sellers of ANY could re-acquire the shares in ANY and their consideration shares would then be reclassified as deferred shares. </w:t>
      </w:r>
    </w:p>
    <w:p>
      <w:pPr>
        <w:pStyle w:val="TextBody"/>
        <w:bidi w:val="0"/>
        <w:spacing w:before="240" w:after="0"/>
        <w:jc w:val="left"/>
        <w:rPr>
          <w:rFonts w:ascii="Times New Roman" w:hAnsi="Times New Roman"/>
          <w:sz w:val="20"/>
        </w:rPr>
      </w:pPr>
      <w:r>
        <w:rPr>
          <w:rFonts w:ascii="Times New Roman" w:hAnsi="Times New Roman"/>
          <w:sz w:val="20"/>
        </w:rPr>
        <w:t xml:space="preserve">On June 10, 2022, the Company and the sellers of ANY entered into a Standstill Agreement, whereby the Settlement Date was extended to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extension, the Company agreed to pay the sellers of ANY 70,000 monthly in each of the four months from September 2022 to December 2022, provided the Company was not yet listed on an internationally recognized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On December 28, 2022, the legal ownership of ANY reverted back to the sellers of ANY, the consideration shares were reclassified as deferred shares, and further negotiations took place between the sellers of ANY and the Company. On May 24, 2023, the sellers of ANY and the Company agreed that the Company could re-acquire the shares in ANY as soon as practicable after listing of Rezolves Ordinary Shares and on completion of the purchase, the deferred shares held by the sellers of ANY are to be reclassified as Ordinary Shares. If the sellers of ANY elect within 14 days of the listing of Rezolves Ordinary Shares, Rezolve must pay the sellers of ANY $5 million within 60 days after such election and upon such payment 4,854,368 of the consideration shares (as adjusted as a result of the Pre-Closing Demerger) held by those sellers will be reclassified as deferred shares. If Rezolve fails to make such payment, the sellers of ANY may reverse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does not consummate the Business Combination by November 30, 2023, the sellers of ANY may terminate the acquisition of ANY. The sellers of ANY may sell up to EUR two million (equivalent to $2,161,600) of their consideration shares within 60 days of the listing to existing shareholders of Rezolve. If the sellers of ANY do not find an interested buyer in the shares within 60 days, the sellers may elect within 14 days after that 60-day period that Rezolve pays the sellers EUR two million (equivalent to $2,161,600) within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10 business days and upon such payment 2,098,640 of the consideration shares (as adjusted as a result of the Pre-Closing Demerger) held by those sellers will be reclassified as deferred shares. If Rezolve fails to make such payment, the sellers of ANY may reverse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ANY was determined to be a variable interest entity with Rezolve to be the primary beneficiary in accordance with the provisions of ASC 810 from August 30, 2021. During the period from the negotiations entered into with the sellers of ANY in December 2022 and indefinitely thereafter, the Company continues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the power to direct ANY in a manner which most significantly impacts its economic activity, by having Rezolves chief executive officer and chief commercial officer execute all decisions regarding strategy, budgets and marketing,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absorb any gains,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 to absorb any losses, via requirement to fund ANY for any cash or working capital shortfalls.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Key Factors Affecting Our Performance </w:t>
      </w:r>
    </w:p>
    <w:p>
      <w:pPr>
        <w:pStyle w:val="TextBody"/>
        <w:bidi w:val="0"/>
        <w:spacing w:before="120" w:after="0"/>
        <w:jc w:val="left"/>
        <w:rPr>
          <w:rFonts w:ascii="Times New Roman" w:hAnsi="Times New Roman"/>
          <w:sz w:val="20"/>
        </w:rPr>
      </w:pPr>
      <w:r>
        <w:rPr>
          <w:rFonts w:ascii="Times New Roman" w:hAnsi="Times New Roman"/>
          <w:sz w:val="20"/>
        </w:rPr>
        <w:t xml:space="preserve">We believe our future performance will depend on many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Growth from Transactions</w:t>
            </w:r>
            <w:r>
              <w:rPr>
                <w:rFonts w:ascii="Times New Roman" w:hAnsi="Times New Roman"/>
                <w:sz w:val="20"/>
              </w:rPr>
              <w:t xml:space="preserve">: Our growth depends on SaaS subscription fees and commissions earned from merchants transactions with their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New Merchant Acquisition</w:t>
            </w:r>
            <w:r>
              <w:rPr>
                <w:rFonts w:ascii="Times New Roman" w:hAnsi="Times New Roman"/>
                <w:sz w:val="20"/>
              </w:rPr>
              <w:t xml:space="preserve">: Our growth depends in part on our ability to attract merchants to our platform. A key avenue of merchant 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Successful Expansion to Additional Geographies</w:t>
            </w:r>
            <w:r>
              <w:rPr>
                <w:rFonts w:ascii="Times New Roman" w:hAnsi="Times New Roman"/>
                <w:sz w:val="20"/>
              </w:rPr>
              <w:t xml:space="preserve">: We believe our platform can compete successfully in various geographic regions. This 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Merchant Retention and Expansion</w:t>
            </w:r>
            <w:r>
              <w:rPr>
                <w:rFonts w:ascii="Times New Roman" w:hAnsi="Times New Roman"/>
                <w:sz w:val="20"/>
              </w:rPr>
              <w:t xml:space="preserve">: We care deeply about merchants. Our commitment to their success, we believe, increases retention 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Offering and service enhancement</w:t>
            </w:r>
            <w:r>
              <w:rPr>
                <w:rFonts w:ascii="Times New Roman" w:hAnsi="Times New Roman"/>
                <w:sz w:val="20"/>
              </w:rPr>
              <w:t xml:space="preserve">: We intend to continue investing in the capabilities of our offerings and services to deliver better value for our users and merchants and address new market opportunities. Additionally, we will work to perfect our platform services, including Instant Act, Instant Checkout, SmartLinks, SmartCodes and the use of watermarking technology for anti-counterfeiting.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Growth through Mergers</w:t>
            </w:r>
            <w:r>
              <w:rPr>
                <w:rFonts w:ascii="Times New Roman" w:hAnsi="Times New Roman"/>
                <w:sz w:val="20"/>
              </w:rPr>
              <w:t> </w:t>
            </w:r>
            <w:r>
              <w:rPr>
                <w:rFonts w:ascii="Times New Roman" w:hAnsi="Times New Roman"/>
                <w:b/>
                <w:sz w:val="20"/>
              </w:rPr>
              <w:t>&amp; Acquisitions</w:t>
            </w:r>
            <w:r>
              <w:rPr>
                <w:rFonts w:ascii="Times New Roman" w:hAnsi="Times New Roman"/>
                <w:sz w:val="20"/>
              </w:rPr>
              <w:t xml:space="preserve">: The growth of our business can be supported by a successful merger agreement with a SPAC and access to financing through capital markets. Additionally, our growth may be supported by acquisitions of businesses where management identifies synergistic growth opportunities.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The core revenues generating part of our business relates to the sale of radio advertisements on the Radio Group radio stations through a single marketing agreement. In addition to the sale of radio advertisements, we generate transaction revenues through the sale of ticketing of football events using our technology with La Liga in Spain. </w:t>
      </w:r>
    </w:p>
    <w:p>
      <w:pPr>
        <w:pStyle w:val="TextBody"/>
        <w:bidi w:val="0"/>
        <w:spacing w:before="240" w:after="0"/>
        <w:jc w:val="left"/>
        <w:rPr>
          <w:rFonts w:ascii="Times New Roman" w:hAnsi="Times New Roman"/>
          <w:sz w:val="20"/>
        </w:rPr>
      </w:pPr>
      <w:r>
        <w:rPr>
          <w:rFonts w:ascii="Times New Roman" w:hAnsi="Times New Roman"/>
          <w:sz w:val="20"/>
        </w:rPr>
        <w:t xml:space="preserve">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Operating expenses consist of cost of revenues, employee benefit expenses, consultancy expense, sales and marketing expenses, business development expenses, general and administrative expenses, and depreciation and amortization.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Cost of revenues</w:t>
            </w:r>
            <w:r>
              <w:rPr>
                <w:rFonts w:ascii="Times New Roman" w:hAnsi="Times New Roman"/>
                <w:sz w:val="20"/>
              </w:rPr>
              <w:t xml:space="preserve">: Our cost of revenues consist primarily of the materials and consumables, as well as purchased airtime and distribution of radio advertisements sold in Germany.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Sales and marketing</w:t>
            </w:r>
            <w:r>
              <w:rPr>
                <w:rFonts w:ascii="Times New Roman" w:hAnsi="Times New Roman"/>
                <w:sz w:val="20"/>
              </w:rPr>
              <w:t xml:space="preserve">: Costs primarily consist of costs incurred by the group for marketing of radio advertisements in Germany, promoting our platform and services, consulting fees as well as salaries, pension contributions and share-based compensation for sales and marketing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General and administrative</w:t>
            </w:r>
            <w:r>
              <w:rPr>
                <w:rFonts w:ascii="Times New Roman" w:hAnsi="Times New Roman"/>
                <w:sz w:val="20"/>
              </w:rPr>
              <w:t xml:space="preserve">: Costs consist primarily of finance, legal, listing and other non-specific costs as well as salaries, pension contributions and share-based compensation for employees. General and administrative also consists of payments made to developers who contract with Rezolve, fees and share-based compensation for directors, as well as business development expenses for our investments in Rezolve China by Rezolve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Depreciation and amortization</w:t>
            </w:r>
            <w:r>
              <w:rPr>
                <w:rFonts w:ascii="Times New Roman" w:hAnsi="Times New Roman"/>
                <w:sz w:val="20"/>
              </w:rPr>
              <w:t xml:space="preserve">: primarily consists of amortization of a customer list and acquired information technology intangible assets as well as depreciation of fixed tangible assets. We note that all software development expenditure up until the end of December 2022 has been expensed.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Other operating expenses</w:t>
            </w:r>
            <w:r>
              <w:rPr>
                <w:rFonts w:ascii="Times New Roman" w:hAnsi="Times New Roman"/>
                <w:sz w:val="20"/>
              </w:rPr>
              <w:t xml:space="preserve">: consists of an impairment of accounts receivable in the year ended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Impairment of Goodwill</w:t>
            </w:r>
            <w:r>
              <w:rPr>
                <w:rFonts w:ascii="Times New Roman" w:hAnsi="Times New Roman"/>
                <w:sz w:val="20"/>
              </w:rPr>
              <w:t xml:space="preserve">: Impairment of goodwill in the year ended December 31, 2022 consists of the impairment charge in the Companys German business, ANY. Management determined that indicators of impairment of goodwill existed when future operating profits and cash flows were revised to be lower than initially anticipated when ANY was acquired in 2021. In the year ended December 31, 2022, a goodwill impairment loss of $7.4 million was recognized in the German reporting unit, ANY. The fair value of that reporting unit was estimated using the expected present value of future cash flows.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consists primarily of costs associated with convertible debt. The group currently has no bank debt and no banking facilities which would incur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Non-Operating Income (Expense) </w:t>
      </w:r>
    </w:p>
    <w:p>
      <w:pPr>
        <w:pStyle w:val="TextBody"/>
        <w:bidi w:val="0"/>
        <w:spacing w:before="120" w:after="0"/>
        <w:jc w:val="left"/>
        <w:rPr>
          <w:rFonts w:ascii="Times New Roman" w:hAnsi="Times New Roman"/>
          <w:sz w:val="20"/>
        </w:rPr>
      </w:pPr>
      <w:r>
        <w:rPr>
          <w:rFonts w:ascii="Times New Roman" w:hAnsi="Times New Roman"/>
          <w:sz w:val="20"/>
        </w:rPr>
        <w:t xml:space="preserve">Other non-operating income/ (expense), net consists of foreign exchange loss, research and development credits and non-recurring share-based payments for non-employees and non-directors. Foreign exchange loss primarily consists of the revaluation of local currency bank ledger balances not denominated in U.S. dollars.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Research and development credits primarily consists of activities related to government tax incentives on technology spent on certain operational activities in UK. The share-based payment in 2021 consists of a non-recurring charge for future shares to be awarded for completion of a non-compete period to the former owner of Rezolve Taiwan.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Benefit </w:t>
      </w:r>
    </w:p>
    <w:p>
      <w:pPr>
        <w:pStyle w:val="TextBody"/>
        <w:bidi w:val="0"/>
        <w:spacing w:before="120" w:after="0"/>
        <w:jc w:val="left"/>
        <w:rPr>
          <w:rFonts w:ascii="Times New Roman" w:hAnsi="Times New Roman"/>
          <w:sz w:val="20"/>
        </w:rPr>
      </w:pPr>
      <w:r>
        <w:rPr>
          <w:rFonts w:ascii="Times New Roman" w:hAnsi="Times New Roman"/>
          <w:sz w:val="20"/>
        </w:rPr>
        <w:t xml:space="preserve">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 </w:t>
      </w:r>
    </w:p>
    <w:p>
      <w:pPr>
        <w:pStyle w:val="TextBody"/>
        <w:bidi w:val="0"/>
        <w:spacing w:before="360" w:after="0"/>
        <w:jc w:val="left"/>
        <w:rPr>
          <w:rFonts w:ascii="Times New Roman" w:hAnsi="Times New Roman"/>
          <w:b/>
          <w:sz w:val="20"/>
        </w:rPr>
      </w:pPr>
      <w:r>
        <w:rPr>
          <w:rFonts w:ascii="Times New Roman" w:hAnsi="Times New Roman"/>
          <w:b/>
          <w:sz w:val="20"/>
        </w:rPr>
        <w:t xml:space="preserve">Key Business Metrics </w:t>
      </w:r>
    </w:p>
    <w:p>
      <w:pPr>
        <w:pStyle w:val="TextBody"/>
        <w:bidi w:val="0"/>
        <w:spacing w:before="120" w:after="0"/>
        <w:jc w:val="left"/>
        <w:rPr>
          <w:rFonts w:ascii="Times New Roman" w:hAnsi="Times New Roman"/>
          <w:sz w:val="20"/>
        </w:rPr>
      </w:pPr>
      <w:r>
        <w:rPr>
          <w:rFonts w:ascii="Times New Roman" w:hAnsi="Times New Roman"/>
          <w:sz w:val="20"/>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hAnsi="Times New Roman"/>
          <w:i/>
          <w:sz w:val="20"/>
        </w:rPr>
        <w:t>Components of Results of Operations</w:t>
      </w:r>
      <w:r>
        <w:rPr>
          <w:rFonts w:ascii="Times New Roman" w:hAnsi="Times New Roman"/>
          <w:sz w:val="20"/>
        </w:rPr>
        <w:t xml:space="preserve">. Period-on-period revenues growth, EBITDA and total number of merchants are discussed immediately below the following table. The following financial metrics are used by management to monitor and analyze the operational performance of our business.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Airtime and Advertisements: </w:t>
            </w:r>
            <w:r>
              <w:rPr>
                <w:rFonts w:ascii="Times New Roman" w:hAnsi="Times New Roman"/>
                <w:sz w:val="20"/>
              </w:rPr>
              <w:t xml:space="preserve">Total number of seconds aired reflects the summation of the airtime, of all radio advertisements aired in a calendar year.Total number of advertisements is the summation of radio advertisements aired in a calendar year Management track the number of advertisements and total airtime as indicators of customer volumes and as key drivers of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Ticketing: </w:t>
            </w:r>
            <w:r>
              <w:rPr>
                <w:rFonts w:ascii="Times New Roman" w:hAnsi="Times New Roman"/>
                <w:sz w:val="20"/>
              </w:rPr>
              <w:t xml:space="preserve">Total Ticketing revenue transactions reflect the number of loyalty card transactions in a calendar year, loyalty is linked to the consumers football ticket. We track ticketing transactions as an indicator of customer transactions and as a key driver of revenues.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Rezolve believes that the presentation of key business metrics provide important supplemental information to management and investors of the business trends and drivers of the Companys operations. Management uses these key business measures to track and evaluate operating performance, the metrics above provide additional useful measures of the Companys operating performance and facilitate comparisons of the Companys core operating performance against prior periods and its business model objectives.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92"/>
        <w:gridCol w:w="406"/>
        <w:gridCol w:w="145"/>
        <w:gridCol w:w="1250"/>
        <w:gridCol w:w="287"/>
        <w:gridCol w:w="317"/>
        <w:gridCol w:w="145"/>
        <w:gridCol w:w="1250"/>
        <w:gridCol w:w="163"/>
      </w:tblGrid>
      <w:tr>
        <w:trPr/>
        <w:tc>
          <w:tcPr>
            <w:tcW w:w="3792"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92"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33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3" w:type="dxa"/>
            <w:tcBorders/>
            <w:vAlign w:val="bottom"/>
          </w:tcPr>
          <w:p>
            <w:pPr>
              <w:pStyle w:val="TableContents"/>
              <w:bidi w:val="0"/>
              <w:spacing w:before="0" w:after="283"/>
              <w:jc w:val="left"/>
              <w:rPr/>
            </w:pPr>
            <w:r>
              <w:rPr/>
              <w:t> </w:t>
            </w:r>
          </w:p>
        </w:tc>
      </w:tr>
      <w:tr>
        <w:trPr/>
        <w:tc>
          <w:tcPr>
            <w:tcW w:w="3792"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7"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3" w:type="dxa"/>
            <w:tcBorders/>
            <w:vAlign w:val="bottom"/>
          </w:tcPr>
          <w:p>
            <w:pPr>
              <w:pStyle w:val="TableContents"/>
              <w:bidi w:val="0"/>
              <w:spacing w:before="0" w:after="283"/>
              <w:jc w:val="left"/>
              <w:rPr/>
            </w:pPr>
            <w:r>
              <w:rPr/>
              <w:t> </w:t>
            </w:r>
          </w:p>
        </w:tc>
      </w:tr>
      <w:tr>
        <w:trPr/>
        <w:tc>
          <w:tcPr>
            <w:tcW w:w="37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Operational and Other</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50"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792" w:type="dxa"/>
            <w:tcBorders/>
          </w:tcPr>
          <w:p>
            <w:pPr>
              <w:pStyle w:val="TableContents"/>
              <w:bidi w:val="0"/>
              <w:spacing w:before="0" w:after="0"/>
              <w:jc w:val="left"/>
              <w:rPr>
                <w:rFonts w:ascii="Times New Roman" w:hAnsi="Times New Roman"/>
                <w:b/>
                <w:sz w:val="20"/>
              </w:rPr>
            </w:pPr>
            <w:r>
              <w:rPr>
                <w:rFonts w:ascii="Times New Roman" w:hAnsi="Times New Roman"/>
                <w:b/>
                <w:sz w:val="20"/>
              </w:rPr>
              <w:t>Data:</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50"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5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7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Financial</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50"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792" w:type="dxa"/>
            <w:tcBorders/>
          </w:tcPr>
          <w:p>
            <w:pPr>
              <w:pStyle w:val="TableContents"/>
              <w:bidi w:val="0"/>
              <w:spacing w:before="0" w:after="0"/>
              <w:jc w:val="left"/>
              <w:rPr>
                <w:rFonts w:ascii="Times New Roman" w:hAnsi="Times New Roman"/>
                <w:sz w:val="20"/>
              </w:rPr>
            </w:pPr>
            <w:r>
              <w:rPr>
                <w:rFonts w:ascii="Times New Roman" w:hAnsi="Times New Roman"/>
                <w:sz w:val="20"/>
              </w:rPr>
              <w:t>Period-on-period revenues growth (%)</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216</w:t>
            </w:r>
          </w:p>
        </w:tc>
        <w:tc>
          <w:tcPr>
            <w:tcW w:w="287"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n/a</w:t>
            </w:r>
          </w:p>
        </w:tc>
        <w:tc>
          <w:tcPr>
            <w:tcW w:w="163" w:type="dxa"/>
            <w:tcBorders/>
            <w:vAlign w:val="bottom"/>
          </w:tcPr>
          <w:p>
            <w:pPr>
              <w:pStyle w:val="TableContents"/>
              <w:bidi w:val="0"/>
              <w:spacing w:before="0" w:after="283"/>
              <w:jc w:val="left"/>
              <w:rPr/>
            </w:pPr>
            <w:r>
              <w:rPr/>
              <w:t> </w:t>
            </w:r>
          </w:p>
        </w:tc>
      </w:tr>
      <w:tr>
        <w:trPr/>
        <w:tc>
          <w:tcPr>
            <w:tcW w:w="37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50" w:type="dxa"/>
            <w:tcBorders/>
            <w:shd w:fill="CCEEFF" w:val="clear"/>
            <w:vAlign w:val="bottom"/>
          </w:tcPr>
          <w:p>
            <w:pPr>
              <w:pStyle w:val="TableContents"/>
              <w:bidi w:val="0"/>
              <w:spacing w:before="0" w:after="283"/>
              <w:jc w:val="right"/>
              <w:rPr/>
            </w:pPr>
            <w:r>
              <w:rPr/>
              <w:t>12,325,753</w:t>
            </w:r>
          </w:p>
        </w:tc>
        <w:tc>
          <w:tcPr>
            <w:tcW w:w="287"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50" w:type="dxa"/>
            <w:tcBorders/>
            <w:shd w:fill="CCEEFF" w:val="clear"/>
            <w:vAlign w:val="bottom"/>
          </w:tcPr>
          <w:p>
            <w:pPr>
              <w:pStyle w:val="TableContents"/>
              <w:bidi w:val="0"/>
              <w:spacing w:before="0" w:after="283"/>
              <w:jc w:val="right"/>
              <w:rPr/>
            </w:pPr>
            <w:r>
              <w:rPr/>
              <w:t>3,904,574</w:t>
            </w:r>
          </w:p>
        </w:tc>
        <w:tc>
          <w:tcPr>
            <w:tcW w:w="163" w:type="dxa"/>
            <w:tcBorders/>
            <w:shd w:fill="CCEEFF" w:val="clear"/>
            <w:vAlign w:val="bottom"/>
          </w:tcPr>
          <w:p>
            <w:pPr>
              <w:pStyle w:val="TableContents"/>
              <w:bidi w:val="0"/>
              <w:spacing w:before="0" w:after="283"/>
              <w:jc w:val="left"/>
              <w:rPr/>
            </w:pPr>
            <w:r>
              <w:rPr/>
              <w:t> </w:t>
            </w:r>
          </w:p>
        </w:tc>
      </w:tr>
      <w:tr>
        <w:trPr/>
        <w:tc>
          <w:tcPr>
            <w:tcW w:w="3792" w:type="dxa"/>
            <w:tcBorders/>
          </w:tcPr>
          <w:p>
            <w:pPr>
              <w:pStyle w:val="TableContents"/>
              <w:bidi w:val="0"/>
              <w:spacing w:before="0" w:after="0"/>
              <w:jc w:val="left"/>
              <w:rPr>
                <w:rFonts w:ascii="Times New Roman" w:hAnsi="Times New Roman"/>
                <w:sz w:val="20"/>
              </w:rPr>
            </w:pPr>
            <w:r>
              <w:rPr>
                <w:rFonts w:ascii="Times New Roman" w:hAnsi="Times New Roman"/>
                <w:sz w:val="20"/>
              </w:rPr>
              <w:t>Radio Advertising Revenues</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12,210,593</w:t>
            </w:r>
          </w:p>
        </w:tc>
        <w:tc>
          <w:tcPr>
            <w:tcW w:w="287"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3,842,207</w:t>
            </w:r>
          </w:p>
        </w:tc>
        <w:tc>
          <w:tcPr>
            <w:tcW w:w="163" w:type="dxa"/>
            <w:tcBorders/>
            <w:vAlign w:val="bottom"/>
          </w:tcPr>
          <w:p>
            <w:pPr>
              <w:pStyle w:val="TableContents"/>
              <w:bidi w:val="0"/>
              <w:spacing w:before="0" w:after="283"/>
              <w:jc w:val="left"/>
              <w:rPr/>
            </w:pPr>
            <w:r>
              <w:rPr/>
              <w:t> </w:t>
            </w:r>
          </w:p>
        </w:tc>
      </w:tr>
      <w:tr>
        <w:trPr/>
        <w:tc>
          <w:tcPr>
            <w:tcW w:w="37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Fee Revenues</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115,160</w:t>
            </w:r>
          </w:p>
        </w:tc>
        <w:tc>
          <w:tcPr>
            <w:tcW w:w="287"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62,367</w:t>
            </w:r>
          </w:p>
        </w:tc>
        <w:tc>
          <w:tcPr>
            <w:tcW w:w="163" w:type="dxa"/>
            <w:tcBorders/>
            <w:shd w:fill="CCEEFF" w:val="clear"/>
            <w:vAlign w:val="bottom"/>
          </w:tcPr>
          <w:p>
            <w:pPr>
              <w:pStyle w:val="TableContents"/>
              <w:bidi w:val="0"/>
              <w:spacing w:before="0" w:after="283"/>
              <w:jc w:val="left"/>
              <w:rPr/>
            </w:pPr>
            <w:r>
              <w:rPr/>
              <w:t> </w:t>
            </w:r>
          </w:p>
        </w:tc>
      </w:tr>
      <w:tr>
        <w:trPr/>
        <w:tc>
          <w:tcPr>
            <w:tcW w:w="3792"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50" w:type="dxa"/>
            <w:tcBorders/>
            <w:vAlign w:val="bottom"/>
          </w:tcPr>
          <w:p>
            <w:pPr>
              <w:pStyle w:val="TableContents"/>
              <w:bidi w:val="0"/>
              <w:spacing w:before="0" w:after="283"/>
              <w:jc w:val="right"/>
              <w:rPr/>
            </w:pPr>
            <w:r>
              <w:rPr/>
              <w:t>(99,594,074</w:t>
            </w:r>
          </w:p>
        </w:tc>
        <w:tc>
          <w:tcPr>
            <w:tcW w:w="287"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50" w:type="dxa"/>
            <w:tcBorders/>
            <w:vAlign w:val="bottom"/>
          </w:tcPr>
          <w:p>
            <w:pPr>
              <w:pStyle w:val="TableContents"/>
              <w:bidi w:val="0"/>
              <w:spacing w:before="0" w:after="283"/>
              <w:jc w:val="right"/>
              <w:rPr/>
            </w:pPr>
            <w:r>
              <w:rPr/>
              <w:t>(36,984,144</w:t>
            </w:r>
          </w:p>
        </w:tc>
        <w:tc>
          <w:tcPr>
            <w:tcW w:w="163" w:type="dxa"/>
            <w:tcBorders/>
            <w:vAlign w:val="bottom"/>
          </w:tcPr>
          <w:p>
            <w:pPr>
              <w:pStyle w:val="TableContents"/>
              <w:bidi w:val="0"/>
              <w:spacing w:before="0" w:after="283"/>
              <w:jc w:val="left"/>
              <w:rPr/>
            </w:pPr>
            <w:r>
              <w:rPr/>
              <w:t>) </w:t>
            </w:r>
          </w:p>
        </w:tc>
      </w:tr>
      <w:tr>
        <w:trPr/>
        <w:tc>
          <w:tcPr>
            <w:tcW w:w="37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Operational</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50"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792" w:type="dxa"/>
            <w:tcBorders/>
          </w:tcPr>
          <w:p>
            <w:pPr>
              <w:pStyle w:val="TableContents"/>
              <w:bidi w:val="0"/>
              <w:spacing w:before="0" w:after="0"/>
              <w:jc w:val="left"/>
              <w:rPr>
                <w:rFonts w:ascii="Times New Roman" w:hAnsi="Times New Roman"/>
                <w:sz w:val="20"/>
              </w:rPr>
            </w:pPr>
            <w:r>
              <w:rPr>
                <w:rFonts w:ascii="Times New Roman" w:hAnsi="Times New Roman"/>
                <w:sz w:val="20"/>
              </w:rPr>
              <w:t>Total number of seconds aired</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1,807,288</w:t>
            </w:r>
          </w:p>
        </w:tc>
        <w:tc>
          <w:tcPr>
            <w:tcW w:w="287"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2,252,799</w:t>
            </w:r>
          </w:p>
        </w:tc>
        <w:tc>
          <w:tcPr>
            <w:tcW w:w="163" w:type="dxa"/>
            <w:tcBorders/>
            <w:vAlign w:val="bottom"/>
          </w:tcPr>
          <w:p>
            <w:pPr>
              <w:pStyle w:val="TableContents"/>
              <w:bidi w:val="0"/>
              <w:spacing w:before="0" w:after="283"/>
              <w:jc w:val="left"/>
              <w:rPr/>
            </w:pPr>
            <w:r>
              <w:rPr/>
              <w:t> </w:t>
            </w:r>
          </w:p>
        </w:tc>
      </w:tr>
      <w:tr>
        <w:trPr/>
        <w:tc>
          <w:tcPr>
            <w:tcW w:w="37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number of advertisements sold</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92,529</w:t>
            </w:r>
          </w:p>
        </w:tc>
        <w:tc>
          <w:tcPr>
            <w:tcW w:w="287"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103,310</w:t>
            </w:r>
          </w:p>
        </w:tc>
        <w:tc>
          <w:tcPr>
            <w:tcW w:w="163" w:type="dxa"/>
            <w:tcBorders/>
            <w:shd w:fill="CCEEFF" w:val="clear"/>
            <w:vAlign w:val="bottom"/>
          </w:tcPr>
          <w:p>
            <w:pPr>
              <w:pStyle w:val="TableContents"/>
              <w:bidi w:val="0"/>
              <w:spacing w:before="0" w:after="283"/>
              <w:jc w:val="left"/>
              <w:rPr/>
            </w:pPr>
            <w:r>
              <w:rPr/>
              <w:t> </w:t>
            </w:r>
          </w:p>
        </w:tc>
      </w:tr>
      <w:tr>
        <w:trPr/>
        <w:tc>
          <w:tcPr>
            <w:tcW w:w="3792" w:type="dxa"/>
            <w:tcBorders/>
          </w:tcPr>
          <w:p>
            <w:pPr>
              <w:pStyle w:val="TableContents"/>
              <w:bidi w:val="0"/>
              <w:spacing w:before="0" w:after="0"/>
              <w:jc w:val="left"/>
              <w:rPr>
                <w:rFonts w:ascii="Times New Roman" w:hAnsi="Times New Roman"/>
                <w:sz w:val="20"/>
              </w:rPr>
            </w:pPr>
            <w:r>
              <w:rPr>
                <w:rFonts w:ascii="Times New Roman" w:hAnsi="Times New Roman"/>
                <w:sz w:val="20"/>
              </w:rPr>
              <w:t>Total ticketing revenues transactions</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37,142</w:t>
            </w:r>
          </w:p>
        </w:tc>
        <w:tc>
          <w:tcPr>
            <w:tcW w:w="287"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Period-on-period revenues growth (%) </w:t>
      </w:r>
    </w:p>
    <w:p>
      <w:pPr>
        <w:pStyle w:val="TextBody"/>
        <w:bidi w:val="0"/>
        <w:spacing w:before="120" w:after="0"/>
        <w:jc w:val="left"/>
        <w:rPr>
          <w:rFonts w:ascii="Times New Roman" w:hAnsi="Times New Roman"/>
          <w:sz w:val="20"/>
        </w:rPr>
      </w:pPr>
      <w:r>
        <w:rPr>
          <w:rFonts w:ascii="Times New Roman" w:hAnsi="Times New Roman"/>
          <w:sz w:val="20"/>
        </w:rPr>
        <w:t xml:space="preserve">We define period-on-period revenues growth as a percentage change for revenues derived from merchants between different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EBITDA </w:t>
      </w:r>
    </w:p>
    <w:p>
      <w:pPr>
        <w:pStyle w:val="TextBody"/>
        <w:bidi w:val="0"/>
        <w:spacing w:before="120" w:after="0"/>
        <w:jc w:val="left"/>
        <w:rPr>
          <w:rFonts w:ascii="Times New Roman" w:hAnsi="Times New Roman"/>
          <w:sz w:val="20"/>
        </w:rPr>
      </w:pPr>
      <w:r>
        <w:rPr>
          <w:rFonts w:ascii="Times New Roman" w:hAnsi="Times New Roman"/>
          <w:sz w:val="20"/>
        </w:rPr>
        <w:t xml:space="preserve">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does not reflect changes in, or cash requirements for, our working capital needs or contractual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does not reflect our interest expense, or the cash requirements to service interest or principal payments on, our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does not reflect our tax expense or the cash requirements to pay our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does not reflect the impact on earnings or changes resulting from matters that we consider not to be indicative of our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or amortized will often need to be replaced in the future, and EBITDA does not reflect any cash requirements for these replacements;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may calculate EBITDA differently than we do.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compensate for the inherent limitations associated with using EBITDA through disclosure of these limitations, presentation of the Rezolve Financial Statements in accordance with GAAP and reconciliation of EBITDA and to the most directly comparable GAAP measure, net income (loss).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provides a reconciliation of our net income (loss) to EBITDA: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87"/>
        <w:gridCol w:w="324"/>
        <w:gridCol w:w="144"/>
        <w:gridCol w:w="1473"/>
        <w:gridCol w:w="155"/>
        <w:gridCol w:w="324"/>
        <w:gridCol w:w="144"/>
        <w:gridCol w:w="1342"/>
        <w:gridCol w:w="162"/>
      </w:tblGrid>
      <w:tr>
        <w:trPr/>
        <w:tc>
          <w:tcPr>
            <w:tcW w:w="3687"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87"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35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2" w:type="dxa"/>
            <w:tcBorders/>
            <w:vAlign w:val="bottom"/>
          </w:tcPr>
          <w:p>
            <w:pPr>
              <w:pStyle w:val="TableContents"/>
              <w:bidi w:val="0"/>
              <w:spacing w:before="0" w:after="283"/>
              <w:jc w:val="left"/>
              <w:rPr/>
            </w:pPr>
            <w:r>
              <w:rPr/>
              <w:t> </w:t>
            </w:r>
          </w:p>
        </w:tc>
      </w:tr>
      <w:tr>
        <w:trPr/>
        <w:tc>
          <w:tcPr>
            <w:tcW w:w="3687"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2" w:type="dxa"/>
            <w:tcBorders/>
            <w:vAlign w:val="bottom"/>
          </w:tcPr>
          <w:p>
            <w:pPr>
              <w:pStyle w:val="TableContents"/>
              <w:bidi w:val="0"/>
              <w:spacing w:before="0" w:after="283"/>
              <w:jc w:val="left"/>
              <w:rPr/>
            </w:pPr>
            <w:r>
              <w:rPr/>
              <w:t> </w:t>
            </w:r>
          </w:p>
        </w:tc>
      </w:tr>
      <w:tr>
        <w:trPr/>
        <w:tc>
          <w:tcPr>
            <w:tcW w:w="36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2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473" w:type="dxa"/>
            <w:tcBorders/>
            <w:shd w:fill="CCEEFF" w:val="clear"/>
            <w:vAlign w:val="bottom"/>
          </w:tcPr>
          <w:p>
            <w:pPr>
              <w:pStyle w:val="TableContents"/>
              <w:bidi w:val="0"/>
              <w:spacing w:before="0" w:after="283"/>
              <w:jc w:val="right"/>
              <w:rPr/>
            </w:pPr>
            <w:r>
              <w:rPr/>
              <w:t>(104,105,438</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342" w:type="dxa"/>
            <w:tcBorders/>
            <w:shd w:fill="CCEEFF" w:val="clear"/>
            <w:vAlign w:val="bottom"/>
          </w:tcPr>
          <w:p>
            <w:pPr>
              <w:pStyle w:val="TableContents"/>
              <w:bidi w:val="0"/>
              <w:spacing w:before="0" w:after="283"/>
              <w:jc w:val="right"/>
              <w:rPr/>
            </w:pPr>
            <w:r>
              <w:rPr/>
              <w:t>(37,719,474</w:t>
            </w:r>
          </w:p>
        </w:tc>
        <w:tc>
          <w:tcPr>
            <w:tcW w:w="162" w:type="dxa"/>
            <w:tcBorders/>
            <w:shd w:fill="CCEEFF" w:val="clear"/>
            <w:vAlign w:val="bottom"/>
          </w:tcPr>
          <w:p>
            <w:pPr>
              <w:pStyle w:val="TableContents"/>
              <w:bidi w:val="0"/>
              <w:spacing w:before="0" w:after="283"/>
              <w:jc w:val="left"/>
              <w:rPr/>
            </w:pPr>
            <w:r>
              <w:rPr/>
              <w:t>) </w:t>
            </w:r>
          </w:p>
        </w:tc>
      </w:tr>
      <w:tr>
        <w:trPr/>
        <w:tc>
          <w:tcPr>
            <w:tcW w:w="3687" w:type="dxa"/>
            <w:tcBorders/>
          </w:tcPr>
          <w:p>
            <w:pPr>
              <w:pStyle w:val="TableContents"/>
              <w:bidi w:val="0"/>
              <w:spacing w:before="0" w:after="0"/>
              <w:jc w:val="left"/>
              <w:rPr>
                <w:rFonts w:ascii="Times New Roman" w:hAnsi="Times New Roman"/>
                <w:sz w:val="20"/>
              </w:rPr>
            </w:pPr>
            <w:r>
              <w:rPr>
                <w:rFonts w:ascii="Times New Roman" w:hAnsi="Times New Roman"/>
                <w:sz w:val="20"/>
              </w:rPr>
              <w:t>Add (subtract)</w:t>
            </w:r>
          </w:p>
        </w:tc>
        <w:tc>
          <w:tcPr>
            <w:tcW w:w="32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4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34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2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73" w:type="dxa"/>
            <w:tcBorders/>
            <w:shd w:fill="CCEEFF" w:val="clear"/>
            <w:vAlign w:val="bottom"/>
          </w:tcPr>
          <w:p>
            <w:pPr>
              <w:pStyle w:val="TableContents"/>
              <w:bidi w:val="0"/>
              <w:spacing w:before="0" w:after="283"/>
              <w:jc w:val="right"/>
              <w:rPr/>
            </w:pPr>
            <w:r>
              <w:rPr/>
              <w:t>3,884,698</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301,594</w:t>
            </w:r>
          </w:p>
        </w:tc>
        <w:tc>
          <w:tcPr>
            <w:tcW w:w="162" w:type="dxa"/>
            <w:tcBorders/>
            <w:shd w:fill="CCEEFF" w:val="clear"/>
            <w:vAlign w:val="bottom"/>
          </w:tcPr>
          <w:p>
            <w:pPr>
              <w:pStyle w:val="TableContents"/>
              <w:bidi w:val="0"/>
              <w:spacing w:before="0" w:after="283"/>
              <w:jc w:val="left"/>
              <w:rPr/>
            </w:pPr>
            <w:r>
              <w:rPr/>
              <w:t> </w:t>
            </w:r>
          </w:p>
        </w:tc>
      </w:tr>
      <w:tr>
        <w:trPr/>
        <w:tc>
          <w:tcPr>
            <w:tcW w:w="3687"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 expense (benefit)</w:t>
            </w:r>
          </w:p>
        </w:tc>
        <w:tc>
          <w:tcPr>
            <w:tcW w:w="32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73" w:type="dxa"/>
            <w:tcBorders/>
            <w:vAlign w:val="bottom"/>
          </w:tcPr>
          <w:p>
            <w:pPr>
              <w:pStyle w:val="TableContents"/>
              <w:bidi w:val="0"/>
              <w:spacing w:before="0" w:after="283"/>
              <w:jc w:val="right"/>
              <w:rPr/>
            </w:pPr>
            <w:r>
              <w:rPr/>
              <w:t>(115,447</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(26,755</w:t>
            </w:r>
          </w:p>
        </w:tc>
        <w:tc>
          <w:tcPr>
            <w:tcW w:w="162" w:type="dxa"/>
            <w:tcBorders/>
            <w:vAlign w:val="bottom"/>
          </w:tcPr>
          <w:p>
            <w:pPr>
              <w:pStyle w:val="TableContents"/>
              <w:bidi w:val="0"/>
              <w:spacing w:before="0" w:after="283"/>
              <w:jc w:val="left"/>
              <w:rPr/>
            </w:pPr>
            <w:r>
              <w:rPr/>
              <w:t>) </w:t>
            </w:r>
          </w:p>
        </w:tc>
      </w:tr>
      <w:tr>
        <w:trPr/>
        <w:tc>
          <w:tcPr>
            <w:tcW w:w="36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2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73" w:type="dxa"/>
            <w:tcBorders/>
            <w:shd w:fill="CCEEFF" w:val="clear"/>
            <w:vAlign w:val="bottom"/>
          </w:tcPr>
          <w:p>
            <w:pPr>
              <w:pStyle w:val="TableContents"/>
              <w:bidi w:val="0"/>
              <w:spacing w:before="0" w:after="283"/>
              <w:jc w:val="right"/>
              <w:rPr/>
            </w:pPr>
            <w:r>
              <w:rPr/>
              <w:t>742,113</w:t>
            </w:r>
          </w:p>
        </w:tc>
        <w:tc>
          <w:tcPr>
            <w:tcW w:w="155"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460,491</w:t>
            </w:r>
          </w:p>
        </w:tc>
        <w:tc>
          <w:tcPr>
            <w:tcW w:w="162" w:type="dxa"/>
            <w:tcBorders/>
            <w:shd w:fill="CCEEFF" w:val="clear"/>
            <w:vAlign w:val="bottom"/>
          </w:tcPr>
          <w:p>
            <w:pPr>
              <w:pStyle w:val="TableContents"/>
              <w:bidi w:val="0"/>
              <w:spacing w:before="0" w:after="283"/>
              <w:jc w:val="left"/>
              <w:rPr/>
            </w:pPr>
            <w:r>
              <w:rPr/>
              <w:t> </w:t>
            </w:r>
          </w:p>
        </w:tc>
      </w:tr>
      <w:tr>
        <w:trPr/>
        <w:tc>
          <w:tcPr>
            <w:tcW w:w="3687"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687"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32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473" w:type="dxa"/>
            <w:tcBorders/>
            <w:vAlign w:val="bottom"/>
          </w:tcPr>
          <w:p>
            <w:pPr>
              <w:pStyle w:val="TableContents"/>
              <w:bidi w:val="0"/>
              <w:spacing w:before="0" w:after="283"/>
              <w:jc w:val="right"/>
              <w:rPr/>
            </w:pPr>
            <w:r>
              <w:rPr/>
              <w:t>(99,594,074</w:t>
            </w:r>
          </w:p>
        </w:tc>
        <w:tc>
          <w:tcPr>
            <w:tcW w:w="155"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342" w:type="dxa"/>
            <w:tcBorders/>
            <w:vAlign w:val="bottom"/>
          </w:tcPr>
          <w:p>
            <w:pPr>
              <w:pStyle w:val="TableContents"/>
              <w:bidi w:val="0"/>
              <w:spacing w:before="0" w:after="283"/>
              <w:jc w:val="right"/>
              <w:rPr/>
            </w:pPr>
            <w:r>
              <w:rPr/>
              <w:t>(36,984,144</w:t>
            </w:r>
          </w:p>
        </w:tc>
        <w:tc>
          <w:tcPr>
            <w:tcW w:w="162" w:type="dxa"/>
            <w:tcBorders/>
            <w:vAlign w:val="bottom"/>
          </w:tcPr>
          <w:p>
            <w:pPr>
              <w:pStyle w:val="TableContents"/>
              <w:bidi w:val="0"/>
              <w:spacing w:before="0" w:after="283"/>
              <w:jc w:val="left"/>
              <w:rPr/>
            </w:pPr>
            <w:r>
              <w:rPr/>
              <w:t>) </w:t>
            </w:r>
          </w:p>
        </w:tc>
      </w:tr>
      <w:tr>
        <w:trPr/>
        <w:tc>
          <w:tcPr>
            <w:tcW w:w="3687"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booked transaction-related costs in each of the years ended December 31, 2022 and December 31, 2021. PCAOB audit and U.S. legal counsel costs for the periods under review have been accrued as incurred in the year ended December 31,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We define Adjusted EBITDA as EBITDA adjusted for unrealized foreign exchange gains (losses), impairment of goodwill and other assets, business development expenses, warrants issued and share-based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Although it is frequently used by investors and securities analysts in their evaluations of companies, Adjusted EBITDA has limitations as an analytical tool,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changes in, or cash requirements for, our working capital needs or contractual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our interest expense, or the cash requirements to service interest or principal payments on, our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our tax expense or the cash requirements to pay our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the impact on earnings or changes resulting from matters that we consider not to be indicative of our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or amortized will often need to be replaced in the future, and Adjusted EBITDA does not reflect any cash requirements for these replacements;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may calculate Adjusted EBITDA differently than we do.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 </w:t>
      </w:r>
    </w:p>
    <w:p>
      <w:pPr>
        <w:pStyle w:val="TextBody"/>
        <w:bidi w:val="0"/>
        <w:spacing w:before="240" w:after="0"/>
        <w:jc w:val="left"/>
        <w:rPr>
          <w:rFonts w:ascii="Times New Roman" w:hAnsi="Times New Roman"/>
          <w:sz w:val="20"/>
        </w:rPr>
      </w:pPr>
      <w:r>
        <w:rPr>
          <w:rFonts w:ascii="Times New Roman" w:hAnsi="Times New Roman"/>
          <w:sz w:val="20"/>
        </w:rPr>
        <w:t xml:space="preserve">Rezolve believes that the presentation of adjusted EBITDA provides important supplemental information to management and investors regarding financial and business trends relating to the Companys financial condition, results of operations and the valuation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is used by management to understand and track underlying earnings performance by excluding one-time and non-recurring costs. The company believe it is appropriate to exclude theses costs from Adjusted EBITDA as they relate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Investments made in the China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One-time impairments of the Taiwan and German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based compensation related to non-recurring capital raising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based compensation related only to initial employees;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Unrealized foreign exchange (gain)/loss are one-time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Internally adjusted EBITDA and contribution margin by reportable segment are significant measures used by management for purposes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Supplementing the financial results and forecasts reported to the Companys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operating performance of which includes direct and incrementally controllable revenue and costs of operations but excludes items considered by management to be non-cash or non-operating;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internal operating budgets and target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Expenses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development expenses reflect the costs incurred by Rezolve Limited in funding our platform activities in China.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based compensation issued to related parties represents for the year ended December 31, 2022 represents share based compensation of $33.4 million issued to a related-party organization (DBLP Sea Cow Ltd) and $6.2 million of share-based compensation related to two directors of Rezolve Limited. For the year ended December 31, 2021 the charge represents a share-based payment of $13.2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paid to the CEO. DBLP Sea Cow Limited is wholly legally owned by Daniel Wagner and is wholly beneficially owned by John Wagner. These fees were paid primarily in relation to capital raising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based compensation for consultancy expenses relate to shares issued to consultants for advisory services. These fees were paid primarily in relation to capital raising activities in 2022 and for promotional activities in Taiwan in 2021.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of these costs are recorded within 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provides a reconciliation of our net income (loss) to Adjusted EBITDA: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88"/>
        <w:gridCol w:w="319"/>
        <w:gridCol w:w="145"/>
        <w:gridCol w:w="1477"/>
        <w:gridCol w:w="156"/>
        <w:gridCol w:w="319"/>
        <w:gridCol w:w="145"/>
        <w:gridCol w:w="1345"/>
        <w:gridCol w:w="161"/>
      </w:tblGrid>
      <w:tr>
        <w:trPr/>
        <w:tc>
          <w:tcPr>
            <w:tcW w:w="3688"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88"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35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3688"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6"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1"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477" w:type="dxa"/>
            <w:tcBorders/>
            <w:shd w:fill="CCEEFF" w:val="clear"/>
            <w:vAlign w:val="bottom"/>
          </w:tcPr>
          <w:p>
            <w:pPr>
              <w:pStyle w:val="TableContents"/>
              <w:bidi w:val="0"/>
              <w:spacing w:before="0" w:after="283"/>
              <w:jc w:val="right"/>
              <w:rPr/>
            </w:pPr>
            <w:r>
              <w:rPr/>
              <w:t>(104,105,438</w:t>
            </w:r>
          </w:p>
        </w:tc>
        <w:tc>
          <w:tcPr>
            <w:tcW w:w="15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(37,719,474</w:t>
            </w:r>
          </w:p>
        </w:tc>
        <w:tc>
          <w:tcPr>
            <w:tcW w:w="161"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Add (subtract)</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47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3,884,698</w:t>
            </w:r>
          </w:p>
        </w:tc>
        <w:tc>
          <w:tcPr>
            <w:tcW w:w="15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301,594</w:t>
            </w:r>
          </w:p>
        </w:tc>
        <w:tc>
          <w:tcPr>
            <w:tcW w:w="161"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 expense (benefit)</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(115,447</w:t>
            </w:r>
          </w:p>
        </w:tc>
        <w:tc>
          <w:tcPr>
            <w:tcW w:w="156"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(26,755</w:t>
            </w:r>
          </w:p>
        </w:tc>
        <w:tc>
          <w:tcPr>
            <w:tcW w:w="161"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742,113</w:t>
            </w:r>
          </w:p>
        </w:tc>
        <w:tc>
          <w:tcPr>
            <w:tcW w:w="15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460,491</w:t>
            </w:r>
          </w:p>
        </w:tc>
        <w:tc>
          <w:tcPr>
            <w:tcW w:w="161" w:type="dxa"/>
            <w:tcBorders/>
            <w:shd w:fill="CCEEFF" w:val="clear"/>
            <w:vAlign w:val="bottom"/>
          </w:tcPr>
          <w:p>
            <w:pPr>
              <w:pStyle w:val="TableContents"/>
              <w:bidi w:val="0"/>
              <w:spacing w:before="0" w:after="283"/>
              <w:jc w:val="left"/>
              <w:rPr/>
            </w:pPr>
            <w:r>
              <w:rPr/>
              <w:t> </w:t>
            </w:r>
          </w:p>
        </w:tc>
      </w:tr>
      <w:tr>
        <w:trPr/>
        <w:tc>
          <w:tcPr>
            <w:tcW w:w="3688"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47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477" w:type="dxa"/>
            <w:tcBorders/>
            <w:vAlign w:val="bottom"/>
          </w:tcPr>
          <w:p>
            <w:pPr>
              <w:pStyle w:val="TableContents"/>
              <w:bidi w:val="0"/>
              <w:spacing w:before="0" w:after="283"/>
              <w:jc w:val="right"/>
              <w:rPr/>
            </w:pPr>
            <w:r>
              <w:rPr/>
              <w:t>(99,594,074</w:t>
            </w:r>
          </w:p>
        </w:tc>
        <w:tc>
          <w:tcPr>
            <w:tcW w:w="156"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345" w:type="dxa"/>
            <w:tcBorders/>
            <w:vAlign w:val="bottom"/>
          </w:tcPr>
          <w:p>
            <w:pPr>
              <w:pStyle w:val="TableContents"/>
              <w:bidi w:val="0"/>
              <w:spacing w:before="0" w:after="283"/>
              <w:jc w:val="right"/>
              <w:rPr/>
            </w:pPr>
            <w:r>
              <w:rPr/>
              <w:t>(36,984,144</w:t>
            </w:r>
          </w:p>
        </w:tc>
        <w:tc>
          <w:tcPr>
            <w:tcW w:w="161" w:type="dxa"/>
            <w:tcBorders/>
            <w:vAlign w:val="bottom"/>
          </w:tcPr>
          <w:p>
            <w:pPr>
              <w:pStyle w:val="TableContents"/>
              <w:bidi w:val="0"/>
              <w:spacing w:before="0" w:after="283"/>
              <w:jc w:val="left"/>
              <w:rPr/>
            </w:pPr>
            <w:r>
              <w:rPr/>
              <w:t>) </w:t>
            </w:r>
          </w:p>
        </w:tc>
      </w:tr>
      <w:tr>
        <w:trPr/>
        <w:tc>
          <w:tcPr>
            <w:tcW w:w="3688"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477"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(subtract)</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47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34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Unrealized foreign exchange (gain) loss</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(277,838</w:t>
            </w:r>
          </w:p>
        </w:tc>
        <w:tc>
          <w:tcPr>
            <w:tcW w:w="156"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714,914</w:t>
            </w:r>
          </w:p>
        </w:tc>
        <w:tc>
          <w:tcPr>
            <w:tcW w:w="161"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7,418,302</w:t>
            </w:r>
          </w:p>
        </w:tc>
        <w:tc>
          <w:tcPr>
            <w:tcW w:w="15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prepayments and other current assets</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731,940</w:t>
            </w:r>
          </w:p>
        </w:tc>
        <w:tc>
          <w:tcPr>
            <w:tcW w:w="156"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accounts receivable</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334,952</w:t>
            </w:r>
          </w:p>
        </w:tc>
        <w:tc>
          <w:tcPr>
            <w:tcW w:w="15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Business development expenses</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7,136,168</w:t>
            </w:r>
          </w:p>
        </w:tc>
        <w:tc>
          <w:tcPr>
            <w:tcW w:w="156"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5,207,046</w:t>
            </w:r>
          </w:p>
        </w:tc>
        <w:tc>
          <w:tcPr>
            <w:tcW w:w="161"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based compensation issued to related parties</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39,501,701</w:t>
            </w:r>
          </w:p>
        </w:tc>
        <w:tc>
          <w:tcPr>
            <w:tcW w:w="15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13,227,220</w:t>
            </w:r>
          </w:p>
        </w:tc>
        <w:tc>
          <w:tcPr>
            <w:tcW w:w="161"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Share based compensation for consultancy services</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18,417,816</w:t>
            </w:r>
          </w:p>
        </w:tc>
        <w:tc>
          <w:tcPr>
            <w:tcW w:w="156"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3,460,799</w:t>
            </w:r>
          </w:p>
        </w:tc>
        <w:tc>
          <w:tcPr>
            <w:tcW w:w="161"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and Other Share-based compensation</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2,115,015</w:t>
            </w:r>
          </w:p>
        </w:tc>
        <w:tc>
          <w:tcPr>
            <w:tcW w:w="15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1,029,779</w:t>
            </w:r>
          </w:p>
        </w:tc>
        <w:tc>
          <w:tcPr>
            <w:tcW w:w="161" w:type="dxa"/>
            <w:tcBorders/>
            <w:shd w:fill="CCEEFF" w:val="clear"/>
            <w:vAlign w:val="bottom"/>
          </w:tcPr>
          <w:p>
            <w:pPr>
              <w:pStyle w:val="TableContents"/>
              <w:bidi w:val="0"/>
              <w:spacing w:before="0" w:after="283"/>
              <w:jc w:val="left"/>
              <w:rPr/>
            </w:pPr>
            <w:r>
              <w:rPr/>
              <w:t> </w:t>
            </w:r>
          </w:p>
        </w:tc>
      </w:tr>
      <w:tr>
        <w:trPr/>
        <w:tc>
          <w:tcPr>
            <w:tcW w:w="3688"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47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477" w:type="dxa"/>
            <w:tcBorders/>
            <w:vAlign w:val="bottom"/>
          </w:tcPr>
          <w:p>
            <w:pPr>
              <w:pStyle w:val="TableContents"/>
              <w:bidi w:val="0"/>
              <w:spacing w:before="0" w:after="283"/>
              <w:jc w:val="right"/>
              <w:rPr/>
            </w:pPr>
            <w:r>
              <w:rPr/>
              <w:t>(24,216,018</w:t>
            </w:r>
          </w:p>
        </w:tc>
        <w:tc>
          <w:tcPr>
            <w:tcW w:w="156"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345" w:type="dxa"/>
            <w:tcBorders/>
            <w:vAlign w:val="bottom"/>
          </w:tcPr>
          <w:p>
            <w:pPr>
              <w:pStyle w:val="TableContents"/>
              <w:bidi w:val="0"/>
              <w:spacing w:before="0" w:after="283"/>
              <w:jc w:val="right"/>
              <w:rPr/>
            </w:pPr>
            <w:r>
              <w:rPr/>
              <w:t>(13,344,386</w:t>
            </w:r>
          </w:p>
        </w:tc>
        <w:tc>
          <w:tcPr>
            <w:tcW w:w="161" w:type="dxa"/>
            <w:tcBorders/>
            <w:vAlign w:val="bottom"/>
          </w:tcPr>
          <w:p>
            <w:pPr>
              <w:pStyle w:val="TableContents"/>
              <w:bidi w:val="0"/>
              <w:spacing w:before="0" w:after="283"/>
              <w:jc w:val="left"/>
              <w:rPr/>
            </w:pPr>
            <w:r>
              <w:rPr/>
              <w:t>) </w:t>
            </w:r>
          </w:p>
        </w:tc>
      </w:tr>
      <w:tr>
        <w:trPr/>
        <w:tc>
          <w:tcPr>
            <w:tcW w:w="3688"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47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Total Number of Merchants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set forth our consolidated statements of operations in dollar amounts and as a percentage of total revenues for each period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13"/>
        <w:gridCol w:w="317"/>
        <w:gridCol w:w="144"/>
        <w:gridCol w:w="1468"/>
        <w:gridCol w:w="155"/>
        <w:gridCol w:w="317"/>
        <w:gridCol w:w="144"/>
        <w:gridCol w:w="1337"/>
        <w:gridCol w:w="160"/>
      </w:tblGrid>
      <w:tr>
        <w:trPr/>
        <w:tc>
          <w:tcPr>
            <w:tcW w:w="3713"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35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371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6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3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4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33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713" w:type="dxa"/>
            <w:tcBorders/>
          </w:tcPr>
          <w:p>
            <w:pPr>
              <w:pStyle w:val="TableContents"/>
              <w:bidi w:val="0"/>
              <w:spacing w:before="0" w:after="0"/>
              <w:jc w:val="left"/>
              <w:rPr>
                <w:rFonts w:ascii="Times New Roman" w:hAnsi="Times New Roman"/>
                <w:sz w:val="20"/>
              </w:rPr>
            </w:pPr>
            <w:r>
              <w:rPr>
                <w:rFonts w:ascii="Times New Roman" w:hAnsi="Times New Roman"/>
                <w:sz w:val="20"/>
              </w:rPr>
              <w:t>Radio advertisements</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468" w:type="dxa"/>
            <w:tcBorders/>
            <w:vAlign w:val="bottom"/>
          </w:tcPr>
          <w:p>
            <w:pPr>
              <w:pStyle w:val="TableContents"/>
              <w:bidi w:val="0"/>
              <w:spacing w:before="0" w:after="283"/>
              <w:jc w:val="right"/>
              <w:rPr/>
            </w:pPr>
            <w:r>
              <w:rPr/>
              <w:t>12,210,593</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337" w:type="dxa"/>
            <w:tcBorders/>
            <w:vAlign w:val="bottom"/>
          </w:tcPr>
          <w:p>
            <w:pPr>
              <w:pStyle w:val="TableContents"/>
              <w:bidi w:val="0"/>
              <w:spacing w:before="0" w:after="283"/>
              <w:jc w:val="right"/>
              <w:rPr/>
            </w:pPr>
            <w:r>
              <w:rPr/>
              <w:t>3,842,207</w:t>
            </w:r>
          </w:p>
        </w:tc>
        <w:tc>
          <w:tcPr>
            <w:tcW w:w="160" w:type="dxa"/>
            <w:tcBorders/>
            <w:vAlign w:val="bottom"/>
          </w:tcPr>
          <w:p>
            <w:pPr>
              <w:pStyle w:val="TableContents"/>
              <w:bidi w:val="0"/>
              <w:spacing w:before="0" w:after="283"/>
              <w:jc w:val="left"/>
              <w:rPr/>
            </w:pPr>
            <w:r>
              <w:rPr/>
              <w:t> </w:t>
            </w:r>
          </w:p>
        </w:tc>
      </w:tr>
      <w:tr>
        <w:trPr/>
        <w:tc>
          <w:tcPr>
            <w:tcW w:w="3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115,160</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62,367</w:t>
            </w:r>
          </w:p>
        </w:tc>
        <w:tc>
          <w:tcPr>
            <w:tcW w:w="160" w:type="dxa"/>
            <w:tcBorders/>
            <w:shd w:fill="CCEEFF" w:val="clear"/>
            <w:vAlign w:val="bottom"/>
          </w:tcPr>
          <w:p>
            <w:pPr>
              <w:pStyle w:val="TableContents"/>
              <w:bidi w:val="0"/>
              <w:spacing w:before="0" w:after="283"/>
              <w:jc w:val="left"/>
              <w:rPr/>
            </w:pPr>
            <w:r>
              <w:rPr/>
              <w:t> </w:t>
            </w:r>
          </w:p>
        </w:tc>
      </w:tr>
      <w:tr>
        <w:trPr/>
        <w:tc>
          <w:tcPr>
            <w:tcW w:w="3713"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13"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12,325,753</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3,904,574</w:t>
            </w:r>
          </w:p>
        </w:tc>
        <w:tc>
          <w:tcPr>
            <w:tcW w:w="160" w:type="dxa"/>
            <w:tcBorders/>
            <w:vAlign w:val="bottom"/>
          </w:tcPr>
          <w:p>
            <w:pPr>
              <w:pStyle w:val="TableContents"/>
              <w:bidi w:val="0"/>
              <w:spacing w:before="0" w:after="283"/>
              <w:jc w:val="left"/>
              <w:rPr/>
            </w:pPr>
            <w:r>
              <w:rPr/>
              <w:t> </w:t>
            </w:r>
          </w:p>
        </w:tc>
      </w:tr>
      <w:tr>
        <w:trPr/>
        <w:tc>
          <w:tcPr>
            <w:tcW w:w="3713"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4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33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713"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6,050,539</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1,741,022</w:t>
            </w:r>
          </w:p>
        </w:tc>
        <w:tc>
          <w:tcPr>
            <w:tcW w:w="160" w:type="dxa"/>
            <w:tcBorders/>
            <w:vAlign w:val="bottom"/>
          </w:tcPr>
          <w:p>
            <w:pPr>
              <w:pStyle w:val="TableContents"/>
              <w:bidi w:val="0"/>
              <w:spacing w:before="0" w:after="283"/>
              <w:jc w:val="left"/>
              <w:rPr/>
            </w:pPr>
            <w:r>
              <w:rPr/>
              <w:t> </w:t>
            </w:r>
          </w:p>
        </w:tc>
      </w:tr>
      <w:tr>
        <w:trPr/>
        <w:tc>
          <w:tcPr>
            <w:tcW w:w="3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 expenses</w:t>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6,827,211</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2,312,496</w:t>
            </w:r>
          </w:p>
        </w:tc>
        <w:tc>
          <w:tcPr>
            <w:tcW w:w="160" w:type="dxa"/>
            <w:tcBorders/>
            <w:shd w:fill="CCEEFF" w:val="clear"/>
            <w:vAlign w:val="bottom"/>
          </w:tcPr>
          <w:p>
            <w:pPr>
              <w:pStyle w:val="TableContents"/>
              <w:bidi w:val="0"/>
              <w:spacing w:before="0" w:after="283"/>
              <w:jc w:val="left"/>
              <w:rPr/>
            </w:pPr>
            <w:r>
              <w:rPr/>
              <w:t> </w:t>
            </w:r>
          </w:p>
        </w:tc>
      </w:tr>
      <w:tr>
        <w:trPr/>
        <w:tc>
          <w:tcPr>
            <w:tcW w:w="3713" w:type="dxa"/>
            <w:tcBorders/>
          </w:tcPr>
          <w:p>
            <w:pPr>
              <w:pStyle w:val="TableContents"/>
              <w:bidi w:val="0"/>
              <w:spacing w:before="0" w:after="20"/>
              <w:jc w:val="left"/>
              <w:rPr>
                <w:rFonts w:ascii="Times New Roman" w:hAnsi="Times New Roman"/>
                <w:sz w:val="20"/>
              </w:rPr>
            </w:pPr>
            <w:r>
              <w:rPr>
                <w:rFonts w:ascii="Times New Roman" w:hAnsi="Times New Roman"/>
                <w:sz w:val="20"/>
              </w:rPr>
              <w:t>General and administrative expenses</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91,604,396</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35,624,510</w:t>
            </w:r>
          </w:p>
        </w:tc>
        <w:tc>
          <w:tcPr>
            <w:tcW w:w="160" w:type="dxa"/>
            <w:tcBorders/>
            <w:vAlign w:val="bottom"/>
          </w:tcPr>
          <w:p>
            <w:pPr>
              <w:pStyle w:val="TableContents"/>
              <w:bidi w:val="0"/>
              <w:spacing w:before="0" w:after="283"/>
              <w:jc w:val="left"/>
              <w:rPr/>
            </w:pPr>
            <w:r>
              <w:rPr/>
              <w:t> </w:t>
            </w:r>
          </w:p>
        </w:tc>
      </w:tr>
      <w:tr>
        <w:trPr/>
        <w:tc>
          <w:tcPr>
            <w:tcW w:w="3713"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Other operating expenses</w:t>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334,952</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71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expenses</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742,113</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460,491</w:t>
            </w:r>
          </w:p>
        </w:tc>
        <w:tc>
          <w:tcPr>
            <w:tcW w:w="160" w:type="dxa"/>
            <w:tcBorders/>
            <w:vAlign w:val="bottom"/>
          </w:tcPr>
          <w:p>
            <w:pPr>
              <w:pStyle w:val="TableContents"/>
              <w:bidi w:val="0"/>
              <w:spacing w:before="0" w:after="283"/>
              <w:jc w:val="left"/>
              <w:rPr/>
            </w:pPr>
            <w:r>
              <w:rPr/>
              <w:t> </w:t>
            </w:r>
          </w:p>
        </w:tc>
      </w:tr>
      <w:tr>
        <w:trPr/>
        <w:tc>
          <w:tcPr>
            <w:tcW w:w="3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7,418,302</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713"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13"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112,977,513</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40,138,520</w:t>
            </w:r>
          </w:p>
        </w:tc>
        <w:tc>
          <w:tcPr>
            <w:tcW w:w="160" w:type="dxa"/>
            <w:tcBorders/>
            <w:vAlign w:val="bottom"/>
          </w:tcPr>
          <w:p>
            <w:pPr>
              <w:pStyle w:val="TableContents"/>
              <w:bidi w:val="0"/>
              <w:spacing w:before="0" w:after="283"/>
              <w:jc w:val="left"/>
              <w:rPr/>
            </w:pPr>
            <w:r>
              <w:rPr/>
              <w:t> </w:t>
            </w:r>
          </w:p>
        </w:tc>
      </w:tr>
      <w:tr>
        <w:trPr/>
        <w:tc>
          <w:tcPr>
            <w:tcW w:w="3713"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(100,651,760</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(36,233,946</w:t>
            </w:r>
          </w:p>
        </w:tc>
        <w:tc>
          <w:tcPr>
            <w:tcW w:w="160" w:type="dxa"/>
            <w:tcBorders/>
            <w:shd w:fill="CCEEFF" w:val="clear"/>
            <w:vAlign w:val="bottom"/>
          </w:tcPr>
          <w:p>
            <w:pPr>
              <w:pStyle w:val="TableContents"/>
              <w:bidi w:val="0"/>
              <w:spacing w:before="0" w:after="283"/>
              <w:jc w:val="left"/>
              <w:rPr/>
            </w:pPr>
            <w:r>
              <w:rPr/>
              <w:t>) </w:t>
            </w:r>
          </w:p>
        </w:tc>
      </w:tr>
      <w:tr>
        <w:trPr/>
        <w:tc>
          <w:tcPr>
            <w:tcW w:w="3713"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13"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33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(3,884,698</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(301,594</w:t>
            </w:r>
          </w:p>
        </w:tc>
        <w:tc>
          <w:tcPr>
            <w:tcW w:w="160" w:type="dxa"/>
            <w:tcBorders/>
            <w:shd w:fill="CCEEFF" w:val="clear"/>
            <w:vAlign w:val="bottom"/>
          </w:tcPr>
          <w:p>
            <w:pPr>
              <w:pStyle w:val="TableContents"/>
              <w:bidi w:val="0"/>
              <w:spacing w:before="0" w:after="283"/>
              <w:jc w:val="left"/>
              <w:rPr/>
            </w:pPr>
            <w:r>
              <w:rPr/>
              <w:t>) </w:t>
            </w:r>
          </w:p>
        </w:tc>
      </w:tr>
      <w:tr>
        <w:trPr/>
        <w:tc>
          <w:tcPr>
            <w:tcW w:w="3713"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income (expense), net</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315,574</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(1,210,690</w:t>
            </w:r>
          </w:p>
        </w:tc>
        <w:tc>
          <w:tcPr>
            <w:tcW w:w="160" w:type="dxa"/>
            <w:tcBorders/>
            <w:vAlign w:val="bottom"/>
          </w:tcPr>
          <w:p>
            <w:pPr>
              <w:pStyle w:val="TableContents"/>
              <w:bidi w:val="0"/>
              <w:spacing w:before="0" w:after="283"/>
              <w:jc w:val="left"/>
              <w:rPr/>
            </w:pPr>
            <w:r>
              <w:rPr/>
              <w:t>) </w:t>
            </w:r>
          </w:p>
        </w:tc>
      </w:tr>
      <w:tr>
        <w:trPr/>
        <w:tc>
          <w:tcPr>
            <w:tcW w:w="3713"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expenses</w:t>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(3,569,124</w:t>
            </w:r>
          </w:p>
        </w:tc>
        <w:tc>
          <w:tcPr>
            <w:tcW w:w="155"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(1,512,284</w:t>
            </w:r>
          </w:p>
        </w:tc>
        <w:tc>
          <w:tcPr>
            <w:tcW w:w="160" w:type="dxa"/>
            <w:tcBorders/>
            <w:shd w:fill="CCEEFF" w:val="clear"/>
            <w:vAlign w:val="bottom"/>
          </w:tcPr>
          <w:p>
            <w:pPr>
              <w:pStyle w:val="TableContents"/>
              <w:bidi w:val="0"/>
              <w:spacing w:before="0" w:after="283"/>
              <w:jc w:val="left"/>
              <w:rPr/>
            </w:pPr>
            <w:r>
              <w:rPr/>
              <w:t>) </w:t>
            </w:r>
          </w:p>
        </w:tc>
      </w:tr>
      <w:tr>
        <w:trPr/>
        <w:tc>
          <w:tcPr>
            <w:tcW w:w="3713"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13"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taxes</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(104,220,885</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(37,746,230</w:t>
            </w:r>
          </w:p>
        </w:tc>
        <w:tc>
          <w:tcPr>
            <w:tcW w:w="160" w:type="dxa"/>
            <w:tcBorders/>
            <w:vAlign w:val="bottom"/>
          </w:tcPr>
          <w:p>
            <w:pPr>
              <w:pStyle w:val="TableContents"/>
              <w:bidi w:val="0"/>
              <w:spacing w:before="0" w:after="283"/>
              <w:jc w:val="left"/>
              <w:rPr/>
            </w:pPr>
            <w:r>
              <w:rPr/>
              <w:t>) </w:t>
            </w:r>
          </w:p>
        </w:tc>
      </w:tr>
      <w:tr>
        <w:trPr/>
        <w:tc>
          <w:tcPr>
            <w:tcW w:w="3713"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w:t>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115,447</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26,755</w:t>
            </w:r>
          </w:p>
        </w:tc>
        <w:tc>
          <w:tcPr>
            <w:tcW w:w="160" w:type="dxa"/>
            <w:tcBorders/>
            <w:shd w:fill="CCEEFF" w:val="clear"/>
            <w:vAlign w:val="bottom"/>
          </w:tcPr>
          <w:p>
            <w:pPr>
              <w:pStyle w:val="TableContents"/>
              <w:bidi w:val="0"/>
              <w:spacing w:before="0" w:after="283"/>
              <w:jc w:val="left"/>
              <w:rPr/>
            </w:pPr>
            <w:r>
              <w:rPr/>
              <w:t> </w:t>
            </w:r>
          </w:p>
        </w:tc>
      </w:tr>
      <w:tr>
        <w:trPr/>
        <w:tc>
          <w:tcPr>
            <w:tcW w:w="3713"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13" w:type="dxa"/>
            <w:tcBorders/>
          </w:tcPr>
          <w:p>
            <w:pPr>
              <w:pStyle w:val="TableContents"/>
              <w:bidi w:val="0"/>
              <w:spacing w:before="0" w:after="0"/>
              <w:jc w:val="left"/>
              <w:rPr>
                <w:rFonts w:ascii="Times New Roman" w:hAnsi="Times New Roman"/>
                <w:sz w:val="20"/>
              </w:rPr>
            </w:pPr>
            <w:r>
              <w:rPr>
                <w:rFonts w:ascii="Times New Roman" w:hAnsi="Times New Roman"/>
                <w:sz w:val="20"/>
              </w:rPr>
              <w:t>Net loss for the year</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468" w:type="dxa"/>
            <w:tcBorders/>
            <w:vAlign w:val="bottom"/>
          </w:tcPr>
          <w:p>
            <w:pPr>
              <w:pStyle w:val="TableContents"/>
              <w:bidi w:val="0"/>
              <w:spacing w:before="0" w:after="283"/>
              <w:jc w:val="right"/>
              <w:rPr/>
            </w:pPr>
            <w:r>
              <w:rPr/>
              <w:t>(104,105,438</w:t>
            </w:r>
          </w:p>
        </w:tc>
        <w:tc>
          <w:tcPr>
            <w:tcW w:w="155"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337" w:type="dxa"/>
            <w:tcBorders/>
            <w:vAlign w:val="bottom"/>
          </w:tcPr>
          <w:p>
            <w:pPr>
              <w:pStyle w:val="TableContents"/>
              <w:bidi w:val="0"/>
              <w:spacing w:before="0" w:after="283"/>
              <w:jc w:val="right"/>
              <w:rPr/>
            </w:pPr>
            <w:r>
              <w:rPr/>
              <w:t>(37,719,475</w:t>
            </w:r>
          </w:p>
        </w:tc>
        <w:tc>
          <w:tcPr>
            <w:tcW w:w="160" w:type="dxa"/>
            <w:tcBorders/>
            <w:vAlign w:val="bottom"/>
          </w:tcPr>
          <w:p>
            <w:pPr>
              <w:pStyle w:val="TableContents"/>
              <w:bidi w:val="0"/>
              <w:spacing w:before="0" w:after="283"/>
              <w:jc w:val="left"/>
              <w:rPr/>
            </w:pPr>
            <w:r>
              <w:rPr/>
              <w:t>) </w:t>
            </w:r>
          </w:p>
        </w:tc>
      </w:tr>
      <w:tr>
        <w:trPr/>
        <w:tc>
          <w:tcPr>
            <w:tcW w:w="3713"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4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33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Comparison of year ended December 31, 2022 and 2021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shows total revenues from sale of radio advertisements and ticketing transactions for the year ended December 31, 2022, as compared to the year ended December 31, 2021: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71"/>
        <w:gridCol w:w="280"/>
        <w:gridCol w:w="162"/>
        <w:gridCol w:w="1280"/>
        <w:gridCol w:w="60"/>
        <w:gridCol w:w="280"/>
        <w:gridCol w:w="162"/>
        <w:gridCol w:w="1135"/>
        <w:gridCol w:w="60"/>
        <w:gridCol w:w="280"/>
        <w:gridCol w:w="140"/>
        <w:gridCol w:w="1090"/>
        <w:gridCol w:w="60"/>
        <w:gridCol w:w="280"/>
        <w:gridCol w:w="60"/>
        <w:gridCol w:w="408"/>
        <w:gridCol w:w="280"/>
      </w:tblGrid>
      <w:tr>
        <w:trPr/>
        <w:tc>
          <w:tcPr>
            <w:tcW w:w="3371"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371"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0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0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0" w:type="dxa"/>
            <w:tcBorders/>
            <w:vAlign w:val="bottom"/>
          </w:tcPr>
          <w:p>
            <w:pPr>
              <w:pStyle w:val="TableContents"/>
              <w:bidi w:val="0"/>
              <w:spacing w:before="0" w:after="283"/>
              <w:jc w:val="left"/>
              <w:rPr/>
            </w:pPr>
            <w:r>
              <w:rPr/>
              <w:t> </w:t>
            </w:r>
          </w:p>
        </w:tc>
      </w:tr>
      <w:tr>
        <w:trPr/>
        <w:tc>
          <w:tcPr>
            <w:tcW w:w="3371"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4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0"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8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2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8"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Radio advertisements</w:t>
            </w:r>
          </w:p>
        </w:tc>
        <w:tc>
          <w:tcPr>
            <w:tcW w:w="28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280" w:type="dxa"/>
            <w:tcBorders/>
            <w:vAlign w:val="bottom"/>
          </w:tcPr>
          <w:p>
            <w:pPr>
              <w:pStyle w:val="TableContents"/>
              <w:bidi w:val="0"/>
              <w:spacing w:before="0" w:after="283"/>
              <w:jc w:val="right"/>
              <w:rPr/>
            </w:pPr>
            <w:r>
              <w:rPr/>
              <w:t>12,210,593</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135" w:type="dxa"/>
            <w:tcBorders/>
            <w:vAlign w:val="bottom"/>
          </w:tcPr>
          <w:p>
            <w:pPr>
              <w:pStyle w:val="TableContents"/>
              <w:bidi w:val="0"/>
              <w:spacing w:before="0" w:after="283"/>
              <w:jc w:val="right"/>
              <w:rPr/>
            </w:pPr>
            <w:r>
              <w:rPr/>
              <w:t>3,842,207</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0" w:type="dxa"/>
            <w:tcBorders/>
            <w:vAlign w:val="bottom"/>
          </w:tcPr>
          <w:p>
            <w:pPr>
              <w:pStyle w:val="TableContents"/>
              <w:bidi w:val="0"/>
              <w:spacing w:before="0" w:after="283"/>
              <w:jc w:val="right"/>
              <w:rPr/>
            </w:pPr>
            <w:r>
              <w:rPr/>
              <w:t>8,368,386</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218</w:t>
            </w:r>
          </w:p>
        </w:tc>
        <w:tc>
          <w:tcPr>
            <w:tcW w:w="280" w:type="dxa"/>
            <w:tcBorders/>
            <w:vAlign w:val="bottom"/>
          </w:tcPr>
          <w:p>
            <w:pPr>
              <w:pStyle w:val="TableContents"/>
              <w:bidi w:val="0"/>
              <w:spacing w:before="0" w:after="283"/>
              <w:jc w:val="left"/>
              <w:rPr/>
            </w:pPr>
            <w:r>
              <w:rPr/>
              <w:t>% </w:t>
            </w:r>
          </w:p>
        </w:tc>
      </w:tr>
      <w:tr>
        <w:trPr/>
        <w:tc>
          <w:tcPr>
            <w:tcW w:w="33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8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115,160</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62,367</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52,793</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right"/>
              <w:rPr/>
            </w:pPr>
            <w:r>
              <w:rPr/>
              <w:t>85</w:t>
            </w:r>
          </w:p>
        </w:tc>
        <w:tc>
          <w:tcPr>
            <w:tcW w:w="280" w:type="dxa"/>
            <w:tcBorders/>
            <w:shd w:fill="CCEEFF" w:val="clear"/>
            <w:vAlign w:val="bottom"/>
          </w:tcPr>
          <w:p>
            <w:pPr>
              <w:pStyle w:val="TableContents"/>
              <w:bidi w:val="0"/>
              <w:spacing w:before="0" w:after="283"/>
              <w:jc w:val="left"/>
              <w:rPr/>
            </w:pPr>
            <w:r>
              <w:rPr/>
              <w:t>% </w:t>
            </w:r>
          </w:p>
        </w:tc>
      </w:tr>
      <w:tr>
        <w:trPr/>
        <w:tc>
          <w:tcPr>
            <w:tcW w:w="337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371"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28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280" w:type="dxa"/>
            <w:tcBorders/>
            <w:vAlign w:val="bottom"/>
          </w:tcPr>
          <w:p>
            <w:pPr>
              <w:pStyle w:val="TableContents"/>
              <w:bidi w:val="0"/>
              <w:spacing w:before="0" w:after="283"/>
              <w:jc w:val="right"/>
              <w:rPr/>
            </w:pPr>
            <w:r>
              <w:rPr/>
              <w:t>12,325,753</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135" w:type="dxa"/>
            <w:tcBorders/>
            <w:vAlign w:val="bottom"/>
          </w:tcPr>
          <w:p>
            <w:pPr>
              <w:pStyle w:val="TableContents"/>
              <w:bidi w:val="0"/>
              <w:spacing w:before="0" w:after="283"/>
              <w:jc w:val="right"/>
              <w:rPr/>
            </w:pPr>
            <w:r>
              <w:rPr/>
              <w:t>3,904,574</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0" w:type="dxa"/>
            <w:tcBorders/>
            <w:vAlign w:val="bottom"/>
          </w:tcPr>
          <w:p>
            <w:pPr>
              <w:pStyle w:val="TableContents"/>
              <w:bidi w:val="0"/>
              <w:spacing w:before="0" w:after="283"/>
              <w:jc w:val="right"/>
              <w:rPr/>
            </w:pPr>
            <w:r>
              <w:rPr/>
              <w:t>8,421,179</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216</w:t>
            </w:r>
          </w:p>
        </w:tc>
        <w:tc>
          <w:tcPr>
            <w:tcW w:w="280" w:type="dxa"/>
            <w:tcBorders/>
            <w:vAlign w:val="bottom"/>
          </w:tcPr>
          <w:p>
            <w:pPr>
              <w:pStyle w:val="TableContents"/>
              <w:bidi w:val="0"/>
              <w:spacing w:before="0" w:after="283"/>
              <w:jc w:val="left"/>
              <w:rPr/>
            </w:pPr>
            <w:r>
              <w:rPr/>
              <w:t>% </w:t>
            </w:r>
          </w:p>
        </w:tc>
      </w:tr>
      <w:tr>
        <w:trPr/>
        <w:tc>
          <w:tcPr>
            <w:tcW w:w="337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2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Revenues increased from $3.9 million for the year ended December 31, 2021 as compared to $12.3 million for the year ended December 31, 2022 is primarily attributable to the sale of Radio advertisements representing a full year of ownership of ANY compared to four months in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shows operating expenses for the year ended December 31, 2022, as compared to the year ended December 31, 2021: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06"/>
        <w:gridCol w:w="232"/>
        <w:gridCol w:w="153"/>
        <w:gridCol w:w="1347"/>
        <w:gridCol w:w="60"/>
        <w:gridCol w:w="232"/>
        <w:gridCol w:w="153"/>
        <w:gridCol w:w="1209"/>
        <w:gridCol w:w="60"/>
        <w:gridCol w:w="232"/>
        <w:gridCol w:w="152"/>
        <w:gridCol w:w="1209"/>
        <w:gridCol w:w="60"/>
        <w:gridCol w:w="232"/>
        <w:gridCol w:w="60"/>
        <w:gridCol w:w="381"/>
        <w:gridCol w:w="310"/>
      </w:tblGrid>
      <w:tr>
        <w:trPr/>
        <w:tc>
          <w:tcPr>
            <w:tcW w:w="3306"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30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31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0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10" w:type="dxa"/>
            <w:tcBorders/>
            <w:vAlign w:val="bottom"/>
          </w:tcPr>
          <w:p>
            <w:pPr>
              <w:pStyle w:val="TableContents"/>
              <w:bidi w:val="0"/>
              <w:spacing w:before="0" w:after="283"/>
              <w:jc w:val="left"/>
              <w:rPr/>
            </w:pPr>
            <w:r>
              <w:rPr/>
              <w:t> </w:t>
            </w:r>
          </w:p>
        </w:tc>
      </w:tr>
      <w:tr>
        <w:trPr/>
        <w:tc>
          <w:tcPr>
            <w:tcW w:w="3306"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4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10" w:type="dxa"/>
            <w:tcBorders/>
            <w:vAlign w:val="bottom"/>
          </w:tcPr>
          <w:p>
            <w:pPr>
              <w:pStyle w:val="TableContents"/>
              <w:bidi w:val="0"/>
              <w:spacing w:before="0" w:after="283"/>
              <w:jc w:val="left"/>
              <w:rPr/>
            </w:pPr>
            <w:r>
              <w:rPr/>
              <w:t> </w:t>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3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3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sz w:val="4"/>
                <w:szCs w:val="4"/>
              </w:rPr>
            </w:pPr>
            <w:r>
              <w:rPr>
                <w:sz w:val="4"/>
                <w:szCs w:val="4"/>
              </w:rPr>
            </w:r>
          </w:p>
        </w:tc>
        <w:tc>
          <w:tcPr>
            <w:tcW w:w="310" w:type="dxa"/>
            <w:tcBorders/>
            <w:shd w:fill="CCEEFF" w:val="clear"/>
            <w:vAlign w:val="bottom"/>
          </w:tcPr>
          <w:p>
            <w:pPr>
              <w:pStyle w:val="TableContents"/>
              <w:bidi w:val="0"/>
              <w:spacing w:before="0" w:after="283"/>
              <w:jc w:val="left"/>
              <w:rPr>
                <w:sz w:val="4"/>
                <w:szCs w:val="4"/>
              </w:rPr>
            </w:pPr>
            <w:r>
              <w:rPr>
                <w:sz w:val="4"/>
                <w:szCs w:val="4"/>
              </w:rPr>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23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6,050,539</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1,741,022</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4,309,517</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248</w:t>
            </w:r>
          </w:p>
        </w:tc>
        <w:tc>
          <w:tcPr>
            <w:tcW w:w="310" w:type="dxa"/>
            <w:tcBorders/>
            <w:vAlign w:val="bottom"/>
          </w:tcPr>
          <w:p>
            <w:pPr>
              <w:pStyle w:val="TableContents"/>
              <w:bidi w:val="0"/>
              <w:spacing w:before="0" w:after="283"/>
              <w:jc w:val="left"/>
              <w:rPr/>
            </w:pPr>
            <w:r>
              <w:rPr/>
              <w:t>% </w:t>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 expenses</w:t>
            </w:r>
          </w:p>
        </w:tc>
        <w:tc>
          <w:tcPr>
            <w:tcW w:w="23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6,827,211</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2,312,496</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4,514,716</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195</w:t>
            </w:r>
          </w:p>
        </w:tc>
        <w:tc>
          <w:tcPr>
            <w:tcW w:w="310" w:type="dxa"/>
            <w:tcBorders/>
            <w:shd w:fill="CCEEFF" w:val="clear"/>
            <w:vAlign w:val="bottom"/>
          </w:tcPr>
          <w:p>
            <w:pPr>
              <w:pStyle w:val="TableContents"/>
              <w:bidi w:val="0"/>
              <w:spacing w:before="0" w:after="283"/>
              <w:jc w:val="left"/>
              <w:rPr/>
            </w:pPr>
            <w:r>
              <w:rPr/>
              <w:t>% </w:t>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3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91,604,396</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35,624,510</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55,979,886</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157</w:t>
            </w:r>
          </w:p>
        </w:tc>
        <w:tc>
          <w:tcPr>
            <w:tcW w:w="310" w:type="dxa"/>
            <w:tcBorders/>
            <w:vAlign w:val="bottom"/>
          </w:tcPr>
          <w:p>
            <w:pPr>
              <w:pStyle w:val="TableContents"/>
              <w:bidi w:val="0"/>
              <w:spacing w:before="0" w:after="283"/>
              <w:jc w:val="left"/>
              <w:rPr/>
            </w:pPr>
            <w:r>
              <w:rPr/>
              <w:t>% </w:t>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23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334,952</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334,952</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100</w:t>
            </w:r>
          </w:p>
        </w:tc>
        <w:tc>
          <w:tcPr>
            <w:tcW w:w="310" w:type="dxa"/>
            <w:tcBorders/>
            <w:shd w:fill="CCEEFF" w:val="clear"/>
            <w:vAlign w:val="bottom"/>
          </w:tcPr>
          <w:p>
            <w:pPr>
              <w:pStyle w:val="TableContents"/>
              <w:bidi w:val="0"/>
              <w:spacing w:before="0" w:after="283"/>
              <w:jc w:val="left"/>
              <w:rPr/>
            </w:pPr>
            <w:r>
              <w:rPr/>
              <w:t>% </w:t>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expenses</w:t>
            </w:r>
          </w:p>
        </w:tc>
        <w:tc>
          <w:tcPr>
            <w:tcW w:w="23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742,113</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460,491</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281,622</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61</w:t>
            </w:r>
          </w:p>
        </w:tc>
        <w:tc>
          <w:tcPr>
            <w:tcW w:w="310" w:type="dxa"/>
            <w:tcBorders/>
            <w:vAlign w:val="bottom"/>
          </w:tcPr>
          <w:p>
            <w:pPr>
              <w:pStyle w:val="TableContents"/>
              <w:bidi w:val="0"/>
              <w:spacing w:before="0" w:after="283"/>
              <w:jc w:val="left"/>
              <w:rPr/>
            </w:pPr>
            <w:r>
              <w:rPr/>
              <w:t>% </w:t>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23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7,418,302</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7,418,302</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100</w:t>
            </w:r>
          </w:p>
        </w:tc>
        <w:tc>
          <w:tcPr>
            <w:tcW w:w="310" w:type="dxa"/>
            <w:tcBorders/>
            <w:shd w:fill="CCEEFF" w:val="clear"/>
            <w:vAlign w:val="bottom"/>
          </w:tcPr>
          <w:p>
            <w:pPr>
              <w:pStyle w:val="TableContents"/>
              <w:bidi w:val="0"/>
              <w:spacing w:before="0" w:after="283"/>
              <w:jc w:val="left"/>
              <w:rPr/>
            </w:pPr>
            <w:r>
              <w:rPr/>
              <w:t>% </w:t>
            </w:r>
          </w:p>
        </w:tc>
      </w:tr>
      <w:tr>
        <w:trPr/>
        <w:tc>
          <w:tcPr>
            <w:tcW w:w="3306"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3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112,977,514</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40,138,520</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209" w:type="dxa"/>
            <w:tcBorders/>
            <w:vAlign w:val="bottom"/>
          </w:tcPr>
          <w:p>
            <w:pPr>
              <w:pStyle w:val="TableContents"/>
              <w:bidi w:val="0"/>
              <w:spacing w:before="0" w:after="283"/>
              <w:jc w:val="right"/>
              <w:rPr/>
            </w:pPr>
            <w:r>
              <w:rPr/>
              <w:t>72,838,995</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181</w:t>
            </w:r>
          </w:p>
        </w:tc>
        <w:tc>
          <w:tcPr>
            <w:tcW w:w="310" w:type="dxa"/>
            <w:tcBorders/>
            <w:vAlign w:val="bottom"/>
          </w:tcPr>
          <w:p>
            <w:pPr>
              <w:pStyle w:val="TableContents"/>
              <w:bidi w:val="0"/>
              <w:spacing w:before="0" w:after="283"/>
              <w:jc w:val="left"/>
              <w:rPr/>
            </w:pPr>
            <w:r>
              <w:rPr/>
              <w:t>% </w:t>
            </w:r>
          </w:p>
        </w:tc>
      </w:tr>
      <w:tr>
        <w:trPr/>
        <w:tc>
          <w:tcPr>
            <w:tcW w:w="3306"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Percentages have been rounded for presentation purposes and may differ from unrounded results.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Revenues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revenues have increased by $4.3 million, for the year ended December 31, 2022, compared to the year ended December 31, 2021. This was primarily due to a full year of ownership of ANY for the year ended December 31, 2022, compared to four months of ownership in 2021, as well as an impairment of inventory of $0.7 million. </w:t>
      </w:r>
    </w:p>
    <w:p>
      <w:pPr>
        <w:pStyle w:val="TextBody"/>
        <w:bidi w:val="0"/>
        <w:spacing w:before="360" w:after="0"/>
        <w:jc w:val="left"/>
        <w:rPr>
          <w:rFonts w:ascii="Times New Roman" w:hAnsi="Times New Roman"/>
          <w:i/>
          <w:sz w:val="20"/>
        </w:rPr>
      </w:pPr>
      <w:r>
        <w:rPr>
          <w:rFonts w:ascii="Times New Roman" w:hAnsi="Times New Roman"/>
          <w:i/>
          <w:sz w:val="20"/>
        </w:rPr>
        <w:t xml:space="preserve">Sales and Marketing Expenses </w:t>
      </w:r>
    </w:p>
    <w:p>
      <w:pPr>
        <w:pStyle w:val="TextBody"/>
        <w:bidi w:val="0"/>
        <w:spacing w:before="120" w:after="0"/>
        <w:jc w:val="left"/>
        <w:rPr>
          <w:rFonts w:ascii="Times New Roman" w:hAnsi="Times New Roman"/>
          <w:sz w:val="20"/>
        </w:rPr>
      </w:pPr>
      <w:r>
        <w:rPr>
          <w:rFonts w:ascii="Times New Roman" w:hAnsi="Times New Roman"/>
          <w:sz w:val="20"/>
        </w:rPr>
        <w:t xml:space="preserve">Sales and marketing expenses increased by $4.5 million, for the year ended December 31, 2022, compared to the year ended December 31, 2021. This was primarily due to an increase in advertisement costs of $2.7 million under a full year of ownership of ANY compared to four months in 2021, an increase in employee salaries and consultancy fees of $0.6 million and $0.8 million, respectively, due to an increased number of employees and consultants from the Companys increased promotion of its platform. The Company incurred share-based payments of $0.4 million due to the grant of employee share options in November 2022.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increased by $56.0 million, for the year ended December 31, 2022, compared to the year ended December 31, 2021. This was primarily related due to an increase $2.9 million in exceptional costs related to legal and audit costs due to Rezolves planned listing, an increase in business development expenses of $1.9 million reflecting the costs incurred by Rezolve Limited in funding our platform activities in China, and an increase employee salary and consultancy charges of $2.8 million and $3.8 million, respectively. Share-based payments to employees increased by $1.7 million due to a grant in November 2022, and by $26.3 million for share-based payments to related parties due to a grant to DBLP Sea Cow and directors of the Company, as well as an increase in share-based payments of $15.0 million to consultants. Other general and administrative expenses increased by $1.5 million due to the Companys increased activities and operations. </w:t>
      </w:r>
    </w:p>
    <w:p>
      <w:pPr>
        <w:pStyle w:val="TextBody"/>
        <w:bidi w:val="0"/>
        <w:spacing w:before="360" w:after="0"/>
        <w:jc w:val="left"/>
        <w:rPr>
          <w:rFonts w:ascii="Times New Roman" w:hAnsi="Times New Roman"/>
          <w:i/>
          <w:sz w:val="20"/>
        </w:rPr>
      </w:pPr>
      <w:r>
        <w:rPr>
          <w:rFonts w:ascii="Times New Roman" w:hAnsi="Times New Roman"/>
          <w:i/>
          <w:sz w:val="20"/>
        </w:rPr>
        <w:t xml:space="preserve">Other 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expenses increased by $0.3 million due to an impairment of accounts receivable.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Depreciation and Amortization Expenses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expenses increased by $0.3 million, for the year ended December 31, 2022, compared to the year ended December 31, 2021. This was primarily due to a customer list intangible asset acquired in 2021 as part of the acquisition of ANY. </w:t>
      </w:r>
    </w:p>
    <w:p>
      <w:pPr>
        <w:pStyle w:val="TextBody"/>
        <w:bidi w:val="0"/>
        <w:spacing w:before="360" w:after="0"/>
        <w:jc w:val="left"/>
        <w:rPr>
          <w:rFonts w:ascii="Times New Roman" w:hAnsi="Times New Roman"/>
          <w:i/>
          <w:sz w:val="20"/>
        </w:rPr>
      </w:pPr>
      <w:r>
        <w:rPr>
          <w:rFonts w:ascii="Times New Roman" w:hAnsi="Times New Roman"/>
          <w:i/>
          <w:sz w:val="20"/>
        </w:rPr>
        <w:t xml:space="preserve">Impairment of goodwill </w:t>
      </w:r>
    </w:p>
    <w:p>
      <w:pPr>
        <w:pStyle w:val="TextBody"/>
        <w:bidi w:val="0"/>
        <w:spacing w:before="120" w:after="0"/>
        <w:jc w:val="left"/>
        <w:rPr>
          <w:rFonts w:ascii="Times New Roman" w:hAnsi="Times New Roman"/>
          <w:sz w:val="20"/>
        </w:rPr>
      </w:pPr>
      <w:r>
        <w:rPr>
          <w:rFonts w:ascii="Times New Roman" w:hAnsi="Times New Roman"/>
          <w:sz w:val="20"/>
        </w:rPr>
        <w:t xml:space="preserve">Impairment of goodwill in the year ended December 31, 2022 increased by $7.4 million primarily due to the impairment charge in ANY. We determined that indicators of impairment of goodwill existed when future operating profits and cash flows were revised to be lower than initially anticipated when ANY was acquired in 2021. In the year ended December 31, 2022, a goodwill impairment loss of $7.3 million was recognized in ANY. The fair value of that reporting unit was estimated using the expected present value of future cash flows. </w:t>
      </w:r>
    </w:p>
    <w:p>
      <w:pPr>
        <w:pStyle w:val="TextBody"/>
        <w:bidi w:val="0"/>
        <w:spacing w:before="360" w:after="0"/>
        <w:jc w:val="left"/>
        <w:rPr>
          <w:rFonts w:ascii="Times New Roman" w:hAnsi="Times New Roman"/>
          <w:i/>
          <w:sz w:val="20"/>
        </w:rPr>
      </w:pPr>
      <w:r>
        <w:rPr>
          <w:rFonts w:ascii="Times New Roman" w:hAnsi="Times New Roman"/>
          <w:i/>
          <w:sz w:val="20"/>
        </w:rPr>
        <w:t xml:space="preserve">Other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shows interest expense and other non-operating income for the year ended December 31, 2022, as compared to the year ended December 31, 2021: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55"/>
        <w:gridCol w:w="286"/>
        <w:gridCol w:w="140"/>
        <w:gridCol w:w="1003"/>
        <w:gridCol w:w="160"/>
        <w:gridCol w:w="286"/>
        <w:gridCol w:w="140"/>
        <w:gridCol w:w="1003"/>
        <w:gridCol w:w="60"/>
        <w:gridCol w:w="286"/>
        <w:gridCol w:w="140"/>
        <w:gridCol w:w="1056"/>
        <w:gridCol w:w="160"/>
        <w:gridCol w:w="286"/>
        <w:gridCol w:w="60"/>
        <w:gridCol w:w="508"/>
        <w:gridCol w:w="359"/>
      </w:tblGrid>
      <w:tr>
        <w:trPr/>
        <w:tc>
          <w:tcPr>
            <w:tcW w:w="3455"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7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59" w:type="dxa"/>
            <w:tcBorders/>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5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59" w:type="dxa"/>
            <w:tcBorders/>
            <w:vAlign w:val="bottom"/>
          </w:tcPr>
          <w:p>
            <w:pPr>
              <w:pStyle w:val="TableContents"/>
              <w:bidi w:val="0"/>
              <w:spacing w:before="0" w:after="283"/>
              <w:jc w:val="left"/>
              <w:rPr/>
            </w:pPr>
            <w:r>
              <w:rPr/>
              <w:t> </w:t>
            </w:r>
          </w:p>
        </w:tc>
      </w:tr>
      <w:tr>
        <w:trPr/>
        <w:tc>
          <w:tcPr>
            <w:tcW w:w="3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08"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r>
      <w:tr>
        <w:trPr/>
        <w:tc>
          <w:tcPr>
            <w:tcW w:w="3455"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3,884,698</w:t>
            </w:r>
          </w:p>
        </w:tc>
        <w:tc>
          <w:tcPr>
            <w:tcW w:w="1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301,594</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6" w:type="dxa"/>
            <w:tcBorders/>
            <w:vAlign w:val="bottom"/>
          </w:tcPr>
          <w:p>
            <w:pPr>
              <w:pStyle w:val="TableContents"/>
              <w:bidi w:val="0"/>
              <w:spacing w:before="0" w:after="283"/>
              <w:jc w:val="right"/>
              <w:rPr/>
            </w:pPr>
            <w:r>
              <w:rPr/>
              <w:t>3,583,104</w:t>
            </w:r>
          </w:p>
        </w:tc>
        <w:tc>
          <w:tcPr>
            <w:tcW w:w="1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right"/>
              <w:rPr/>
            </w:pPr>
            <w:r>
              <w:rPr/>
              <w:t>1188</w:t>
            </w:r>
          </w:p>
        </w:tc>
        <w:tc>
          <w:tcPr>
            <w:tcW w:w="359" w:type="dxa"/>
            <w:tcBorders/>
            <w:vAlign w:val="bottom"/>
          </w:tcPr>
          <w:p>
            <w:pPr>
              <w:pStyle w:val="TableContents"/>
              <w:bidi w:val="0"/>
              <w:spacing w:before="0" w:after="283"/>
              <w:jc w:val="left"/>
              <w:rPr/>
            </w:pPr>
            <w:r>
              <w:rPr/>
              <w:t>% </w:t>
            </w:r>
          </w:p>
        </w:tc>
      </w:tr>
      <w:tr>
        <w:trPr/>
        <w:tc>
          <w:tcPr>
            <w:tcW w:w="3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(income) expense, net</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(315,572</w:t>
            </w:r>
          </w:p>
        </w:tc>
        <w:tc>
          <w:tcPr>
            <w:tcW w:w="1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1,210,690</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(1,526,264</w:t>
            </w:r>
          </w:p>
        </w:tc>
        <w:tc>
          <w:tcPr>
            <w:tcW w:w="1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right"/>
              <w:rPr/>
            </w:pPr>
            <w:r>
              <w:rPr/>
              <w:t>(126</w:t>
            </w:r>
          </w:p>
        </w:tc>
        <w:tc>
          <w:tcPr>
            <w:tcW w:w="359" w:type="dxa"/>
            <w:tcBorders/>
            <w:shd w:fill="CCEEFF" w:val="clear"/>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r>
        <w:trPr/>
        <w:tc>
          <w:tcPr>
            <w:tcW w:w="3455"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expense, net</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3,569,124</w:t>
            </w:r>
          </w:p>
        </w:tc>
        <w:tc>
          <w:tcPr>
            <w:tcW w:w="1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1,512,284</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2,056,840</w:t>
            </w:r>
          </w:p>
        </w:tc>
        <w:tc>
          <w:tcPr>
            <w:tcW w:w="1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r>
        <w:trPr/>
        <w:tc>
          <w:tcPr>
            <w:tcW w:w="3455"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Interest expense increased by $3.6 million for the year ended December 31, 2022 as compared to the year ended December 31, 2021. This was primarily due to a full year of drawing down the convertible loan notes issued in December 2021. </w:t>
      </w:r>
    </w:p>
    <w:p>
      <w:pPr>
        <w:pStyle w:val="TextBody"/>
        <w:bidi w:val="0"/>
        <w:spacing w:before="240" w:after="0"/>
        <w:jc w:val="left"/>
        <w:rPr>
          <w:rFonts w:ascii="Times New Roman" w:hAnsi="Times New Roman"/>
          <w:sz w:val="20"/>
        </w:rPr>
      </w:pPr>
      <w:r>
        <w:rPr>
          <w:rFonts w:ascii="Times New Roman" w:hAnsi="Times New Roman"/>
          <w:sz w:val="20"/>
        </w:rPr>
        <w:t xml:space="preserve">Other non-operating (income) expense decreased by $1.5 million for the year ended December 31, 2022 as compared to the year ended December 31, 2021. This is primarily due to a decrease in foreign exchange losses of $0.5 million, and a decrease in non-recurring share-based payment charges for a former owner of an acquired business in 2021.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In 2022 and 2021, we financed our operations in large part with cash flows from financing activities through cash proceeds from issuances of common and preferred stock as well as a senior secured convertible loan. In addition, we raised additional funds from convertible loan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Yorkville Capital Commitment </w:t>
      </w:r>
    </w:p>
    <w:p>
      <w:pPr>
        <w:pStyle w:val="TextBody"/>
        <w:bidi w:val="0"/>
        <w:spacing w:before="120" w:after="0"/>
        <w:jc w:val="left"/>
        <w:rPr>
          <w:rFonts w:ascii="Times New Roman" w:hAnsi="Times New Roman"/>
          <w:sz w:val="20"/>
        </w:rPr>
      </w:pPr>
      <w:r>
        <w:rPr>
          <w:rFonts w:ascii="Times New Roman" w:hAnsi="Times New Roman"/>
          <w:sz w:val="20"/>
        </w:rPr>
        <w:t xml:space="preserve">On February 23, 2023, Rezolve Limited executed a $250 million standby equity purchase agreement providing a capital commitment facility from YA II PN, LTD ( YA), a Cayman Islands exempt limited partnership, in the form of a share subscription facility. Under the agreement, YA will provide Rezolve with up to $250 million in equity capital for a 36-month term following a public listing of the Companys Ordinary Shares. Rezolve will not be obligated to draw the full $250 million but can do so in part or in whole at its discretion, but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be obliged to acquire Ordinary Shares which would take its holding to over 4.99% of the outstanding voting power on all Ordinary Shares nor so that it would hold in excess of 19.9% of the outstanding Ordinary Shares at the date of the equity purchase agreement subject to certain exceptions. The purchase price for YA is 97% of the Market Price, which is defined as the lowest of the daily VWAPs of the Ordinary Shares during the three consecutive days before delivery of an advance notice by Rezolve to YA. Rezolve will control both the timing and amount of all drawdowns and will issue stock to YA on each drawn down from the facility. The Company will pay a commitment fee in an amount equal to 1.25 % of the $250 million Commitment Amount (the Commitment Fee), which at the option of the Company, the Company may pay (i) by the issuance of Ordinary Shares (collectively, the Commitment Shares) to YA in two installments as follows: (a) on the Effective Date (the sixth trading day following the closing of the Business Combination), the Company will issue to YA such number of Ordinary Shares as is equal to one half of the Commitment Fee divided by $10, and (b) on the nine-month anniversary of the Effective Date, the Company will issue to YA such number of Ordinary Shares as is equal to one-half of the Commitment Fee divided by the average of the daily VWAPs of the Ordinary Shares during the five trading days prior to the nine-month anniversary of the Effective Date; or (ii) in cash by wire transfer to YA in two equal installments on the Effective Date and on the nine-month anniversary of the Effective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Business Combination Agreement, on December 16, 2021, Rezolve Limited entered into a secured convertible loan note instrument, as amended and restated on November 21, 2022 and as further amended and restated on May 23, 2023 (the Loan Note Instrument) and currently is in respect of an aggregate amount of $39,625,000 loan notes of $1.00 each in the capital of Rezolve Limited (the Convertible Notes) of which $31,125,000 are in issue and a further $8,500,000 will be issued on completion of the Pre-Closing Demerger and are secured by debentures over the assets of Rezolve Limited. It is intended that with effect from the completion of the Pre-Closing Demerger, the Loan Note Instrument be novated to Rezolve and be secured by a debenture over the assets of Rezolve. The principal and interest on the Convertible Notes is convertible into ordinary shares of Rezolve Limited (or after the Pre-Closing Demerger into Rezolve Ordinary Shares) at a 30% discount to the equity value of such ordinary shares (or after the Pre-Closing Demerger, Rezolve Ordinary Shares) in connection with the consummation of the Business Combination or if less at a 30% discount to the annual average VWAP for the year ended on the latest December 31 falling after Closing. The Convertible Notes will mature on the date falling three years after Closing (or on December 31, 2024 if Closing has not occurred by then), bear interest of 7.5% per annum prior to Closing and at 0% after Closing (save when an event of default has occurred and is continuing, a 10% interest rate will apply) and are redeemable by the noteholder on certain events, including, without limitation, the failure of Rezolve Limited (or after the Pre-Closing Demerger, Rezolve) to pay any amount due thereunder when due.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Loan Note Instrument, Rezolve Limited (or after the Pre-Closing Demerger, Rezolve) has given certain covenants to the noteholders which remain in force while the Convertible Notes are outstanding, including that (i) Rezolve Limited and its subsidiaries (or after the Pre-Closing Demerger, Rezolve and its subsidiaries) shall not incur any indebtedness that would rank senior to the Convertible Notes without the prior consent of holders of more than two-thirds of the aggregate principal amount of the Convertible Notes outstanding from time to time (the Noteholder Majority); and (ii) for so long as one or more of Apeiron Investment Group Ltd, Bradley Wickens and any of their respective affiliates (including any other person with the prior written consent of Rezolve Limited (or after the Pre-Closing Demerger, Rezolve), not to be unreasonably withheld, delayed or conditioned) holds at least $20,000,000 in aggregate of the principal amount of the Convertible Notes from time to time, Rezolve Limited and its subsidiaries (or after the Pre-Closing Demerger, Rezolve and its subsidiaries) shall not enter into any Extraordinary Transactions (as defined below) without the prior consent of a Noteholder Majority. The definition of Extraordinary Transactions covers the occurrence of (a) making, or permitting any subsidiary to make, any loan or advance to any person unless such person is wholly owned by Rezolve Limited (or after the Pre-Closing Demerger, Rezolve) or, in the case of a natural person, is an employee or director of Rezolve Limited (or after the Pre-Closing Demerger, Rezolve)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loan or advance is made in the ordinary course of business under the terms of an employee stock or option plan that has been notified to the noteholders; (b) guaranteeing, directly or indirectly, or permitting any subsidiary to guarantee, directly or indirectly, any indebtedness except for trade accounts of Rezolve Limited or any of its subsidiaries (or after the Pre-Closing Demerger, Rezolve or any of its subsidiaries) arising in the ordinary course of business; (c) changing the principal business of Rezolve Limited (or after the Pre-Closing Demerger,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 of Rezolve Limited (or after the Pre-Closing Demerger, Rezolve) for the 90 calendar days prior to such transaction (calculated based on the volume-weighted average share price of the shares of Rezolve Limited (or after the Pre-Closing Demerger, Rezolve) in that period) or (y) other than (A) on arms length terms, and (B) for the purpose of promoting the success of Rezolve Limited (or after the Pre-Closing Demerger, Rezolve); (g) amending the articles of association of Rezolve Limited (or after the Pre-Closing Demerger, Rezolve) in a manner that is adverse to the noteholders; (h) effecting any merger, combination, reorganization, scheme of arrangement, restructuring plan or other similar transaction except for any merger, combination or scheme of arrangement undertaken solely to implement the acquisition or disposition of assets which would not constitute an Extraordinary Transaction (as defined in the Loan Note Instrument) under (f); and (i) liquidating, dissolving or winding up the affairs of Rezolve Limited (or after the Pre-Closing Demerger, Rezolve). </w:t>
      </w:r>
    </w:p>
    <w:p>
      <w:pPr>
        <w:pStyle w:val="TextBody"/>
        <w:bidi w:val="0"/>
        <w:spacing w:before="240" w:after="0"/>
        <w:jc w:val="left"/>
        <w:rPr>
          <w:rFonts w:ascii="Times New Roman" w:hAnsi="Times New Roman"/>
          <w:sz w:val="20"/>
        </w:rPr>
      </w:pPr>
      <w:r>
        <w:rPr>
          <w:rFonts w:ascii="Times New Roman" w:hAnsi="Times New Roman"/>
          <w:sz w:val="20"/>
        </w:rPr>
        <w:t xml:space="preserve">The Convertible Notes will not be repaid at the Closing of the Business Combination and will either convert into Rezolve Ordinary Shares or remain outstanding. The Convertible Notes will not be registered under the Securities Act and have been issued in reliance on the exemption from registration requirements thereof provided by Regulation S promulgated thereunder as a transaction solely to non-US persons (as defined in Regulation S). </w:t>
      </w:r>
    </w:p>
    <w:p>
      <w:pPr>
        <w:pStyle w:val="TextBody"/>
        <w:bidi w:val="0"/>
        <w:spacing w:before="240" w:after="0"/>
        <w:jc w:val="left"/>
        <w:rPr>
          <w:rFonts w:ascii="Times New Roman" w:hAnsi="Times New Roman"/>
          <w:sz w:val="20"/>
        </w:rPr>
      </w:pPr>
      <w:r>
        <w:rPr>
          <w:rFonts w:ascii="Times New Roman" w:hAnsi="Times New Roman"/>
          <w:sz w:val="20"/>
        </w:rPr>
        <w:t xml:space="preserve">Rezolve Limited (and after the Pre-Closing Demerger, Rezolve) has agreed that, within forty five (45) days from the date of listing on Nasdaq (the Registration Deadline), it will file with the SEC a registration statement (the Registration Statement) registering the resale of the Convertible Notes held by any Major Investors from time to time (any Convertible Notes and Rezolve Shares held by Major Investors, the Registrable Securities)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 Rezolve Limited (and after the Pre-Closing Demerger, 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Limited (and after the Pre-Closing Demerger, Rezolve) will use commercially reasonable efforts to qualify the Registrable Securities for listing on the applicable stock exchange. If the SEC prevents Rezolve Limited (or after the Pre-Closing Demerger,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Major Investor means any noteholder that, individually or together with such noteholders affiliates, holds at least $5,000,000 in aggregate principal amount of Convertible Notes or at least 5,000,000 Rezolve Shares of Registrable Securities (as adjusted for any stock split, stock dividend, combination, or other recapitalization or reclassification effected after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Balance Sheet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unrestricted cash and cash equivalents on our balance sheet and undrawn amounts under our revolving credit facility as of December 31, 2022 and December 31, 2021: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37"/>
        <w:gridCol w:w="363"/>
        <w:gridCol w:w="140"/>
        <w:gridCol w:w="752"/>
        <w:gridCol w:w="60"/>
        <w:gridCol w:w="363"/>
        <w:gridCol w:w="140"/>
        <w:gridCol w:w="1234"/>
        <w:gridCol w:w="66"/>
      </w:tblGrid>
      <w:tr>
        <w:trPr/>
        <w:tc>
          <w:tcPr>
            <w:tcW w:w="4637"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637"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26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6"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6"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Unrestricted cash and cash equivalents</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2" w:type="dxa"/>
            <w:tcBorders/>
            <w:shd w:fill="CCEEFF" w:val="clear"/>
            <w:vAlign w:val="bottom"/>
          </w:tcPr>
          <w:p>
            <w:pPr>
              <w:pStyle w:val="TableContents"/>
              <w:bidi w:val="0"/>
              <w:spacing w:before="0" w:after="283"/>
              <w:jc w:val="right"/>
              <w:rPr/>
            </w:pPr>
            <w:r>
              <w:rPr/>
              <w:t>41,709</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2,690,024</w:t>
            </w:r>
          </w:p>
        </w:tc>
        <w:tc>
          <w:tcPr>
            <w:tcW w:w="66"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Undrawn convertible notes</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17,500,000</w:t>
            </w:r>
          </w:p>
        </w:tc>
        <w:tc>
          <w:tcPr>
            <w:tcW w:w="66" w:type="dxa"/>
            <w:tcBorders/>
            <w:vAlign w:val="bottom"/>
          </w:tcPr>
          <w:p>
            <w:pPr>
              <w:pStyle w:val="TableContents"/>
              <w:bidi w:val="0"/>
              <w:spacing w:before="0" w:after="283"/>
              <w:jc w:val="left"/>
              <w:rPr>
                <w:sz w:val="4"/>
                <w:szCs w:val="4"/>
              </w:rPr>
            </w:pPr>
            <w:r>
              <w:rPr>
                <w:sz w:val="4"/>
                <w:szCs w:val="4"/>
              </w:rPr>
            </w:r>
          </w:p>
        </w:tc>
      </w:tr>
      <w:tr>
        <w:trPr/>
        <w:tc>
          <w:tcPr>
            <w:tcW w:w="4637"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Available liquidity</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2" w:type="dxa"/>
            <w:tcBorders/>
            <w:shd w:fill="CCEEFF" w:val="clear"/>
            <w:vAlign w:val="bottom"/>
          </w:tcPr>
          <w:p>
            <w:pPr>
              <w:pStyle w:val="TableContents"/>
              <w:bidi w:val="0"/>
              <w:spacing w:before="0" w:after="283"/>
              <w:jc w:val="right"/>
              <w:rPr/>
            </w:pPr>
            <w:r>
              <w:rPr/>
              <w:t>41,709</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20,190,024</w:t>
            </w:r>
          </w:p>
        </w:tc>
        <w:tc>
          <w:tcPr>
            <w:tcW w:w="66"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cash flows for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69"/>
        <w:gridCol w:w="332"/>
        <w:gridCol w:w="145"/>
        <w:gridCol w:w="1356"/>
        <w:gridCol w:w="156"/>
        <w:gridCol w:w="332"/>
        <w:gridCol w:w="145"/>
        <w:gridCol w:w="1356"/>
        <w:gridCol w:w="164"/>
      </w:tblGrid>
      <w:tr>
        <w:trPr/>
        <w:tc>
          <w:tcPr>
            <w:tcW w:w="3769"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69"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34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4" w:type="dxa"/>
            <w:tcBorders/>
            <w:vAlign w:val="bottom"/>
          </w:tcPr>
          <w:p>
            <w:pPr>
              <w:pStyle w:val="TableContents"/>
              <w:bidi w:val="0"/>
              <w:spacing w:before="0" w:after="283"/>
              <w:jc w:val="left"/>
              <w:rPr/>
            </w:pPr>
            <w:r>
              <w:rPr/>
              <w:t> </w:t>
            </w:r>
          </w:p>
        </w:tc>
      </w:tr>
      <w:tr>
        <w:trPr/>
        <w:tc>
          <w:tcPr>
            <w:tcW w:w="3769"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6"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4" w:type="dxa"/>
            <w:tcBorders/>
            <w:vAlign w:val="bottom"/>
          </w:tcPr>
          <w:p>
            <w:pPr>
              <w:pStyle w:val="TableContents"/>
              <w:bidi w:val="0"/>
              <w:spacing w:before="0" w:after="283"/>
              <w:jc w:val="left"/>
              <w:rPr/>
            </w:pPr>
            <w:r>
              <w:rPr/>
              <w:t> </w:t>
            </w:r>
          </w:p>
        </w:tc>
      </w:tr>
      <w:tr>
        <w:trPr/>
        <w:tc>
          <w:tcPr>
            <w:tcW w:w="3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3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356" w:type="dxa"/>
            <w:tcBorders/>
            <w:shd w:fill="CCEEFF" w:val="clear"/>
            <w:vAlign w:val="bottom"/>
          </w:tcPr>
          <w:p>
            <w:pPr>
              <w:pStyle w:val="TableContents"/>
              <w:bidi w:val="0"/>
              <w:spacing w:before="0" w:after="283"/>
              <w:jc w:val="right"/>
              <w:rPr/>
            </w:pPr>
            <w:r>
              <w:rPr/>
              <w:t>(26,762,920</w:t>
            </w:r>
          </w:p>
        </w:tc>
        <w:tc>
          <w:tcPr>
            <w:tcW w:w="15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356" w:type="dxa"/>
            <w:tcBorders/>
            <w:shd w:fill="CCEEFF" w:val="clear"/>
            <w:vAlign w:val="bottom"/>
          </w:tcPr>
          <w:p>
            <w:pPr>
              <w:pStyle w:val="TableContents"/>
              <w:bidi w:val="0"/>
              <w:spacing w:before="0" w:after="283"/>
              <w:jc w:val="right"/>
              <w:rPr/>
            </w:pPr>
            <w:r>
              <w:rPr/>
              <w:t>(20,448,886</w:t>
            </w:r>
          </w:p>
        </w:tc>
        <w:tc>
          <w:tcPr>
            <w:tcW w:w="164" w:type="dxa"/>
            <w:tcBorders/>
            <w:shd w:fill="CCEEFF" w:val="clear"/>
            <w:vAlign w:val="bottom"/>
          </w:tcPr>
          <w:p>
            <w:pPr>
              <w:pStyle w:val="TableContents"/>
              <w:bidi w:val="0"/>
              <w:spacing w:before="0" w:after="283"/>
              <w:jc w:val="left"/>
              <w:rPr/>
            </w:pPr>
            <w:r>
              <w:rPr/>
              <w:t>) </w:t>
            </w:r>
          </w:p>
        </w:tc>
      </w:tr>
      <w:tr>
        <w:trPr/>
        <w:tc>
          <w:tcPr>
            <w:tcW w:w="376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3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(25,973</w:t>
            </w:r>
          </w:p>
        </w:tc>
        <w:tc>
          <w:tcPr>
            <w:tcW w:w="156"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(117,936</w:t>
            </w:r>
          </w:p>
        </w:tc>
        <w:tc>
          <w:tcPr>
            <w:tcW w:w="164" w:type="dxa"/>
            <w:tcBorders/>
            <w:vAlign w:val="bottom"/>
          </w:tcPr>
          <w:p>
            <w:pPr>
              <w:pStyle w:val="TableContents"/>
              <w:bidi w:val="0"/>
              <w:spacing w:before="0" w:after="283"/>
              <w:jc w:val="left"/>
              <w:rPr/>
            </w:pPr>
            <w:r>
              <w:rPr/>
              <w:t>) </w:t>
            </w:r>
          </w:p>
        </w:tc>
      </w:tr>
      <w:tr>
        <w:trPr/>
        <w:tc>
          <w:tcPr>
            <w:tcW w:w="3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3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23,999,920</w:t>
            </w:r>
          </w:p>
        </w:tc>
        <w:tc>
          <w:tcPr>
            <w:tcW w:w="15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18,785,517</w:t>
            </w:r>
          </w:p>
        </w:tc>
        <w:tc>
          <w:tcPr>
            <w:tcW w:w="164" w:type="dxa"/>
            <w:tcBorders/>
            <w:shd w:fill="CCEEFF" w:val="clear"/>
            <w:vAlign w:val="bottom"/>
          </w:tcPr>
          <w:p>
            <w:pPr>
              <w:pStyle w:val="TableContents"/>
              <w:bidi w:val="0"/>
              <w:spacing w:before="0" w:after="283"/>
              <w:jc w:val="left"/>
              <w:rPr/>
            </w:pPr>
            <w:r>
              <w:rPr/>
              <w:t> </w:t>
            </w:r>
          </w:p>
        </w:tc>
      </w:tr>
      <w:tr>
        <w:trPr/>
        <w:tc>
          <w:tcPr>
            <w:tcW w:w="3769"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33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140,658</w:t>
            </w:r>
          </w:p>
        </w:tc>
        <w:tc>
          <w:tcPr>
            <w:tcW w:w="156"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(84,440</w:t>
            </w:r>
          </w:p>
        </w:tc>
        <w:tc>
          <w:tcPr>
            <w:tcW w:w="164" w:type="dxa"/>
            <w:tcBorders/>
            <w:vAlign w:val="bottom"/>
          </w:tcPr>
          <w:p>
            <w:pPr>
              <w:pStyle w:val="TableContents"/>
              <w:bidi w:val="0"/>
              <w:spacing w:before="0" w:after="283"/>
              <w:jc w:val="left"/>
              <w:rPr/>
            </w:pPr>
            <w:r>
              <w:rPr/>
              <w:t>) </w:t>
            </w:r>
          </w:p>
        </w:tc>
      </w:tr>
      <w:tr>
        <w:trPr/>
        <w:tc>
          <w:tcPr>
            <w:tcW w:w="3769"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5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5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increase in cash and cash equivalents</w:t>
            </w:r>
          </w:p>
        </w:tc>
        <w:tc>
          <w:tcPr>
            <w:tcW w:w="33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(2,648,315</w:t>
            </w:r>
          </w:p>
        </w:tc>
        <w:tc>
          <w:tcPr>
            <w:tcW w:w="156"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356" w:type="dxa"/>
            <w:tcBorders/>
            <w:shd w:fill="CCEEFF" w:val="clear"/>
            <w:vAlign w:val="bottom"/>
          </w:tcPr>
          <w:p>
            <w:pPr>
              <w:pStyle w:val="TableContents"/>
              <w:bidi w:val="0"/>
              <w:spacing w:before="0" w:after="283"/>
              <w:jc w:val="right"/>
              <w:rPr/>
            </w:pPr>
            <w:r>
              <w:rPr/>
              <w:t>(1,849,875</w:t>
            </w:r>
          </w:p>
        </w:tc>
        <w:tc>
          <w:tcPr>
            <w:tcW w:w="164" w:type="dxa"/>
            <w:tcBorders/>
            <w:shd w:fill="CCEEFF" w:val="clear"/>
            <w:vAlign w:val="bottom"/>
          </w:tcPr>
          <w:p>
            <w:pPr>
              <w:pStyle w:val="TableContents"/>
              <w:bidi w:val="0"/>
              <w:spacing w:before="0" w:after="283"/>
              <w:jc w:val="left"/>
              <w:rPr/>
            </w:pPr>
            <w:r>
              <w:rPr/>
              <w:t>) </w:t>
            </w:r>
          </w:p>
        </w:tc>
      </w:tr>
      <w:tr>
        <w:trPr/>
        <w:tc>
          <w:tcPr>
            <w:tcW w:w="3769"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5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5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$26.8 million for the year ended December 31, 2022, which resulted from a net loss of $104.1 million from operating activities, adjusted for non-cash items such as share-based compensation of $60.0 million, $7.4 million impairment of goodwill, impairments of $1.1 million, interest expense of $3.9 million and of changes in working capital of $4.6 million primarily due to an increase in trade payables and accrued liabilities of $4.6 million.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of $24.0 million for the year ended December 31, 2022 was due to proceeds from issuance of convertible loans of $21.5 million and $2.5 million from proceeds from issuance of ordinary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Obligations </w:t>
      </w:r>
    </w:p>
    <w:p>
      <w:pPr>
        <w:pStyle w:val="TextBody"/>
        <w:bidi w:val="0"/>
        <w:spacing w:before="120" w:after="0"/>
        <w:jc w:val="left"/>
        <w:rPr>
          <w:rFonts w:ascii="Times New Roman" w:hAnsi="Times New Roman"/>
          <w:sz w:val="20"/>
        </w:rPr>
      </w:pPr>
      <w:r>
        <w:rPr>
          <w:rFonts w:ascii="Times New Roman" w:hAnsi="Times New Roman"/>
          <w:sz w:val="20"/>
        </w:rPr>
        <w:t xml:space="preserve">We have debt outstanding to DBLP Sea Cow Limited (a company incorporated in the Seychelles) (DBLP), which is wholly legally owned by Daniel Wagner and beneficially owned by John Wagner, in the amounts of $175,000 and $477,077, an aggregate of $652,077. There are no formal loan documents in place and no interest is payable.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a secured convertible Loan Note Instrument in respect of $39,625,000 in aggregate principal amount of loan notes of $1.00 each in the capital of Rezolve.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we did not have any significant off-balance sheet arrangements, as defined in Item 303(a)(4)(ii) of Regulation 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carve-out consolidated financial statements of Rezolve AI Limited and its subsidiaries have been prepared in accordance with accounting principles generally accepted in the United States (the Carve-out Consolidated Financial Statements). The Carve-out Consolidated Financial Statements have been prepared using the United States Dollar as the reporting currency. </w:t>
      </w:r>
    </w:p>
    <w:p>
      <w:pPr>
        <w:pStyle w:val="TextBody"/>
        <w:bidi w:val="0"/>
        <w:spacing w:before="240" w:after="0"/>
        <w:jc w:val="left"/>
        <w:rPr>
          <w:rFonts w:ascii="Times New Roman" w:hAnsi="Times New Roman"/>
          <w:sz w:val="20"/>
        </w:rPr>
      </w:pPr>
      <w:r>
        <w:rPr>
          <w:rFonts w:ascii="Times New Roman" w:hAnsi="Times New Roman"/>
          <w:sz w:val="20"/>
        </w:rPr>
        <w:t xml:space="preserve">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(Rezolve China) and Rezolve Chinas subsidiary Nine Stone (Shanghai) Ltd (Nine Stone) (collectively, the China Business). </w:t>
      </w:r>
    </w:p>
    <w:p>
      <w:pPr>
        <w:pStyle w:val="TextBody"/>
        <w:bidi w:val="0"/>
        <w:spacing w:before="240" w:after="0"/>
        <w:jc w:val="left"/>
        <w:rPr>
          <w:rFonts w:ascii="Times New Roman" w:hAnsi="Times New Roman"/>
          <w:sz w:val="20"/>
        </w:rPr>
      </w:pPr>
      <w:r>
        <w:rPr>
          <w:rFonts w:ascii="Times New Roman" w:hAnsi="Times New Roman"/>
          <w:sz w:val="20"/>
        </w:rPr>
        <w:t xml:space="preserve">On January 3, 2023, the board of directors of Rezolve Limited approved a plan to restructure its business and assets by way of a corporate de-merger. Subsequently, on January 5, 2023, an application to the local tax authorities, His Majestys Revenue and Customs (HMRC) was filed in respect of a proposed solvent liquidation procedure by way of a members voluntary liquidation (MVL) under section 110 of the Insolvency Act, 1986 to effect the corporate demerger (the Demerger).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Demerger, Rezolve AI Limited will acquire all assets of Rezolve Limited, except for the China Business. Nine Stone is expected to be sold to a third party and Rezolve China will be dissolved. Rezolve Limited will be liquidated by way of an MVL in the course of this process. In exchange for the assets of Rezolve Limited, former shareholders of Rezolve Limited will be issued shares in the Company in proportion to their previous shareholdings in Rezolve Limited. On May 3, 2023, HMRC gave a tax clearance in respect of the Demerger. </w:t>
      </w:r>
    </w:p>
    <w:p>
      <w:pPr>
        <w:pStyle w:val="TextBody"/>
        <w:bidi w:val="0"/>
        <w:spacing w:before="240" w:after="0"/>
        <w:jc w:val="left"/>
        <w:rPr>
          <w:rFonts w:ascii="Times New Roman" w:hAnsi="Times New Roman"/>
          <w:sz w:val="20"/>
        </w:rPr>
      </w:pPr>
      <w:r>
        <w:rPr>
          <w:rFonts w:ascii="Times New Roman" w:hAnsi="Times New Roman"/>
          <w:sz w:val="20"/>
        </w:rPr>
        <w:t xml:space="preserve">These Carve-out Consolidated Financial Statements have been prepared on the basis that the Demerger was completed retrospectively on December 31, 2020, and thus reflects the predecessor company prior to completion of the Demerger. They are prepared on a carve-out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our financial position, results of operations or cash flows is disclosed in Note 3 to the Rezolve Financial Statements included elsewhere in this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We have no interest rate risk, as the interest rate on our senior secured convertible loan notes is fixed, and the accrued interest converts into ordinary shares upon completion of a listing on a recognized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the principal amount outstanding of our senior secured convertible loan notes was $24.0 million. We carry the senior secured convertible loan notes at face value on our consolidated balance sheets. We do not have any material debt issuance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Risk </w:t>
      </w:r>
    </w:p>
    <w:p>
      <w:pPr>
        <w:pStyle w:val="TextBody"/>
        <w:bidi w:val="0"/>
        <w:spacing w:before="120" w:after="0"/>
        <w:jc w:val="left"/>
        <w:rPr>
          <w:rFonts w:ascii="Times New Roman" w:hAnsi="Times New Roman"/>
          <w:sz w:val="20"/>
        </w:rPr>
      </w:pPr>
      <w:r>
        <w:rPr>
          <w:rFonts w:ascii="Times New Roman" w:hAnsi="Times New Roman"/>
          <w:sz w:val="20"/>
        </w:rPr>
        <w:t xml:space="preserve">All of our revenue is denominated in the Euro (EUR) since our sales are primarily in Germany. Based upon our level of operations for the year ended December 31, 2022, a sensitivity analysis shows that a 10% appreciation or depreciation in the EUR against the dollar would have increased or decreased, respectively, our revenue for the years ended December 31, 2022 and 2021 by approximately $1.2 million and $0.3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tx309194_24"/>
      <w:bookmarkEnd w:id="27"/>
      <w:r>
        <w:rPr>
          <w:rFonts w:ascii="Times New Roman" w:hAnsi="Times New Roman"/>
          <w:b/>
          <w:sz w:val="20"/>
        </w:rPr>
        <w:t xml:space="preserve">MANAGEMENT AND COMPENSATION OF REZOLVE </w:t>
      </w:r>
    </w:p>
    <w:p>
      <w:pPr>
        <w:pStyle w:val="TextBody"/>
        <w:bidi w:val="0"/>
        <w:spacing w:before="240" w:after="0"/>
        <w:jc w:val="left"/>
        <w:rPr>
          <w:rFonts w:ascii="Times New Roman" w:hAnsi="Times New Roman"/>
          <w:b/>
          <w:sz w:val="20"/>
        </w:rPr>
      </w:pPr>
      <w:r>
        <w:rPr>
          <w:rFonts w:ascii="Times New Roman" w:hAnsi="Times New Roman"/>
          <w:b/>
          <w:sz w:val="20"/>
        </w:rPr>
        <w:t xml:space="preserve">Management of Rezolve Following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As contemplated by the Business Combination Agreement, Rezolves board of directors following the Business Combination will be comprised of eight directors (provided that Daniel Wagner shall have the right to appoint an additional director to the Board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certain information concerning the persons who are expected to serve as Rezolves directors and executive officers following the consummation of the Business Combination, including their ages, as of May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05"/>
        <w:gridCol w:w="188"/>
        <w:gridCol w:w="427"/>
        <w:gridCol w:w="188"/>
        <w:gridCol w:w="6497"/>
      </w:tblGrid>
      <w:tr>
        <w:trPr/>
        <w:tc>
          <w:tcPr>
            <w:tcW w:w="290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497" w:type="dxa"/>
            <w:tcBorders/>
            <w:vAlign w:val="center"/>
          </w:tcPr>
          <w:p>
            <w:pPr>
              <w:pStyle w:val="TableContents"/>
              <w:bidi w:val="0"/>
              <w:spacing w:before="0" w:after="283"/>
              <w:jc w:val="left"/>
              <w:rPr>
                <w:sz w:val="4"/>
                <w:szCs w:val="4"/>
              </w:rPr>
            </w:pPr>
            <w:r>
              <w:rPr>
                <w:sz w:val="4"/>
                <w:szCs w:val="4"/>
              </w:rPr>
            </w:r>
          </w:p>
        </w:tc>
      </w:tr>
      <w:tr>
        <w:trPr/>
        <w:tc>
          <w:tcPr>
            <w:tcW w:w="29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88" w:type="dxa"/>
            <w:tcBorders/>
            <w:vAlign w:val="bottom"/>
          </w:tcPr>
          <w:p>
            <w:pPr>
              <w:pStyle w:val="TableContents"/>
              <w:bidi w:val="0"/>
              <w:spacing w:before="0" w:after="283"/>
              <w:jc w:val="left"/>
              <w:rPr/>
            </w:pPr>
            <w:r>
              <w:rPr/>
              <w:t>  </w:t>
            </w:r>
          </w:p>
        </w:tc>
        <w:tc>
          <w:tcPr>
            <w:tcW w:w="427"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88" w:type="dxa"/>
            <w:tcBorders/>
            <w:vAlign w:val="bottom"/>
          </w:tcPr>
          <w:p>
            <w:pPr>
              <w:pStyle w:val="TableContents"/>
              <w:bidi w:val="0"/>
              <w:spacing w:before="0" w:after="283"/>
              <w:jc w:val="left"/>
              <w:rPr/>
            </w:pPr>
            <w:r>
              <w:rPr/>
              <w:t>  </w:t>
            </w:r>
          </w:p>
        </w:tc>
        <w:tc>
          <w:tcPr>
            <w:tcW w:w="64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c>
          <w:tcPr>
            <w:tcW w:w="2905" w:type="dxa"/>
            <w:tcBorders/>
          </w:tcPr>
          <w:p>
            <w:pPr>
              <w:pStyle w:val="TableContents"/>
              <w:bidi w:val="0"/>
              <w:spacing w:before="0" w:after="0"/>
              <w:jc w:val="left"/>
              <w:rPr>
                <w:rFonts w:ascii="Times New Roman" w:hAnsi="Times New Roman"/>
                <w:sz w:val="20"/>
              </w:rPr>
            </w:pPr>
            <w:r>
              <w:rPr>
                <w:rFonts w:ascii="Times New Roman" w:hAnsi="Times New Roman"/>
                <w:sz w:val="20"/>
              </w:rPr>
              <w:t>Daniel Wagner</w:t>
            </w:r>
          </w:p>
        </w:tc>
        <w:tc>
          <w:tcPr>
            <w:tcW w:w="188"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center"/>
              <w:rPr/>
            </w:pPr>
            <w:r>
              <w:rPr/>
              <w:t>59</w:t>
            </w:r>
          </w:p>
        </w:tc>
        <w:tc>
          <w:tcPr>
            <w:tcW w:w="188" w:type="dxa"/>
            <w:tcBorders/>
            <w:vAlign w:val="bottom"/>
          </w:tcPr>
          <w:p>
            <w:pPr>
              <w:pStyle w:val="TableContents"/>
              <w:bidi w:val="0"/>
              <w:spacing w:before="0" w:after="283"/>
              <w:jc w:val="left"/>
              <w:rPr/>
            </w:pPr>
            <w:r>
              <w:rPr/>
              <w:t>  </w:t>
            </w:r>
          </w:p>
        </w:tc>
        <w:tc>
          <w:tcPr>
            <w:tcW w:w="6497" w:type="dxa"/>
            <w:tcBorders/>
          </w:tcPr>
          <w:p>
            <w:pPr>
              <w:pStyle w:val="TableContents"/>
              <w:bidi w:val="0"/>
              <w:spacing w:before="0" w:after="283"/>
              <w:jc w:val="center"/>
              <w:rPr/>
            </w:pPr>
            <w:r>
              <w:rPr/>
              <w:t>CEO, and director</w:t>
            </w:r>
          </w:p>
        </w:tc>
      </w:tr>
      <w:tr>
        <w:trPr/>
        <w:tc>
          <w:tcPr>
            <w:tcW w:w="2905" w:type="dxa"/>
            <w:tcBorders/>
          </w:tcPr>
          <w:p>
            <w:pPr>
              <w:pStyle w:val="TableContents"/>
              <w:bidi w:val="0"/>
              <w:spacing w:before="0" w:after="0"/>
              <w:jc w:val="left"/>
              <w:rPr>
                <w:rFonts w:ascii="Times New Roman" w:hAnsi="Times New Roman"/>
                <w:sz w:val="20"/>
              </w:rPr>
            </w:pPr>
            <w:r>
              <w:rPr>
                <w:rFonts w:ascii="Times New Roman" w:hAnsi="Times New Roman"/>
                <w:sz w:val="20"/>
              </w:rPr>
              <w:t>John Wagner</w:t>
            </w:r>
          </w:p>
        </w:tc>
        <w:tc>
          <w:tcPr>
            <w:tcW w:w="188"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center"/>
              <w:rPr/>
            </w:pPr>
            <w:r>
              <w:rPr/>
              <w:t>90</w:t>
            </w:r>
          </w:p>
        </w:tc>
        <w:tc>
          <w:tcPr>
            <w:tcW w:w="188" w:type="dxa"/>
            <w:tcBorders/>
            <w:vAlign w:val="bottom"/>
          </w:tcPr>
          <w:p>
            <w:pPr>
              <w:pStyle w:val="TableContents"/>
              <w:bidi w:val="0"/>
              <w:spacing w:before="0" w:after="283"/>
              <w:jc w:val="left"/>
              <w:rPr/>
            </w:pPr>
            <w:r>
              <w:rPr/>
              <w:t>  </w:t>
            </w:r>
          </w:p>
        </w:tc>
        <w:tc>
          <w:tcPr>
            <w:tcW w:w="6497" w:type="dxa"/>
            <w:tcBorders/>
          </w:tcPr>
          <w:p>
            <w:pPr>
              <w:pStyle w:val="TableContents"/>
              <w:bidi w:val="0"/>
              <w:spacing w:before="0" w:after="283"/>
              <w:jc w:val="center"/>
              <w:rPr/>
            </w:pPr>
            <w:r>
              <w:rPr/>
              <w:t>Non-executive director</w:t>
            </w:r>
          </w:p>
        </w:tc>
      </w:tr>
      <w:tr>
        <w:trPr/>
        <w:tc>
          <w:tcPr>
            <w:tcW w:w="2905" w:type="dxa"/>
            <w:tcBorders/>
          </w:tcPr>
          <w:p>
            <w:pPr>
              <w:pStyle w:val="TableContents"/>
              <w:bidi w:val="0"/>
              <w:spacing w:before="0" w:after="0"/>
              <w:jc w:val="left"/>
              <w:rPr>
                <w:rFonts w:ascii="Times New Roman" w:hAnsi="Times New Roman"/>
                <w:sz w:val="20"/>
              </w:rPr>
            </w:pPr>
            <w:r>
              <w:rPr>
                <w:rFonts w:ascii="Times New Roman" w:hAnsi="Times New Roman"/>
                <w:sz w:val="20"/>
              </w:rPr>
              <w:t>Anthony Sharp</w:t>
            </w:r>
          </w:p>
        </w:tc>
        <w:tc>
          <w:tcPr>
            <w:tcW w:w="188"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center"/>
              <w:rPr/>
            </w:pPr>
            <w:r>
              <w:rPr/>
              <w:t>60</w:t>
            </w:r>
          </w:p>
        </w:tc>
        <w:tc>
          <w:tcPr>
            <w:tcW w:w="188" w:type="dxa"/>
            <w:tcBorders/>
            <w:vAlign w:val="bottom"/>
          </w:tcPr>
          <w:p>
            <w:pPr>
              <w:pStyle w:val="TableContents"/>
              <w:bidi w:val="0"/>
              <w:spacing w:before="0" w:after="283"/>
              <w:jc w:val="left"/>
              <w:rPr/>
            </w:pPr>
            <w:r>
              <w:rPr/>
              <w:t>  </w:t>
            </w:r>
          </w:p>
        </w:tc>
        <w:tc>
          <w:tcPr>
            <w:tcW w:w="6497" w:type="dxa"/>
            <w:tcBorders/>
          </w:tcPr>
          <w:p>
            <w:pPr>
              <w:pStyle w:val="TableContents"/>
              <w:bidi w:val="0"/>
              <w:spacing w:before="0" w:after="283"/>
              <w:jc w:val="center"/>
              <w:rPr/>
            </w:pPr>
            <w:r>
              <w:rPr/>
              <w:t>Non-executive director</w:t>
            </w:r>
          </w:p>
        </w:tc>
      </w:tr>
      <w:tr>
        <w:trPr/>
        <w:tc>
          <w:tcPr>
            <w:tcW w:w="2905" w:type="dxa"/>
            <w:tcBorders/>
          </w:tcPr>
          <w:p>
            <w:pPr>
              <w:pStyle w:val="TableContents"/>
              <w:bidi w:val="0"/>
              <w:spacing w:before="0" w:after="0"/>
              <w:jc w:val="left"/>
              <w:rPr>
                <w:rFonts w:ascii="Times New Roman" w:hAnsi="Times New Roman"/>
                <w:sz w:val="20"/>
              </w:rPr>
            </w:pPr>
            <w:r>
              <w:rPr>
                <w:rFonts w:ascii="Times New Roman" w:hAnsi="Times New Roman"/>
                <w:sz w:val="20"/>
              </w:rPr>
              <w:t>Sir David Wright</w:t>
            </w:r>
          </w:p>
        </w:tc>
        <w:tc>
          <w:tcPr>
            <w:tcW w:w="188"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center"/>
              <w:rPr/>
            </w:pPr>
            <w:r>
              <w:rPr/>
              <w:t>78</w:t>
            </w:r>
          </w:p>
        </w:tc>
        <w:tc>
          <w:tcPr>
            <w:tcW w:w="188" w:type="dxa"/>
            <w:tcBorders/>
            <w:vAlign w:val="bottom"/>
          </w:tcPr>
          <w:p>
            <w:pPr>
              <w:pStyle w:val="TableContents"/>
              <w:bidi w:val="0"/>
              <w:spacing w:before="0" w:after="283"/>
              <w:jc w:val="left"/>
              <w:rPr/>
            </w:pPr>
            <w:r>
              <w:rPr/>
              <w:t>  </w:t>
            </w:r>
          </w:p>
        </w:tc>
        <w:tc>
          <w:tcPr>
            <w:tcW w:w="6497" w:type="dxa"/>
            <w:tcBorders/>
          </w:tcPr>
          <w:p>
            <w:pPr>
              <w:pStyle w:val="TableContents"/>
              <w:bidi w:val="0"/>
              <w:spacing w:before="0" w:after="283"/>
              <w:jc w:val="center"/>
              <w:rPr/>
            </w:pPr>
            <w:r>
              <w:rPr/>
              <w:t>Non-executive director</w:t>
            </w:r>
          </w:p>
        </w:tc>
      </w:tr>
      <w:tr>
        <w:trPr/>
        <w:tc>
          <w:tcPr>
            <w:tcW w:w="2905" w:type="dxa"/>
            <w:tcBorders/>
          </w:tcPr>
          <w:p>
            <w:pPr>
              <w:pStyle w:val="TableContents"/>
              <w:bidi w:val="0"/>
              <w:spacing w:before="0" w:after="0"/>
              <w:jc w:val="left"/>
              <w:rPr>
                <w:rFonts w:ascii="Times New Roman" w:hAnsi="Times New Roman"/>
                <w:sz w:val="20"/>
              </w:rPr>
            </w:pPr>
            <w:r>
              <w:rPr>
                <w:rFonts w:ascii="Times New Roman" w:hAnsi="Times New Roman"/>
                <w:sz w:val="20"/>
              </w:rPr>
              <w:t>Stephen Perry</w:t>
            </w:r>
          </w:p>
        </w:tc>
        <w:tc>
          <w:tcPr>
            <w:tcW w:w="188"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center"/>
              <w:rPr/>
            </w:pPr>
            <w:r>
              <w:rPr/>
              <w:t>62</w:t>
            </w:r>
          </w:p>
        </w:tc>
        <w:tc>
          <w:tcPr>
            <w:tcW w:w="188" w:type="dxa"/>
            <w:tcBorders/>
            <w:vAlign w:val="bottom"/>
          </w:tcPr>
          <w:p>
            <w:pPr>
              <w:pStyle w:val="TableContents"/>
              <w:bidi w:val="0"/>
              <w:spacing w:before="0" w:after="283"/>
              <w:jc w:val="left"/>
              <w:rPr/>
            </w:pPr>
            <w:r>
              <w:rPr/>
              <w:t>  </w:t>
            </w:r>
          </w:p>
        </w:tc>
        <w:tc>
          <w:tcPr>
            <w:tcW w:w="6497" w:type="dxa"/>
            <w:tcBorders/>
          </w:tcPr>
          <w:p>
            <w:pPr>
              <w:pStyle w:val="TableContents"/>
              <w:bidi w:val="0"/>
              <w:spacing w:before="0" w:after="283"/>
              <w:jc w:val="center"/>
              <w:rPr/>
            </w:pPr>
            <w:r>
              <w:rPr/>
              <w:t>Non-executive director</w:t>
            </w:r>
          </w:p>
        </w:tc>
      </w:tr>
      <w:tr>
        <w:trPr/>
        <w:tc>
          <w:tcPr>
            <w:tcW w:w="2905" w:type="dxa"/>
            <w:tcBorders/>
          </w:tcPr>
          <w:p>
            <w:pPr>
              <w:pStyle w:val="TableContents"/>
              <w:bidi w:val="0"/>
              <w:spacing w:before="0" w:after="0"/>
              <w:jc w:val="left"/>
              <w:rPr>
                <w:rFonts w:ascii="Times New Roman" w:hAnsi="Times New Roman"/>
                <w:sz w:val="20"/>
              </w:rPr>
            </w:pPr>
            <w:r>
              <w:rPr>
                <w:rFonts w:ascii="Times New Roman" w:hAnsi="Times New Roman"/>
                <w:sz w:val="20"/>
              </w:rPr>
              <w:t>Derek Smith</w:t>
            </w:r>
          </w:p>
        </w:tc>
        <w:tc>
          <w:tcPr>
            <w:tcW w:w="188"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center"/>
              <w:rPr/>
            </w:pPr>
            <w:r>
              <w:rPr/>
              <w:t>77</w:t>
            </w:r>
          </w:p>
        </w:tc>
        <w:tc>
          <w:tcPr>
            <w:tcW w:w="188" w:type="dxa"/>
            <w:tcBorders/>
            <w:vAlign w:val="bottom"/>
          </w:tcPr>
          <w:p>
            <w:pPr>
              <w:pStyle w:val="TableContents"/>
              <w:bidi w:val="0"/>
              <w:spacing w:before="0" w:after="283"/>
              <w:jc w:val="left"/>
              <w:rPr/>
            </w:pPr>
            <w:r>
              <w:rPr/>
              <w:t>  </w:t>
            </w:r>
          </w:p>
        </w:tc>
        <w:tc>
          <w:tcPr>
            <w:tcW w:w="6497" w:type="dxa"/>
            <w:tcBorders/>
          </w:tcPr>
          <w:p>
            <w:pPr>
              <w:pStyle w:val="TableContents"/>
              <w:bidi w:val="0"/>
              <w:spacing w:before="0" w:after="283"/>
              <w:jc w:val="center"/>
              <w:rPr/>
            </w:pPr>
            <w:r>
              <w:rPr/>
              <w:t>Non-executive director</w:t>
            </w:r>
          </w:p>
        </w:tc>
      </w:tr>
      <w:tr>
        <w:trPr/>
        <w:tc>
          <w:tcPr>
            <w:tcW w:w="2905" w:type="dxa"/>
            <w:tcBorders/>
          </w:tcPr>
          <w:p>
            <w:pPr>
              <w:pStyle w:val="TableContents"/>
              <w:bidi w:val="0"/>
              <w:spacing w:before="0" w:after="0"/>
              <w:jc w:val="left"/>
              <w:rPr>
                <w:rFonts w:ascii="Times New Roman" w:hAnsi="Times New Roman"/>
                <w:sz w:val="20"/>
              </w:rPr>
            </w:pPr>
            <w:r>
              <w:rPr>
                <w:rFonts w:ascii="Times New Roman" w:hAnsi="Times New Roman"/>
                <w:sz w:val="20"/>
              </w:rPr>
              <w:t>Douglas Lurio</w:t>
            </w:r>
          </w:p>
        </w:tc>
        <w:tc>
          <w:tcPr>
            <w:tcW w:w="188"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center"/>
              <w:rPr/>
            </w:pPr>
            <w:r>
              <w:rPr/>
              <w:t>66</w:t>
            </w:r>
          </w:p>
        </w:tc>
        <w:tc>
          <w:tcPr>
            <w:tcW w:w="188" w:type="dxa"/>
            <w:tcBorders/>
            <w:vAlign w:val="bottom"/>
          </w:tcPr>
          <w:p>
            <w:pPr>
              <w:pStyle w:val="TableContents"/>
              <w:bidi w:val="0"/>
              <w:spacing w:before="0" w:after="283"/>
              <w:jc w:val="left"/>
              <w:rPr/>
            </w:pPr>
            <w:r>
              <w:rPr/>
              <w:t>  </w:t>
            </w:r>
          </w:p>
        </w:tc>
        <w:tc>
          <w:tcPr>
            <w:tcW w:w="6497" w:type="dxa"/>
            <w:tcBorders/>
          </w:tcPr>
          <w:p>
            <w:pPr>
              <w:pStyle w:val="TableContents"/>
              <w:bidi w:val="0"/>
              <w:spacing w:before="0" w:after="283"/>
              <w:jc w:val="center"/>
              <w:rPr/>
            </w:pPr>
            <w:r>
              <w:rPr/>
              <w:t>Non-executive director</w:t>
            </w:r>
          </w:p>
        </w:tc>
      </w:tr>
      <w:tr>
        <w:trPr/>
        <w:tc>
          <w:tcPr>
            <w:tcW w:w="2905" w:type="dxa"/>
            <w:tcBorders/>
          </w:tcPr>
          <w:p>
            <w:pPr>
              <w:pStyle w:val="TableContents"/>
              <w:bidi w:val="0"/>
              <w:spacing w:before="0" w:after="0"/>
              <w:jc w:val="left"/>
              <w:rPr>
                <w:rFonts w:ascii="Times New Roman" w:hAnsi="Times New Roman"/>
                <w:sz w:val="20"/>
              </w:rPr>
            </w:pPr>
            <w:r>
              <w:rPr>
                <w:rFonts w:ascii="Times New Roman" w:hAnsi="Times New Roman"/>
                <w:sz w:val="20"/>
              </w:rPr>
              <w:t>Stephen Herbert</w:t>
            </w:r>
          </w:p>
        </w:tc>
        <w:tc>
          <w:tcPr>
            <w:tcW w:w="188"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center"/>
              <w:rPr/>
            </w:pPr>
            <w:r>
              <w:rPr/>
              <w:t>60</w:t>
            </w:r>
          </w:p>
        </w:tc>
        <w:tc>
          <w:tcPr>
            <w:tcW w:w="188" w:type="dxa"/>
            <w:tcBorders/>
            <w:vAlign w:val="bottom"/>
          </w:tcPr>
          <w:p>
            <w:pPr>
              <w:pStyle w:val="TableContents"/>
              <w:bidi w:val="0"/>
              <w:spacing w:before="0" w:after="283"/>
              <w:jc w:val="left"/>
              <w:rPr/>
            </w:pPr>
            <w:r>
              <w:rPr/>
              <w:t>  </w:t>
            </w:r>
          </w:p>
        </w:tc>
        <w:tc>
          <w:tcPr>
            <w:tcW w:w="6497" w:type="dxa"/>
            <w:tcBorders/>
          </w:tcPr>
          <w:p>
            <w:pPr>
              <w:pStyle w:val="TableContents"/>
              <w:bidi w:val="0"/>
              <w:spacing w:before="0" w:after="283"/>
              <w:jc w:val="center"/>
              <w:rPr/>
            </w:pPr>
            <w:r>
              <w:rPr/>
              <w:t>Non-executive director</w:t>
            </w:r>
          </w:p>
        </w:tc>
      </w:tr>
      <w:tr>
        <w:trPr/>
        <w:tc>
          <w:tcPr>
            <w:tcW w:w="2905" w:type="dxa"/>
            <w:tcBorders/>
          </w:tcPr>
          <w:p>
            <w:pPr>
              <w:pStyle w:val="TableContents"/>
              <w:bidi w:val="0"/>
              <w:spacing w:before="0" w:after="0"/>
              <w:jc w:val="left"/>
              <w:rPr>
                <w:rFonts w:ascii="Times New Roman" w:hAnsi="Times New Roman"/>
                <w:sz w:val="20"/>
              </w:rPr>
            </w:pPr>
            <w:r>
              <w:rPr>
                <w:rFonts w:ascii="Times New Roman" w:hAnsi="Times New Roman"/>
                <w:sz w:val="20"/>
              </w:rPr>
              <w:t>Peter Vesco</w:t>
            </w:r>
          </w:p>
        </w:tc>
        <w:tc>
          <w:tcPr>
            <w:tcW w:w="188"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center"/>
              <w:rPr/>
            </w:pPr>
            <w:r>
              <w:rPr/>
              <w:t>60</w:t>
            </w:r>
          </w:p>
        </w:tc>
        <w:tc>
          <w:tcPr>
            <w:tcW w:w="188" w:type="dxa"/>
            <w:tcBorders/>
            <w:vAlign w:val="bottom"/>
          </w:tcPr>
          <w:p>
            <w:pPr>
              <w:pStyle w:val="TableContents"/>
              <w:bidi w:val="0"/>
              <w:spacing w:before="0" w:after="283"/>
              <w:jc w:val="left"/>
              <w:rPr/>
            </w:pPr>
            <w:r>
              <w:rPr/>
              <w:t>  </w:t>
            </w:r>
          </w:p>
        </w:tc>
        <w:tc>
          <w:tcPr>
            <w:tcW w:w="6497" w:type="dxa"/>
            <w:tcBorders/>
          </w:tcPr>
          <w:p>
            <w:pPr>
              <w:pStyle w:val="TableContents"/>
              <w:bidi w:val="0"/>
              <w:spacing w:before="0" w:after="283"/>
              <w:jc w:val="center"/>
              <w:rPr/>
            </w:pPr>
            <w:r>
              <w:rPr/>
              <w:t>Chief Commercial Officer and General Manager (EMEA)</w:t>
            </w:r>
          </w:p>
        </w:tc>
      </w:tr>
      <w:tr>
        <w:trPr/>
        <w:tc>
          <w:tcPr>
            <w:tcW w:w="2905" w:type="dxa"/>
            <w:tcBorders/>
          </w:tcPr>
          <w:p>
            <w:pPr>
              <w:pStyle w:val="TableContents"/>
              <w:bidi w:val="0"/>
              <w:spacing w:before="0" w:after="0"/>
              <w:jc w:val="left"/>
              <w:rPr>
                <w:rFonts w:ascii="Times New Roman" w:hAnsi="Times New Roman"/>
                <w:sz w:val="20"/>
              </w:rPr>
            </w:pPr>
            <w:r>
              <w:rPr>
                <w:rFonts w:ascii="Times New Roman" w:hAnsi="Times New Roman"/>
                <w:sz w:val="20"/>
              </w:rPr>
              <w:t>Richard Burchill</w:t>
            </w:r>
          </w:p>
        </w:tc>
        <w:tc>
          <w:tcPr>
            <w:tcW w:w="188"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center"/>
              <w:rPr/>
            </w:pPr>
            <w:r>
              <w:rPr/>
              <w:t>51</w:t>
            </w:r>
          </w:p>
        </w:tc>
        <w:tc>
          <w:tcPr>
            <w:tcW w:w="188" w:type="dxa"/>
            <w:tcBorders/>
            <w:vAlign w:val="bottom"/>
          </w:tcPr>
          <w:p>
            <w:pPr>
              <w:pStyle w:val="TableContents"/>
              <w:bidi w:val="0"/>
              <w:spacing w:before="0" w:after="283"/>
              <w:jc w:val="left"/>
              <w:rPr/>
            </w:pPr>
            <w:r>
              <w:rPr/>
              <w:t>  </w:t>
            </w:r>
          </w:p>
        </w:tc>
        <w:tc>
          <w:tcPr>
            <w:tcW w:w="6497" w:type="dxa"/>
            <w:tcBorders/>
          </w:tcPr>
          <w:p>
            <w:pPr>
              <w:pStyle w:val="TableContents"/>
              <w:bidi w:val="0"/>
              <w:spacing w:before="0" w:after="283"/>
              <w:jc w:val="center"/>
              <w:rPr/>
            </w:pPr>
            <w:r>
              <w:rPr/>
              <w:t>Chief Financial Officer</w:t>
            </w:r>
          </w:p>
        </w:tc>
      </w:tr>
      <w:tr>
        <w:trPr/>
        <w:tc>
          <w:tcPr>
            <w:tcW w:w="2905" w:type="dxa"/>
            <w:tcBorders/>
          </w:tcPr>
          <w:p>
            <w:pPr>
              <w:pStyle w:val="TableContents"/>
              <w:bidi w:val="0"/>
              <w:spacing w:before="0" w:after="0"/>
              <w:jc w:val="left"/>
              <w:rPr>
                <w:rFonts w:ascii="Times New Roman" w:hAnsi="Times New Roman"/>
                <w:sz w:val="20"/>
              </w:rPr>
            </w:pPr>
            <w:r>
              <w:rPr>
                <w:rFonts w:ascii="Times New Roman" w:hAnsi="Times New Roman"/>
                <w:sz w:val="20"/>
              </w:rPr>
              <w:t>Sauvik Banerjjee</w:t>
            </w:r>
          </w:p>
        </w:tc>
        <w:tc>
          <w:tcPr>
            <w:tcW w:w="188"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center"/>
              <w:rPr/>
            </w:pPr>
            <w:r>
              <w:rPr/>
              <w:t>47</w:t>
            </w:r>
          </w:p>
        </w:tc>
        <w:tc>
          <w:tcPr>
            <w:tcW w:w="188" w:type="dxa"/>
            <w:tcBorders/>
            <w:vAlign w:val="bottom"/>
          </w:tcPr>
          <w:p>
            <w:pPr>
              <w:pStyle w:val="TableContents"/>
              <w:bidi w:val="0"/>
              <w:spacing w:before="0" w:after="283"/>
              <w:jc w:val="left"/>
              <w:rPr/>
            </w:pPr>
            <w:r>
              <w:rPr/>
              <w:t>  </w:t>
            </w:r>
          </w:p>
        </w:tc>
        <w:tc>
          <w:tcPr>
            <w:tcW w:w="6497" w:type="dxa"/>
            <w:tcBorders/>
          </w:tcPr>
          <w:p>
            <w:pPr>
              <w:pStyle w:val="TableContents"/>
              <w:bidi w:val="0"/>
              <w:spacing w:before="0" w:after="283"/>
              <w:jc w:val="center"/>
              <w:rPr/>
            </w:pPr>
            <w:r>
              <w:rPr/>
              <w:t>CEO Products, Technology, and Digital Services</w:t>
            </w:r>
          </w:p>
        </w:tc>
      </w:tr>
      <w:tr>
        <w:trPr/>
        <w:tc>
          <w:tcPr>
            <w:tcW w:w="2905" w:type="dxa"/>
            <w:tcBorders/>
          </w:tcPr>
          <w:p>
            <w:pPr>
              <w:pStyle w:val="TableContents"/>
              <w:bidi w:val="0"/>
              <w:spacing w:before="0" w:after="0"/>
              <w:jc w:val="left"/>
              <w:rPr>
                <w:rFonts w:ascii="Times New Roman" w:hAnsi="Times New Roman"/>
                <w:sz w:val="20"/>
              </w:rPr>
            </w:pPr>
            <w:r>
              <w:rPr>
                <w:rFonts w:ascii="Times New Roman" w:hAnsi="Times New Roman"/>
                <w:sz w:val="20"/>
              </w:rPr>
              <w:t>Salman Ahmad</w:t>
            </w:r>
          </w:p>
        </w:tc>
        <w:tc>
          <w:tcPr>
            <w:tcW w:w="188" w:type="dxa"/>
            <w:tcBorders/>
            <w:vAlign w:val="bottom"/>
          </w:tcPr>
          <w:p>
            <w:pPr>
              <w:pStyle w:val="TableContents"/>
              <w:bidi w:val="0"/>
              <w:spacing w:before="0" w:after="283"/>
              <w:jc w:val="left"/>
              <w:rPr/>
            </w:pPr>
            <w:r>
              <w:rPr/>
              <w:t>  </w:t>
            </w:r>
          </w:p>
        </w:tc>
        <w:tc>
          <w:tcPr>
            <w:tcW w:w="427" w:type="dxa"/>
            <w:tcBorders/>
          </w:tcPr>
          <w:p>
            <w:pPr>
              <w:pStyle w:val="TableContents"/>
              <w:bidi w:val="0"/>
              <w:spacing w:before="0" w:after="283"/>
              <w:jc w:val="center"/>
              <w:rPr/>
            </w:pPr>
            <w:r>
              <w:rPr/>
              <w:t>49</w:t>
            </w:r>
          </w:p>
        </w:tc>
        <w:tc>
          <w:tcPr>
            <w:tcW w:w="188" w:type="dxa"/>
            <w:tcBorders/>
            <w:vAlign w:val="bottom"/>
          </w:tcPr>
          <w:p>
            <w:pPr>
              <w:pStyle w:val="TableContents"/>
              <w:bidi w:val="0"/>
              <w:spacing w:before="0" w:after="283"/>
              <w:jc w:val="left"/>
              <w:rPr/>
            </w:pPr>
            <w:r>
              <w:rPr/>
              <w:t>  </w:t>
            </w:r>
          </w:p>
        </w:tc>
        <w:tc>
          <w:tcPr>
            <w:tcW w:w="6497" w:type="dxa"/>
            <w:tcBorders/>
          </w:tcPr>
          <w:p>
            <w:pPr>
              <w:pStyle w:val="TableContents"/>
              <w:bidi w:val="0"/>
              <w:spacing w:before="0" w:after="283"/>
              <w:jc w:val="center"/>
              <w:rPr/>
            </w:pPr>
            <w:r>
              <w:rPr/>
              <w:t>Chief Technology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Biographical information concerning the directors and executive officers listed above is set forth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Director </w:t>
      </w:r>
    </w:p>
    <w:p>
      <w:pPr>
        <w:pStyle w:val="TextBody"/>
        <w:bidi w:val="0"/>
        <w:spacing w:before="120" w:after="0"/>
        <w:jc w:val="left"/>
        <w:rPr>
          <w:rFonts w:ascii="Times New Roman" w:hAnsi="Times New Roman"/>
          <w:sz w:val="20"/>
        </w:rPr>
      </w:pPr>
      <w:r>
        <w:rPr>
          <w:rFonts w:ascii="Times New Roman" w:hAnsi="Times New Roman"/>
          <w:i/>
          <w:sz w:val="20"/>
        </w:rPr>
        <w:t>Daniel Wagner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Non-Executive Directors </w:t>
      </w:r>
    </w:p>
    <w:p>
      <w:pPr>
        <w:pStyle w:val="TextBody"/>
        <w:bidi w:val="0"/>
        <w:spacing w:before="120" w:after="0"/>
        <w:jc w:val="left"/>
        <w:rPr>
          <w:rFonts w:ascii="Times New Roman" w:hAnsi="Times New Roman"/>
          <w:i/>
          <w:sz w:val="20"/>
        </w:rPr>
      </w:pPr>
      <w:r>
        <w:rPr>
          <w:rFonts w:ascii="Times New Roman" w:hAnsi="Times New Roman"/>
          <w:i/>
          <w:sz w:val="20"/>
        </w:rPr>
        <w:t xml:space="preserve">Stephen Perry. </w:t>
      </w:r>
    </w:p>
    <w:p>
      <w:pPr>
        <w:pStyle w:val="TextBody"/>
        <w:bidi w:val="0"/>
        <w:spacing w:before="120" w:after="0"/>
        <w:jc w:val="left"/>
        <w:rPr>
          <w:rFonts w:ascii="Times New Roman" w:hAnsi="Times New Roman"/>
          <w:sz w:val="20"/>
        </w:rPr>
      </w:pPr>
      <w:r>
        <w:rPr>
          <w:rFonts w:ascii="Times New Roman" w:hAnsi="Times New Roman"/>
          <w:sz w:val="20"/>
        </w:rPr>
        <w:t xml:space="preserve">Dr. Perry served on the board of directors of Rezolve as a non-executive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 </w:t>
      </w:r>
    </w:p>
    <w:p>
      <w:pPr>
        <w:pStyle w:val="TextBody"/>
        <w:bidi w:val="0"/>
        <w:spacing w:before="360" w:after="0"/>
        <w:jc w:val="left"/>
        <w:rPr>
          <w:rFonts w:ascii="Times New Roman" w:hAnsi="Times New Roman"/>
          <w:i/>
          <w:sz w:val="20"/>
        </w:rPr>
      </w:pPr>
      <w:r>
        <w:rPr>
          <w:rFonts w:ascii="Times New Roman" w:hAnsi="Times New Roman"/>
          <w:i/>
          <w:sz w:val="20"/>
        </w:rPr>
        <w:t xml:space="preserve">Dr. Derek Smith. </w:t>
      </w:r>
    </w:p>
    <w:p>
      <w:pPr>
        <w:pStyle w:val="TextBody"/>
        <w:bidi w:val="0"/>
        <w:spacing w:before="120" w:after="0"/>
        <w:jc w:val="left"/>
        <w:rPr>
          <w:rFonts w:ascii="Times New Roman" w:hAnsi="Times New Roman"/>
          <w:sz w:val="20"/>
        </w:rPr>
      </w:pPr>
      <w:r>
        <w:rPr>
          <w:rFonts w:ascii="Times New Roman" w:hAnsi="Times New Roman"/>
          <w:sz w:val="20"/>
        </w:rPr>
        <w:t xml:space="preserve">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 </w:t>
      </w:r>
    </w:p>
    <w:p>
      <w:pPr>
        <w:pStyle w:val="TextBody"/>
        <w:bidi w:val="0"/>
        <w:spacing w:before="360" w:after="0"/>
        <w:jc w:val="left"/>
        <w:rPr>
          <w:rFonts w:ascii="Times New Roman" w:hAnsi="Times New Roman"/>
          <w:i/>
          <w:sz w:val="20"/>
        </w:rPr>
      </w:pPr>
      <w:r>
        <w:rPr>
          <w:rFonts w:ascii="Times New Roman" w:hAnsi="Times New Roman"/>
          <w:i/>
          <w:sz w:val="20"/>
        </w:rPr>
        <w:t xml:space="preserve">John Wagner. </w:t>
      </w:r>
    </w:p>
    <w:p>
      <w:pPr>
        <w:pStyle w:val="TextBody"/>
        <w:bidi w:val="0"/>
        <w:spacing w:before="120" w:after="0"/>
        <w:jc w:val="left"/>
        <w:rPr>
          <w:rFonts w:ascii="Times New Roman" w:hAnsi="Times New Roman"/>
          <w:sz w:val="20"/>
        </w:rPr>
      </w:pPr>
      <w:r>
        <w:rPr>
          <w:rFonts w:ascii="Times New Roman" w:hAnsi="Times New Roman"/>
          <w:sz w:val="20"/>
        </w:rPr>
        <w:t xml:space="preserve">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 </w:t>
      </w:r>
    </w:p>
    <w:p>
      <w:pPr>
        <w:pStyle w:val="TextBody"/>
        <w:bidi w:val="0"/>
        <w:spacing w:before="360" w:after="0"/>
        <w:jc w:val="left"/>
        <w:rPr>
          <w:rFonts w:ascii="Times New Roman" w:hAnsi="Times New Roman"/>
          <w:i/>
          <w:sz w:val="20"/>
        </w:rPr>
      </w:pPr>
      <w:r>
        <w:rPr>
          <w:rFonts w:ascii="Times New Roman" w:hAnsi="Times New Roman"/>
          <w:i/>
          <w:sz w:val="20"/>
        </w:rPr>
        <w:t xml:space="preserve">Anthony Sharp. </w:t>
      </w:r>
    </w:p>
    <w:p>
      <w:pPr>
        <w:pStyle w:val="TextBody"/>
        <w:bidi w:val="0"/>
        <w:spacing w:before="120" w:after="0"/>
        <w:jc w:val="left"/>
        <w:rPr>
          <w:rFonts w:ascii="Times New Roman" w:hAnsi="Times New Roman"/>
          <w:sz w:val="20"/>
        </w:rPr>
      </w:pPr>
      <w:r>
        <w:rPr>
          <w:rFonts w:ascii="Times New Roman" w:hAnsi="Times New Roman"/>
          <w:sz w:val="20"/>
        </w:rPr>
        <w:t xml:space="preserve">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 </w:t>
      </w:r>
    </w:p>
    <w:p>
      <w:pPr>
        <w:pStyle w:val="TextBody"/>
        <w:bidi w:val="0"/>
        <w:spacing w:before="360" w:after="0"/>
        <w:jc w:val="left"/>
        <w:rPr>
          <w:rFonts w:ascii="Times New Roman" w:hAnsi="Times New Roman"/>
          <w:sz w:val="20"/>
        </w:rPr>
      </w:pPr>
      <w:r>
        <w:rPr>
          <w:rFonts w:ascii="Times New Roman" w:hAnsi="Times New Roman"/>
          <w:i/>
          <w:sz w:val="20"/>
        </w:rPr>
        <w:t>Sir David Wright.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 </w:t>
      </w:r>
    </w:p>
    <w:p>
      <w:pPr>
        <w:pStyle w:val="TextBody"/>
        <w:bidi w:val="0"/>
        <w:spacing w:before="360" w:after="0"/>
        <w:jc w:val="left"/>
        <w:rPr>
          <w:rFonts w:ascii="Times New Roman" w:hAnsi="Times New Roman"/>
          <w:i/>
          <w:sz w:val="20"/>
        </w:rPr>
      </w:pPr>
      <w:r>
        <w:rPr>
          <w:rFonts w:ascii="Times New Roman" w:hAnsi="Times New Roman"/>
          <w:i/>
          <w:sz w:val="20"/>
        </w:rPr>
        <w:t xml:space="preserve">Douglas Lurio. </w:t>
      </w:r>
    </w:p>
    <w:p>
      <w:pPr>
        <w:pStyle w:val="TextBody"/>
        <w:bidi w:val="0"/>
        <w:spacing w:before="120" w:after="0"/>
        <w:jc w:val="left"/>
        <w:rPr>
          <w:rFonts w:ascii="Times New Roman" w:hAnsi="Times New Roman"/>
          <w:sz w:val="20"/>
        </w:rPr>
      </w:pPr>
      <w:r>
        <w:rPr>
          <w:rFonts w:ascii="Times New Roman" w:hAnsi="Times New Roman"/>
          <w:sz w:val="20"/>
        </w:rPr>
        <w:t xml:space="preserve">Mr. Lurio is expected to serve as a director on the board of directors of Rezolve. Mr. Lurio has served as President and a Director of Armada since its inception in November 2020. He was the outside general counsel of USA Technologies, Inc. (which changed its name to Cantaloupe, Inc. on April 15, 2021, Nasdaq: CTLP), a publicly traded FinTech company (USAT) for 29 years from its founding in 1991 until April 2020. He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served as a Director of USAT from 1999 to 2012 and as corporate Secretary from 2012 to April 2020. Since 1991, Mr. Lurio has been the founder and President of Lurio &amp; Associates, P.C., a law firm based in Philadelphia, Pennsylvania, which focuses on corporate and securities law. From 1984 to 1991, he was an attorney with the law firm of Dilworth Paxson, first as an associate and then as a partner in the securities and corporate group in 1990. He attended Franklin &amp; Marshall College (B.A., Government), Villanova Law School (Juris Doctor) and Temple Law School (LLM, Taxation). Rezolve believes Mr. Lurio is qualified to serve on the board because of his significant experience in public company mergers, acquisitions and capital raising, his longstanding service as outside general counsel to USAT, his significant knowledge of and experience with the financial technology and payments business, and his public company board experience with Armada. </w:t>
      </w:r>
    </w:p>
    <w:p>
      <w:pPr>
        <w:pStyle w:val="TextBody"/>
        <w:bidi w:val="0"/>
        <w:spacing w:before="360" w:after="0"/>
        <w:jc w:val="left"/>
        <w:rPr>
          <w:rFonts w:ascii="Times New Roman" w:hAnsi="Times New Roman"/>
          <w:i/>
          <w:sz w:val="20"/>
        </w:rPr>
      </w:pPr>
      <w:r>
        <w:rPr>
          <w:rFonts w:ascii="Times New Roman" w:hAnsi="Times New Roman"/>
          <w:i/>
          <w:sz w:val="20"/>
        </w:rPr>
        <w:t xml:space="preserve">Stephen Herbert. </w:t>
      </w:r>
    </w:p>
    <w:p>
      <w:pPr>
        <w:pStyle w:val="TextBody"/>
        <w:bidi w:val="0"/>
        <w:spacing w:before="120" w:after="0"/>
        <w:jc w:val="left"/>
        <w:rPr>
          <w:rFonts w:ascii="Times New Roman" w:hAnsi="Times New Roman"/>
          <w:sz w:val="20"/>
        </w:rPr>
      </w:pPr>
      <w:r>
        <w:rPr>
          <w:rFonts w:ascii="Times New Roman" w:hAnsi="Times New Roman"/>
          <w:sz w:val="20"/>
        </w:rPr>
        <w:t xml:space="preserve">Mr. Herbert is expected to serve as a director on the board of directors of Rezolve.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i/>
          <w:sz w:val="20"/>
        </w:rPr>
      </w:pPr>
      <w:r>
        <w:rPr>
          <w:rFonts w:ascii="Times New Roman" w:hAnsi="Times New Roman"/>
          <w:i/>
          <w:sz w:val="20"/>
        </w:rPr>
        <w:t xml:space="preserve">Peter Vesco. </w:t>
      </w:r>
    </w:p>
    <w:p>
      <w:pPr>
        <w:pStyle w:val="TextBody"/>
        <w:bidi w:val="0"/>
        <w:spacing w:before="120" w:after="0"/>
        <w:jc w:val="left"/>
        <w:rPr>
          <w:rFonts w:ascii="Times New Roman" w:hAnsi="Times New Roman"/>
          <w:sz w:val="20"/>
        </w:rPr>
      </w:pPr>
      <w:r>
        <w:rPr>
          <w:rFonts w:ascii="Times New Roman" w:hAnsi="Times New Roman"/>
          <w:sz w:val="20"/>
        </w:rPr>
        <w:t xml:space="preserve">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 </w:t>
      </w:r>
    </w:p>
    <w:p>
      <w:pPr>
        <w:pStyle w:val="TextBody"/>
        <w:bidi w:val="0"/>
        <w:spacing w:before="360" w:after="0"/>
        <w:jc w:val="left"/>
        <w:rPr>
          <w:rFonts w:ascii="Times New Roman" w:hAnsi="Times New Roman"/>
          <w:i/>
          <w:sz w:val="20"/>
        </w:rPr>
      </w:pPr>
      <w:r>
        <w:rPr>
          <w:rFonts w:ascii="Times New Roman" w:hAnsi="Times New Roman"/>
          <w:i/>
          <w:sz w:val="20"/>
        </w:rPr>
        <w:t xml:space="preserve">Richard Burchill. </w:t>
      </w:r>
    </w:p>
    <w:p>
      <w:pPr>
        <w:pStyle w:val="TextBody"/>
        <w:bidi w:val="0"/>
        <w:spacing w:before="120" w:after="0"/>
        <w:jc w:val="left"/>
        <w:rPr>
          <w:rFonts w:ascii="Times New Roman" w:hAnsi="Times New Roman"/>
          <w:sz w:val="20"/>
        </w:rPr>
      </w:pPr>
      <w:r>
        <w:rPr>
          <w:rFonts w:ascii="Times New Roman" w:hAnsi="Times New Roman"/>
          <w:sz w:val="20"/>
        </w:rPr>
        <w:t xml:space="preserve">Mr. Burchill has served as the Chief Financial Officer of Rezolve since September 2021. Prior to serving as Chief Financial Officer of Rezolve, Mr. Burchill served as Group Finance Director with Rezolve. Prior to joining Rezolve, he was the Group Treasurer at Arcadia Group Ltd from 1999 to 2021. From 2014 to 2021, he served as a director of the main operating board of Arcadia Group Ltd. He also served as director of card services at Arcadia Group Ltd from 2006 to 2021. He holds a degree in Accounting and Finance from Middlesex University and is a member of the Chartered Institute of Management Accountants. </w:t>
      </w:r>
    </w:p>
    <w:p>
      <w:pPr>
        <w:pStyle w:val="TextBody"/>
        <w:bidi w:val="0"/>
        <w:spacing w:before="360" w:after="0"/>
        <w:jc w:val="left"/>
        <w:rPr>
          <w:rFonts w:ascii="Times New Roman" w:hAnsi="Times New Roman"/>
          <w:i/>
          <w:sz w:val="20"/>
        </w:rPr>
      </w:pPr>
      <w:r>
        <w:rPr>
          <w:rFonts w:ascii="Times New Roman" w:hAnsi="Times New Roman"/>
          <w:i/>
          <w:sz w:val="20"/>
        </w:rPr>
        <w:t xml:space="preserve">Sauvik Banerjjee. </w:t>
      </w:r>
    </w:p>
    <w:p>
      <w:pPr>
        <w:pStyle w:val="TextBody"/>
        <w:bidi w:val="0"/>
        <w:spacing w:before="120" w:after="0"/>
        <w:jc w:val="left"/>
        <w:rPr>
          <w:rFonts w:ascii="Times New Roman" w:hAnsi="Times New Roman"/>
          <w:sz w:val="20"/>
        </w:rPr>
      </w:pPr>
      <w:r>
        <w:rPr>
          <w:rFonts w:ascii="Times New Roman" w:hAnsi="Times New Roman"/>
          <w:sz w:val="20"/>
        </w:rPr>
        <w:t xml:space="preserve">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Dr. Salman Ahmad. </w:t>
      </w:r>
    </w:p>
    <w:p>
      <w:pPr>
        <w:pStyle w:val="TextBody"/>
        <w:bidi w:val="0"/>
        <w:spacing w:before="120" w:after="0"/>
        <w:jc w:val="left"/>
        <w:rPr>
          <w:rFonts w:ascii="Times New Roman" w:hAnsi="Times New Roman"/>
          <w:sz w:val="20"/>
        </w:rPr>
      </w:pPr>
      <w:r>
        <w:rPr>
          <w:rFonts w:ascii="Times New Roman" w:hAnsi="Times New Roman"/>
          <w:sz w:val="20"/>
        </w:rPr>
        <w:t xml:space="preserve">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 Class Honours degree in computer science and a doctorate in 3D graphics and AI from Loughborough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Except for Daniel Wagner, CEO and director, being the son of John Wagner, a non-executive director on the board of directors, there are no family relationships between any of the executive officers and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Private Issuer Exemption </w:t>
      </w:r>
    </w:p>
    <w:p>
      <w:pPr>
        <w:pStyle w:val="TextBody"/>
        <w:bidi w:val="0"/>
        <w:spacing w:before="120" w:after="0"/>
        <w:jc w:val="left"/>
        <w:rPr>
          <w:rFonts w:ascii="Times New Roman" w:hAnsi="Times New Roman"/>
          <w:sz w:val="20"/>
        </w:rPr>
      </w:pPr>
      <w:r>
        <w:rPr>
          <w:rFonts w:ascii="Times New Roman" w:hAnsi="Times New Roman"/>
          <w:sz w:val="20"/>
        </w:rPr>
        <w:t xml:space="preserve">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filing quarterly reports on Form 10-Q containing unaudited financial and other specified information or current reports on Form 8-K upon the occurrence of specified significant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Section 16 under the Exchange Act, which requires insiders to file public reports of their securities ownership and trading activities and provides for liability for insiders who profit from trades in a short period of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Nasdaq rules applicable to domestic issuers requiring disclosure within four business days of any determination to grant a waiver of the code of business conduct and ethics to directors and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to obtain shareholder approval for certain issuances of securities, including shareholder approval of share option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that our board have a compensation committee that is composed entirely of independent directors with a written charter addressing the committees purpose and responsibilities;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Controlled Company Exemption </w:t>
      </w:r>
    </w:p>
    <w:p>
      <w:pPr>
        <w:pStyle w:val="TextBody"/>
        <w:bidi w:val="0"/>
        <w:spacing w:before="120" w:after="0"/>
        <w:jc w:val="left"/>
        <w:rPr>
          <w:rFonts w:ascii="Times New Roman" w:hAnsi="Times New Roman"/>
          <w:sz w:val="20"/>
        </w:rPr>
      </w:pPr>
      <w:r>
        <w:rPr>
          <w:rFonts w:ascii="Times New Roman" w:hAnsi="Times New Roman"/>
          <w:sz w:val="20"/>
        </w:rPr>
        <w:t xml:space="preserve">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a majority of the board of directors consist of independent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we have a compensation committee that is composed entirely of independent directors with a written charter addressing the committees purpose and responsibilities;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we have a nominating and corporate governance committee that is composed entirely of independent directors with a written charter addressing the committees purpose and responsibilities;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for an annual performance evaluation of the nominating and corporate governance and compensation committees.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that we cease to be a controlled company and our shares continue to be listed on the Nasdaq, we will be required to comply with these provisions within the applicable transition periods.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w:t>
      </w:r>
    </w:p>
    <w:p>
      <w:pPr>
        <w:pStyle w:val="TextBody"/>
        <w:bidi w:val="0"/>
        <w:spacing w:before="120" w:after="0"/>
        <w:jc w:val="left"/>
        <w:rPr>
          <w:rFonts w:ascii="Times New Roman" w:hAnsi="Times New Roman"/>
          <w:sz w:val="20"/>
        </w:rPr>
      </w:pPr>
      <w:r>
        <w:rPr>
          <w:rFonts w:ascii="Times New Roman" w:hAnsi="Times New Roman"/>
          <w:sz w:val="20"/>
        </w:rPr>
        <w:t xml:space="preserve">We intend to structure our corporate governance in a manner that we and Armada believe will closely align our interests with those of our shareholders following the Business Combination. Notable features of this corporate governance include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of our directors will qualify as an audit committee financial expert as defined by the SEC;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plan to implement a range of other corporate governance practices.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Independence of Directors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upon consummation of the Business Combination,                  members of our board will be independent directors and our board will have audit, remuneration and nominating and corporate governance committees. We expect we will adopt standard practices of the United Kingdom with respect to the independence of directors serving on the remuneration and nominating and corporate governance committees. </w:t>
      </w:r>
    </w:p>
    <w:p>
      <w:pPr>
        <w:pStyle w:val="TextBody"/>
        <w:bidi w:val="0"/>
        <w:spacing w:before="360" w:after="0"/>
        <w:jc w:val="left"/>
        <w:rPr>
          <w:rFonts w:ascii="Times New Roman" w:hAnsi="Times New Roman"/>
          <w:b/>
          <w:sz w:val="20"/>
        </w:rPr>
      </w:pPr>
      <w:r>
        <w:rPr>
          <w:rFonts w:ascii="Times New Roman" w:hAnsi="Times New Roman"/>
          <w:b/>
          <w:sz w:val="20"/>
        </w:rPr>
        <w:t xml:space="preserve">Rezolve Board of Directors Composition </w:t>
      </w:r>
    </w:p>
    <w:p>
      <w:pPr>
        <w:pStyle w:val="TextBody"/>
        <w:bidi w:val="0"/>
        <w:spacing w:before="120" w:after="0"/>
        <w:jc w:val="left"/>
        <w:rPr>
          <w:rFonts w:ascii="Times New Roman" w:hAnsi="Times New Roman"/>
          <w:sz w:val="20"/>
        </w:rPr>
      </w:pPr>
      <w:r>
        <w:rPr>
          <w:rFonts w:ascii="Times New Roman" w:hAnsi="Times New Roman"/>
          <w:sz w:val="20"/>
        </w:rPr>
        <w:t xml:space="preserve">We expect our board of directors following the Business Combination to be comprised of eight directors (provided that Daniel Wagner shall have the right to appoint an additional director to the Board from time to time),                  of whom will qualify as independent directors as defined in the Nasdaq listing requirements. Daniel Wagner will serve as the Chairman of the board of directors and Anthony Sharp will serve as deputy Chairman. </w:t>
      </w:r>
    </w:p>
    <w:p>
      <w:pPr>
        <w:pStyle w:val="TextBody"/>
        <w:bidi w:val="0"/>
        <w:spacing w:before="240" w:after="0"/>
        <w:jc w:val="left"/>
        <w:rPr>
          <w:rFonts w:ascii="Times New Roman" w:hAnsi="Times New Roman"/>
          <w:sz w:val="20"/>
        </w:rPr>
      </w:pPr>
      <w:r>
        <w:rPr>
          <w:rFonts w:ascii="Times New Roman" w:hAnsi="Times New Roman"/>
          <w:sz w:val="20"/>
        </w:rPr>
        <w:t xml:space="preserve">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board will be divided into three classes serving staggered three year terms.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Messrs. Douglas Lurio and Stephen Herbert will be Class I directors and will serve until our annual meeting in             . Messrs.            ,             and             are Class II directors and will serve until our annual meeting in             . Messrs.            ,              and             are Class III directors and will serve until our annual meeting in             .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Business Combination, the board of directors has determined that                 and                 would satisfy the general independence requirements under SEC and Nasdaq rules. Audit committee members must also satisfy the independence criteria set forth in Rule 10A-3 under the Exchange Act and the listing requirements of the Nasdaq. </w:t>
      </w:r>
    </w:p>
    <w:p>
      <w:pPr>
        <w:pStyle w:val="TextBody"/>
        <w:bidi w:val="0"/>
        <w:spacing w:before="360" w:after="0"/>
        <w:jc w:val="left"/>
        <w:rPr>
          <w:rFonts w:ascii="Times New Roman" w:hAnsi="Times New Roman"/>
          <w:b/>
          <w:sz w:val="20"/>
        </w:rPr>
      </w:pPr>
      <w:r>
        <w:rPr>
          <w:rFonts w:ascii="Times New Roman" w:hAnsi="Times New Roman"/>
          <w:b/>
          <w:sz w:val="20"/>
        </w:rPr>
        <w:t xml:space="preserve">Role of Rezolve Board of Directors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Business Combination, one of the key functions of our board of directors will be informed oversight of our risk management process. Our board of directors does not anticipate having a standing risk management committee but expects that our board of directors will oversee risk management, and we also expect that the various standing committees of the board of directors will address risks inherent in their respective areas of oversight. In particular, the board of directors will be responsible for monitoring and assessing strategic risk exposure, and our audit committee will have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will also monitor compliance with legal and regulatory requirements. Our remuneration committee will also assess and monitor whether our compensation plans, policies and programs comply with applicable legal and regulatory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Rezolve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Upon consummation of the Business Combination, our board of directors will establish a separately standing audit committee, remuneration committee and nominating and corporate governance committee. In addition, from time to time, special committees may be established under the direction of our board of directors when necessary to address specific issues.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will be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meeting with our independent registered accounting firm regarding, among other issues, audits, and adequacy of our accounting and control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independence of the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verifying the rotation of the lead (or coordinating) audit partner having primary responsibility for the audit and the audit partner responsible for reviewing the audit as required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inquiring and discussing with management our compliance with applicable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pre-approving all audit services and permitted non-audit services to be performed by our independent registered public accounting firm, including the fees and terms of the services to be performed;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appointing or replacing the independent registered public accounting firm;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receipt, retention and treatment of complaints received by us regarding accounting, internal accounting controls or reports which raise material issues regarding our financial statements or accounting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policies on risk assessment and risk management;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related person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Rezolves audit committee will initially consist of                  and                  with                 serving as the chair of the committee. Each of the directors who will serve on the audit committee will qualify as independent directors according to the applicable rules and regulations of the SEC and Nasdaq with respect to audit committee membership. In addition, all of the audit committee members will meet the requirements for financial literacy under applicable SEC and Nasdaq rules and at least one of the audit committee members will qualify as an audit committee financial expert, as such term is defined in Item 407(d) of Regulation S-K. Our board of directors will adopt written terms of reference for the audit committee, which will be available on our website after adoption.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Remuneration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remuneration committee will be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compensation of all of our other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executive compensation policies and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implementing and administering our incentive compensation equity-based remuneration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assisting management in complying with any disclosure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all special perquisites, special cash payments and other special compensation and benefit arrangements for our officers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evaluating and recommending changes, if appropriate, to the remuneration for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retaining and overseeing any compensation consultants.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remuneration committee will initially consist of                  and                  with                  serving as the chair of the committee. Our board of directors will adopt a written terms of reference for the remuneration committee, which will be available on our website after adoption.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will be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individuals qualified to become members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our board of directors the persons to be nominated for election as directors and to each of the committees of our board of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our board of directors with respect to our board leadership 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our board of directors with respect to management succession planning;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our board of directors corporate governance principles.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nominating and corporate governance committee will initially consist of                  and                  with                 serving as the chair of the committee. Our board of directors will adopt a written terms of reference for the nominating and corporate governance committee, which will be available on our website after adoption. </w:t>
      </w:r>
    </w:p>
    <w:p>
      <w:pPr>
        <w:pStyle w:val="TextBody"/>
        <w:bidi w:val="0"/>
        <w:spacing w:before="360" w:after="0"/>
        <w:jc w:val="left"/>
        <w:rPr>
          <w:rFonts w:ascii="Times New Roman" w:hAnsi="Times New Roman"/>
          <w:b/>
          <w:sz w:val="20"/>
        </w:rPr>
      </w:pPr>
      <w:r>
        <w:rPr>
          <w:rFonts w:ascii="Times New Roman" w:hAnsi="Times New Roman"/>
          <w:b/>
          <w:sz w:val="20"/>
        </w:rPr>
        <w:t xml:space="preserve">Code of Ethics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will adopt a Code of Ethics applicable to our directors, executive officers and team members that complies with the rules and regulations of the SEC and Nasdaq. The Code of Ethics will be available on our website.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The amended and restated memorandum and articles of association of Rezolve that will be adopted upon completion of the Proposed Transactions provide for indemnification of Rezolves officers and directors to the maximum extent permitted by law, including for any liability incurred in their capacities as such, except through their own actual fraud, willful default or willful neglect. In addition, Rezolve intends to enter into indemnification agreements with each of its executive officers and directors. The indemnification agreements will provide the indemnitees with contractual rights to indemnification, and expense advancement and reimbursement, to the fullest extent permitted under English law, subject to certain exceptions contained in those agreements. Rezolve will also purchase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These indemnification obligations may discourage shareholders from bringing a lawsuit against Rezolves officers or directors for breach of their fiduciary duty. These provisions also may have the effect of reducing the likelihood of derivative litigation against Rezolves officers and directors, even though such an action, if successful, might otherwise benefit Rezolve and its shareholders. Furthermore, a shareholders investment may be adversely affected to the extent Rezolve pays the costs of settlement and damage awards against its officers and directors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Rezolve believes that these provisions, the insurance and the indemnity agreements are necessary to attract and retain talented and experienced officers and directors. </w:t>
      </w:r>
    </w:p>
    <w:p>
      <w:pPr>
        <w:pStyle w:val="TextBody"/>
        <w:bidi w:val="0"/>
        <w:spacing w:before="240" w:after="0"/>
        <w:jc w:val="left"/>
        <w:rPr>
          <w:rFonts w:ascii="Times New Roman" w:hAnsi="Times New Roman"/>
          <w:sz w:val="20"/>
        </w:rPr>
      </w:pPr>
      <w:r>
        <w:rPr>
          <w:rFonts w:ascii="Times New Roman" w:hAnsi="Times New Roman"/>
          <w:sz w:val="20"/>
        </w:rPr>
        <w:t>For further details on the indemnity provisions referred to in the articles of association of Rezolve, see the section entitled </w:t>
      </w:r>
      <w:r>
        <w:rPr>
          <w:rFonts w:ascii="Times New Roman" w:hAnsi="Times New Roman"/>
          <w:i/>
          <w:sz w:val="20"/>
        </w:rPr>
        <w:t>Description of Rezolve Ordinary Shares and Articles of Association</w:t>
      </w:r>
      <w:r>
        <w:rPr>
          <w:rFonts w:ascii="Times New Roman" w:hAnsi="Times New Roman"/>
          <w:sz w:val="20"/>
        </w:rPr>
        <w:t xml:space="preserve"> of this proxy statement/prospectus, and for a summary of the indemnification agreement, see the section entitled Indemnification Agreements with Officers and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Executive Officer and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aggregate cash compensation paid by Rezolve and its subsidiaries to its executive officers and directors who are expected to serve as executive officers and directors of Rezolve following the completion of the Business Combination for the year ended December 31, 2022 was $2,213,626.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 and Director Compensation Following Completion of the Proposed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Rezolves policies with respect to the compensation of its executive officers following completion of the Business Combination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Service Agreement with Daniel Wagner </w:t>
      </w:r>
    </w:p>
    <w:p>
      <w:pPr>
        <w:pStyle w:val="TextBody"/>
        <w:bidi w:val="0"/>
        <w:spacing w:before="120" w:after="0"/>
        <w:jc w:val="left"/>
        <w:rPr>
          <w:rFonts w:ascii="Times New Roman" w:hAnsi="Times New Roman"/>
          <w:sz w:val="20"/>
        </w:rPr>
      </w:pPr>
      <w:r>
        <w:rPr>
          <w:rFonts w:ascii="Times New Roman" w:hAnsi="Times New Roman"/>
          <w:sz w:val="20"/>
        </w:rPr>
        <w:t xml:space="preserve">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Service Agreement with Richard Burchill </w:t>
      </w:r>
    </w:p>
    <w:p>
      <w:pPr>
        <w:pStyle w:val="TextBody"/>
        <w:bidi w:val="0"/>
        <w:spacing w:before="120" w:after="0"/>
        <w:jc w:val="left"/>
        <w:rPr>
          <w:rFonts w:ascii="Times New Roman" w:hAnsi="Times New Roman"/>
          <w:sz w:val="20"/>
        </w:rPr>
      </w:pPr>
      <w:r>
        <w:rPr>
          <w:rFonts w:ascii="Times New Roman" w:hAnsi="Times New Roman"/>
          <w:sz w:val="20"/>
        </w:rPr>
        <w:t xml:space="preserve">Richard Burchill entered into a service agreement on September 6, 2021 with a commencement date of September 13, 2021. He is entitled to an initial salary of £220,000 per annum. In addition, Richard has been granted 2,000,000 options over Ordinary Shares exercisable at nominal value per share (the number of shares to be adjusted as a result of the Company Reorganization) which are exercisable on listing of the Company or three years from the date of execution of the agreement, whichever is the earlier. </w:t>
      </w:r>
    </w:p>
    <w:p>
      <w:pPr>
        <w:pStyle w:val="TextBody"/>
        <w:bidi w:val="0"/>
        <w:spacing w:before="240" w:after="0"/>
        <w:jc w:val="left"/>
        <w:rPr>
          <w:rFonts w:ascii="Times New Roman" w:hAnsi="Times New Roman"/>
          <w:sz w:val="20"/>
        </w:rPr>
      </w:pPr>
      <w:r>
        <w:rPr>
          <w:rFonts w:ascii="Times New Roman" w:hAnsi="Times New Roman"/>
          <w:sz w:val="20"/>
        </w:rPr>
        <w:t xml:space="preserve">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Non-executive Director Letters of Appointment (John Wagner, Anthony Sharp, Sir David Wright, Derek Smith, Stephen Perry, Douglas Lurio and Stephen Herbert) </w:t>
      </w:r>
    </w:p>
    <w:p>
      <w:pPr>
        <w:pStyle w:val="TextBody"/>
        <w:bidi w:val="0"/>
        <w:spacing w:before="120" w:after="0"/>
        <w:jc w:val="left"/>
        <w:rPr>
          <w:rFonts w:ascii="Times New Roman" w:hAnsi="Times New Roman"/>
          <w:b/>
          <w:i/>
          <w:sz w:val="20"/>
        </w:rPr>
      </w:pPr>
      <w:r>
        <w:rPr>
          <w:rFonts w:ascii="Times New Roman" w:hAnsi="Times New Roman"/>
          <w:b/>
          <w:i/>
          <w:sz w:val="20"/>
        </w:rPr>
        <w:t xml:space="preserve">Terms of non-executive director appointment letters (John Wagner, Anthony Sharp, Sir David Wright, Derek Smith, and Stephen Perry) </w:t>
      </w:r>
    </w:p>
    <w:p>
      <w:pPr>
        <w:pStyle w:val="TextBody"/>
        <w:bidi w:val="0"/>
        <w:spacing w:before="120" w:after="0"/>
        <w:jc w:val="left"/>
        <w:rPr>
          <w:rFonts w:ascii="Times New Roman" w:hAnsi="Times New Roman"/>
          <w:sz w:val="20"/>
        </w:rPr>
      </w:pPr>
      <w:r>
        <w:rPr>
          <w:rFonts w:ascii="Times New Roman" w:hAnsi="Times New Roman"/>
          <w:sz w:val="20"/>
        </w:rPr>
        <w:t xml:space="preserve">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Terms of non-executive director appointment letters (Douglas Lurio and Stephen Herbert) </w:t>
      </w:r>
    </w:p>
    <w:p>
      <w:pPr>
        <w:pStyle w:val="TextBody"/>
        <w:bidi w:val="0"/>
        <w:spacing w:before="120" w:after="0"/>
        <w:jc w:val="left"/>
        <w:rPr>
          <w:rFonts w:ascii="Times New Roman" w:hAnsi="Times New Roman"/>
          <w:sz w:val="20"/>
        </w:rPr>
      </w:pPr>
      <w:r>
        <w:rPr>
          <w:rFonts w:ascii="Times New Roman" w:hAnsi="Times New Roman"/>
          <w:sz w:val="20"/>
        </w:rPr>
        <w:t xml:space="preserve">Rezolve will enter into letters of appointment with the above named non-executive directors on the same terms as set out above with the exception of the term of appointment, which will be for a period of one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Compensation - Long Term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Business Combination, Rezolves board of directors, subject to shareholder approval, will adopt the Rezolve Incentive Equity Plan in order to facilitate the grant of cash and equity incentives to its directors, employees (including executive officers) and consultants and its affiliates and to enable it and certain of its affiliates to obtain and retain services of these individuals, which is essential to Rezolves long-term success.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Rezolve Incentive Equity Plan is to enhance Rezolves ability to attract, retain and motivate persons who make (or are expected to make) important contributions by providing these individuals with equity ownership opportunities and/or equity-linked compensatory opportunities. Equity awards and equity-linked compensatory opportunities are intended to motivate high levels of performance and align the interests of directors, employees and consultants with those of shareholders by giving directors, employees and consultants the perspective of an owner with an equity or equity-linked stake in the company and providing a means of recognizing their contributions to our success. Rezolves board of directors believes that equity awards are necessary to remain competitive in its industry and are essential to recruiting and retaining the highly qualified employees who help us meet our goals. </w:t>
      </w:r>
    </w:p>
    <w:p>
      <w:pPr>
        <w:pStyle w:val="TextBody"/>
        <w:bidi w:val="0"/>
        <w:spacing w:before="240" w:after="0"/>
        <w:jc w:val="left"/>
        <w:rPr>
          <w:rFonts w:ascii="Times New Roman" w:hAnsi="Times New Roman"/>
          <w:sz w:val="20"/>
        </w:rPr>
      </w:pPr>
      <w:r>
        <w:rPr>
          <w:rFonts w:ascii="Times New Roman" w:hAnsi="Times New Roman"/>
          <w:sz w:val="20"/>
        </w:rPr>
        <w:t xml:space="preserve">The aggregate number of Rezolve Ordinary Shares that will be available for issuance under the Rezolve Incentive Equity Plan will initially be equal to 10% of the fully diluted and issued equity securities post-Closing less any amount issued or reserved for issuance pursuant to any Other Arrangements. Separately, the Rezolve Options will represent approximately                  Rezolve Ordinary Shares that will be issued subject to the completion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Business Combination, the remuneration committee may make grants of awards under the Rezolve Incentive Equity Plan to key employees, in forms and amounts to be determined by the remuneration committee. In 2023, the right to grant and determine who shall be granted one half of the awards has been delegated to Daniel Wagner for the whole of 2023. No final decisions have been made with respect to grants of equity awards under the Rezolve Incentive Equity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more information, please see  </w:t>
      </w:r>
      <w:r>
        <w:rPr>
          <w:rFonts w:ascii="Times New Roman" w:hAnsi="Times New Roman"/>
          <w:i/>
          <w:sz w:val="20"/>
        </w:rPr>
        <w:t>Proposal No. 3The Incentive Equity Plan Proposal</w:t>
      </w:r>
      <w:r>
        <w:rPr>
          <w:rFonts w:ascii="Times New Roman" w:hAnsi="Times New Roman"/>
          <w:sz w:val="20"/>
        </w:rPr>
        <w:t xml:space="preserve"> elsewhere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and Compensation of Armada Prior to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No executive officer has received any cash compensation for services rendered to Armada. Commencing on the date of its initial public offering through the acquisition of a target business or Armadas liquidation of the Trust Account, Armada will pay its sponsor $10,000 per month for providing Armada with office space and certain office and secretarial services. However, this arrangement is solely for Armadas benefit and is not intended to provide Armadas officers or directors compensation in lieu of a salary. Armada may also pay consulting, finder or success fees to its initial stockholders, officers, directors or their affiliates for assisting Armada in consummating its initial business combination with such fee to be determined in an arms length negotiation based on the terms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$10,000 per month administrative fee, the payment of consulting, success or finder fees to its sponsor, officers, directors, or their affiliates in connection with the consummation of its initial business combination and the repayment of the up to $2,433,034 in loans made by its sponsor to Armada, no compensation or fees of any kind will be paid to Armadas sponsor, members of its management team or their respective affiliates, for services rendered prior to or in connection with the consummation of its initial business combination (regardless of the type of transaction that it is). However, they will receive reimbursement for any out-of-pocket expenses incurred by them in connection with activities on Armadas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consulting, success or finder fees payable by Armada upon consummation of an initial business combination. Additionally, there is no limit on the amount of out-of-pocket expenses reimbursable by Armada; provided, however, that to the extent such expenses exceed the available proceeds not deposited in the Trust Account, such expenses would not be reimbursed by Armada unless it consummates an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After its initial business combination, members of Armadas management team who provide services to Rezolve may be paid consulting, management or other fees from the Combined Company with any and all amounts being fully disclosed to stockholders, to the extent then known, in the proxy solicitation materials furnished to Armadas stockholders. However, the amount of such compensation may not be known at the time of the Special Meeting held to consider an initial business combination, as it will be up to the directors of the post-combination business to determine executive and director compensation. In this event, such compensation will be publicly disclosed, as required by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tx309194_25"/>
      <w:bookmarkEnd w:id="28"/>
      <w:r>
        <w:rPr>
          <w:rFonts w:ascii="Times New Roman" w:hAnsi="Times New Roman"/>
          <w:b/>
          <w:sz w:val="20"/>
        </w:rPr>
        <w:t xml:space="preserve">BENEFICIAL OWNERSHIP OF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Security Ownership of Certain Beneficial Owners and Management of Armada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the beneficial ownership of shares of common stock of Armada as of June 15, 2023,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by us to be the beneficial owner of more than 5% of outstanding shares of Armada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Armadas named executive officers and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Armadas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we believe that all persons named in the table have sole voting and investment power with respect to all shares of common stock beneficially owned by them. The following table does not reflect record of beneficial ownership of the warrants included in the units.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60"/>
        <w:gridCol w:w="274"/>
        <w:gridCol w:w="85"/>
        <w:gridCol w:w="1415"/>
        <w:gridCol w:w="350"/>
        <w:gridCol w:w="206"/>
        <w:gridCol w:w="144"/>
        <w:gridCol w:w="1357"/>
        <w:gridCol w:w="281"/>
      </w:tblGrid>
      <w:tr>
        <w:trPr/>
        <w:tc>
          <w:tcPr>
            <w:tcW w:w="44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460" w:type="dxa"/>
            <w:tcBorders/>
            <w:vAlign w:val="bottom"/>
          </w:tcPr>
          <w:p>
            <w:pPr>
              <w:pStyle w:val="TableContents"/>
              <w:bidi w:val="0"/>
              <w:spacing w:before="0" w:after="283"/>
              <w:jc w:val="left"/>
              <w:rPr>
                <w:b/>
              </w:rPr>
            </w:pPr>
            <w:r>
              <w:rPr>
                <w:b/>
              </w:rPr>
              <w:t>Name and Address of Beneficial Owner</w:t>
            </w:r>
          </w:p>
        </w:tc>
        <w:tc>
          <w:tcPr>
            <w:tcW w:w="274" w:type="dxa"/>
            <w:tcBorders/>
            <w:vAlign w:val="bottom"/>
          </w:tcPr>
          <w:p>
            <w:pPr>
              <w:pStyle w:val="TableContents"/>
              <w:bidi w:val="0"/>
              <w:spacing w:before="0" w:after="283"/>
              <w:jc w:val="left"/>
              <w:rPr/>
            </w:pPr>
            <w:r>
              <w:rPr/>
              <w:t>  </w:t>
            </w:r>
          </w:p>
        </w:tc>
        <w:tc>
          <w:tcPr>
            <w:tcW w:w="1500" w:type="dxa"/>
            <w:gridSpan w:val="2"/>
            <w:tcBorders/>
            <w:vAlign w:val="bottom"/>
          </w:tcPr>
          <w:p>
            <w:pPr>
              <w:pStyle w:val="TableContents"/>
              <w:bidi w:val="0"/>
              <w:spacing w:before="0" w:after="0"/>
              <w:jc w:val="center"/>
              <w:rPr>
                <w:rFonts w:ascii="Times New Roman" w:hAnsi="Times New Roman"/>
                <w:b/>
                <w:sz w:val="18"/>
              </w:rPr>
            </w:pPr>
            <w:r>
              <w:rPr>
                <w:rFonts w:ascii="Times New Roman" w:hAnsi="Times New Roman"/>
                <w:b/>
                <w:sz w:val="18"/>
              </w:rPr>
              <w:t>Number of Shares</w:t>
            </w:r>
          </w:p>
          <w:p>
            <w:pPr>
              <w:pStyle w:val="TableContents"/>
              <w:bidi w:val="0"/>
              <w:spacing w:before="0" w:after="20"/>
              <w:jc w:val="center"/>
              <w:rPr>
                <w:rFonts w:ascii="Times New Roman" w:hAnsi="Times New Roman"/>
                <w:b/>
                <w:sz w:val="18"/>
              </w:rPr>
            </w:pPr>
            <w:r>
              <w:rPr>
                <w:rFonts w:ascii="Times New Roman" w:hAnsi="Times New Roman"/>
                <w:b/>
                <w:sz w:val="18"/>
              </w:rPr>
              <w:t>Beneficially Owned</w:t>
            </w:r>
          </w:p>
        </w:tc>
        <w:tc>
          <w:tcPr>
            <w:tcW w:w="35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01" w:type="dxa"/>
            <w:gridSpan w:val="2"/>
            <w:tcBorders/>
            <w:vAlign w:val="bottom"/>
          </w:tcPr>
          <w:p>
            <w:pPr>
              <w:pStyle w:val="TableContents"/>
              <w:bidi w:val="0"/>
              <w:spacing w:before="0" w:after="0"/>
              <w:jc w:val="center"/>
              <w:rPr>
                <w:rFonts w:ascii="Times New Roman" w:hAnsi="Times New Roman"/>
                <w:b/>
                <w:sz w:val="18"/>
              </w:rPr>
            </w:pPr>
            <w:r>
              <w:rPr>
                <w:rFonts w:ascii="Times New Roman" w:hAnsi="Times New Roman"/>
                <w:b/>
                <w:sz w:val="18"/>
              </w:rPr>
              <w:t>Percent of Class</w:t>
            </w:r>
          </w:p>
          <w:p>
            <w:pPr>
              <w:pStyle w:val="TableContents"/>
              <w:bidi w:val="0"/>
              <w:spacing w:before="0" w:after="20"/>
              <w:jc w:val="center"/>
              <w:rPr>
                <w:rFonts w:ascii="Times New Roman" w:hAnsi="Times New Roman"/>
                <w:b/>
                <w:sz w:val="18"/>
              </w:rPr>
            </w:pPr>
            <w:r>
              <w:rPr>
                <w:rFonts w:ascii="Times New Roman" w:hAnsi="Times New Roman"/>
                <w:b/>
                <w:sz w:val="18"/>
              </w:rPr>
              <w:t>Beneficially Owned</w:t>
            </w:r>
          </w:p>
        </w:tc>
        <w:tc>
          <w:tcPr>
            <w:tcW w:w="281" w:type="dxa"/>
            <w:tcBorders/>
            <w:vAlign w:val="bottom"/>
          </w:tcPr>
          <w:p>
            <w:pPr>
              <w:pStyle w:val="TableContents"/>
              <w:bidi w:val="0"/>
              <w:spacing w:before="0" w:after="283"/>
              <w:jc w:val="left"/>
              <w:rPr/>
            </w:pPr>
            <w:r>
              <w:rPr/>
              <w:t> </w:t>
            </w:r>
          </w:p>
        </w:tc>
      </w:tr>
      <w:tr>
        <w:trPr/>
        <w:tc>
          <w:tcPr>
            <w:tcW w:w="4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Stephen P. Herbert</w:t>
            </w:r>
          </w:p>
        </w:tc>
        <w:tc>
          <w:tcPr>
            <w:tcW w:w="2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5,392,000</w:t>
            </w:r>
          </w:p>
        </w:tc>
        <w:tc>
          <w:tcPr>
            <w:tcW w:w="350" w:type="dxa"/>
            <w:tcBorders/>
            <w:shd w:fill="CCEEFF" w:val="clear"/>
            <w:vAlign w:val="bottom"/>
          </w:tcPr>
          <w:p>
            <w:pPr>
              <w:pStyle w:val="TableContents"/>
              <w:bidi w:val="0"/>
              <w:spacing w:before="0" w:after="283"/>
              <w:jc w:val="left"/>
              <w:rPr/>
            </w:pPr>
            <w:r>
              <w:rPr/>
              <w:t>(1) </w:t>
            </w:r>
          </w:p>
        </w:tc>
        <w:tc>
          <w:tcPr>
            <w:tcW w:w="2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58.49</w:t>
            </w:r>
          </w:p>
        </w:tc>
        <w:tc>
          <w:tcPr>
            <w:tcW w:w="281" w:type="dxa"/>
            <w:tcBorders/>
            <w:shd w:fill="CCEEFF" w:val="clear"/>
            <w:vAlign w:val="bottom"/>
          </w:tcPr>
          <w:p>
            <w:pPr>
              <w:pStyle w:val="TableContents"/>
              <w:bidi w:val="0"/>
              <w:spacing w:before="0" w:after="283"/>
              <w:jc w:val="left"/>
              <w:rPr/>
            </w:pPr>
            <w:r>
              <w:rPr/>
              <w:t>% </w:t>
            </w:r>
          </w:p>
        </w:tc>
      </w:tr>
      <w:tr>
        <w:trPr/>
        <w:tc>
          <w:tcPr>
            <w:tcW w:w="4460" w:type="dxa"/>
            <w:tcBorders/>
          </w:tcPr>
          <w:p>
            <w:pPr>
              <w:pStyle w:val="TableContents"/>
              <w:bidi w:val="0"/>
              <w:spacing w:before="0" w:after="0"/>
              <w:jc w:val="left"/>
              <w:rPr>
                <w:rFonts w:ascii="Times New Roman" w:hAnsi="Times New Roman"/>
                <w:sz w:val="20"/>
              </w:rPr>
            </w:pPr>
            <w:r>
              <w:rPr>
                <w:rFonts w:ascii="Times New Roman" w:hAnsi="Times New Roman"/>
                <w:sz w:val="20"/>
              </w:rPr>
              <w:t>Douglas M. Lurio</w:t>
            </w:r>
          </w:p>
        </w:tc>
        <w:tc>
          <w:tcPr>
            <w:tcW w:w="2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5,392,000</w:t>
            </w:r>
          </w:p>
        </w:tc>
        <w:tc>
          <w:tcPr>
            <w:tcW w:w="350" w:type="dxa"/>
            <w:tcBorders/>
            <w:vAlign w:val="bottom"/>
          </w:tcPr>
          <w:p>
            <w:pPr>
              <w:pStyle w:val="TableContents"/>
              <w:bidi w:val="0"/>
              <w:spacing w:before="0" w:after="283"/>
              <w:jc w:val="left"/>
              <w:rPr/>
            </w:pPr>
            <w:r>
              <w:rPr/>
              <w:t>(2) </w:t>
            </w:r>
          </w:p>
        </w:tc>
        <w:tc>
          <w:tcPr>
            <w:tcW w:w="2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58.49</w:t>
            </w:r>
          </w:p>
        </w:tc>
        <w:tc>
          <w:tcPr>
            <w:tcW w:w="281" w:type="dxa"/>
            <w:tcBorders/>
            <w:vAlign w:val="bottom"/>
          </w:tcPr>
          <w:p>
            <w:pPr>
              <w:pStyle w:val="TableContents"/>
              <w:bidi w:val="0"/>
              <w:spacing w:before="0" w:after="283"/>
              <w:jc w:val="left"/>
              <w:rPr/>
            </w:pPr>
            <w:r>
              <w:rPr/>
              <w:t>% </w:t>
            </w:r>
          </w:p>
        </w:tc>
      </w:tr>
      <w:tr>
        <w:trPr/>
        <w:tc>
          <w:tcPr>
            <w:tcW w:w="4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Mohammad A. Khan</w:t>
            </w:r>
          </w:p>
        </w:tc>
        <w:tc>
          <w:tcPr>
            <w:tcW w:w="2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35,000</w:t>
            </w:r>
          </w:p>
        </w:tc>
        <w:tc>
          <w:tcPr>
            <w:tcW w:w="35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4460" w:type="dxa"/>
            <w:tcBorders/>
          </w:tcPr>
          <w:p>
            <w:pPr>
              <w:pStyle w:val="TableContents"/>
              <w:bidi w:val="0"/>
              <w:spacing w:before="0" w:after="0"/>
              <w:jc w:val="left"/>
              <w:rPr>
                <w:rFonts w:ascii="Times New Roman" w:hAnsi="Times New Roman"/>
                <w:sz w:val="20"/>
              </w:rPr>
            </w:pPr>
            <w:r>
              <w:rPr>
                <w:rFonts w:ascii="Times New Roman" w:hAnsi="Times New Roman"/>
                <w:sz w:val="20"/>
              </w:rPr>
              <w:t>Thomas A. Decker</w:t>
            </w:r>
          </w:p>
        </w:tc>
        <w:tc>
          <w:tcPr>
            <w:tcW w:w="2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35,000</w:t>
            </w:r>
          </w:p>
        </w:tc>
        <w:tc>
          <w:tcPr>
            <w:tcW w:w="35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4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Celso L. White</w:t>
            </w:r>
          </w:p>
        </w:tc>
        <w:tc>
          <w:tcPr>
            <w:tcW w:w="2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35,000</w:t>
            </w:r>
          </w:p>
        </w:tc>
        <w:tc>
          <w:tcPr>
            <w:tcW w:w="35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4460" w:type="dxa"/>
            <w:tcBorders/>
          </w:tcPr>
          <w:p>
            <w:pPr>
              <w:pStyle w:val="TableContents"/>
              <w:bidi w:val="0"/>
              <w:spacing w:before="0" w:after="0"/>
              <w:jc w:val="left"/>
              <w:rPr>
                <w:rFonts w:ascii="Times New Roman" w:hAnsi="Times New Roman"/>
                <w:sz w:val="20"/>
              </w:rPr>
            </w:pPr>
            <w:r>
              <w:rPr>
                <w:rFonts w:ascii="Times New Roman" w:hAnsi="Times New Roman"/>
                <w:sz w:val="20"/>
              </w:rPr>
              <w:t>Armada Sponsor LLC</w:t>
            </w:r>
          </w:p>
        </w:tc>
        <w:tc>
          <w:tcPr>
            <w:tcW w:w="27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5,342,000</w:t>
            </w:r>
          </w:p>
        </w:tc>
        <w:tc>
          <w:tcPr>
            <w:tcW w:w="350" w:type="dxa"/>
            <w:tcBorders/>
            <w:vAlign w:val="bottom"/>
          </w:tcPr>
          <w:p>
            <w:pPr>
              <w:pStyle w:val="TableContents"/>
              <w:bidi w:val="0"/>
              <w:spacing w:before="0" w:after="283"/>
              <w:jc w:val="left"/>
              <w:rPr/>
            </w:pPr>
            <w:r>
              <w:rPr/>
              <w:t>(3) </w:t>
            </w:r>
          </w:p>
        </w:tc>
        <w:tc>
          <w:tcPr>
            <w:tcW w:w="2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57.95</w:t>
            </w:r>
          </w:p>
        </w:tc>
        <w:tc>
          <w:tcPr>
            <w:tcW w:w="281" w:type="dxa"/>
            <w:tcBorders/>
            <w:vAlign w:val="bottom"/>
          </w:tcPr>
          <w:p>
            <w:pPr>
              <w:pStyle w:val="TableContents"/>
              <w:bidi w:val="0"/>
              <w:spacing w:before="0" w:after="283"/>
              <w:jc w:val="left"/>
              <w:rPr/>
            </w:pPr>
            <w:r>
              <w:rPr/>
              <w:t>% </w:t>
            </w:r>
          </w:p>
        </w:tc>
      </w:tr>
      <w:tr>
        <w:trPr/>
        <w:tc>
          <w:tcPr>
            <w:tcW w:w="4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 (five individuals)</w:t>
            </w:r>
          </w:p>
        </w:tc>
        <w:tc>
          <w:tcPr>
            <w:tcW w:w="274"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5,547,000</w:t>
            </w:r>
          </w:p>
        </w:tc>
        <w:tc>
          <w:tcPr>
            <w:tcW w:w="35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60.17</w:t>
            </w:r>
          </w:p>
        </w:tc>
        <w:tc>
          <w:tcPr>
            <w:tcW w:w="281"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50,000 shares of common stock held by Stephen P. Herbert directly and 5,342,000 shares held by Armada Sponsor LLC, our sponsor, of which Mr. Herbert and Douglas M. Lurio are managing members. Accordingly, all securities held by our sponsor may ultimately be deemed to be beneficially held by Mr. Herbert and Mr. Lurio.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50,000 shares of common stock held by Douglas M. Lurio directly and 5,342,000 shares held by Armada Sponsor LLC, our sponsor, of which Mr. Lurio and Stephen P. Herbert are managing members. Accordingly, all securities held by our sponsor may ultimately be deemed to be beneficially held by Mr. Herbert and Mr. Lurio.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459,500 Private Placement Shares, (ii) 4,882,500 Founder Shares, and (iii) 205,000 shares held by Armadas directors and officers.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Security Ownership of Certain Beneficial Owners and Management of Rezolve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the beneficial ownership of Rezolve Ordinary Shares as of the Record Date and immediately following consummation of the Business Combination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who is expected to be the beneficial owner of more than 5% of the outstanding Rezolve Ordinary Shares immediately following the Closing;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who will become a named executive officer or director of Rezolve following the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executive officers and directors of Rezolve following the Closing,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expected beneficial ownership of Rezolves Ordinary Shares post-combination assumes two scenarios: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Minimum Redemptions: This presentation assumes that no public shareholders of Armada exercise redemption rights with respect to their public shares for a pro rata share of cash in the Trust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Max Redemptions: This presentation assumes that                  shares of Armada common stock are redeemed for their pro rata share of the cash in the Trust Account in connection with the Armada Share Redemptions. This scenario gives effect to Armada Share Redemptions of                  shares of Armada common stock for aggregate redemption payments of $                 million at a redemption price of approximately $                 per share based on the investments held in the Trust Account as of                 .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assumptions, we estimate that there would be                  Rezolve Ordinary Shares issued and outstanding immediately following the Closing in the minimum redemption scenario, and                  Rezolve Ordinary Shares issued and outstanding immediately following the Closing in the maximum redemption scenario. If the facts are different from the foregoing assumptions, ownership figures in the Combined Company will be different. In either a minimum redemption scenario or a maximum redemption scenario, each Rezolve shareholder that will control 10% or more of the issued securities of Rezolve following the Closing was also a shareholder of the Company that controlled 10% or more of the issued securities of the Company prior to the consummation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presented in the table below is as of May 17, 2023. Unless otherwise indicated, Rezolve believes that all persons named in the table below have sole voting and investment power with respect to the securities beneficially owned by them.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business address of each of the following owners is 3rd Floor, 80 New Bond Street, London, W1S 1SB, 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2066"/>
        <w:gridCol w:w="135"/>
        <w:gridCol w:w="91"/>
        <w:gridCol w:w="1506"/>
        <w:gridCol w:w="91"/>
        <w:gridCol w:w="196"/>
        <w:gridCol w:w="91"/>
        <w:gridCol w:w="858"/>
        <w:gridCol w:w="277"/>
        <w:gridCol w:w="77"/>
        <w:gridCol w:w="71"/>
        <w:gridCol w:w="1185"/>
        <w:gridCol w:w="733"/>
        <w:gridCol w:w="88"/>
        <w:gridCol w:w="125"/>
        <w:gridCol w:w="135"/>
        <w:gridCol w:w="60"/>
        <w:gridCol w:w="135"/>
        <w:gridCol w:w="72"/>
        <w:gridCol w:w="1185"/>
        <w:gridCol w:w="622"/>
        <w:gridCol w:w="76"/>
        <w:gridCol w:w="130"/>
        <w:gridCol w:w="130"/>
        <w:gridCol w:w="70"/>
      </w:tblGrid>
      <w:tr>
        <w:trPr/>
        <w:tc>
          <w:tcPr>
            <w:tcW w:w="2066"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06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8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Pre-Business Combination(1)(7)</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474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Post-Business Combination(1)(7)</w:t>
            </w:r>
          </w:p>
        </w:tc>
        <w:tc>
          <w:tcPr>
            <w:tcW w:w="70" w:type="dxa"/>
            <w:tcBorders/>
            <w:vAlign w:val="bottom"/>
          </w:tcPr>
          <w:p>
            <w:pPr>
              <w:pStyle w:val="TableContents"/>
              <w:bidi w:val="0"/>
              <w:spacing w:before="0" w:after="283"/>
              <w:jc w:val="left"/>
              <w:rPr/>
            </w:pPr>
            <w:r>
              <w:rPr/>
              <w:t> </w:t>
            </w:r>
          </w:p>
        </w:tc>
      </w:tr>
      <w:tr>
        <w:trPr/>
        <w:tc>
          <w:tcPr>
            <w:tcW w:w="2066"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97" w:type="dxa"/>
            <w:gridSpan w:val="2"/>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9" w:type="dxa"/>
            <w:gridSpan w:val="2"/>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23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Assuming Minimum</w:t>
              <w:br/>
              <w:t>Redemption</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Assuming Max</w:t>
              <w:br/>
              <w:t>Redemption</w:t>
            </w:r>
          </w:p>
        </w:tc>
        <w:tc>
          <w:tcPr>
            <w:tcW w:w="70" w:type="dxa"/>
            <w:tcBorders/>
            <w:vAlign w:val="bottom"/>
          </w:tcPr>
          <w:p>
            <w:pPr>
              <w:pStyle w:val="TableContents"/>
              <w:bidi w:val="0"/>
              <w:spacing w:before="0" w:after="283"/>
              <w:jc w:val="left"/>
              <w:rPr/>
            </w:pPr>
            <w:r>
              <w:rPr/>
              <w:t> </w:t>
            </w:r>
          </w:p>
        </w:tc>
      </w:tr>
      <w:tr>
        <w:trPr/>
        <w:tc>
          <w:tcPr>
            <w:tcW w:w="20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Shareholder</w:t>
            </w:r>
          </w:p>
        </w:tc>
        <w:tc>
          <w:tcPr>
            <w:tcW w:w="135" w:type="dxa"/>
            <w:tcBorders/>
            <w:vAlign w:val="bottom"/>
          </w:tcPr>
          <w:p>
            <w:pPr>
              <w:pStyle w:val="TableContents"/>
              <w:bidi w:val="0"/>
              <w:spacing w:before="0" w:after="283"/>
              <w:jc w:val="left"/>
              <w:rPr/>
            </w:pPr>
            <w:r>
              <w:rPr/>
              <w:t>  </w:t>
            </w:r>
          </w:p>
        </w:tc>
        <w:tc>
          <w:tcPr>
            <w:tcW w:w="1597"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 Held</w:t>
            </w:r>
          </w:p>
        </w:tc>
        <w:tc>
          <w:tcPr>
            <w:tcW w:w="91"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2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Held</w:t>
            </w:r>
          </w:p>
        </w:tc>
        <w:tc>
          <w:tcPr>
            <w:tcW w:w="733"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2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Held</w:t>
            </w:r>
          </w:p>
        </w:tc>
        <w:tc>
          <w:tcPr>
            <w:tcW w:w="62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70" w:type="dxa"/>
            <w:tcBorders/>
            <w:vAlign w:val="bottom"/>
          </w:tcPr>
          <w:p>
            <w:pPr>
              <w:pStyle w:val="TableContents"/>
              <w:bidi w:val="0"/>
              <w:spacing w:before="0" w:after="283"/>
              <w:jc w:val="left"/>
              <w:rPr/>
            </w:pPr>
            <w:r>
              <w:rPr/>
              <w:t> </w:t>
            </w:r>
          </w:p>
        </w:tc>
      </w:tr>
      <w:tr>
        <w:trPr/>
        <w:tc>
          <w:tcPr>
            <w:tcW w:w="206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5% Holders</w:t>
            </w:r>
          </w:p>
        </w:tc>
        <w:tc>
          <w:tcPr>
            <w:tcW w:w="13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506"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622"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066" w:type="dxa"/>
            <w:tcBorders/>
          </w:tcPr>
          <w:p>
            <w:pPr>
              <w:pStyle w:val="TableContents"/>
              <w:bidi w:val="0"/>
              <w:spacing w:before="0" w:after="0"/>
              <w:jc w:val="left"/>
              <w:rPr>
                <w:rFonts w:ascii="Times New Roman" w:hAnsi="Times New Roman"/>
                <w:sz w:val="20"/>
              </w:rPr>
            </w:pPr>
            <w:r>
              <w:rPr>
                <w:rFonts w:ascii="Times New Roman" w:hAnsi="Times New Roman"/>
                <w:sz w:val="20"/>
              </w:rPr>
              <w:t>DBLP Sea Cow Limited(2)</w:t>
            </w:r>
          </w:p>
        </w:tc>
        <w:tc>
          <w:tcPr>
            <w:tcW w:w="13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506"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Igor Lychagov</w:t>
            </w:r>
          </w:p>
        </w:tc>
        <w:tc>
          <w:tcPr>
            <w:tcW w:w="13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506"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622"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066" w:type="dxa"/>
            <w:tcBorders/>
          </w:tcPr>
          <w:p>
            <w:pPr>
              <w:pStyle w:val="TableContents"/>
              <w:bidi w:val="0"/>
              <w:spacing w:before="0" w:after="0"/>
              <w:jc w:val="left"/>
              <w:rPr>
                <w:rFonts w:ascii="Times New Roman" w:hAnsi="Times New Roman"/>
                <w:sz w:val="20"/>
              </w:rPr>
            </w:pPr>
            <w:r>
              <w:rPr>
                <w:rFonts w:ascii="Times New Roman" w:hAnsi="Times New Roman"/>
                <w:sz w:val="20"/>
              </w:rPr>
              <w:t>Brooks Newmark</w:t>
            </w:r>
          </w:p>
        </w:tc>
        <w:tc>
          <w:tcPr>
            <w:tcW w:w="13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506"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Daniel Wagner</w:t>
            </w:r>
          </w:p>
        </w:tc>
        <w:tc>
          <w:tcPr>
            <w:tcW w:w="13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506"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622"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066" w:type="dxa"/>
            <w:tcBorders/>
          </w:tcPr>
          <w:p>
            <w:pPr>
              <w:pStyle w:val="TableContents"/>
              <w:bidi w:val="0"/>
              <w:spacing w:before="0" w:after="0"/>
              <w:jc w:val="left"/>
              <w:rPr>
                <w:rFonts w:ascii="Times New Roman" w:hAnsi="Times New Roman"/>
                <w:sz w:val="20"/>
              </w:rPr>
            </w:pPr>
            <w:r>
              <w:rPr>
                <w:rFonts w:ascii="Times New Roman" w:hAnsi="Times New Roman"/>
                <w:sz w:val="20"/>
              </w:rPr>
              <w:t>Apeiron Investment Group Limited</w:t>
            </w:r>
          </w:p>
        </w:tc>
        <w:tc>
          <w:tcPr>
            <w:tcW w:w="13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506"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Armada Sponsor LLC</w:t>
            </w:r>
          </w:p>
        </w:tc>
        <w:tc>
          <w:tcPr>
            <w:tcW w:w="13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5,342,000</w:t>
            </w:r>
          </w:p>
        </w:tc>
        <w:tc>
          <w:tcPr>
            <w:tcW w:w="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57.95</w:t>
            </w:r>
          </w:p>
        </w:tc>
        <w:tc>
          <w:tcPr>
            <w:tcW w:w="2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4,628,943</w:t>
            </w:r>
          </w:p>
        </w:tc>
        <w:tc>
          <w:tcPr>
            <w:tcW w:w="733" w:type="dxa"/>
            <w:tcBorders/>
            <w:shd w:fill="CCEEFF" w:val="clear"/>
            <w:vAlign w:val="bottom"/>
          </w:tcPr>
          <w:p>
            <w:pPr>
              <w:pStyle w:val="TableContents"/>
              <w:bidi w:val="0"/>
              <w:spacing w:before="0" w:after="283"/>
              <w:jc w:val="left"/>
              <w:rPr/>
            </w:pPr>
            <w:r>
              <w:rPr/>
              <w:t>(3)(4) </w:t>
            </w:r>
          </w:p>
        </w:tc>
        <w:tc>
          <w:tcPr>
            <w:tcW w:w="88"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4,629,443</w:t>
            </w:r>
          </w:p>
        </w:tc>
        <w:tc>
          <w:tcPr>
            <w:tcW w:w="622" w:type="dxa"/>
            <w:tcBorders/>
            <w:shd w:fill="CCEEFF" w:val="clear"/>
            <w:vAlign w:val="bottom"/>
          </w:tcPr>
          <w:p>
            <w:pPr>
              <w:pStyle w:val="TableContents"/>
              <w:bidi w:val="0"/>
              <w:spacing w:before="0" w:after="283"/>
              <w:jc w:val="left"/>
              <w:rPr/>
            </w:pPr>
            <w:r>
              <w:rPr/>
              <w:t>(3)(4) </w:t>
            </w:r>
          </w:p>
        </w:tc>
        <w:tc>
          <w:tcPr>
            <w:tcW w:w="7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066" w:type="dxa"/>
            <w:tcBorders/>
          </w:tcPr>
          <w:p>
            <w:pPr>
              <w:pStyle w:val="TableContents"/>
              <w:bidi w:val="0"/>
              <w:spacing w:before="0" w:after="0"/>
              <w:jc w:val="left"/>
              <w:rPr>
                <w:rFonts w:ascii="Times New Roman" w:hAnsi="Times New Roman"/>
                <w:i/>
                <w:sz w:val="20"/>
              </w:rPr>
            </w:pPr>
            <w:r>
              <w:rPr>
                <w:rFonts w:ascii="Times New Roman" w:hAnsi="Times New Roman"/>
                <w:i/>
                <w:sz w:val="20"/>
              </w:rPr>
              <w:t>Directors and Executive Officers of Rezolve Post-Proposed Transactions</w:t>
            </w:r>
          </w:p>
        </w:tc>
        <w:tc>
          <w:tcPr>
            <w:tcW w:w="13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506"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Daniel Wagner(8)</w:t>
            </w:r>
          </w:p>
        </w:tc>
        <w:tc>
          <w:tcPr>
            <w:tcW w:w="13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506"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622"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066" w:type="dxa"/>
            <w:tcBorders/>
          </w:tcPr>
          <w:p>
            <w:pPr>
              <w:pStyle w:val="TableContents"/>
              <w:bidi w:val="0"/>
              <w:spacing w:before="0" w:after="0"/>
              <w:jc w:val="left"/>
              <w:rPr>
                <w:rFonts w:ascii="Times New Roman" w:hAnsi="Times New Roman"/>
                <w:sz w:val="20"/>
              </w:rPr>
            </w:pPr>
            <w:r>
              <w:rPr>
                <w:rFonts w:ascii="Times New Roman" w:hAnsi="Times New Roman"/>
                <w:sz w:val="20"/>
              </w:rPr>
              <w:t>John Wagner(2)</w:t>
            </w:r>
          </w:p>
        </w:tc>
        <w:tc>
          <w:tcPr>
            <w:tcW w:w="13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506"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Sharp</w:t>
            </w:r>
          </w:p>
        </w:tc>
        <w:tc>
          <w:tcPr>
            <w:tcW w:w="13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506"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622"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066" w:type="dxa"/>
            <w:tcBorders/>
          </w:tcPr>
          <w:p>
            <w:pPr>
              <w:pStyle w:val="TableContents"/>
              <w:bidi w:val="0"/>
              <w:spacing w:before="0" w:after="0"/>
              <w:jc w:val="left"/>
              <w:rPr>
                <w:rFonts w:ascii="Times New Roman" w:hAnsi="Times New Roman"/>
                <w:sz w:val="20"/>
              </w:rPr>
            </w:pPr>
            <w:r>
              <w:rPr>
                <w:rFonts w:ascii="Times New Roman" w:hAnsi="Times New Roman"/>
                <w:sz w:val="20"/>
              </w:rPr>
              <w:t>Sir David Wright</w:t>
            </w:r>
          </w:p>
        </w:tc>
        <w:tc>
          <w:tcPr>
            <w:tcW w:w="13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506"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Stephen Perry</w:t>
            </w:r>
          </w:p>
        </w:tc>
        <w:tc>
          <w:tcPr>
            <w:tcW w:w="13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506"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622"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066" w:type="dxa"/>
            <w:tcBorders/>
          </w:tcPr>
          <w:p>
            <w:pPr>
              <w:pStyle w:val="TableContents"/>
              <w:bidi w:val="0"/>
              <w:spacing w:before="0" w:after="0"/>
              <w:jc w:val="left"/>
              <w:rPr>
                <w:rFonts w:ascii="Times New Roman" w:hAnsi="Times New Roman"/>
                <w:sz w:val="20"/>
              </w:rPr>
            </w:pPr>
            <w:r>
              <w:rPr>
                <w:rFonts w:ascii="Times New Roman" w:hAnsi="Times New Roman"/>
                <w:sz w:val="20"/>
              </w:rPr>
              <w:t>Derek Smith</w:t>
            </w:r>
          </w:p>
        </w:tc>
        <w:tc>
          <w:tcPr>
            <w:tcW w:w="13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506"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Douglas Lurio</w:t>
            </w:r>
          </w:p>
        </w:tc>
        <w:tc>
          <w:tcPr>
            <w:tcW w:w="13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283"/>
              <w:jc w:val="right"/>
              <w:rPr/>
            </w:pPr>
            <w:r>
              <w:rPr/>
              <w:t>5,392,000</w:t>
            </w:r>
          </w:p>
        </w:tc>
        <w:tc>
          <w:tcPr>
            <w:tcW w:w="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58.49</w:t>
            </w:r>
          </w:p>
        </w:tc>
        <w:tc>
          <w:tcPr>
            <w:tcW w:w="2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4,678,943</w:t>
            </w:r>
          </w:p>
        </w:tc>
        <w:tc>
          <w:tcPr>
            <w:tcW w:w="733" w:type="dxa"/>
            <w:tcBorders/>
            <w:shd w:fill="CCEEFF" w:val="clear"/>
            <w:vAlign w:val="bottom"/>
          </w:tcPr>
          <w:p>
            <w:pPr>
              <w:pStyle w:val="TableContents"/>
              <w:bidi w:val="0"/>
              <w:spacing w:before="0" w:after="283"/>
              <w:jc w:val="left"/>
              <w:rPr/>
            </w:pPr>
            <w:r>
              <w:rPr/>
              <w:t>(3)(5) </w:t>
            </w:r>
          </w:p>
        </w:tc>
        <w:tc>
          <w:tcPr>
            <w:tcW w:w="88"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4,678,943</w:t>
            </w:r>
          </w:p>
        </w:tc>
        <w:tc>
          <w:tcPr>
            <w:tcW w:w="622" w:type="dxa"/>
            <w:tcBorders/>
            <w:shd w:fill="CCEEFF" w:val="clear"/>
            <w:vAlign w:val="bottom"/>
          </w:tcPr>
          <w:p>
            <w:pPr>
              <w:pStyle w:val="TableContents"/>
              <w:bidi w:val="0"/>
              <w:spacing w:before="0" w:after="283"/>
              <w:jc w:val="left"/>
              <w:rPr/>
            </w:pPr>
            <w:r>
              <w:rPr/>
              <w:t>(3)(5) </w:t>
            </w:r>
          </w:p>
        </w:tc>
        <w:tc>
          <w:tcPr>
            <w:tcW w:w="7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066" w:type="dxa"/>
            <w:tcBorders/>
          </w:tcPr>
          <w:p>
            <w:pPr>
              <w:pStyle w:val="TableContents"/>
              <w:bidi w:val="0"/>
              <w:spacing w:before="0" w:after="0"/>
              <w:jc w:val="left"/>
              <w:rPr>
                <w:rFonts w:ascii="Times New Roman" w:hAnsi="Times New Roman"/>
                <w:sz w:val="20"/>
              </w:rPr>
            </w:pPr>
            <w:r>
              <w:rPr>
                <w:rFonts w:ascii="Times New Roman" w:hAnsi="Times New Roman"/>
                <w:sz w:val="20"/>
              </w:rPr>
              <w:t>Stephen Herbert</w:t>
            </w:r>
          </w:p>
        </w:tc>
        <w:tc>
          <w:tcPr>
            <w:tcW w:w="13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5,392,000</w:t>
            </w:r>
          </w:p>
        </w:tc>
        <w:tc>
          <w:tcPr>
            <w:tcW w:w="91"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58.49</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4,678,943</w:t>
            </w:r>
          </w:p>
        </w:tc>
        <w:tc>
          <w:tcPr>
            <w:tcW w:w="733" w:type="dxa"/>
            <w:tcBorders/>
            <w:vAlign w:val="bottom"/>
          </w:tcPr>
          <w:p>
            <w:pPr>
              <w:pStyle w:val="TableContents"/>
              <w:bidi w:val="0"/>
              <w:spacing w:before="0" w:after="283"/>
              <w:jc w:val="left"/>
              <w:rPr/>
            </w:pPr>
            <w:r>
              <w:rPr/>
              <w:t>(3)(6) </w:t>
            </w:r>
          </w:p>
        </w:tc>
        <w:tc>
          <w:tcPr>
            <w:tcW w:w="8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4,678,943</w:t>
            </w:r>
          </w:p>
        </w:tc>
        <w:tc>
          <w:tcPr>
            <w:tcW w:w="622" w:type="dxa"/>
            <w:tcBorders/>
            <w:vAlign w:val="bottom"/>
          </w:tcPr>
          <w:p>
            <w:pPr>
              <w:pStyle w:val="TableContents"/>
              <w:bidi w:val="0"/>
              <w:spacing w:before="0" w:after="283"/>
              <w:jc w:val="left"/>
              <w:rPr/>
            </w:pPr>
            <w:r>
              <w:rPr/>
              <w:t>(3)(6) </w:t>
            </w:r>
          </w:p>
        </w:tc>
        <w:tc>
          <w:tcPr>
            <w:tcW w:w="7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Vesco</w:t>
            </w:r>
          </w:p>
        </w:tc>
        <w:tc>
          <w:tcPr>
            <w:tcW w:w="13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506"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622"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066" w:type="dxa"/>
            <w:tcBorders/>
          </w:tcPr>
          <w:p>
            <w:pPr>
              <w:pStyle w:val="TableContents"/>
              <w:bidi w:val="0"/>
              <w:spacing w:before="0" w:after="0"/>
              <w:jc w:val="left"/>
              <w:rPr>
                <w:rFonts w:ascii="Times New Roman" w:hAnsi="Times New Roman"/>
                <w:sz w:val="20"/>
              </w:rPr>
            </w:pPr>
            <w:r>
              <w:rPr>
                <w:rFonts w:ascii="Times New Roman" w:hAnsi="Times New Roman"/>
                <w:sz w:val="20"/>
              </w:rPr>
              <w:t>Richard Burchill</w:t>
            </w:r>
          </w:p>
        </w:tc>
        <w:tc>
          <w:tcPr>
            <w:tcW w:w="13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506"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Sauvik Banerjjee</w:t>
            </w:r>
          </w:p>
        </w:tc>
        <w:tc>
          <w:tcPr>
            <w:tcW w:w="13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506"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622"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066"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(individuals)</w:t>
            </w:r>
          </w:p>
        </w:tc>
        <w:tc>
          <w:tcPr>
            <w:tcW w:w="13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506"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note that the Pre-Business Combination figures assume that the Pre-Closing Demerger and the Company Reorganization has not occurred, the Convertible Notes have not converted into shares and the numbers relate to shareholdings in Rezolve Limited. The Post-Business Combination figures assume that the Pre-Closing Demerger and the Company Reorganization has occurred, the Convertible Notes have not converted into shares and the numbers relate to shareholdings in Rezolve AI Limited.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DBLP Sea Cow Limited is wholly legally owned by Daniel Wagner and is wholly beneficially owned by John Wagner. Accordingly, all the shares in the name of DBLP Sea Cow Limited are included as beneficially owned by John Wagner.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713,057 Founder Shares are allocated to the Non-Redeeming Stockholders by the Sponsor pursuant to the Non-Redemption Agreements.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459,500 Private Placement Shares, (ii) 4,169, 500 Founder Shares, and (iii) 205,000 shares of Armada Common Stock held by Armadas directors and officers.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50,000 shares of Armada Common Stock held by Douglas Lurio directly and 4,629,443 shares of Armada Common Stock held by the Sponsor, of which Douglas Lurio and Stephen Herbert are managing members. Accordingly, all securities held by the Sponsor may ultimately be deemed to be beneficially held by Stephen Herbert and Douglas Lurio.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50,000 shares of Armada Common Stock held by Stephen Herbert directly and 4,629,443 shares of Armada Common Stock held by the Sponsor, of which Stephen Herbert and Douglas Lurio are managing members. Accordingly, all securities held by the Sponsor may ultimately be deemed to be beneficially held by Stephen Herbert and Douglas Lurio.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beneficial ownership of Rezolve Ordinary Shares post-Business Combination is expected to be completed subsequent to the date of this proxy statement/prospectus, as the estimated number of Resolve Ordinary Shares issued and outstanding immediately following the Closing is not available as of the date of this proxy statement/prospectus.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the estimated number of Resolve Ordinary Shares issued and outstanding immediately following the Closing is not available as of the date of this proxy statement/prospectus, Daniel Wagner is expected to have the right to vote at least 75% of the outstanding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tx309194_26"/>
      <w:bookmarkEnd w:id="29"/>
      <w:r>
        <w:rPr>
          <w:rFonts w:ascii="Times New Roman" w:hAnsi="Times New Roman"/>
          <w:b/>
          <w:sz w:val="20"/>
        </w:rPr>
        <w:t xml:space="preserve">SHARES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Upon the Closing, Rezolve will have                  Rezolve Ordinary Shares, nominal value of                  each, authorized and, based on the assumptions set out elsewhere in this proxy statement/prospectus, up to                  Rezolve Ordinary Shares issued and outstanding, assuming no shares of Armada Common Stock are redeemed in connection with the Business Combination and                  shares held by the Armada Initial Shareholders that will be subject to certain lock-up arrangements. In addition, Rezolve is expected to have                  Rezolve Warrants issued and outstanding, each Rezolve Warrant exercisable for one Rezolve Ordinary Share at                  per share. All of the Rezolve Ordinary Shares issued to the Armada stockholders in connection with the Business Combination will be freely transferable by persons other than by Rezolves affiliates or Armadas affiliates without restriction or further registration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Sales of substantial amounts of the Rezolve Ordinary Shares in the public market could adversely affect prevailing market prices of the Rezolve Ordinary Shares. Prior to the Business Combination, there has been no public market for Rezolve Ordinary Shares. Rezolve intends to apply for listing of the Rezolve Ordinary Shares and Rezolve Warrants on Nasdaq, but Rezolve cannot assure you that a regular trading market will develop in the Rezolve Ordinary Shares and Rezolve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tx309194_27"/>
      <w:bookmarkEnd w:id="30"/>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Armada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2021, Armada issued 4,312,500 shares of common stock to its sponsor for $25,000 in cash, at a purchase price of approximately $0.006 per share, in connection with its organization. On June 16, 2021, Armadas sponsor purchased an additional 700,000 shares of common stock at a purchase price of $0.006 per share, resulting in the sponsor holding an aggregate of 5,012,500 founder shares. On June 16, 2021, Armadas sponsor transferred 50,000 founder shares to each of Messrs. Herbert and Lurio and 35,000 founder shares to each of Messrs. Khan, Decker and White. On July 23, 2021, Armadas sponsor purchased an additional 1,200,000 shares of common stock at a purchase price of $0.006 per share, resulting in the sponsor holding an aggregate of 6,007,500 shares of common stock. Because Armadas underwriters did not exercise their over-allotment option, Armadas sponsor forfeited 1,125,000 shares of common stock as of October 1, 2021. Additionally, upon consummation of Armadas initial business combination, the sponsor allocated membership interests representing founder shares to each anchor investor. </w:t>
      </w:r>
    </w:p>
    <w:p>
      <w:pPr>
        <w:pStyle w:val="TextBody"/>
        <w:bidi w:val="0"/>
        <w:spacing w:before="240" w:after="0"/>
        <w:jc w:val="left"/>
        <w:rPr>
          <w:rFonts w:ascii="Times New Roman" w:hAnsi="Times New Roman"/>
          <w:sz w:val="20"/>
        </w:rPr>
      </w:pPr>
      <w:r>
        <w:rPr>
          <w:rFonts w:ascii="Times New Roman" w:hAnsi="Times New Roman"/>
          <w:sz w:val="20"/>
        </w:rPr>
        <w:t xml:space="preserve">Armadas sponsor purchased an aggregate of 459,500 private shares at a price of $10.00 per share for an aggregate purchase price of $4,595,000. The initial purchasers have agreed not to transfer, assign or sell any of the private shares (except in connection with the same limited exceptions that the founder shares may be transferred as described above) until after the completion of Armadas initial business combination. In the event of a liquidation prior to Armadas initial business combination, the private shares will likely be worthless.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meet Armadas working capital needs following the consummation of its initial public offering, Armadas sponsor, officers and directors or their affiliates may, but are not obligated to, loan Armada funds, from time to time or at any time, in whatever amount they deem reasonable in their sole discretion. Each loan would be non-interest bearing and be evidenced by a promissory note. The notes would either be paid upon consummation of Armadas initial business combination, without interest, or, at holders discretion, up to $1,500,000 of the notes may be converted into shares of common stock at a price of $10.00 per share. The shares would be identical to the private shares. In the event that the initial business combination does not close, Armada may use a portion of the working capital held outside the Trust Account to repay such loaned amounts, but no proceeds from our Trust Account would be used for such repayment. </w:t>
      </w:r>
    </w:p>
    <w:p>
      <w:pPr>
        <w:pStyle w:val="TextBody"/>
        <w:bidi w:val="0"/>
        <w:spacing w:before="240" w:after="0"/>
        <w:jc w:val="left"/>
        <w:rPr>
          <w:rFonts w:ascii="Times New Roman" w:hAnsi="Times New Roman"/>
          <w:sz w:val="20"/>
        </w:rPr>
      </w:pPr>
      <w:r>
        <w:rPr>
          <w:rFonts w:ascii="Times New Roman" w:hAnsi="Times New Roman"/>
          <w:sz w:val="20"/>
        </w:rPr>
        <w:t>The holders of Armadas founder shares as well as the holders of the private shares and any shares of common stock issued to Armadas sponsor, officers, directors or their affiliates that may be issued in payment of working capital loans made to Armada (and all underlying securities), will be entitled to certain registration rights. The holders of a majority of these securities are entitled to make up to two demands that Armada register such securities. The holders of the majority of the founder shares and private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Armada will bear the expenses incurred in connection with the filing of any such registration statements. In connection with the closing of the Business Combination transaction, the registration rights agreement, dated August 12, 2021, by and between Armada and the Sponsor will be terminated and Rezolve, the Sponsor and certain stockholders of Rezolve will enter into an Investor Rights Agreement. For additional information, please see the section entitled </w:t>
      </w:r>
      <w:r>
        <w:rPr>
          <w:rFonts w:ascii="Times New Roman" w:hAnsi="Times New Roman"/>
          <w:i/>
          <w:sz w:val="20"/>
        </w:rPr>
        <w:t>The Business Combination Proposal  Ancillary Agreements  Investor Rights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Armadas liquidity needs up to the IPO of August 17, 2021 had been satisfied through a promissory note from related parties to cover certain offering costs of $230,352. The amounts borrowed under the note were fully repaid as of August 17, 2021. Armadas sponsor has agreed that, commencing on the effective date of the IPO through the earlier of Armadas consummation of its initial business combination or the liquidation of the Trust Account, it will make available to Armada certain general and administrative services, including office space, utilities and administrative support, as Armada may require from time to time. Armada has agreed to pay $10,000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 month for these services. Armada believes, based on rents and fees for similar services, that these fees are at least as favorable as it could have obtained from an unaffiliated person. </w:t>
      </w:r>
    </w:p>
    <w:p>
      <w:pPr>
        <w:pStyle w:val="TextBody"/>
        <w:bidi w:val="0"/>
        <w:spacing w:before="240" w:after="0"/>
        <w:jc w:val="left"/>
        <w:rPr>
          <w:rFonts w:ascii="Times New Roman" w:hAnsi="Times New Roman"/>
          <w:sz w:val="20"/>
        </w:rPr>
      </w:pPr>
      <w:r>
        <w:rPr>
          <w:rFonts w:ascii="Times New Roman" w:hAnsi="Times New Roman"/>
          <w:sz w:val="20"/>
        </w:rPr>
        <w:t xml:space="preserve">On May 9, 2022, the Armadas sponsor loaned Armada the aggregate amount of $483,034 in order to assist Armada to fund its working capital needs. The loan is evidenced by two promissory notes in the aggregate principal amount of $483,034 from Armada, as maker, to Armadas sponsor, as payee. </w:t>
      </w:r>
    </w:p>
    <w:p>
      <w:pPr>
        <w:pStyle w:val="TextBody"/>
        <w:bidi w:val="0"/>
        <w:spacing w:before="240" w:after="0"/>
        <w:jc w:val="left"/>
        <w:rPr>
          <w:rFonts w:ascii="Times New Roman" w:hAnsi="Times New Roman"/>
          <w:sz w:val="20"/>
        </w:rPr>
      </w:pPr>
      <w:r>
        <w:rPr>
          <w:rFonts w:ascii="Times New Roman" w:hAnsi="Times New Roman"/>
          <w:sz w:val="20"/>
        </w:rPr>
        <w:t xml:space="preserve">On November 10, 2022, Armadas sponsor loaned Armada $1,500,000 in order to cover the additional contribution to the Trust Account in connection with its automatic extension and $450,000 to fund its working capital needs. The promissory notes are non-interest bearing and due on the earlier of: (i) the liquidation or release of all of the monies held in the Trust Account or (ii) the date on which Armada consummates an acquisition, merger or other business combination transaction involving Armada or its affiliates. The principal balance may be prepaid at any time. </w:t>
      </w:r>
    </w:p>
    <w:p>
      <w:pPr>
        <w:pStyle w:val="TextBody"/>
        <w:bidi w:val="0"/>
        <w:spacing w:before="240" w:after="0"/>
        <w:jc w:val="left"/>
        <w:rPr>
          <w:rFonts w:ascii="Times New Roman" w:hAnsi="Times New Roman"/>
          <w:sz w:val="20"/>
        </w:rPr>
      </w:pPr>
      <w:r>
        <w:rPr>
          <w:rFonts w:ascii="Times New Roman" w:hAnsi="Times New Roman"/>
          <w:sz w:val="20"/>
        </w:rPr>
        <w:t xml:space="preserve">During July 2022, Armada fully repaid one of the promissory notes in the amount of $187,034 which represented monies loaned to Armada for the payment of Delaware franchise taxes. Armada utilized the interest earned on the trust account to repay the promissory note. Armada also paid $44,246 on behalf of Armadas sponsor for tax services in August and September 2022. The aggregate balance outstanding under all promissory notes was $2,201,754 and $251,754 as of March 31, 2023 and September 30,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Pursuant to Armadas second amended and restated certificate of incorporation, Armada may extend the period of time to consummate a business combination up to a total of 24 months to complete a business combination. In order to effectuate such extension, Armadas sponsor or its affiliates or designees, upon ten days advance notice prior to the applicable deadline, must deposit into the Trust Account $1,500,000, or $0.10 per share. Any such payments would be made in the form of a loan made no later than three business days prior to the 15-month anniversary of the IPO. Any such loans will be non-interest bearing and payable upon the consummation of Armadas initial business combination. If Armada completes its initial business combination, Armada would repay such loaned amounts out of the proceeds of the Trust Account released to it. Armadas sponsor and its affiliates or designees are not obligated to fund the Trust Account to extend the time for Armada to complete our initial business combination. If Armada does not complete a business combination, such loans will not be repaid. </w:t>
      </w:r>
    </w:p>
    <w:p>
      <w:pPr>
        <w:pStyle w:val="TextBody"/>
        <w:bidi w:val="0"/>
        <w:spacing w:before="240" w:after="0"/>
        <w:jc w:val="left"/>
        <w:rPr>
          <w:rFonts w:ascii="Times New Roman" w:hAnsi="Times New Roman"/>
          <w:sz w:val="20"/>
        </w:rPr>
      </w:pPr>
      <w:r>
        <w:rPr>
          <w:rFonts w:ascii="Times New Roman" w:hAnsi="Times New Roman"/>
          <w:sz w:val="20"/>
        </w:rPr>
        <w:t xml:space="preserve">Armada has entered into agreements with our officers and directors to provide contractual indemnification in addition to the indemnification provided for in its amended and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Armada may also pay consulting, finder or success fees to its initial stockholders, officers, directors or their affiliates for assisting Armada in consummating its initial business combination with such fee to be determined in an arms length negotiation based on the terms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payments to CCM, the $10,000 per month administrative fee, the payment of consulting, success or finder fees to its sponsor, officers, directors, or their affiliates in connection with the consummation of Armadas initial business combination and repayment of the up to $300,000 loan, no compensation or fees of any kind will be paid to Armadas sponsor, members of Armadas management team or their respective affiliates, for services rendered prior to or in connection with the consummation of Armadas initial business combination (regardless of the type of transaction that it is). However, such individuals will receive reimbursement for any out-of-pocket expenses incurred by them in connection with activities on Armadas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consulting, success or finder fees payable by Armada upon consummation of an initial business combination. Additionally, there is no limit on the amount of out-of-pocket expenses reimbursable by Armada; provided, however, that to the extent such expenses exceed the available proceeds not deposited in the Trust Account, such expenses would not be reimbursed by us unless Armada consummates an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Armada Policy Regarding Transactions with Related Persons </w:t>
      </w:r>
    </w:p>
    <w:p>
      <w:pPr>
        <w:pStyle w:val="TextBody"/>
        <w:bidi w:val="0"/>
        <w:spacing w:before="120" w:after="0"/>
        <w:jc w:val="left"/>
        <w:rPr>
          <w:rFonts w:ascii="Times New Roman" w:hAnsi="Times New Roman"/>
          <w:sz w:val="20"/>
        </w:rPr>
      </w:pPr>
      <w:r>
        <w:rPr>
          <w:rFonts w:ascii="Times New Roman" w:hAnsi="Times New Roman"/>
          <w:sz w:val="20"/>
        </w:rPr>
        <w:t xml:space="preserve">Armadas Code of Ethics requires it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Armada or any of its subsidiaries is a participant, and (3) any (a) executive officer, director or nominee for election as a director, (b) greater than 5% beneficial owner of Armadas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 </w:t>
      </w:r>
    </w:p>
    <w:p>
      <w:pPr>
        <w:pStyle w:val="TextBody"/>
        <w:bidi w:val="0"/>
        <w:spacing w:before="240" w:after="0"/>
        <w:jc w:val="left"/>
        <w:rPr>
          <w:rFonts w:ascii="Times New Roman" w:hAnsi="Times New Roman"/>
          <w:sz w:val="20"/>
        </w:rPr>
      </w:pPr>
      <w:r>
        <w:rPr>
          <w:rFonts w:ascii="Times New Roman" w:hAnsi="Times New Roman"/>
          <w:sz w:val="20"/>
        </w:rPr>
        <w:t xml:space="preserve">Armadas audit committee, pursuant to its written charter, is responsible for reviewing and approving related-party transactions to the extent Armada enters into such transactions. The audit committee considers all relevant factors when determining whether to approve a related party transaction, including whether the related party transaction is on terms no less favorable to Armada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Armada also requires each of its directors and executive officers to complete a directors and officers questionnaire that elicits information about related 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These procedures are intended to determine whether any such related party transaction impairs the independence of a director or presents a conflict of interest on the part of a director, employee or officer. </w:t>
      </w:r>
    </w:p>
    <w:p>
      <w:pPr>
        <w:pStyle w:val="TextBody"/>
        <w:bidi w:val="0"/>
        <w:spacing w:before="240" w:after="0"/>
        <w:jc w:val="left"/>
        <w:rPr>
          <w:rFonts w:ascii="Times New Roman" w:hAnsi="Times New Roman"/>
          <w:sz w:val="20"/>
        </w:rPr>
      </w:pPr>
      <w:r>
        <w:rPr>
          <w:rFonts w:ascii="Times New Roman" w:hAnsi="Times New Roman"/>
          <w:sz w:val="20"/>
        </w:rPr>
        <w:t xml:space="preserve">To further minimize conflicts of interest, Armada has agreed not to consummate an initial business combination with an entity that is affiliated with any of its sponsor, officers or directors unless it has obtained an opinion from an independent investment banking firm, or another independent entity that commonly renders valuation opinions, that the business combination is fair to its unaffiliated stockholders from a financial point of view. Armada will also need to obtain approval of a majority of its disinterested independent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Rezolve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description of related-party transactions that Rezolve has entered into since January 1, 2019.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Relationship with Daniel Wagner </w:t>
      </w:r>
    </w:p>
    <w:p>
      <w:pPr>
        <w:pStyle w:val="TextBody"/>
        <w:bidi w:val="0"/>
        <w:spacing w:before="120" w:after="0"/>
        <w:jc w:val="left"/>
        <w:rPr>
          <w:rFonts w:ascii="Times New Roman" w:hAnsi="Times New Roman"/>
          <w:sz w:val="20"/>
        </w:rPr>
      </w:pPr>
      <w:r>
        <w:rPr>
          <w:rFonts w:ascii="Times New Roman" w:hAnsi="Times New Roman"/>
          <w:sz w:val="20"/>
        </w:rPr>
        <w:t xml:space="preserve">We have debt outstanding to DBLP Sea Cow Limited (a company incorporated in the Seychelles) (DBLP), which is wholly legally owned by Daniel Wagner and beneficially owned by John Wagner, in the amounts of $175,000 and $477,077, an aggregate of $652,077. The loans provided by DBLP were to provide liquidity to Rezolve in 2020 and 2021. There are no formal loan documents in place and the loan is non-interest bearing and remains callable at any time. We expect the loan to be called and repaid in H2 2023. </w:t>
      </w:r>
    </w:p>
    <w:p>
      <w:pPr>
        <w:pStyle w:val="TextBody"/>
        <w:bidi w:val="0"/>
        <w:spacing w:before="240" w:after="0"/>
        <w:jc w:val="left"/>
        <w:rPr>
          <w:rFonts w:ascii="Times New Roman" w:hAnsi="Times New Roman"/>
          <w:sz w:val="20"/>
        </w:rPr>
      </w:pPr>
      <w:r>
        <w:rPr>
          <w:rFonts w:ascii="Times New Roman" w:hAnsi="Times New Roman"/>
          <w:sz w:val="20"/>
        </w:rPr>
        <w:t xml:space="preserve">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Indemnification Agreements with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On or before Closing, Rezolve shall enter into indemnification agreements with each of its directors and officers. The agreements will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 </w:t>
      </w:r>
    </w:p>
    <w:p>
      <w:pPr>
        <w:pStyle w:val="TextBody"/>
        <w:bidi w:val="0"/>
        <w:spacing w:before="240" w:after="0"/>
        <w:jc w:val="left"/>
        <w:rPr>
          <w:rFonts w:ascii="Times New Roman" w:hAnsi="Times New Roman"/>
          <w:sz w:val="20"/>
        </w:rPr>
      </w:pPr>
      <w:r>
        <w:rPr>
          <w:rFonts w:ascii="Times New Roman" w:hAnsi="Times New Roman"/>
          <w:sz w:val="20"/>
        </w:rPr>
        <w:t xml:space="preserve">Rezolve will also purchase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Policies and Procedures for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Effective upon the Closing, the Rezolve board of directors will adopt a written related person transaction policy that will set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is, or at any time during the applicable period was, one of Rezolves executive officers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is known by Rezolve to be the beneficial owner of more than 5% of Rezolve voting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firm, corporation or other entity in which any of the foregoing persons is a partner or principal, or in a similar position, or in which such person has a 10% or greater beneficial ownership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Rezolve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Transactions Related to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Business Combination, the parties entered into a number of agreements, including the Transaction Support Agreements, the Convertible Loan Subscription Agreement, and the Investors Rights Agreement. For further information, see Business Combination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tx309194_28"/>
      <w:bookmarkEnd w:id="31"/>
      <w:r>
        <w:rPr>
          <w:rFonts w:ascii="Times New Roman" w:hAnsi="Times New Roman"/>
          <w:b/>
          <w:sz w:val="20"/>
        </w:rPr>
        <w:t xml:space="preserve">DESCRIPTION OF REZOLVE ORDINARY SHARES, ARTICLES OF </w:t>
      </w:r>
    </w:p>
    <w:p>
      <w:pPr>
        <w:pStyle w:val="TextBody"/>
        <w:bidi w:val="0"/>
        <w:spacing w:before="0" w:after="0"/>
        <w:jc w:val="center"/>
        <w:rPr>
          <w:rFonts w:ascii="Times New Roman" w:hAnsi="Times New Roman"/>
          <w:b/>
          <w:sz w:val="20"/>
        </w:rPr>
      </w:pPr>
      <w:r>
        <w:rPr>
          <w:rFonts w:ascii="Times New Roman" w:hAnsi="Times New Roman"/>
          <w:b/>
          <w:sz w:val="20"/>
        </w:rPr>
        <w:t xml:space="preserve">ASSOCIATION AND CERTAIN LEGAL CONSIDERATIONS </w:t>
      </w:r>
    </w:p>
    <w:p>
      <w:pPr>
        <w:pStyle w:val="TextBody"/>
        <w:bidi w:val="0"/>
        <w:spacing w:before="24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(i) a summary of certain information concerning Rezolves share capital, (ii) a description of certain provisions of Rezolves articles of association as will be in force with effect from Closing (the Articles), and (iii) a summary of relevant provisions of the UK Companies Act 2006 (as amended) (the UK Companies Act)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proxy statement/prospectus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Description of Rezolve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Rezolve Ordinary Shares to be issued in connection with the Merger will comprise a single class of ordinary shares with a nominal value of £0.001 each.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is a summary of Rezolve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Shares carry the right to receive dividends and distributions paid by Rezolve,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Rezolve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UK Companies Act, any equity securities issued by Rezolve for cash must first be offered to Rezolve shareholders in proportion to their existing holdings of Rezolve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UK Companies Act allows for the disapplication of pre-emption rights, which may be waived by a special resolution of not less than three quarters of Rezolve shareholders, either generally or specifically, for a maximum period not exceeding five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 </w:t>
      </w:r>
    </w:p>
    <w:p>
      <w:pPr>
        <w:pStyle w:val="TextBody"/>
        <w:bidi w:val="0"/>
        <w:spacing w:before="240" w:after="0"/>
        <w:jc w:val="left"/>
        <w:rPr>
          <w:rFonts w:ascii="Times New Roman" w:hAnsi="Times New Roman"/>
          <w:sz w:val="20"/>
        </w:rPr>
      </w:pPr>
      <w:r>
        <w:rPr>
          <w:rFonts w:ascii="Times New Roman" w:hAnsi="Times New Roman"/>
          <w:sz w:val="20"/>
        </w:rPr>
        <w:t xml:space="preserve">Rezolve may convert Rezolve Shares into deferred shares of £0.001 each in the capital of Rezolve (the Deferred Shares) in certain limited circumstances.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an employee or consultant (other than the Rezolve Founder) ceases to be an employee or consultant of or to Rezolve or any subsidiary (such that he or she is neither an employee or consultant of 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Rezolve or any subsidiary), then unless the board of directors of Rezolve resolves otherwise with the written consent of the Rezolve Founder, all the Rezolve Shares held by such holder and/or his permitted transferees shall automatically convert into Deferred Shares (on the basis of one Deferred Share for each Rezolve Share held) on the date of such cessation (rounded down to the nearest whole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 Register </w:t>
      </w:r>
    </w:p>
    <w:p>
      <w:pPr>
        <w:pStyle w:val="TextBody"/>
        <w:bidi w:val="0"/>
        <w:spacing w:before="120" w:after="0"/>
        <w:jc w:val="left"/>
        <w:rPr>
          <w:rFonts w:ascii="Times New Roman" w:hAnsi="Times New Roman"/>
          <w:sz w:val="20"/>
        </w:rPr>
      </w:pPr>
      <w:r>
        <w:rPr>
          <w:rFonts w:ascii="Times New Roman" w:hAnsi="Times New Roman"/>
          <w:sz w:val="20"/>
        </w:rPr>
        <w:t xml:space="preserve">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 </w:t>
      </w:r>
    </w:p>
    <w:p>
      <w:pPr>
        <w:pStyle w:val="TextBody"/>
        <w:bidi w:val="0"/>
        <w:spacing w:before="240" w:after="0"/>
        <w:jc w:val="left"/>
        <w:rPr>
          <w:rFonts w:ascii="Times New Roman" w:hAnsi="Times New Roman"/>
          <w:sz w:val="20"/>
        </w:rPr>
      </w:pPr>
      <w:r>
        <w:rPr>
          <w:rFonts w:ascii="Times New Roman" w:hAnsi="Times New Roman"/>
          <w:sz w:val="20"/>
        </w:rPr>
        <w:t xml:space="preserve">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 </w:t>
      </w:r>
    </w:p>
    <w:p>
      <w:pPr>
        <w:pStyle w:val="TextBody"/>
        <w:bidi w:val="0"/>
        <w:spacing w:before="240" w:after="0"/>
        <w:jc w:val="left"/>
        <w:rPr>
          <w:rFonts w:ascii="Times New Roman" w:hAnsi="Times New Roman"/>
          <w:sz w:val="20"/>
        </w:rPr>
      </w:pPr>
      <w:r>
        <w:rPr>
          <w:rFonts w:ascii="Times New Roman" w:hAnsi="Times New Roman"/>
          <w:sz w:val="20"/>
        </w:rPr>
        <w:t xml:space="preserve">Rezolve, any of its shareholders or any other affected person may apply to the court for rectification of the share register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any person, without sufficient cause, is wrongly entered in or omitted from Rezolves register of shareholders;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default or unnecessary delay in entering on the register the fact of any person having ceased to be a shareholder or on which Rezolve has a lien, provided that such refusal does not prevent dealings in the shares taking place on an open and proper basis.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Armada has in issue a number of Armada Units consisting of one share of Armada Common Stock and one-half of one redeemable Armada Warrant (which trades on Nasdaq under the symbol AACIW). Each whole Armada Warrant entitles the holder to purchase one share of Armada Common Stock at a price of $11.50 per share, subject to adjustment. Pursuant to the Business Combination Agreement, upon the consummation of the Business Combination, each issued and outstanding Armada Warrant immediately prior to the Merger Effective Time will be exchanged for                  Rezolve Warrant. The Rezolve Warrants will be on terms substantially the same as the terms of the existing Armada Warrants (other than terms in the latter that refer to the Business Combination and other than where incompatible with English law), and which are summarized below. </w:t>
      </w:r>
    </w:p>
    <w:p>
      <w:pPr>
        <w:pStyle w:val="TextBody"/>
        <w:bidi w:val="0"/>
        <w:spacing w:before="240" w:after="0"/>
        <w:jc w:val="left"/>
        <w:rPr>
          <w:rFonts w:ascii="Times New Roman" w:hAnsi="Times New Roman"/>
          <w:sz w:val="20"/>
        </w:rPr>
      </w:pPr>
      <w:r>
        <w:rPr>
          <w:rFonts w:ascii="Times New Roman" w:hAnsi="Times New Roman"/>
          <w:sz w:val="20"/>
        </w:rPr>
        <w:t xml:space="preserve">Each whole Rezolve Warrant will entitle the holder to purchase one Rezolve Ordinary Share at a price of $11.50 per share subject to adjustment as discussed below. The Rezolve Warrants will become exercisable 30 days after the completion of the Business Combination and terminating at 5:00pm New York City time on the earlier to occur of (i)                 years from the consummation of the Business Combination, (ii) the date on which the warrants are redeemed, and (iii) the liquidation of Rezolve, provided in each case that Rezolve has an effective registration statement under the Securities Act covering the Rezolve Ordinary Shares issuable upon exercise of the warrants and a current prospectus relating to them is available and such shares are registered, qualified or exempt from registration under the securities, or blue sky laws of the state of residence of the holder.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obligated to deliver any Rezolve Ordinary Shares pursuant to the exercise of a warrant and will have no obligation to settle such warrant exercise unless a registration statement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the Rezolve Ordinary Shares underlying the warrants is then effective and a prospectus relating thereto is current, subject to our satisfying our obligations described below with respect to registration. No warrant will be exercisable and we will not be obligated to issue a Rezolve Ordinary Share upon exercise of a warrant unless the Rezolve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as soon as practicable after the closing of the Business Combination, we will use our best efforts to file with the SEC a registration statement for the registration, under the Securities Act, of the Rezolve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Rezolve Warrant Agreement which will then apply to the Rezolve Warrants. </w:t>
      </w:r>
    </w:p>
    <w:p>
      <w:pPr>
        <w:pStyle w:val="TextBody"/>
        <w:bidi w:val="0"/>
        <w:spacing w:before="240" w:after="0"/>
        <w:jc w:val="left"/>
        <w:rPr>
          <w:rFonts w:ascii="Times New Roman" w:hAnsi="Times New Roman"/>
          <w:sz w:val="20"/>
        </w:rPr>
      </w:pPr>
      <w:r>
        <w:rPr>
          <w:rFonts w:ascii="Times New Roman" w:hAnsi="Times New Roman"/>
          <w:i/>
          <w:sz w:val="20"/>
        </w:rPr>
        <w:t>Redemption of Rezolve</w:t>
      </w:r>
      <w:r>
        <w:rPr>
          <w:rFonts w:ascii="Times New Roman" w:hAnsi="Times New Roman"/>
          <w:sz w:val="20"/>
        </w:rPr>
        <w:t xml:space="preserve"> </w:t>
      </w:r>
      <w:r>
        <w:rPr>
          <w:rFonts w:ascii="Times New Roman" w:hAnsi="Times New Roman"/>
          <w:i/>
          <w:sz w:val="20"/>
        </w:rPr>
        <w:t>Warrants when the price per Rezolve</w:t>
      </w:r>
      <w:r>
        <w:rPr>
          <w:rFonts w:ascii="Times New Roman" w:hAnsi="Times New Roman"/>
          <w:sz w:val="20"/>
        </w:rPr>
        <w:t xml:space="preserve"> </w:t>
      </w:r>
      <w:r>
        <w:rPr>
          <w:rFonts w:ascii="Times New Roman" w:hAnsi="Times New Roman"/>
          <w:i/>
          <w:sz w:val="20"/>
        </w:rPr>
        <w:t>Ordinary Share equals or exceeds $18.00.</w:t>
      </w:r>
      <w:r>
        <w:rPr>
          <w:rFonts w:ascii="Times New Roman" w:hAnsi="Times New Roman"/>
          <w:sz w:val="20"/>
        </w:rPr>
        <w:t xml:space="preserve"> Once the warrants become exercisable, we may redeem the outstanding warrants (subject to any restrictions under the UK Companies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 minimum of 30 days prior written notice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closing price of the Rezolve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Rezolve Ordinary Shares may fall below the $18.00 redemption trigger price (as adjusted for share sub-divisions, share capitalizations, reorganizations, recapitalizations and the like) as well as the $11.50 warrant exercise price after the redemption notice is issued. </w:t>
      </w:r>
    </w:p>
    <w:p>
      <w:pPr>
        <w:pStyle w:val="TextBody"/>
        <w:bidi w:val="0"/>
        <w:spacing w:before="240" w:after="0"/>
        <w:jc w:val="left"/>
        <w:rPr>
          <w:rFonts w:ascii="Times New Roman" w:hAnsi="Times New Roman"/>
          <w:sz w:val="20"/>
        </w:rPr>
      </w:pPr>
      <w:r>
        <w:rPr>
          <w:rFonts w:ascii="Times New Roman" w:hAnsi="Times New Roman"/>
          <w:sz w:val="20"/>
        </w:rPr>
        <w:t xml:space="preserve">If Rezolve calls the warrants for redemption as described above, Rezolves management will have the discretion to require all holders that wish to exercise Rezolve Warrants to do so on a cashless basis but only if permitted under English law. In such event, each holder would pay the exercise price by surrendering the Rezolve Warrants for that number of Rezolve Ordinary Shares equal to the quotient obtained by dividing (x) the product of the number of Rezolve Ordinary Shares underlying the Rezolve Warrants, multiplied by the difference between the exercise price of the Rezolve Warrants and the fair market value (defined below) by (y) the fair market value. The fair market value for this purpose shall mean the average reported last sale price of the Rezolve Ordinary Shares for the five trading days ending on the third trading day prior to the date on which the notice of redemption is sent to the holders of Rezolve Warrants. The ability for warrants to be exercised on such a cashless basis will be in the sole discretion of Rezolve and subject to any restrictions under the UK Companies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fractional Rezolve Ordinary Shares will be issued upon exercise. If, upon exercise, a holder would be entitled to receive a fractional interest in a share, we will round down to the nearest whole number of Rezolve Ordinary Shares to be issued to the holder. If, at the time of redemption, the warrants are exercisable for a security other than the Rezolve Ordinary Shares pursuant to the applicable Warrant Agreement, the warrants may be exercised for such security. At such time as the warrants become exercisable for a security other than the Rezolve Ordinary Shares, Rezolve (or surviving company) will use its commercially reasonable efforts to register under the Securities Act the security issuable upon the exercise of the warrants </w:t>
      </w:r>
    </w:p>
    <w:p>
      <w:pPr>
        <w:pStyle w:val="TextBody"/>
        <w:bidi w:val="0"/>
        <w:spacing w:before="240" w:after="0"/>
        <w:jc w:val="left"/>
        <w:rPr>
          <w:rFonts w:ascii="Times New Roman" w:hAnsi="Times New Roman"/>
          <w:sz w:val="20"/>
        </w:rPr>
      </w:pPr>
      <w:r>
        <w:rPr>
          <w:rFonts w:ascii="Times New Roman" w:hAnsi="Times New Roman"/>
          <w:i/>
          <w:sz w:val="20"/>
        </w:rPr>
        <w:t>Holder Election to Limit Exercise</w:t>
      </w:r>
      <w:r>
        <w:rPr>
          <w:rFonts w:ascii="Times New Roman" w:hAnsi="Times New Roman"/>
          <w:sz w:val="20"/>
        </w:rPr>
        <w:t xml:space="preserve">.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(as specified by the holder) of the Rezolve Ordinary Shares outstanding immediately after giving effect to such exercise. </w:t>
      </w:r>
    </w:p>
    <w:p>
      <w:pPr>
        <w:pStyle w:val="TextBody"/>
        <w:bidi w:val="0"/>
        <w:spacing w:before="240" w:after="0"/>
        <w:jc w:val="left"/>
        <w:rPr>
          <w:rFonts w:ascii="Times New Roman" w:hAnsi="Times New Roman"/>
          <w:sz w:val="20"/>
        </w:rPr>
      </w:pPr>
      <w:r>
        <w:rPr>
          <w:rFonts w:ascii="Times New Roman" w:hAnsi="Times New Roman"/>
          <w:i/>
          <w:sz w:val="20"/>
        </w:rPr>
        <w:t>Anti-Dilution Adjustments</w:t>
      </w:r>
      <w:r>
        <w:rPr>
          <w:rFonts w:ascii="Times New Roman" w:hAnsi="Times New Roman"/>
          <w:sz w:val="20"/>
        </w:rPr>
        <w:t xml:space="preserve">. If the number of outstanding Rezolve Ordinary Shares is increased by a stock dividend payable in Rezolve Ordinary Shares, or by a split up of common stock or other similar event, then, on the effective date of such share capitalization, sub-division or similar event, the number of Rezolve Ordinary Shares issuable on exercise of each warrant will be increased in proportion to such increase in the outstanding shares of common stock. A rights offering made to all or substantially all holders of common stock entitling holders to purchase Rezolve Ordinary Shares at a price less than the fair market value will be deemed a share capitalization of a number of Rezolve Ordinary Shares equal to the product of (i) the number of Rezolve Ordinary Shares actually sold in such rights offering (or issuable under any other equity securities sold in such rights offering that are convertible into or exercisable for Rezolve Ordinary Shares) and (ii) one minus the quotient of (x) the price per Rezolve Ordinary Share paid in such rights offering and (y) the fair market value. For these purposes (i) if the rights offering is for securities convertible into or exercisable for Rezolve Ordinary Shares, in determining the price payable for Rezolve Ordinary Shares, there will be taken into account any consideration received for such rights, as well as any additional amount payable upon exercise or conversion and (ii) fair market value means the volume weighted average price of Rezolve Ordinary Shares as reported during the ten (10) trading day period ending on the trading day prior to the first date on which the Rezolve Ordinary Shares trade on the applicable exchange or in the applicable market, regular way, without the right to receive such rights.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outstanding Rezolve Ordinary Shares is decreased by a consolidation, combination, reverse stock split or reclassification of Rezolve Ordinary Shares or other similar event, then, on the effective date of such consolidation, combination, reverse share sub-division, reclassification or similar event, the number of Rezolve Ordinary Shares issuable on exercise of each warrant will be decreased in proportion to such decrease in outstanding Rezolve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Whenever the number of Rezolve Ordinary Shares purchasable upon the exercise of the warrants is adjusted, as described above, the warrant exercise price will be adjusted by multiplying the warrant exercise price immediately prior to such adjustment by a fraction (x) the numerator of which will be the number of Rezolve Ordinary Shares purchasable upon the exercise of the warrants immediately prior to such adjustment, and (y) the denominator of which will be the number of Rezolve Ordinary Shares so purchasable immediately thereafter.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reclassification or reorganization of the outstanding Rezolve Ordinary Shares (other than those described above or that solely affects the par value of such Rezolve Ordinary Shares), or in the case of any merger or consolidation of us with or into another corporation (other than a consolidation or merger in which we are the continuing corporation and that does not result in any reclassification or reorganization of our issued and outstanding Rezolve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Rezolve Ordinary Shares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theretofore purchasable and receivable upon the exercise of the rights represented thereby, the kind and amount of Rezolve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w:t>
      </w:r>
    </w:p>
    <w:p>
      <w:pPr>
        <w:pStyle w:val="TextBody"/>
        <w:bidi w:val="0"/>
        <w:spacing w:before="240" w:after="0"/>
        <w:jc w:val="left"/>
        <w:rPr>
          <w:rFonts w:ascii="Times New Roman" w:hAnsi="Times New Roman"/>
          <w:sz w:val="20"/>
        </w:rPr>
      </w:pPr>
      <w:r>
        <w:rPr>
          <w:rFonts w:ascii="Times New Roman" w:hAnsi="Times New Roman"/>
          <w:sz w:val="20"/>
        </w:rPr>
        <w:t xml:space="preserve">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Rezolve Ordinary Shares and any voting rights until they exercise their warrants and receive Rezolve Ordinary Shares. After the issuance of Rezolve Ordinary Shares upon exercise of the warrants, each holder will be entitled to one vote for each share held of record on all matters to be voted on by shareholders. </w:t>
      </w:r>
    </w:p>
    <w:p>
      <w:pPr>
        <w:pStyle w:val="TextBody"/>
        <w:bidi w:val="0"/>
        <w:spacing w:before="240" w:after="0"/>
        <w:jc w:val="left"/>
        <w:rPr>
          <w:rFonts w:ascii="Times New Roman" w:hAnsi="Times New Roman"/>
          <w:sz w:val="20"/>
        </w:rPr>
      </w:pPr>
      <w:r>
        <w:rPr>
          <w:rFonts w:ascii="Times New Roman" w:hAnsi="Times New Roman"/>
          <w:sz w:val="20"/>
        </w:rPr>
        <w:t>We have agreed that, subject to applicable law, any action, proceeding or claim against us arising out of or relating in any way to the Armada Warrant Agreement will be brought and enforced in the courts of the State of New York or the United States District Court for the Southern District of New York, and we irrevocably submit to such jurisdiction, which jurisdiction will be the exclusive forums for any such action, proceeding or claim. See </w:t>
      </w:r>
      <w:r>
        <w:rPr>
          <w:rFonts w:ascii="Times New Roman" w:hAnsi="Times New Roman"/>
          <w:i/>
          <w:sz w:val="20"/>
        </w:rPr>
        <w:t>Risk FactorsThe Armada Warrant Agreement</w:t>
      </w:r>
      <w:r>
        <w:rPr>
          <w:rFonts w:ascii="Times New Roman" w:hAnsi="Times New Roman"/>
          <w:sz w:val="20"/>
        </w:rPr>
        <w:t xml:space="preserve"> </w:t>
      </w:r>
      <w:r>
        <w:rPr>
          <w:rFonts w:ascii="Times New Roman" w:hAnsi="Times New Roman"/>
          <w:i/>
          <w:sz w:val="20"/>
        </w:rPr>
        <w:t>designates the courts of the State of New York or the United States District Court for the Southern District of New York as the sole and exclusive forums for certain types of actions and proceedings that may be initiated by holders of</w:t>
      </w:r>
      <w:r>
        <w:rPr>
          <w:rFonts w:ascii="Times New Roman" w:hAnsi="Times New Roman"/>
          <w:sz w:val="20"/>
        </w:rPr>
        <w:t xml:space="preserve"> </w:t>
      </w:r>
      <w:r>
        <w:rPr>
          <w:rFonts w:ascii="Times New Roman" w:hAnsi="Times New Roman"/>
          <w:i/>
          <w:sz w:val="20"/>
        </w:rPr>
        <w:t>Rezolve Warrants, which could limit the ability of warrant holders to obtain a favorable judicial forum for disputes with Rezolve.</w:t>
      </w:r>
      <w:r>
        <w:rPr>
          <w:rFonts w:ascii="Times New Roman" w:hAnsi="Times New Roman"/>
          <w:sz w:val="20"/>
        </w:rPr>
        <w:t xml:space="preserve"> This provision applies to claims under the Securities Act but does not apply to claims under the Exchange Act or any claim for which the federal district courts of the United States of America are the sole and exclusive forum. </w:t>
      </w:r>
    </w:p>
    <w:p>
      <w:pPr>
        <w:pStyle w:val="TextBody"/>
        <w:bidi w:val="0"/>
        <w:spacing w:before="360" w:after="0"/>
        <w:jc w:val="left"/>
        <w:rPr>
          <w:rFonts w:ascii="Times New Roman" w:hAnsi="Times New Roman"/>
          <w:b/>
          <w:sz w:val="20"/>
        </w:rPr>
      </w:pPr>
      <w:r>
        <w:rPr>
          <w:rFonts w:ascii="Times New Roman" w:hAnsi="Times New Roman"/>
          <w:b/>
          <w:sz w:val="20"/>
        </w:rPr>
        <w:t xml:space="preserve">Articles of Association of Rezolve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information is a summary of the material terms of the Rezolve Shares as specified in the Articles. The following summary does not purport to be complete and is qualified in its entirety by reference to the Articles.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UK Companies Act, any share may be issued which is to be redeemed or is to be liable to be redeemed at the option of Rezolve or the holder, on such terms, conditions and in such manner as Rezolves board of directors may determine.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and quorum </w:t>
      </w:r>
    </w:p>
    <w:p>
      <w:pPr>
        <w:pStyle w:val="TextBody"/>
        <w:bidi w:val="0"/>
        <w:spacing w:before="120" w:after="0"/>
        <w:jc w:val="left"/>
        <w:rPr>
          <w:rFonts w:ascii="Times New Roman" w:hAnsi="Times New Roman"/>
          <w:sz w:val="20"/>
        </w:rPr>
      </w:pPr>
      <w:r>
        <w:rPr>
          <w:rFonts w:ascii="Times New Roman" w:hAnsi="Times New Roman"/>
          <w:sz w:val="20"/>
        </w:rPr>
        <w:t xml:space="preserve">Subject as provided below and to any rights or restrictions attached to any shares from time to time, every member who is present in person or by a duly appointed proxy at a general meeting shall on a poll have one vote for each share of which he or she is the holder. </w:t>
      </w:r>
    </w:p>
    <w:p>
      <w:pPr>
        <w:pStyle w:val="TextBody"/>
        <w:bidi w:val="0"/>
        <w:spacing w:before="240" w:after="0"/>
        <w:jc w:val="left"/>
        <w:rPr>
          <w:rFonts w:ascii="Times New Roman" w:hAnsi="Times New Roman"/>
          <w:sz w:val="20"/>
        </w:rPr>
      </w:pPr>
      <w:r>
        <w:rPr>
          <w:rFonts w:ascii="Times New Roman" w:hAnsi="Times New Roman"/>
          <w:sz w:val="20"/>
        </w:rPr>
        <w:t xml:space="preserve">The aggregate number of votes attaching to all the shares held by Daniel Wagner as the Rezolve Founder or in which he is interested shall be equal to the higher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75% of the votes attaching to all shares in the capital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number of votes that would otherwise have been conferred on Daniel Wagner.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Restrictions on Voting </w:t>
      </w:r>
    </w:p>
    <w:p>
      <w:pPr>
        <w:pStyle w:val="TextBody"/>
        <w:bidi w:val="0"/>
        <w:spacing w:before="120" w:after="0"/>
        <w:jc w:val="left"/>
        <w:rPr>
          <w:rFonts w:ascii="Times New Roman" w:hAnsi="Times New Roman"/>
          <w:sz w:val="20"/>
        </w:rPr>
      </w:pPr>
      <w:r>
        <w:rPr>
          <w:rFonts w:ascii="Times New Roman" w:hAnsi="Times New Roman"/>
          <w:sz w:val="20"/>
        </w:rPr>
        <w:t xml:space="preserve">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Variation of Rights </w:t>
      </w:r>
    </w:p>
    <w:p>
      <w:pPr>
        <w:pStyle w:val="TextBody"/>
        <w:bidi w:val="0"/>
        <w:spacing w:before="120" w:after="0"/>
        <w:jc w:val="left"/>
        <w:rPr>
          <w:rFonts w:ascii="Times New Roman" w:hAnsi="Times New Roman"/>
          <w:sz w:val="20"/>
        </w:rPr>
      </w:pPr>
      <w:r>
        <w:rPr>
          <w:rFonts w:ascii="Times New Roman" w:hAnsi="Times New Roman"/>
          <w:sz w:val="20"/>
        </w:rPr>
        <w:t xml:space="preserve">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 </w:t>
      </w:r>
    </w:p>
    <w:p>
      <w:pPr>
        <w:pStyle w:val="TextBody"/>
        <w:bidi w:val="0"/>
        <w:spacing w:before="240" w:after="0"/>
        <w:jc w:val="left"/>
        <w:rPr>
          <w:rFonts w:ascii="Times New Roman" w:hAnsi="Times New Roman"/>
          <w:sz w:val="20"/>
        </w:rPr>
      </w:pPr>
      <w:r>
        <w:rPr>
          <w:rFonts w:ascii="Times New Roman" w:hAnsi="Times New Roman"/>
          <w:sz w:val="20"/>
        </w:rPr>
        <w:t xml:space="preserve">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 transfers </w:t>
      </w:r>
    </w:p>
    <w:p>
      <w:pPr>
        <w:pStyle w:val="TextBody"/>
        <w:bidi w:val="0"/>
        <w:spacing w:before="120" w:after="0"/>
        <w:jc w:val="left"/>
        <w:rPr>
          <w:rFonts w:ascii="Times New Roman" w:hAnsi="Times New Roman"/>
          <w:sz w:val="20"/>
        </w:rPr>
      </w:pPr>
      <w:r>
        <w:rPr>
          <w:rFonts w:ascii="Times New Roman" w:hAnsi="Times New Roman"/>
          <w:sz w:val="20"/>
        </w:rPr>
        <w:t xml:space="preserve">The Ordinary Shares are in registered form. Any Ordinary Shares may be held in uncertificated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transferor of an ordinary share is deemed to remain the holder until the transferees name is entered in the share register.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 </w:t>
      </w:r>
    </w:p>
    <w:p>
      <w:pPr>
        <w:pStyle w:val="TextBody"/>
        <w:bidi w:val="0"/>
        <w:spacing w:before="240" w:after="0"/>
        <w:jc w:val="left"/>
        <w:rPr>
          <w:rFonts w:ascii="Times New Roman" w:hAnsi="Times New Roman"/>
          <w:sz w:val="20"/>
        </w:rPr>
      </w:pPr>
      <w:r>
        <w:rPr>
          <w:rFonts w:ascii="Times New Roman" w:hAnsi="Times New Roman"/>
          <w:sz w:val="20"/>
        </w:rPr>
        <w:t xml:space="preserve">All dividends on shares are to be paid according to the amounts paid up on their nominal value, or otherwise in accordance with the terms concerning entitlement to dividends on which shares were issued. </w:t>
      </w:r>
    </w:p>
    <w:p>
      <w:pPr>
        <w:pStyle w:val="TextBody"/>
        <w:bidi w:val="0"/>
        <w:spacing w:before="240" w:after="0"/>
        <w:jc w:val="left"/>
        <w:rPr>
          <w:rFonts w:ascii="Times New Roman" w:hAnsi="Times New Roman"/>
          <w:sz w:val="20"/>
        </w:rPr>
      </w:pPr>
      <w:r>
        <w:rPr>
          <w:rFonts w:ascii="Times New Roman" w:hAnsi="Times New Roman"/>
          <w:sz w:val="20"/>
        </w:rPr>
        <w:t xml:space="preserve">All unclaimed dividends may be made use of by Rezolves board of directors for Rezolves benefit until claimed. </w:t>
      </w:r>
    </w:p>
    <w:p>
      <w:pPr>
        <w:pStyle w:val="TextBody"/>
        <w:bidi w:val="0"/>
        <w:spacing w:before="240" w:after="0"/>
        <w:jc w:val="left"/>
        <w:rPr>
          <w:rFonts w:ascii="Times New Roman" w:hAnsi="Times New Roman"/>
          <w:sz w:val="20"/>
        </w:rPr>
      </w:pPr>
      <w:r>
        <w:rPr>
          <w:rFonts w:ascii="Times New Roman" w:hAnsi="Times New Roman"/>
          <w:sz w:val="20"/>
        </w:rPr>
        <w:t xml:space="preserve">Any dividend unclaimed for a period of 10 years from the date when it was declared or became due for payment shall revert to Rezolve. </w:t>
      </w:r>
    </w:p>
    <w:p>
      <w:pPr>
        <w:pStyle w:val="TextBody"/>
        <w:bidi w:val="0"/>
        <w:spacing w:before="240" w:after="0"/>
        <w:jc w:val="left"/>
        <w:rPr>
          <w:rFonts w:ascii="Times New Roman" w:hAnsi="Times New Roman"/>
          <w:sz w:val="20"/>
        </w:rPr>
      </w:pPr>
      <w:r>
        <w:rPr>
          <w:rFonts w:ascii="Times New Roman" w:hAnsi="Times New Roman"/>
          <w:sz w:val="20"/>
        </w:rPr>
        <w:t xml:space="preserve">Rezolves board of directors may, by way of ordinary resolution (being a resolution passed by a 50% majority of Rezolve shareholders in person or by proxy), from time to time offer any holders of a particular class of shares the right to elect to receive further fully paid shares of that class by way of scrip dividend instead of cash in respect of any dividend.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 </w:t>
      </w:r>
    </w:p>
    <w:p>
      <w:pPr>
        <w:pStyle w:val="TextBody"/>
        <w:bidi w:val="0"/>
        <w:spacing w:before="240" w:after="0"/>
        <w:jc w:val="left"/>
        <w:rPr>
          <w:rFonts w:ascii="Times New Roman" w:hAnsi="Times New Roman"/>
          <w:sz w:val="20"/>
        </w:rPr>
      </w:pPr>
      <w:r>
        <w:rPr>
          <w:rFonts w:ascii="Times New Roman" w:hAnsi="Times New Roman"/>
          <w:sz w:val="20"/>
        </w:rPr>
        <w:t xml:space="preserve">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member who is entitled to attend and vote at a general meeting is entitled to appoint another person, or two or more persons in respect of different classes of shares held by him, as his proxy to exercise all or any of his rights to attend, to speak and to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voting rights of each member at a general meeting are as set out under the heading Voting Rights and Quorum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Alteration of share capital </w:t>
      </w:r>
    </w:p>
    <w:p>
      <w:pPr>
        <w:pStyle w:val="TextBody"/>
        <w:bidi w:val="0"/>
        <w:spacing w:before="120" w:after="0"/>
        <w:jc w:val="left"/>
        <w:rPr>
          <w:rFonts w:ascii="Times New Roman" w:hAnsi="Times New Roman"/>
          <w:sz w:val="20"/>
        </w:rPr>
      </w:pPr>
      <w:r>
        <w:rPr>
          <w:rFonts w:ascii="Times New Roman" w:hAnsi="Times New Roman"/>
          <w:sz w:val="20"/>
        </w:rPr>
        <w:t xml:space="preserve">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 </w:t>
      </w:r>
    </w:p>
    <w:p>
      <w:pPr>
        <w:pStyle w:val="TextBody"/>
        <w:bidi w:val="0"/>
        <w:spacing w:before="240" w:after="0"/>
        <w:jc w:val="left"/>
        <w:rPr>
          <w:rFonts w:ascii="Times New Roman" w:hAnsi="Times New Roman"/>
          <w:sz w:val="20"/>
        </w:rPr>
      </w:pPr>
      <w:r>
        <w:rPr>
          <w:rFonts w:ascii="Times New Roman" w:hAnsi="Times New Roman"/>
          <w:sz w:val="20"/>
        </w:rPr>
        <w:t xml:space="preserve">Rezolve may agree with any member terms and conditions upon which all or any part of the Ordinary Shares held by such member from time to time shall be automatically converted into deferred shares.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the Rezolve held in                  , the second class being eligible for re-election at the annual general meeting of the Rezolve held in                  and the third class being eligible for re-election at the annual general meeting of the Rezolve held in                 .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on Winding Up </w:t>
      </w:r>
    </w:p>
    <w:p>
      <w:pPr>
        <w:pStyle w:val="TextBody"/>
        <w:bidi w:val="0"/>
        <w:spacing w:before="120" w:after="0"/>
        <w:jc w:val="left"/>
        <w:rPr>
          <w:rFonts w:ascii="Times New Roman" w:hAnsi="Times New Roman"/>
          <w:sz w:val="20"/>
        </w:rPr>
      </w:pPr>
      <w:r>
        <w:rPr>
          <w:rFonts w:ascii="Times New Roman" w:hAnsi="Times New Roman"/>
          <w:sz w:val="20"/>
        </w:rPr>
        <w:t xml:space="preserve">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Number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Unless and until otherwise determined by an ordinary resolution of shareholders, Rezolve may not have less than three directors and there shall be no maximum number of persons permitted to sit on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Rezolves board will be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Appointment of Directors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 </w:t>
      </w:r>
    </w:p>
    <w:p>
      <w:pPr>
        <w:pStyle w:val="TextBody"/>
        <w:bidi w:val="0"/>
        <w:spacing w:before="240" w:after="0"/>
        <w:jc w:val="left"/>
        <w:rPr>
          <w:rFonts w:ascii="Times New Roman" w:hAnsi="Times New Roman"/>
          <w:sz w:val="20"/>
        </w:rPr>
      </w:pPr>
      <w:r>
        <w:rPr>
          <w:rFonts w:ascii="Times New Roman" w:hAnsi="Times New Roman"/>
          <w:sz w:val="20"/>
        </w:rPr>
        <w:t xml:space="preserve">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 </w:t>
      </w:r>
    </w:p>
    <w:p>
      <w:pPr>
        <w:pStyle w:val="TextBody"/>
        <w:bidi w:val="0"/>
        <w:spacing w:before="240" w:after="0"/>
        <w:jc w:val="left"/>
        <w:rPr>
          <w:rFonts w:ascii="Times New Roman" w:hAnsi="Times New Roman"/>
          <w:sz w:val="20"/>
        </w:rPr>
      </w:pPr>
      <w:r>
        <w:rPr>
          <w:rFonts w:ascii="Times New Roman" w:hAnsi="Times New Roman"/>
          <w:sz w:val="20"/>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Retirement of Directors </w:t>
      </w:r>
    </w:p>
    <w:p>
      <w:pPr>
        <w:pStyle w:val="TextBody"/>
        <w:bidi w:val="0"/>
        <w:spacing w:before="120" w:after="0"/>
        <w:jc w:val="left"/>
        <w:rPr>
          <w:rFonts w:ascii="Times New Roman" w:hAnsi="Times New Roman"/>
          <w:sz w:val="20"/>
        </w:rPr>
      </w:pPr>
      <w:r>
        <w:rPr>
          <w:rFonts w:ascii="Times New Roman" w:hAnsi="Times New Roman"/>
          <w:sz w:val="20"/>
        </w:rPr>
        <w:t xml:space="preserve">Each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Directors Interests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requirements of the UK Companies Act, a director who is any way, whether directly or indirectly, interested in a proposed or existing transaction or arrangement with Rezolve shall declare the nature of his interest at a meeting of the directors. </w:t>
      </w:r>
    </w:p>
    <w:p>
      <w:pPr>
        <w:pStyle w:val="TextBody"/>
        <w:bidi w:val="0"/>
        <w:spacing w:before="240" w:after="0"/>
        <w:jc w:val="left"/>
        <w:rPr>
          <w:rFonts w:ascii="Times New Roman" w:hAnsi="Times New Roman"/>
          <w:sz w:val="20"/>
        </w:rPr>
      </w:pPr>
      <w:r>
        <w:rPr>
          <w:rFonts w:ascii="Times New Roman" w:hAnsi="Times New Roman"/>
          <w:sz w:val="20"/>
        </w:rPr>
        <w:t xml:space="preserve">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 </w:t>
      </w:r>
    </w:p>
    <w:p>
      <w:pPr>
        <w:pStyle w:val="TextBody"/>
        <w:bidi w:val="0"/>
        <w:spacing w:before="240" w:after="0"/>
        <w:jc w:val="left"/>
        <w:rPr>
          <w:rFonts w:ascii="Times New Roman" w:hAnsi="Times New Roman"/>
          <w:sz w:val="20"/>
        </w:rPr>
      </w:pPr>
      <w:r>
        <w:rPr>
          <w:rFonts w:ascii="Times New Roman" w:hAnsi="Times New Roman"/>
          <w:sz w:val="20"/>
        </w:rPr>
        <w:t xml:space="preserve">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 </w:t>
      </w:r>
    </w:p>
    <w:p>
      <w:pPr>
        <w:pStyle w:val="TextBody"/>
        <w:bidi w:val="0"/>
        <w:spacing w:before="240" w:after="0"/>
        <w:jc w:val="left"/>
        <w:rPr>
          <w:rFonts w:ascii="Times New Roman" w:hAnsi="Times New Roman"/>
          <w:sz w:val="20"/>
        </w:rPr>
      </w:pPr>
      <w:r>
        <w:rPr>
          <w:rFonts w:ascii="Times New Roman" w:hAnsi="Times New Roman"/>
          <w:sz w:val="20"/>
        </w:rPr>
        <w:t xml:space="preserve">A director shall be entitled to vote (and be counted in the quorum) in respect of any resolution concerning any of the following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contract, transaction or arrangement in which the director is interested by virtue of an interest in shares, debentures or other securities of Rezolve or any of its subsidiary undertakings;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indemnification by Rezolve in relation to the performance of the directors duties on behalf of the Company or any of its subsidiary undertakings;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or arrangement concerning another company in which the director does not hold, directly or indirectly, an interest representing one per cent or more of any class of the equity share capital of such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arrangement for the benefit of employees of Rezolve or of any of its subsidiary undertakings which does not accord to the director any privilege or benefit not generally accorded to the employees to whom the contract or arrangement relates;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or maintenance of insurance either for or for the benefit of any director or for persons who include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UK Companies Act, the Company may, by ordinary resolution, suspend the above provisions to any extent or ratify any transaction or arrangement not duly authorized by reason of a contravention of these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Directors Fees and Remuneration </w:t>
      </w:r>
    </w:p>
    <w:p>
      <w:pPr>
        <w:pStyle w:val="TextBody"/>
        <w:bidi w:val="0"/>
        <w:spacing w:before="120" w:after="0"/>
        <w:jc w:val="left"/>
        <w:rPr>
          <w:rFonts w:ascii="Times New Roman" w:hAnsi="Times New Roman"/>
          <w:sz w:val="20"/>
        </w:rPr>
      </w:pPr>
      <w:r>
        <w:rPr>
          <w:rFonts w:ascii="Times New Roman" w:hAnsi="Times New Roman"/>
          <w:sz w:val="20"/>
        </w:rPr>
        <w:t xml:space="preserve">Special remuneration may be granted to any director who performs any special or extra services to, or at the request of, Rezolve, to be paid by way of lump sum, salary, commission, participation in profits or otherwise as the Rezolve board of directors may decide. </w:t>
      </w:r>
    </w:p>
    <w:p>
      <w:pPr>
        <w:pStyle w:val="TextBody"/>
        <w:bidi w:val="0"/>
        <w:spacing w:before="240" w:after="0"/>
        <w:jc w:val="left"/>
        <w:rPr>
          <w:rFonts w:ascii="Times New Roman" w:hAnsi="Times New Roman"/>
          <w:sz w:val="20"/>
        </w:rPr>
      </w:pPr>
      <w:r>
        <w:rPr>
          <w:rFonts w:ascii="Times New Roman" w:hAnsi="Times New Roman"/>
          <w:sz w:val="20"/>
        </w:rPr>
        <w:t xml:space="preserve">Each director may be paid all proper and reasonable expenses incurred in the discharge of the directors duties, including attending and returning from meetings of the directors or committees of the directors or general meetings of Rezolve.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Borrowing Powers </w:t>
      </w:r>
    </w:p>
    <w:p>
      <w:pPr>
        <w:pStyle w:val="TextBody"/>
        <w:bidi w:val="0"/>
        <w:spacing w:before="120" w:after="0"/>
        <w:jc w:val="left"/>
        <w:rPr>
          <w:rFonts w:ascii="Times New Roman" w:hAnsi="Times New Roman"/>
          <w:sz w:val="20"/>
        </w:rPr>
      </w:pPr>
      <w:r>
        <w:rPr>
          <w:rFonts w:ascii="Times New Roman" w:hAnsi="Times New Roman"/>
          <w:sz w:val="20"/>
        </w:rPr>
        <w:t xml:space="preserve">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Indemnity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Other English Law Considerations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Mandatory Purchases and Acquisitions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 </w:t>
      </w:r>
    </w:p>
    <w:p>
      <w:pPr>
        <w:pStyle w:val="TextBody"/>
        <w:bidi w:val="0"/>
        <w:spacing w:before="240" w:after="0"/>
        <w:jc w:val="left"/>
        <w:rPr>
          <w:rFonts w:ascii="Times New Roman" w:hAnsi="Times New Roman"/>
          <w:sz w:val="20"/>
        </w:rPr>
      </w:pPr>
      <w:r>
        <w:rPr>
          <w:rFonts w:ascii="Times New Roman" w:hAnsi="Times New Roman"/>
          <w:sz w:val="20"/>
        </w:rPr>
        <w:t xml:space="preserve">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Sell Out </w:t>
      </w:r>
    </w:p>
    <w:p>
      <w:pPr>
        <w:pStyle w:val="TextBody"/>
        <w:bidi w:val="0"/>
        <w:spacing w:before="120" w:after="0"/>
        <w:jc w:val="left"/>
        <w:rPr>
          <w:rFonts w:ascii="Times New Roman" w:hAnsi="Times New Roman"/>
          <w:sz w:val="20"/>
        </w:rPr>
      </w:pPr>
      <w:r>
        <w:rPr>
          <w:rFonts w:ascii="Times New Roman" w:hAnsi="Times New Roman"/>
          <w:sz w:val="20"/>
        </w:rPr>
        <w:t xml:space="preserve">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Disclosure of Interest in Shares </w:t>
      </w:r>
    </w:p>
    <w:p>
      <w:pPr>
        <w:pStyle w:val="TextBody"/>
        <w:bidi w:val="0"/>
        <w:spacing w:before="120" w:after="0"/>
        <w:jc w:val="left"/>
        <w:rPr>
          <w:rFonts w:ascii="Times New Roman" w:hAnsi="Times New Roman"/>
          <w:sz w:val="20"/>
        </w:rPr>
      </w:pPr>
      <w:r>
        <w:rPr>
          <w:rFonts w:ascii="Times New Roman" w:hAnsi="Times New Roman"/>
          <w:sz w:val="20"/>
        </w:rPr>
        <w:t xml:space="preserve">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 </w:t>
      </w:r>
    </w:p>
    <w:p>
      <w:pPr>
        <w:pStyle w:val="TextBody"/>
        <w:bidi w:val="0"/>
        <w:spacing w:before="240" w:after="0"/>
        <w:jc w:val="left"/>
        <w:rPr>
          <w:rFonts w:ascii="Times New Roman" w:hAnsi="Times New Roman"/>
          <w:sz w:val="20"/>
        </w:rPr>
      </w:pPr>
      <w:r>
        <w:rPr>
          <w:rFonts w:ascii="Times New Roman" w:hAnsi="Times New Roman"/>
          <w:sz w:val="20"/>
        </w:rPr>
        <w:t xml:space="preserve">Under the Articles, if a person defaults in supplying Rezolve with the required particulars in relation to the shares in question, or default shares, within the prescribed period of 14 days from the date of the service of notice, the directors may by notice direct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the default shares, the relevant shareholder shall not be entitled to vote (either in person or by proxy) at any general meeting or to exercise any other right conferred by a shareholding in relation to general meetings;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Purchase of Own Shares </w:t>
      </w:r>
    </w:p>
    <w:p>
      <w:pPr>
        <w:pStyle w:val="TextBody"/>
        <w:bidi w:val="0"/>
        <w:spacing w:before="120" w:after="0"/>
        <w:jc w:val="left"/>
        <w:rPr>
          <w:rFonts w:ascii="Times New Roman" w:hAnsi="Times New Roman"/>
          <w:sz w:val="20"/>
        </w:rPr>
      </w:pPr>
      <w:r>
        <w:rPr>
          <w:rFonts w:ascii="Times New Roman" w:hAnsi="Times New Roman"/>
          <w:sz w:val="20"/>
        </w:rPr>
        <w:t xml:space="preserve">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maximum number of shares authorized to be acquired;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 the maximum and minimum prices that may be paid for the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a date, not being later than five years after the passing of the resolution, on which the authority to purchase is to expire.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Rezolve may purchase its own fully paid shares in an off-market purchase otherwise than on a recognized investment exchange pursuant to a purchase contract authorized by resolution of shareholders before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and Dividends </w:t>
      </w:r>
    </w:p>
    <w:p>
      <w:pPr>
        <w:pStyle w:val="TextBody"/>
        <w:bidi w:val="0"/>
        <w:spacing w:before="120" w:after="0"/>
        <w:jc w:val="left"/>
        <w:rPr>
          <w:rFonts w:ascii="Times New Roman" w:hAnsi="Times New Roman"/>
          <w:sz w:val="20"/>
        </w:rPr>
      </w:pPr>
      <w:r>
        <w:rPr>
          <w:rFonts w:ascii="Times New Roman" w:hAnsi="Times New Roman"/>
          <w:sz w:val="20"/>
        </w:rPr>
        <w:t xml:space="preserve">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 </w:t>
      </w:r>
    </w:p>
    <w:p>
      <w:pPr>
        <w:pStyle w:val="TextBody"/>
        <w:bidi w:val="0"/>
        <w:spacing w:before="240" w:after="0"/>
        <w:jc w:val="left"/>
        <w:rPr>
          <w:rFonts w:ascii="Times New Roman" w:hAnsi="Times New Roman"/>
          <w:sz w:val="20"/>
        </w:rPr>
      </w:pPr>
      <w:r>
        <w:rPr>
          <w:rFonts w:ascii="Times New Roman" w:hAnsi="Times New Roman"/>
          <w:sz w:val="20"/>
        </w:rPr>
        <w:t xml:space="preserve">It is not sufficient that Rezolve,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the time that the distribution is made, the amount of its net assets (that is, the total excess of assets over liabilities) is not less than the total of its called-up share capital and undistributable reserves;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to the extent that, the distribution itself, at the time that it is made, does not reduce the amount of the net assets to less than that total.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Anti-Money Laundering </w:t>
      </w:r>
    </w:p>
    <w:p>
      <w:pPr>
        <w:pStyle w:val="TextBody"/>
        <w:bidi w:val="0"/>
        <w:spacing w:before="120" w:after="0"/>
        <w:jc w:val="left"/>
        <w:rPr>
          <w:rFonts w:ascii="Times New Roman" w:hAnsi="Times New Roman"/>
          <w:sz w:val="20"/>
        </w:rPr>
      </w:pPr>
      <w:r>
        <w:rPr>
          <w:rFonts w:ascii="Times New Roman" w:hAnsi="Times New Roman"/>
          <w:sz w:val="20"/>
        </w:rPr>
        <w:t xml:space="preserve">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Enforceability of Civil Liabilities </w:t>
      </w:r>
    </w:p>
    <w:p>
      <w:pPr>
        <w:pStyle w:val="TextBody"/>
        <w:bidi w:val="0"/>
        <w:spacing w:before="120" w:after="0"/>
        <w:jc w:val="left"/>
        <w:rPr>
          <w:rFonts w:ascii="Times New Roman" w:hAnsi="Times New Roman"/>
          <w:sz w:val="20"/>
        </w:rPr>
      </w:pPr>
      <w:r>
        <w:rPr>
          <w:rFonts w:ascii="Times New Roman" w:hAnsi="Times New Roman"/>
          <w:sz w:val="20"/>
        </w:rPr>
        <w:t xml:space="preserve">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 </w:t>
      </w:r>
    </w:p>
    <w:p>
      <w:pPr>
        <w:pStyle w:val="TextBody"/>
        <w:bidi w:val="0"/>
        <w:spacing w:before="240" w:after="0"/>
        <w:jc w:val="left"/>
        <w:rPr>
          <w:rFonts w:ascii="Times New Roman" w:hAnsi="Times New Roman"/>
          <w:sz w:val="20"/>
        </w:rPr>
      </w:pPr>
      <w:r>
        <w:rPr>
          <w:rFonts w:ascii="Times New Roman" w:hAnsi="Times New Roman"/>
          <w:sz w:val="20"/>
        </w:rPr>
        <w:t xml:space="preserve">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Data Protection -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Rezolve has certain duties under the General Data Protection Regulation (as implemented in the UK) and the Data Protection Act 2018 (UK GDPR) based on internationally accepted principles of data privacy.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Privacy Notice </w:t>
      </w:r>
    </w:p>
    <w:p>
      <w:pPr>
        <w:pStyle w:val="TextBody"/>
        <w:bidi w:val="0"/>
        <w:spacing w:before="120" w:after="0"/>
        <w:jc w:val="left"/>
        <w:rPr>
          <w:rFonts w:ascii="Times New Roman" w:hAnsi="Times New Roman"/>
          <w:i/>
          <w:sz w:val="20"/>
        </w:rPr>
      </w:pPr>
      <w:r>
        <w:rPr>
          <w:rFonts w:ascii="Times New Roman" w:hAnsi="Times New Roman"/>
          <w:i/>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All shareholders in Rezolve will provide the Company with certain information which constitutes personal data within the meaning of the UK GDPR (personal data). In the following discussion, the Company refers to Rezolve and its affiliates and/or delegates, except where the context requires otherwise. </w:t>
      </w:r>
    </w:p>
    <w:p>
      <w:pPr>
        <w:pStyle w:val="TextBody"/>
        <w:bidi w:val="0"/>
        <w:spacing w:before="360" w:after="0"/>
        <w:jc w:val="left"/>
        <w:rPr>
          <w:rFonts w:ascii="Times New Roman" w:hAnsi="Times New Roman"/>
          <w:i/>
          <w:sz w:val="20"/>
        </w:rPr>
      </w:pPr>
      <w:r>
        <w:rPr>
          <w:rFonts w:ascii="Times New Roman" w:hAnsi="Times New Roman"/>
          <w:i/>
          <w:sz w:val="20"/>
        </w:rPr>
        <w:t xml:space="preserve">Investor Data </w:t>
      </w:r>
    </w:p>
    <w:p>
      <w:pPr>
        <w:pStyle w:val="TextBody"/>
        <w:bidi w:val="0"/>
        <w:spacing w:before="120" w:after="0"/>
        <w:jc w:val="left"/>
        <w:rPr>
          <w:rFonts w:ascii="Times New Roman" w:hAnsi="Times New Roman"/>
          <w:sz w:val="20"/>
        </w:rPr>
      </w:pPr>
      <w:r>
        <w:rPr>
          <w:rFonts w:ascii="Times New Roman" w:hAnsi="Times New Roman"/>
          <w:sz w:val="20"/>
        </w:rPr>
        <w:t xml:space="preserve">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 </w:t>
      </w:r>
    </w:p>
    <w:p>
      <w:pPr>
        <w:pStyle w:val="TextBody"/>
        <w:bidi w:val="0"/>
        <w:spacing w:before="240" w:after="0"/>
        <w:jc w:val="left"/>
        <w:rPr>
          <w:rFonts w:ascii="Times New Roman" w:hAnsi="Times New Roman"/>
          <w:sz w:val="20"/>
        </w:rPr>
      </w:pPr>
      <w:r>
        <w:rPr>
          <w:rFonts w:ascii="Times New Roman" w:hAnsi="Times New Roman"/>
          <w:sz w:val="20"/>
        </w:rPr>
        <w:t xml:space="preserve">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 </w:t>
      </w:r>
    </w:p>
    <w:p>
      <w:pPr>
        <w:pStyle w:val="TextBody"/>
        <w:bidi w:val="0"/>
        <w:spacing w:before="240" w:after="0"/>
        <w:jc w:val="left"/>
        <w:rPr>
          <w:rFonts w:ascii="Times New Roman" w:hAnsi="Times New Roman"/>
          <w:sz w:val="20"/>
        </w:rPr>
      </w:pPr>
      <w:r>
        <w:rPr>
          <w:rFonts w:ascii="Times New Roman" w:hAnsi="Times New Roman"/>
          <w:sz w:val="20"/>
        </w:rPr>
        <w:t xml:space="preserve">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 </w:t>
      </w:r>
    </w:p>
    <w:p>
      <w:pPr>
        <w:pStyle w:val="TextBody"/>
        <w:bidi w:val="0"/>
        <w:spacing w:before="360" w:after="0"/>
        <w:jc w:val="left"/>
        <w:rPr>
          <w:rFonts w:ascii="Times New Roman" w:hAnsi="Times New Roman"/>
          <w:i/>
          <w:sz w:val="20"/>
        </w:rPr>
      </w:pPr>
      <w:r>
        <w:rPr>
          <w:rFonts w:ascii="Times New Roman" w:hAnsi="Times New Roman"/>
          <w:i/>
          <w:sz w:val="20"/>
        </w:rPr>
        <w:t xml:space="preserve">Who this Affects </w:t>
      </w:r>
    </w:p>
    <w:p>
      <w:pPr>
        <w:pStyle w:val="TextBody"/>
        <w:bidi w:val="0"/>
        <w:spacing w:before="120" w:after="0"/>
        <w:jc w:val="left"/>
        <w:rPr>
          <w:rFonts w:ascii="Times New Roman" w:hAnsi="Times New Roman"/>
          <w:sz w:val="20"/>
        </w:rPr>
      </w:pPr>
      <w:r>
        <w:rPr>
          <w:rFonts w:ascii="Times New Roman" w:hAnsi="Times New Roman"/>
          <w:sz w:val="20"/>
        </w:rPr>
        <w:t xml:space="preserve">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 </w:t>
      </w:r>
    </w:p>
    <w:p>
      <w:pPr>
        <w:pStyle w:val="TextBody"/>
        <w:bidi w:val="0"/>
        <w:spacing w:before="360" w:after="0"/>
        <w:jc w:val="left"/>
        <w:rPr>
          <w:rFonts w:ascii="Times New Roman" w:hAnsi="Times New Roman"/>
          <w:i/>
          <w:sz w:val="20"/>
        </w:rPr>
      </w:pPr>
      <w:r>
        <w:rPr>
          <w:rFonts w:ascii="Times New Roman" w:hAnsi="Times New Roman"/>
          <w:i/>
          <w:sz w:val="20"/>
        </w:rPr>
        <w:t xml:space="preserve">How Rezolve May Use a Members Personal Data </w:t>
      </w:r>
    </w:p>
    <w:p>
      <w:pPr>
        <w:pStyle w:val="TextBody"/>
        <w:bidi w:val="0"/>
        <w:spacing w:before="120" w:after="0"/>
        <w:jc w:val="left"/>
        <w:rPr>
          <w:rFonts w:ascii="Times New Roman" w:hAnsi="Times New Roman"/>
          <w:sz w:val="20"/>
        </w:rPr>
      </w:pPr>
      <w:r>
        <w:rPr>
          <w:rFonts w:ascii="Times New Roman" w:hAnsi="Times New Roman"/>
          <w:sz w:val="20"/>
        </w:rPr>
        <w:t xml:space="preserve">The company, as the data controller, may collect, store and use personal data for lawful purposes, including, in particular: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this is necessary for the performance of its rights and obligations under any purchase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this is necessary for compliance with a legal and regulatory obligation to which the company is subject (such as compliance with anti-money laundering and FATCA/CRS requirements); and/or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this is necessary for the purposes of our legitimate interests and such interests are not overridden by your interests, fundamental rights or freedoms.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Rezolve wish to use personal data for other specific purposes (including, if applicable, any purpose that requires your consent), it will contact you. </w:t>
      </w:r>
    </w:p>
    <w:p>
      <w:pPr>
        <w:pStyle w:val="TextBody"/>
        <w:bidi w:val="0"/>
        <w:spacing w:before="360" w:after="0"/>
        <w:jc w:val="left"/>
        <w:rPr>
          <w:rFonts w:ascii="Times New Roman" w:hAnsi="Times New Roman"/>
          <w:i/>
          <w:sz w:val="20"/>
        </w:rPr>
      </w:pPr>
      <w:r>
        <w:rPr>
          <w:rFonts w:ascii="Times New Roman" w:hAnsi="Times New Roman"/>
          <w:i/>
          <w:sz w:val="20"/>
        </w:rPr>
        <w:t xml:space="preserve">Why Rezolve May Share Your Personal Data </w:t>
      </w:r>
    </w:p>
    <w:p>
      <w:pPr>
        <w:pStyle w:val="TextBody"/>
        <w:bidi w:val="0"/>
        <w:spacing w:before="120" w:after="0"/>
        <w:jc w:val="left"/>
        <w:rPr>
          <w:rFonts w:ascii="Times New Roman" w:hAnsi="Times New Roman"/>
          <w:sz w:val="20"/>
        </w:rPr>
      </w:pPr>
      <w:r>
        <w:rPr>
          <w:rFonts w:ascii="Times New Roman" w:hAnsi="Times New Roman"/>
          <w:sz w:val="20"/>
        </w:rPr>
        <w:t xml:space="preserve">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 </w:t>
      </w:r>
    </w:p>
    <w:p>
      <w:pPr>
        <w:pStyle w:val="TextBody"/>
        <w:bidi w:val="0"/>
        <w:spacing w:before="240" w:after="0"/>
        <w:jc w:val="left"/>
        <w:rPr>
          <w:rFonts w:ascii="Times New Roman" w:hAnsi="Times New Roman"/>
          <w:sz w:val="20"/>
        </w:rPr>
      </w:pPr>
      <w:r>
        <w:rPr>
          <w:rFonts w:ascii="Times New Roman" w:hAnsi="Times New Roman"/>
          <w:sz w:val="20"/>
        </w:rPr>
        <w:t xml:space="preserve">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 </w:t>
      </w:r>
    </w:p>
    <w:p>
      <w:pPr>
        <w:pStyle w:val="TextBody"/>
        <w:bidi w:val="0"/>
        <w:spacing w:before="240" w:after="0"/>
        <w:jc w:val="left"/>
        <w:rPr>
          <w:rFonts w:ascii="Times New Roman" w:hAnsi="Times New Roman"/>
          <w:sz w:val="20"/>
        </w:rPr>
      </w:pPr>
      <w:r>
        <w:rPr>
          <w:rFonts w:ascii="Times New Roman" w:hAnsi="Times New Roman"/>
          <w:sz w:val="20"/>
        </w:rPr>
        <w:t xml:space="preserve">Rezolve may share your personal data with our affiliates for any of the purposes described in this privacy notice. </w:t>
      </w:r>
    </w:p>
    <w:p>
      <w:pPr>
        <w:pStyle w:val="TextBody"/>
        <w:bidi w:val="0"/>
        <w:spacing w:before="240" w:after="0"/>
        <w:jc w:val="left"/>
        <w:rPr>
          <w:rFonts w:ascii="Times New Roman" w:hAnsi="Times New Roman"/>
          <w:sz w:val="20"/>
        </w:rPr>
      </w:pPr>
      <w:r>
        <w:rPr>
          <w:rFonts w:ascii="Times New Roman" w:hAnsi="Times New Roman"/>
          <w:sz w:val="20"/>
        </w:rPr>
        <w:t xml:space="preserve">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 </w:t>
      </w:r>
    </w:p>
    <w:p>
      <w:pPr>
        <w:pStyle w:val="TextBody"/>
        <w:bidi w:val="0"/>
        <w:spacing w:before="360" w:after="0"/>
        <w:jc w:val="left"/>
        <w:rPr>
          <w:rFonts w:ascii="Times New Roman" w:hAnsi="Times New Roman"/>
          <w:i/>
          <w:sz w:val="20"/>
        </w:rPr>
      </w:pPr>
      <w:r>
        <w:rPr>
          <w:rFonts w:ascii="Times New Roman" w:hAnsi="Times New Roman"/>
          <w:i/>
          <w:sz w:val="20"/>
        </w:rPr>
        <w:t xml:space="preserve">International Data Transfers </w:t>
      </w:r>
    </w:p>
    <w:p>
      <w:pPr>
        <w:pStyle w:val="TextBody"/>
        <w:bidi w:val="0"/>
        <w:spacing w:before="120" w:after="0"/>
        <w:jc w:val="left"/>
        <w:rPr>
          <w:rFonts w:ascii="Times New Roman" w:hAnsi="Times New Roman"/>
          <w:sz w:val="20"/>
        </w:rPr>
      </w:pPr>
      <w:r>
        <w:rPr>
          <w:rFonts w:ascii="Times New Roman" w:hAnsi="Times New Roman"/>
          <w:sz w:val="20"/>
        </w:rPr>
        <w:t xml:space="preserve">Where any personal data is transferred internationally, Rezolve will take reasonable steps to ensure that a safe transfer mechanism is in place to protect the personal data in question, such as Standard Contractual Clauses approved by the European Commission or the UK government. </w:t>
      </w:r>
    </w:p>
    <w:p>
      <w:pPr>
        <w:pStyle w:val="TextBody"/>
        <w:bidi w:val="0"/>
        <w:spacing w:before="360" w:after="0"/>
        <w:jc w:val="left"/>
        <w:rPr>
          <w:rFonts w:ascii="Times New Roman" w:hAnsi="Times New Roman"/>
          <w:i/>
          <w:sz w:val="20"/>
        </w:rPr>
      </w:pPr>
      <w:r>
        <w:rPr>
          <w:rFonts w:ascii="Times New Roman" w:hAnsi="Times New Roman"/>
          <w:i/>
          <w:sz w:val="20"/>
        </w:rPr>
        <w:t xml:space="preserve">The Data Protection Measures Rezolve Takes </w:t>
      </w:r>
    </w:p>
    <w:p>
      <w:pPr>
        <w:pStyle w:val="TextBody"/>
        <w:bidi w:val="0"/>
        <w:spacing w:before="120" w:after="0"/>
        <w:jc w:val="left"/>
        <w:rPr>
          <w:rFonts w:ascii="Times New Roman" w:hAnsi="Times New Roman"/>
          <w:sz w:val="20"/>
        </w:rPr>
      </w:pPr>
      <w:r>
        <w:rPr>
          <w:rFonts w:ascii="Times New Roman" w:hAnsi="Times New Roman"/>
          <w:sz w:val="20"/>
        </w:rPr>
        <w:t xml:space="preserve">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 </w:t>
      </w:r>
    </w:p>
    <w:p>
      <w:pPr>
        <w:pStyle w:val="TextBody"/>
        <w:bidi w:val="0"/>
        <w:spacing w:before="360" w:after="0"/>
        <w:jc w:val="left"/>
        <w:rPr>
          <w:rFonts w:ascii="Times New Roman" w:hAnsi="Times New Roman"/>
          <w:i/>
          <w:sz w:val="20"/>
        </w:rPr>
      </w:pPr>
      <w:r>
        <w:rPr>
          <w:rFonts w:ascii="Times New Roman" w:hAnsi="Times New Roman"/>
          <w:i/>
          <w:sz w:val="20"/>
        </w:rPr>
        <w:t xml:space="preserve">Retention </w:t>
      </w:r>
    </w:p>
    <w:p>
      <w:pPr>
        <w:pStyle w:val="TextBody"/>
        <w:bidi w:val="0"/>
        <w:spacing w:before="120" w:after="0"/>
        <w:jc w:val="left"/>
        <w:rPr>
          <w:rFonts w:ascii="Times New Roman" w:hAnsi="Times New Roman"/>
          <w:sz w:val="20"/>
        </w:rPr>
      </w:pPr>
      <w:r>
        <w:rPr>
          <w:rFonts w:ascii="Times New Roman" w:hAnsi="Times New Roman"/>
          <w:sz w:val="20"/>
        </w:rPr>
        <w:t xml:space="preserve">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2" w:name="tx309194_29"/>
      <w:bookmarkEnd w:id="32"/>
      <w:r>
        <w:rPr>
          <w:rFonts w:ascii="Times New Roman" w:hAnsi="Times New Roman"/>
          <w:b/>
          <w:sz w:val="20"/>
        </w:rPr>
        <w:t xml:space="preserve">COMPARISON OF RIGHTS OF ARMADA STOCKHOLDERS AND REZOLVE SHAREHOLDERS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holders of Armada Common Stock will become shareholders of Rezolve and their rights will be governed by English law and the Articles. Currently, the rights of Armada stockholders are governed by the laws of the State of Delaware and the Armada Charter. </w:t>
      </w:r>
    </w:p>
    <w:p>
      <w:pPr>
        <w:pStyle w:val="TextBody"/>
        <w:bidi w:val="0"/>
        <w:spacing w:before="240" w:after="0"/>
        <w:jc w:val="left"/>
        <w:rPr>
          <w:rFonts w:ascii="Times New Roman" w:hAnsi="Times New Roman"/>
          <w:sz w:val="20"/>
        </w:rPr>
      </w:pPr>
      <w:r>
        <w:rPr>
          <w:rFonts w:ascii="Times New Roman" w:hAnsi="Times New Roman"/>
          <w:sz w:val="20"/>
        </w:rPr>
        <w:t>This section describes the material differences between the rights of Armada stockholders and the proposed rights of Rezolves shareholders. This summary is not complete and does not cover all of the differences between the laws of England and Wales and the laws of Delaware affecting corporations and their shareholders or all the differences between Armadas and Rezolves organizational documents. The summary is therefore subject to the complete text of the relevant provisions of the English laws and Delaware laws and Armadas and Rezolves organizational documents. For information on the Armada Charter see the section entitled, </w:t>
      </w:r>
      <w:r>
        <w:rPr>
          <w:rFonts w:ascii="Times New Roman" w:hAnsi="Times New Roman"/>
          <w:i/>
          <w:sz w:val="20"/>
        </w:rPr>
        <w:t>Where You Can Find More Information</w:t>
      </w:r>
      <w:r>
        <w:rPr>
          <w:rFonts w:ascii="Times New Roman" w:hAnsi="Times New Roman"/>
          <w:sz w:val="20"/>
        </w:rPr>
        <w:t> in this proxy statement/prospectus. For a summary of the Articles, see the section entitled </w:t>
      </w:r>
      <w:r>
        <w:rPr>
          <w:rFonts w:ascii="Times New Roman" w:hAnsi="Times New Roman"/>
          <w:i/>
          <w:sz w:val="20"/>
        </w:rPr>
        <w:t>Description of Rezolves Securities</w:t>
      </w:r>
      <w:r>
        <w:rPr>
          <w:rFonts w:ascii="Times New Roman" w:hAnsi="Times New Roman"/>
          <w:sz w:val="20"/>
        </w:rPr>
        <w:t xml:space="preserv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references to shareholder or shareholders means the person(s) whose name(s) appear on a companys register of members and who are the legal owners of the shares concerned.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England</w:t>
            </w:r>
          </w:p>
        </w:tc>
        <w:tc>
          <w:tcPr>
            <w:tcW w:w="203"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0205" w:type="dxa"/>
            <w:gridSpan w:val="3"/>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Shareholder Meetings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  Held at such time or place as designated in the articles of association, or if not so designated, as determined by the board of directors, or if necessary, by the chair of the meeting</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  Held at such time or place as designated in the certificate of incorporation or the by-laws, or if not so designated, as determined by the board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  May be held within or without England</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  May be held within or without Delaware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  </w:t>
            </w:r>
            <w:r>
              <w:rPr>
                <w:rFonts w:ascii="Times New Roman" w:hAnsi="Times New Roman"/>
                <w:b/>
                <w:i/>
                <w:sz w:val="20"/>
              </w:rPr>
              <w:t>Notice</w:t>
            </w:r>
            <w:r>
              <w:rPr>
                <w:rFonts w:ascii="Times New Roman" w:hAnsi="Times New Roman"/>
                <w:sz w:val="20"/>
              </w:rPr>
              <w: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  </w:t>
            </w:r>
            <w:r>
              <w:rPr>
                <w:rFonts w:ascii="Times New Roman" w:hAnsi="Times New Roman"/>
                <w:b/>
                <w:i/>
                <w:sz w:val="20"/>
              </w:rPr>
              <w:t>Notice</w:t>
            </w:r>
            <w:r>
              <w:rPr>
                <w:rFonts w:ascii="Times New Roman" w:hAnsi="Times New Roman"/>
                <w:sz w:val="20"/>
              </w:rPr>
              <w:t>:</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  Whenever shareholders are required to take any action at a meeting, a written notice of the meeting shall be given which shall state the place, if any, date and hour of the meeting and the general nature of the business to be conducted at the general meeting.</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  Whenever shareholders are required to take any action at a meeting, a written notice of the meeting shall be given which shall state the place, if any, date and hour of the meeting, and the means of remote communication, if any.</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  Not less than 21 clear days notice shall be given of any annual general meeting and the case of all other general meetings, not less than 14 clear days notice shall be given.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  General meetings may be called upon shorter notice with the agreement of (i) in the case of an annual general meeting, all the shareholders who are permitted to attend and vote, or (ii) in the case of any other general meeting, a majority of the shareholders holding at least 95% by nominal value of the shares giving the right to attend and vote at the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  Clear days notice means calendar days and excludes (i) the deemed date of receipt of the notice, and (ii) the date of the meeting itself.</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  Written notice shall be given not less than 10 nor more than 60 days before the meeting.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England</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Rezolves articles of association provide that documents sent by first class post are deemed received the day after mailing and, if sent by airmail, on the third day after mailing, and in each other case, two days after mailing.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  Any action required to be taken by meeting of shareholders must be taken at a meeting. Written shareholder resolutions are not possible for a UK public limited company.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  Any action required to be taken by meeting of shareholders may be taken without meeting if consent is in writing and is signed by all the shareholders entitled to vote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  Any person authorized to vote may authorize another person or persons to act for him by proxy.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  Any person authorized to vote may authorize another person or persons to act for him by proxy.</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  The quorum required for a general meeting of members consists of at least two (2) members, present in person or by proxy or if a corporation or other non-natural person by its duly authorized representative or proxy, and entitled to vote, provided that for so long as the Rezolve Founder is the holder, directly or indirectly or beneficially interested in Ordinary Shares and is entitled to exercise not less than 10% of the votes attaching to all shares of Rezolve, he must be present for the general meeting to be quorate.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  Under English law an ordinary resolution means a resolution that is passed by a simple majority (i.e. more than 50%) of those shareholders present at a general meeting in person or by proxy. A resolution passed on a poll taken at a meeting is passed by a simple majority if it is passed by members representing a simple majority of the total voting rights of members who (being entitled to do so) vote in person or by proxy on the resolution.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  Under English law a special resolution means a resolution passed by a majority of not less than 75% of those shareholders present at a general meeting in person or by proxy. A resolution passed on a poll taken at a meeting is passed by a majority of not less than 75% if it is passed by members representing not less than 75% of the total voting rights of the members who (being entitled to do so) vote in person or by proxy on the resolution.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aggregate number of votes attaching to all the shares in Rezolve held by Daniel Wagner as the Rezolve Founder or in which he is interested shall be equal to the higher of:</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75% of the votes attaching to all shares in the capital of the Company;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 the total number of votes that would otherwise have been conferred on Daniel Wagner.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  For stock corporations, certificate of incorporation or by-laws may specify the number to constitute a quorum but in no event shall a quorum consist of less than one-third of shares entitled to vote at a meeting. In the absence of such specifications, a majority of shares entitled to vote shall constitute a quorum.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England</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520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resolution is not a special resolution unless the notice of the meeting included the text of the resolution and specified the intention to propose the resolution as a special resolution, and if the notice of the meeting so specified, the resolution may only be passed as a special resolution.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  Special resolutions generally involve proposals to change the name of the company, alter its capital structure, change or amend the rights of shareholders, permit the company to issue new shares for cash without applying the shareholders pre-emptive rights, amend the companys articles of association, or carry out other matters where either the companys articles of association or the UK Companies Act prescribe that a special resolution is required.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  Other proposals relating to the ordinary course of the companys business, such as the election of directors, would generally be proposed as an ordinary resolution.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  The directors shall not, unless otherwise determined by an ordinary resolution of Rezolve, be less than three but shall not be subject to a maximum number.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  The board must consist of at least one member.</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  Number of board members shall be fixed by the by-laws, unless the certificate of incorporation fixes the number of directors, in which case a change in the number shall be made only by amendment of the certificate of incorporation.</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Removal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  Under the UK Companies Act, a company may remove a director without cause by ordinary resolution, irrespective of anything in any agreement between the director and the company, provided that 28 clear days notice of the proposed resolution to remove the director is given to the company and certain other procedural requirements under the UK Companies Act are followed.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  Rezolves articles of association provide that in addition to any power of removal conferred by the UK Companies Act, the company may by ordinary resolution remove any director before the expiration of his period of office.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  A director of a corporation may be removed for cause with the approval of a majority of the issued and outstanding shares entitled to vote, unless the certificate of incorporation provides otherwise.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England</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10205" w:type="dxa"/>
            <w:gridSpan w:val="3"/>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Shareholder nominations of Directors and other Proposals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  Under English law, shareholders may require the directors to call a general meeting of shareholders of the company if the request is made by shareholders holding at least 5% of the total voting rights and may specify the text of a resolution be voted on at that meeting. The shareholders of a public company may require the company to give to members of the company notice of a resolution to be moved at an annual general meeting if the request is made by either: (i) shareholders holding at least 5% of the total voting rights, or (ii) by at least 100 shareholders who have a relevant right to vote and hold shares in the company on which there has been paid up an average sum, per shareholder, of at least £100.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  Shareholders may also require the company to circulate to members of the company entitled to receive notice of a general meeting, a statement of not more than 1,000 words with respect to (i) a matter referred to in a proposed resolution to be dealt with at that meeting, or (ii) other business to be dealt with at that meeting. A company is required to circulate such a statement once it has received requests from shareholders (in line with the thresholds outlined above).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  Resolutions to appoint directors to a public company such as Rezolve must be put to shareholders on the basis of one resolution for each nominated director. A single resolution to appoint two or more directors must not be proposed to be voted upon at a general meeting unless a resolution that it should be so made has first been agreed to by the general meeting without any vote being given against it.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  Armadas bylaws provide that stockholders seeking to bring business before its annual meeting of stockholders, or to nominate candidates for election as directors at its annual meeting of stockholders must provide timely notice of their intent in writing. To be timely, a stockholders notice will need to be delivered to Armadas principal executive offices not later than the close of business on the 60th day nor earlier than the close of business on the 90th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10th day following the day on which public announcement of the date of Armadas annual meeting of stockholders is first made or sent by us. Armadas bylaws also specify certain requirements as to the form and content of a stockholders meeting. These provisions may preclude Armadas stockholders from bringing matters before its annual meeting of stockholders or from making nominations for directors at its annual meeting of stockholders.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  Under the Delaware General Corporation Law (DGCL), a corporations certificate of incorporation or bylaws can specify the number of shares that constitute the quorum required to conduct business at a meeting, provided that in no event shall a quorum consist of less than one-third of the shares entitled to vote at a meeting.</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Fiduciary Duties and Conflicts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  Directors and officers must act in good faith and in the best interest of the company for the benefit of its members as a whole.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  Directors and officers must act in good faith, with the care of a prudent person, and in the best interest of the corporation as a whole.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  Directors and officers must refrain from self-dealing, usurping corporate opportunities and receiving improper personal benefits.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  The UK Companies Act codified the general equitable duties of directors. In summary, these are (i) to act within powers; (ii) to promote the success of the company; (iii) to exercise independent judgment; (iv) to exercise reasonable care, skill and diligence; (v) to avoid conflicts of interest; (vi) not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  Directors and officers must refrain from self-dealing, usurping corporate opportunities and receiving improper personal benefits.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  Decisions made by directors and officers on an informed basis, in good faith and in the honest belief that the action was taken in the best interest of the corporation will be protected by the business judgment rule.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England</w:t>
            </w:r>
          </w:p>
        </w:tc>
        <w:tc>
          <w:tcPr>
            <w:tcW w:w="203"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to accept benefits from third parties; and (vii) to declare any interest in a proposed transaction or arrangement with the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  There are other uncodified duties of directors; including that a director must in certain circumstances consider or act in the interests of the companys creditors.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  Rezolves articles of association provide that the Rezolve board of directors may in specified circumstances authorize any matter that would otherwise involve a director breaching his duty under the UK Companies Act to avoid a conflict of interest.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  The articles of association also provide that, subject to authorization of such conflict, a director may retain any benefit derived by reason of that interest.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Liability of Directors and Officers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  Under the UK Companies Act, any provision (whether contained in a companys articles of association or any contract or otherwise) that purports to exempt a director of a company (to any extent) from any liability that would otherwise attach to him in connection with any negligence, default, breach of duty or breach of trust in relation to the company, is void.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  Any provision by which a company directly or indirectly provides an indemnity (to any extent) for a director of the company or of an associated company against any liability attaching to him in connection with any negligence, default, breach of duty or breach of trust in relation to the company of which he is a director, is also void except as permitted by the UK Companies Act, which provides exceptions for a company to (i) purchase and maintain insurance against such liability; (ii) provide a qualifying third party indemnity (being an indemnity against liability incurred by the director to a person other than the company or an associated company as long as he or she is successful in defending the claim or criminal proceedings); and (iii) provide a qualifying pension scheme indemnity (being an indemnity against liability incurred in connection with the companys activities as trustee of an occupational pension plan).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  The UK Companies Act permits companies to purchase and maintain insurance for directors against any liability arising from negligence,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  Armadas certificate of incorporation provides: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  Armada entered into indemnification agreements with each of Armadas officers and directors. These agreements require Armada to indemnify these individuals to the fullest extent permitted under Delaware law against liabilities that may arise by reason of their service to Armada, and to advance expenses incurred as a result of any proceeding against them as to which they could be indemnified.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England</w:t>
            </w:r>
          </w:p>
        </w:tc>
        <w:tc>
          <w:tcPr>
            <w:tcW w:w="203"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default, breach of duty or breach of trust in relation to the company. Rezolve maintains directors and officers liability insurance.</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Pre-emptive Rights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  Under English law, the issuance for cash of (i) equity securities, being those shares in a company which, with respect to dividends or capital, carry a right to participate beyond a specified amount in a distribution, or (ii) rights to subscribe for or convert into equity securities, must be offered first to the existing equity shareholders in proportion to the respective nominal values of their holdings, unless a special resolution to the contrary has been passed by shareholders in a general meeting.</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  Armadas shareholders do not have pre-emptive rights.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Shareholders Derivative Actions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  Derivative actions can be pursued in the courts of England and Wales pursuant to common law or statute. Under common law, the company will be the proper plaintiff in any claim based on a breach of duty owed to it, and a claim against (for example) its officers or directors usually may not be brought by a shareholder directly. However, more commonly claims are brought by a shareholder directly under statute against the directors of the company. Regardless of the route, the court has discretion as to whether to give permission for a derivative claim to be continued.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  Derivative claims under statute are limited to actual or proposed acts or omissions involving negligence, default, breach of duty or breach of trust by those controlling the company (directors, or shadow directors, current or former).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  Subject to certain exceptions, the act complained of can have taken place before or after the shareholder became a member of the company.</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  In any derivative suit instituted by a shareholder of a corporation, it shall be averred in the complaint that the plaintiff was a shareholder of the corporation at the time of the transaction of which he complains or that such shareholders stock thereafter devolved upon such shareholder by operation of law.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  Complaint shall set forth with particularity the efforts of the plaintiff to obtain the action by the board or the reasons for not making such effort.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  Such action shall not be dismissed or compromised without the approval of the Chancery Court.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  Shareholders of a Delaware corporation that redeemed their shares, or whose shares were canceled in connection with dissolution, would not be able to bring a derivative action against the corporation after the shares have been redeemed or canceled.</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Shareholder Votes on Certain Transactions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  The UK Companies Act only permits mergers in specified limited circumstances.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  However, the UK Companies Act provides for schemes of arrangement which are arrangements or compromises between a company and any class of shareholders or creditors. Schemes of arrangement are used in certain types of restructurings, amalgamations, capital reorganizations and takeovers.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  Generally, under the DGCL, completion of a merger, consolidation, dissolution, or the sale, lease, or exchange of substantially all of a corporations assets requires approval by the board of directors and by a majority (unless the certificate of incorporation requires a higher percentage) of outstanding stock of the corporation entitled to vote. The DGCL also requires a special vote of shareholders in connection with a business combination with an interested shareholder as defined in section 203 of the DGCL.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England</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  These arrangements require: (i) the approval at a shareholders or creditors meeting convened by order of the court, of a majority in number of shareholders or creditors representing 75% in value of the capital held by, or debt owed to, the class of shareholders or creditors, or class thereof present and voting, either in person or by proxy; and (ii) the approval of the court.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  Certain other types of extraordinary transactions such as certain capital reorganizations also require approval by shareholders (either by a majority or at least 75% of the votes cast in person or by proxy, depending on the type of transaction), while other types of transactions, including asset sales and tender offers, often do not require shareholder approval.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Transactions with Interested Shareholders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  English law does not regulate transactions between a company and its shareholders, although such transactions must be entered into bona fide in the best interests of the company and for a proper corporate purpose and not with the effect of constituting a fraud on the minority shareholders.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  The business combination statute applicable to Delaware corporations provides that, unless the corporation has specifically elected not to be governed by such statute under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proposed transactions or the transaction which resulted in the person becoming an interested shareholder. This encourages any potential acquirer of a Delaware corporation to negotiate the terms of any acquisition transaction with the targets board of directors.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Sources and Payment of Dividends</w:t>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  Generally speaking, and subject to the prior rights of holders of any preferred shares, under English law, a company may pay dividends on its Ordinary Shares only out of its distributable profits (defined as accumulated, realized profits not previously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  Armada has not paid any cash dividends on its common stock to date and does not intend to pay cash dividends prior to the completion of an initial business combination. The payment of cash dividends in the future will be dependent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England</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utilized by distribution or capitalization, less accumulated, realized losses so far as not previously written off in a reduction or reorganization) and not out of share capital, which includes share premiums (paid-in surplus).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  Amounts credited to the share premium account (representing the excess of the consideration for the issue of shares over the aggregate nominal amount of such shares) may not be used to pay out cash dividends but may be used, among other things, to pay up unissued shares that may then be distributed to shareholders in proportion to their holdings as fully paid bonus shares.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  In addition, under English law, Rezolve will not be permitted to make a distribution if, at the time, the amount of its net assets is less than the aggregate of its issued and paid-up share capital and undistributable reserves.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  If recommended by the Rezolve board of directors, Rezolve shareholders may, by ordinary resolution, declare final dividends, but no dividend may be declared in excess of the amount recommended by the Rezolve board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  The Rezolve board of directors has the power under its articles of association to pay interim dividends (being dividends which are not final dividends for a year) without the approval of shareholders to the extent the financial position of Rezolve justifies a dividend in the opinion of the Rezolve board of directors.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upon Armadas revenues and earnings, if any, capital requirements and general financial condition subsequent to completion of a business combination. The payment of any dividends subsequent to a business combination will be within the discretion of our board of directors at such time.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  Under the DGCL, the board of directors, subject to any restrictions in the corporations certificate of incorporation, may declare and pay dividends out of:</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  surplus of the corporation, which is defined as net assets less statutory capital; 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  if no surplus exists, out of the net profits of the corporation for the year in which the dividend is declared and/or the preceding year.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If, however, the capital of the corporation has been diminished by depreciation in the value of its property, or by losses, or otherwise, to an amount less than the aggregate amount of capital represented by the issued and outstanding stock of all classes having a preference upon the distribution of assets, the board of directors shall not declare and pay dividends out of the corporations net profits until the deficiency in the capital has been repaired.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  Under the DGCL, any corporation may purchase or redeem its own shares, except that generally it may not purchase or redeem these shares if such repurchase or redemption would impair the capital of the corporation. A corporation may, however, purchase or redeem out of capital any of its own shares which are entitled upon any distribution of its assets to a preference over another class or series of its shares if such shares will be retired and the capital reduced.</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Rights of Purchase and Redemption</w:t>
            </w:r>
          </w:p>
        </w:tc>
      </w:tr>
      <w:tr>
        <w:trPr>
          <w:trHeight w:val="24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  Under English law, a company may issue redeemable shares if specifically authorized to do so by its articles of association, subject to any conditions stated therein.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  Under English law, a company may purchase its own shares in certain specific instances, including if the purchase has first been approved by a special resolution of its shareholders.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  Under English law, a company may redeem or repurchase shares only if the shares are fully paid and, in the case of public companies, only out of</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  Under the DGCL,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England</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(i) distributable profits, or (ii) the proceeds of a new issue of shares made for the purpose of the repurchase or redemption.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Dissolution; Winding Up</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  A company may be compulsorily wound up by either an order of the English courts or voluntarily wound up by a special resolution of its members to be required if either the company swears a statutory declaration of solvency or if the company is unable to pay its debts as they fall due. The court has authority to order winding up in a number of specified circumstances including where it is, in the opinion of the court, just and equitable to do so.</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Inspection of Books and Records</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  Under the UK Companies Act shareholders have rights of inspection, including the right to:</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(i) inspect and obtain copies (for a fee) of the minutes of all general meetings of the company and all resolutions of members passed other than at a general meeting;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inspect copies of the register of members, register of directors, register of secretaries and other statutory registers maintained by the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receive copies of the companys annual report and accounts for each financial year;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(iv) receive notices of general meetings of the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 companys articles of association must be registered at Companies House and are therefore open to public inspection.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  Rezolves shareholders do not have any right to inspect board minutes of the company.</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  Any shareholder of a corporation may for any proper purpose inspect or make copies of the corporations stock ledger, list of shareholders and other books and records.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3" w:name="tx309194_30"/>
      <w:bookmarkEnd w:id="3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Armada at September 30, 2022 and 2021 and for the year ended September 30, 2022 and for the period from November 5, 2020 (inception) through September 30, 2021 included in this proxy statement/prospectus have been audited by Marcum LLP, independent registered public accounting firm, as set forth in their report thereon (which contains an explanatory paragraph relating to substantial doubt about the ability of Armada to continue as a going concern as described in Note 1 to the financial statements), appearing elsewhere in this proxy statement/prospectus, and are included in reliance on such report given upon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audited financial statements of Rezolve included in this prospectus and elsewhere in the registration statement have been included in reliance upon the report of MSPC Certified Public Accountants and Advisors, A Professional Corporation, independent registered public accounting firm, upon the authority of such firm as experts in accounting and auditing. </w:t>
      </w:r>
    </w:p>
    <w:p>
      <w:pPr>
        <w:pStyle w:val="TextBody"/>
        <w:bidi w:val="0"/>
        <w:spacing w:before="480" w:after="0"/>
        <w:jc w:val="center"/>
        <w:rPr>
          <w:rFonts w:ascii="Times New Roman" w:hAnsi="Times New Roman"/>
          <w:b/>
          <w:sz w:val="20"/>
        </w:rPr>
      </w:pPr>
      <w:bookmarkStart w:id="34" w:name="tx309194_31"/>
      <w:bookmarkEnd w:id="3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legality of the allotment of the Rezolve Ordinary Shares under English law will be passed upon for Rezolve by Taylor Wessing LLP. </w:t>
      </w:r>
    </w:p>
    <w:p>
      <w:pPr>
        <w:pStyle w:val="TextBody"/>
        <w:bidi w:val="0"/>
        <w:spacing w:before="240" w:after="0"/>
        <w:jc w:val="left"/>
        <w:rPr>
          <w:rFonts w:ascii="Times New Roman" w:hAnsi="Times New Roman"/>
          <w:sz w:val="20"/>
        </w:rPr>
      </w:pPr>
      <w:r>
        <w:rPr>
          <w:rFonts w:ascii="Times New Roman" w:hAnsi="Times New Roman"/>
          <w:sz w:val="20"/>
        </w:rPr>
        <w:t xml:space="preserve">The legality of the Rezolve Warrants offered hereby which will be governed by English law will be passed upon for Rezolve by Taylor Wessing LLP.  </w:t>
      </w:r>
    </w:p>
    <w:p>
      <w:pPr>
        <w:pStyle w:val="TextBody"/>
        <w:bidi w:val="0"/>
        <w:spacing w:before="240" w:after="0"/>
        <w:jc w:val="left"/>
        <w:rPr>
          <w:rFonts w:ascii="Times New Roman" w:hAnsi="Times New Roman"/>
          <w:sz w:val="20"/>
        </w:rPr>
      </w:pPr>
      <w:r>
        <w:rPr>
          <w:rFonts w:ascii="Times New Roman" w:hAnsi="Times New Roman"/>
          <w:sz w:val="20"/>
        </w:rPr>
        <w:t xml:space="preserve">Wilson Sonsini Goodrich &amp; Rosati, Professional Corporation, London, United Kingdom, U.S. counsel for Rezolve, represented Rezolve in connection with the merger and the preparation of this proxy statement/prospectus. The validity of the warrants registered pursuant to the registration statement of which this proxy statement/prospectus forms a part will be passed upon by Wilson Sonsini Goodrich &amp; Rosati, Professional Corporation. </w:t>
      </w:r>
    </w:p>
    <w:p>
      <w:pPr>
        <w:pStyle w:val="TextBody"/>
        <w:bidi w:val="0"/>
        <w:spacing w:before="240" w:after="0"/>
        <w:jc w:val="left"/>
        <w:rPr>
          <w:rFonts w:ascii="Times New Roman" w:hAnsi="Times New Roman"/>
          <w:sz w:val="20"/>
        </w:rPr>
      </w:pPr>
      <w:r>
        <w:rPr>
          <w:rFonts w:ascii="Times New Roman" w:hAnsi="Times New Roman"/>
          <w:sz w:val="20"/>
        </w:rPr>
        <w:t xml:space="preserve">DLA Piper LLP represented Armada in connection with the Business Combination and the preparation of this proxy statement/prospectus. </w:t>
      </w:r>
    </w:p>
    <w:p>
      <w:pPr>
        <w:pStyle w:val="TextBody"/>
        <w:bidi w:val="0"/>
        <w:spacing w:before="480" w:after="0"/>
        <w:jc w:val="center"/>
        <w:rPr>
          <w:rFonts w:ascii="Times New Roman" w:hAnsi="Times New Roman"/>
          <w:b/>
          <w:sz w:val="20"/>
        </w:rPr>
      </w:pPr>
      <w:bookmarkStart w:id="35" w:name="tx309194_32"/>
      <w:bookmarkEnd w:id="35"/>
      <w:r>
        <w:rPr>
          <w:rFonts w:ascii="Times New Roman" w:hAnsi="Times New Roman"/>
          <w:b/>
          <w:sz w:val="20"/>
        </w:rPr>
        <w:t xml:space="preserve">ENFORCEMENT OF CIVIL LIABILITIES </w:t>
      </w:r>
    </w:p>
    <w:p>
      <w:pPr>
        <w:pStyle w:val="TextBody"/>
        <w:bidi w:val="0"/>
        <w:spacing w:before="240" w:after="0"/>
        <w:jc w:val="left"/>
        <w:rPr>
          <w:rFonts w:ascii="Times New Roman" w:hAnsi="Times New Roman"/>
          <w:sz w:val="20"/>
        </w:rPr>
      </w:pPr>
      <w:r>
        <w:rPr>
          <w:rFonts w:ascii="Times New Roman" w:hAnsi="Times New Roman"/>
          <w:sz w:val="20"/>
        </w:rPr>
        <w:t xml:space="preserve">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 </w:t>
      </w:r>
    </w:p>
    <w:p>
      <w:pPr>
        <w:pStyle w:val="TextBody"/>
        <w:bidi w:val="0"/>
        <w:spacing w:before="240" w:after="0"/>
        <w:jc w:val="left"/>
        <w:rPr>
          <w:rFonts w:ascii="Times New Roman" w:hAnsi="Times New Roman"/>
          <w:sz w:val="20"/>
        </w:rPr>
      </w:pPr>
      <w:r>
        <w:rPr>
          <w:rFonts w:ascii="Times New Roman" w:hAnsi="Times New Roman"/>
          <w:sz w:val="20"/>
        </w:rPr>
        <w:t xml:space="preserve">Rezolve has appointed Cogency Global Inc. as its agent to receive service of process in any action against it in any state or federal court in the State of New York arising out of the transaction described in this proxy statement/prospectus or any issuance of Rezolve Ordinary Shares in connection with this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6" w:name="tx309194_33"/>
      <w:bookmarkEnd w:id="3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Armada currently files reports, proxy statements and other information with the SEC as required by the Exchange Act. Rezolve will file reports and other information with the SEC as required by the Exchange Act. You may access information on Armada and Rezolve at the SEC web site containing reports and other information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Information and statements contained in this proxy statement/prospectus or any annex to this proxy statement/prospectus are qualified in all respects by reference to the copy of the relevant contract or other annex filed as an exhibit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All information contained in this document relating to Armada has been supplied by Armada, and all information relating to Rezolve has been supplied by Rezolve. Information provided by one entity does not constitute any representation, estimate or projection of any other entity. </w:t>
      </w:r>
    </w:p>
    <w:p>
      <w:pPr>
        <w:pStyle w:val="TextBody"/>
        <w:bidi w:val="0"/>
        <w:spacing w:before="240" w:after="0"/>
        <w:jc w:val="left"/>
        <w:rPr>
          <w:rFonts w:ascii="Times New Roman" w:hAnsi="Times New Roman"/>
          <w:sz w:val="20"/>
        </w:rPr>
      </w:pPr>
      <w:r>
        <w:rPr>
          <w:rFonts w:ascii="Times New Roman" w:hAnsi="Times New Roman"/>
          <w:sz w:val="20"/>
        </w:rPr>
        <w:t xml:space="preserve">If you would like additional copies of this document or if you have questions about the Business Combination, you should contact via phone or in writing: </w:t>
      </w:r>
    </w:p>
    <w:p>
      <w:pPr>
        <w:pStyle w:val="TextBody"/>
        <w:bidi w:val="0"/>
        <w:spacing w:before="240" w:after="0"/>
        <w:jc w:val="center"/>
        <w:rPr>
          <w:rFonts w:ascii="Times New Roman" w:hAnsi="Times New Roman"/>
          <w:sz w:val="20"/>
        </w:rPr>
      </w:pPr>
      <w:r>
        <w:rPr>
          <w:rFonts w:ascii="Times New Roman" w:hAnsi="Times New Roman"/>
          <w:sz w:val="20"/>
        </w:rPr>
        <w:t xml:space="preserve">ARMADA ACQUISITION CORP. I </w:t>
      </w:r>
    </w:p>
    <w:p>
      <w:pPr>
        <w:pStyle w:val="TextBody"/>
        <w:bidi w:val="0"/>
        <w:spacing w:before="0" w:after="0"/>
        <w:jc w:val="center"/>
        <w:rPr>
          <w:rFonts w:ascii="Times New Roman" w:hAnsi="Times New Roman"/>
          <w:sz w:val="20"/>
        </w:rPr>
      </w:pPr>
      <w:r>
        <w:rPr>
          <w:rFonts w:ascii="Times New Roman" w:hAnsi="Times New Roman"/>
          <w:sz w:val="20"/>
        </w:rPr>
        <w:t xml:space="preserve">2005 Market Street Suite 3120 </w:t>
      </w:r>
    </w:p>
    <w:p>
      <w:pPr>
        <w:pStyle w:val="TextBody"/>
        <w:bidi w:val="0"/>
        <w:spacing w:before="0" w:after="0"/>
        <w:jc w:val="center"/>
        <w:rPr>
          <w:rFonts w:ascii="Times New Roman" w:hAnsi="Times New Roman"/>
          <w:sz w:val="20"/>
        </w:rPr>
      </w:pPr>
      <w:r>
        <w:rPr>
          <w:rFonts w:ascii="Times New Roman" w:hAnsi="Times New Roman"/>
          <w:sz w:val="20"/>
        </w:rPr>
        <w:t xml:space="preserve">Philadelphia, PA 19103 </w:t>
      </w:r>
    </w:p>
    <w:p>
      <w:pPr>
        <w:pStyle w:val="TextBody"/>
        <w:bidi w:val="0"/>
        <w:spacing w:before="0" w:after="0"/>
        <w:jc w:val="center"/>
        <w:rPr>
          <w:rFonts w:ascii="Times New Roman" w:hAnsi="Times New Roman"/>
          <w:sz w:val="20"/>
        </w:rPr>
      </w:pPr>
      <w:r>
        <w:rPr>
          <w:rFonts w:ascii="Times New Roman" w:hAnsi="Times New Roman"/>
          <w:sz w:val="20"/>
        </w:rPr>
        <w:t xml:space="preserve">(215) 543-6886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7" w:name="index"/>
      <w:bookmarkStart w:id="38" w:name="tx309194_34"/>
      <w:bookmarkEnd w:id="37"/>
      <w:bookmarkEnd w:id="38"/>
      <w:r>
        <w:rPr>
          <w:rFonts w:ascii="Times New Roman" w:hAnsi="Times New Roman"/>
          <w:b/>
          <w:sz w:val="20"/>
        </w:rPr>
        <w:t xml:space="preserve">INDEX TO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REZOLVE AI LIMITED </w:t>
      </w:r>
    </w:p>
    <w:p>
      <w:pPr>
        <w:pStyle w:val="TextBody"/>
        <w:bidi w:val="0"/>
        <w:spacing w:before="120" w:after="0"/>
        <w:jc w:val="center"/>
        <w:rPr>
          <w:rFonts w:ascii="Times New Roman" w:hAnsi="Times New Roman"/>
          <w:b/>
          <w:sz w:val="20"/>
        </w:rPr>
      </w:pPr>
      <w:r>
        <w:rPr>
          <w:rFonts w:ascii="Times New Roman" w:hAnsi="Times New Roman"/>
          <w:b/>
          <w:sz w:val="20"/>
        </w:rPr>
        <w:t xml:space="preserve">Carve-out Consolidated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As of and for the years ended December 31, 2022 and 2021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67"/>
        <w:gridCol w:w="153"/>
        <w:gridCol w:w="60"/>
        <w:gridCol w:w="363"/>
        <w:gridCol w:w="62"/>
      </w:tblGrid>
      <w:tr>
        <w:trPr/>
        <w:tc>
          <w:tcPr>
            <w:tcW w:w="956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67" w:type="dxa"/>
            <w:tcBorders/>
          </w:tcPr>
          <w:p>
            <w:pPr>
              <w:pStyle w:val="TableContents"/>
              <w:bidi w:val="0"/>
              <w:spacing w:before="0" w:after="0"/>
              <w:jc w:val="left"/>
              <w:rPr/>
            </w:pPr>
            <w:hyperlink w:anchor="fin309194_1">
              <w:r>
                <w:rPr>
                  <w:rStyle w:val="InternetLink"/>
                  <w:rFonts w:ascii="Times New Roman" w:hAnsi="Times New Roman"/>
                  <w:sz w:val="20"/>
                </w:rPr>
                <w:t>Independent Auditors Report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fin309194_1a">
              <w:r>
                <w:rPr>
                  <w:rStyle w:val="InternetLink"/>
                  <w:rFonts w:ascii="Times New Roman" w:hAnsi="Times New Roman"/>
                  <w:sz w:val="20"/>
                </w:rPr>
                <w:t xml:space="preserve">Carve-out Consolidated Financial Statements </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fin309194_2">
              <w:r>
                <w:rPr>
                  <w:rStyle w:val="InternetLink"/>
                  <w:rFonts w:ascii="Times New Roman" w:hAnsi="Times New Roman"/>
                  <w:sz w:val="20"/>
                </w:rPr>
                <w:t>Carve-out Consolidated Balance Sheets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fin309194_3">
              <w:r>
                <w:rPr>
                  <w:rStyle w:val="InternetLink"/>
                  <w:rFonts w:ascii="Times New Roman" w:hAnsi="Times New Roman"/>
                  <w:sz w:val="20"/>
                </w:rPr>
                <w:t xml:space="preserve">Carve-out Consolidated Statements of Operations </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fin309194_4">
              <w:r>
                <w:rPr>
                  <w:rStyle w:val="InternetLink"/>
                  <w:rFonts w:ascii="Times New Roman" w:hAnsi="Times New Roman"/>
                  <w:sz w:val="20"/>
                </w:rPr>
                <w:t>Carve-out Consolidated Statements of Comprehensive Loss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fin309194_5">
              <w:r>
                <w:rPr>
                  <w:rStyle w:val="InternetLink"/>
                  <w:rFonts w:ascii="Times New Roman" w:hAnsi="Times New Roman"/>
                  <w:sz w:val="20"/>
                </w:rPr>
                <w:t>Carve-out Consolidated Statements of Changes in Stockholders Deficit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fin309194_6">
              <w:r>
                <w:rPr>
                  <w:rStyle w:val="InternetLink"/>
                  <w:rFonts w:ascii="Times New Roman" w:hAnsi="Times New Roman"/>
                  <w:sz w:val="20"/>
                </w:rPr>
                <w:t>Carve-out Consolidated Statements of Cash Flows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c>
          <w:tcPr>
            <w:tcW w:w="9567" w:type="dxa"/>
            <w:tcBorders/>
          </w:tcPr>
          <w:p>
            <w:pPr>
              <w:pStyle w:val="TableContents"/>
              <w:bidi w:val="0"/>
              <w:spacing w:before="0" w:after="0"/>
              <w:jc w:val="left"/>
              <w:rPr/>
            </w:pPr>
            <w:hyperlink w:anchor="fin309194_7">
              <w:r>
                <w:rPr>
                  <w:rStyle w:val="InternetLink"/>
                  <w:rFonts w:ascii="Times New Roman" w:hAnsi="Times New Roman"/>
                  <w:sz w:val="20"/>
                </w:rPr>
                <w:t>Notes to the Carve-out Consolidated Financial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F-9</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ARMADA ACQUISITION CORP. I </w:t>
      </w:r>
    </w:p>
    <w:p>
      <w:pPr>
        <w:pStyle w:val="TextBody"/>
        <w:bidi w:val="0"/>
        <w:spacing w:before="240" w:after="0"/>
        <w:jc w:val="center"/>
        <w:rPr>
          <w:rFonts w:ascii="Times New Roman" w:hAnsi="Times New Roman"/>
          <w:b/>
          <w:sz w:val="20"/>
        </w:rPr>
      </w:pPr>
      <w:r>
        <w:rPr>
          <w:rFonts w:ascii="Times New Roman" w:hAnsi="Times New Roman"/>
          <w:b/>
          <w:sz w:val="20"/>
        </w:rPr>
        <w:t xml:space="preserve">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year ended September 30, 2022 and for the period from November 5, 2020 (inception) through September 30, 2021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7"/>
        <w:gridCol w:w="144"/>
        <w:gridCol w:w="60"/>
        <w:gridCol w:w="481"/>
        <w:gridCol w:w="63"/>
      </w:tblGrid>
      <w:tr>
        <w:trPr/>
        <w:tc>
          <w:tcPr>
            <w:tcW w:w="9457"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57" w:type="dxa"/>
            <w:tcBorders/>
          </w:tcPr>
          <w:p>
            <w:pPr>
              <w:pStyle w:val="TableContents"/>
              <w:bidi w:val="0"/>
              <w:spacing w:before="0" w:after="0"/>
              <w:jc w:val="left"/>
              <w:rPr/>
            </w:pPr>
            <w:hyperlink w:anchor="fin309194_8">
              <w:r>
                <w:rPr>
                  <w:rStyle w:val="InternetLink"/>
                  <w:rFonts w:ascii="Times New Roman" w:hAnsi="Times New Roman"/>
                  <w:sz w:val="20"/>
                </w:rPr>
                <w:t>Report of Independent Registered Public Accounting Firm</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F-40</w:t>
            </w:r>
          </w:p>
        </w:tc>
        <w:tc>
          <w:tcPr>
            <w:tcW w:w="63" w:type="dxa"/>
            <w:tcBorders/>
            <w:vAlign w:val="bottom"/>
          </w:tcPr>
          <w:p>
            <w:pPr>
              <w:pStyle w:val="TableContents"/>
              <w:bidi w:val="0"/>
              <w:spacing w:before="0" w:after="283"/>
              <w:jc w:val="left"/>
              <w:rPr/>
            </w:pPr>
            <w:r>
              <w:rPr/>
              <w:t> </w:t>
            </w:r>
          </w:p>
        </w:tc>
      </w:tr>
      <w:tr>
        <w:trPr/>
        <w:tc>
          <w:tcPr>
            <w:tcW w:w="9457" w:type="dxa"/>
            <w:tcBorders/>
          </w:tcPr>
          <w:p>
            <w:pPr>
              <w:pStyle w:val="TableContents"/>
              <w:bidi w:val="0"/>
              <w:spacing w:before="0" w:after="0"/>
              <w:jc w:val="left"/>
              <w:rPr/>
            </w:pPr>
            <w:hyperlink w:anchor="fin309194_9">
              <w:r>
                <w:rPr>
                  <w:rStyle w:val="InternetLink"/>
                  <w:rFonts w:ascii="Times New Roman" w:hAnsi="Times New Roman"/>
                  <w:sz w:val="20"/>
                </w:rPr>
                <w:t>Balance Sheets</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F-41</w:t>
            </w:r>
          </w:p>
        </w:tc>
        <w:tc>
          <w:tcPr>
            <w:tcW w:w="63" w:type="dxa"/>
            <w:tcBorders/>
            <w:vAlign w:val="bottom"/>
          </w:tcPr>
          <w:p>
            <w:pPr>
              <w:pStyle w:val="TableContents"/>
              <w:bidi w:val="0"/>
              <w:spacing w:before="0" w:after="283"/>
              <w:jc w:val="left"/>
              <w:rPr/>
            </w:pPr>
            <w:r>
              <w:rPr/>
              <w:t> </w:t>
            </w:r>
          </w:p>
        </w:tc>
      </w:tr>
      <w:tr>
        <w:trPr/>
        <w:tc>
          <w:tcPr>
            <w:tcW w:w="9457" w:type="dxa"/>
            <w:tcBorders/>
          </w:tcPr>
          <w:p>
            <w:pPr>
              <w:pStyle w:val="TableContents"/>
              <w:bidi w:val="0"/>
              <w:spacing w:before="0" w:after="0"/>
              <w:jc w:val="left"/>
              <w:rPr/>
            </w:pPr>
            <w:hyperlink w:anchor="fin309194_10">
              <w:r>
                <w:rPr>
                  <w:rStyle w:val="InternetLink"/>
                  <w:rFonts w:ascii="Times New Roman" w:hAnsi="Times New Roman"/>
                  <w:sz w:val="20"/>
                </w:rPr>
                <w:t>Statements of Operations</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F-42</w:t>
            </w:r>
          </w:p>
        </w:tc>
        <w:tc>
          <w:tcPr>
            <w:tcW w:w="63" w:type="dxa"/>
            <w:tcBorders/>
            <w:vAlign w:val="bottom"/>
          </w:tcPr>
          <w:p>
            <w:pPr>
              <w:pStyle w:val="TableContents"/>
              <w:bidi w:val="0"/>
              <w:spacing w:before="0" w:after="283"/>
              <w:jc w:val="left"/>
              <w:rPr/>
            </w:pPr>
            <w:r>
              <w:rPr/>
              <w:t> </w:t>
            </w:r>
          </w:p>
        </w:tc>
      </w:tr>
      <w:tr>
        <w:trPr/>
        <w:tc>
          <w:tcPr>
            <w:tcW w:w="9457" w:type="dxa"/>
            <w:tcBorders/>
          </w:tcPr>
          <w:p>
            <w:pPr>
              <w:pStyle w:val="TableContents"/>
              <w:bidi w:val="0"/>
              <w:spacing w:before="0" w:after="0"/>
              <w:jc w:val="left"/>
              <w:rPr/>
            </w:pPr>
            <w:hyperlink w:anchor="fin309194_11">
              <w:r>
                <w:rPr>
                  <w:rStyle w:val="InternetLink"/>
                  <w:rFonts w:ascii="Times New Roman" w:hAnsi="Times New Roman"/>
                  <w:sz w:val="20"/>
                </w:rPr>
                <w:t>Statements of Changes in Stockholders (Deficit) Equity</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F-43</w:t>
            </w:r>
          </w:p>
        </w:tc>
        <w:tc>
          <w:tcPr>
            <w:tcW w:w="63" w:type="dxa"/>
            <w:tcBorders/>
            <w:vAlign w:val="bottom"/>
          </w:tcPr>
          <w:p>
            <w:pPr>
              <w:pStyle w:val="TableContents"/>
              <w:bidi w:val="0"/>
              <w:spacing w:before="0" w:after="283"/>
              <w:jc w:val="left"/>
              <w:rPr/>
            </w:pPr>
            <w:r>
              <w:rPr/>
              <w:t> </w:t>
            </w:r>
          </w:p>
        </w:tc>
      </w:tr>
      <w:tr>
        <w:trPr/>
        <w:tc>
          <w:tcPr>
            <w:tcW w:w="9457" w:type="dxa"/>
            <w:tcBorders/>
          </w:tcPr>
          <w:p>
            <w:pPr>
              <w:pStyle w:val="TableContents"/>
              <w:bidi w:val="0"/>
              <w:spacing w:before="0" w:after="0"/>
              <w:jc w:val="left"/>
              <w:rPr/>
            </w:pPr>
            <w:hyperlink w:anchor="fin309194_12">
              <w:r>
                <w:rPr>
                  <w:rStyle w:val="InternetLink"/>
                  <w:rFonts w:ascii="Times New Roman" w:hAnsi="Times New Roman"/>
                  <w:sz w:val="20"/>
                </w:rPr>
                <w:t>Statements of Cash Flows</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F-44</w:t>
            </w:r>
          </w:p>
        </w:tc>
        <w:tc>
          <w:tcPr>
            <w:tcW w:w="63" w:type="dxa"/>
            <w:tcBorders/>
            <w:vAlign w:val="bottom"/>
          </w:tcPr>
          <w:p>
            <w:pPr>
              <w:pStyle w:val="TableContents"/>
              <w:bidi w:val="0"/>
              <w:spacing w:before="0" w:after="283"/>
              <w:jc w:val="left"/>
              <w:rPr/>
            </w:pPr>
            <w:r>
              <w:rPr/>
              <w:t> </w:t>
            </w:r>
          </w:p>
        </w:tc>
      </w:tr>
      <w:tr>
        <w:trPr/>
        <w:tc>
          <w:tcPr>
            <w:tcW w:w="9457" w:type="dxa"/>
            <w:tcBorders/>
          </w:tcPr>
          <w:p>
            <w:pPr>
              <w:pStyle w:val="TableContents"/>
              <w:bidi w:val="0"/>
              <w:spacing w:before="0" w:after="0"/>
              <w:jc w:val="left"/>
              <w:rPr/>
            </w:pPr>
            <w:hyperlink w:anchor="fin309194_13">
              <w:r>
                <w:rPr>
                  <w:rStyle w:val="InternetLink"/>
                  <w:rFonts w:ascii="Times New Roman" w:hAnsi="Times New Roman"/>
                  <w:sz w:val="20"/>
                </w:rPr>
                <w:t>Notes to Financial Statements</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F-45</w:t>
            </w:r>
          </w:p>
        </w:tc>
        <w:tc>
          <w:tcPr>
            <w:tcW w:w="63"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Unaudited Condensed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 Period ended December 31, 2022 and 2021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309194_51">
              <w:r>
                <w:rPr>
                  <w:rStyle w:val="InternetLink"/>
                  <w:rFonts w:ascii="Times New Roman" w:hAnsi="Times New Roman"/>
                  <w:sz w:val="20"/>
                </w:rPr>
                <w:t>Condensed Balance Sheets as of December 31, 2022 (Unaudited) and September 30, 2022 (Audited)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F-61</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309194_52">
              <w:r>
                <w:rPr>
                  <w:rStyle w:val="InternetLink"/>
                  <w:rFonts w:ascii="Times New Roman" w:hAnsi="Times New Roman"/>
                  <w:sz w:val="20"/>
                </w:rPr>
                <w:t>Unaudited Condensed Statements of Operations for the three months ended December 31, 2022 and 2021</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F-62</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309194_53">
              <w:r>
                <w:rPr>
                  <w:rStyle w:val="InternetLink"/>
                  <w:rFonts w:ascii="Times New Roman" w:hAnsi="Times New Roman"/>
                  <w:sz w:val="20"/>
                </w:rPr>
                <w:t>Unaudited Condensed Statements of Changes in Stockholders Deficit for the three months ended December 31, 2022 and 2021</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F-63</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309194_54">
              <w:r>
                <w:rPr>
                  <w:rStyle w:val="InternetLink"/>
                  <w:rFonts w:ascii="Times New Roman" w:hAnsi="Times New Roman"/>
                  <w:sz w:val="20"/>
                </w:rPr>
                <w:t>Unaudited Condensed Statements of Cash Flows for the three months ended December 31, 2022 and 2021</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F-64</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Unaudited Condensed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and Six Month Periods Ended March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71"/>
        <w:gridCol w:w="142"/>
        <w:gridCol w:w="60"/>
        <w:gridCol w:w="470"/>
        <w:gridCol w:w="62"/>
      </w:tblGrid>
      <w:tr>
        <w:trPr/>
        <w:tc>
          <w:tcPr>
            <w:tcW w:w="9471"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71" w:type="dxa"/>
            <w:tcBorders/>
          </w:tcPr>
          <w:p>
            <w:pPr>
              <w:pStyle w:val="TableContents"/>
              <w:bidi w:val="0"/>
              <w:spacing w:before="0" w:after="0"/>
              <w:jc w:val="left"/>
              <w:rPr/>
            </w:pPr>
            <w:hyperlink w:anchor="fin309194_14">
              <w:r>
                <w:rPr>
                  <w:rStyle w:val="InternetLink"/>
                  <w:rFonts w:ascii="Times New Roman" w:hAnsi="Times New Roman"/>
                  <w:sz w:val="20"/>
                </w:rPr>
                <w:t>Unaudited Condensed Balance Sheets as of March  31, 2023 and September 30, 2022</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F-78</w:t>
            </w:r>
          </w:p>
        </w:tc>
        <w:tc>
          <w:tcPr>
            <w:tcW w:w="62" w:type="dxa"/>
            <w:tcBorders/>
            <w:vAlign w:val="bottom"/>
          </w:tcPr>
          <w:p>
            <w:pPr>
              <w:pStyle w:val="TableContents"/>
              <w:bidi w:val="0"/>
              <w:spacing w:before="0" w:after="283"/>
              <w:jc w:val="left"/>
              <w:rPr/>
            </w:pPr>
            <w:r>
              <w:rPr/>
              <w:t> </w:t>
            </w:r>
          </w:p>
        </w:tc>
      </w:tr>
      <w:tr>
        <w:trPr/>
        <w:tc>
          <w:tcPr>
            <w:tcW w:w="9471" w:type="dxa"/>
            <w:tcBorders/>
          </w:tcPr>
          <w:p>
            <w:pPr>
              <w:pStyle w:val="TableContents"/>
              <w:bidi w:val="0"/>
              <w:spacing w:before="0" w:after="0"/>
              <w:jc w:val="left"/>
              <w:rPr/>
            </w:pPr>
            <w:hyperlink w:anchor="fin309194_15">
              <w:r>
                <w:rPr>
                  <w:rStyle w:val="InternetLink"/>
                  <w:rFonts w:ascii="Times New Roman" w:hAnsi="Times New Roman"/>
                  <w:sz w:val="20"/>
                </w:rPr>
                <w:t>Unaudited Condensed Statements of Operations for the three and six months-ended March 31, 2023 and 2022</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F-79</w:t>
            </w:r>
          </w:p>
        </w:tc>
        <w:tc>
          <w:tcPr>
            <w:tcW w:w="62" w:type="dxa"/>
            <w:tcBorders/>
            <w:vAlign w:val="bottom"/>
          </w:tcPr>
          <w:p>
            <w:pPr>
              <w:pStyle w:val="TableContents"/>
              <w:bidi w:val="0"/>
              <w:spacing w:before="0" w:after="283"/>
              <w:jc w:val="left"/>
              <w:rPr/>
            </w:pPr>
            <w:r>
              <w:rPr/>
              <w:t> </w:t>
            </w:r>
          </w:p>
        </w:tc>
      </w:tr>
      <w:tr>
        <w:trPr/>
        <w:tc>
          <w:tcPr>
            <w:tcW w:w="9471" w:type="dxa"/>
            <w:tcBorders/>
          </w:tcPr>
          <w:p>
            <w:pPr>
              <w:pStyle w:val="TableContents"/>
              <w:bidi w:val="0"/>
              <w:spacing w:before="0" w:after="0"/>
              <w:jc w:val="left"/>
              <w:rPr/>
            </w:pPr>
            <w:hyperlink w:anchor="fin309194_16">
              <w:r>
                <w:rPr>
                  <w:rStyle w:val="InternetLink"/>
                  <w:rFonts w:ascii="Times New Roman" w:hAnsi="Times New Roman"/>
                  <w:sz w:val="20"/>
                </w:rPr>
                <w:t>Unaudited Condensed Statements of Changes in Stockholders (Deficit) Equity for the three and six months-ended March 31, 2023 and 2022</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F-80</w:t>
            </w:r>
          </w:p>
        </w:tc>
        <w:tc>
          <w:tcPr>
            <w:tcW w:w="62" w:type="dxa"/>
            <w:tcBorders/>
            <w:vAlign w:val="bottom"/>
          </w:tcPr>
          <w:p>
            <w:pPr>
              <w:pStyle w:val="TableContents"/>
              <w:bidi w:val="0"/>
              <w:spacing w:before="0" w:after="283"/>
              <w:jc w:val="left"/>
              <w:rPr/>
            </w:pPr>
            <w:r>
              <w:rPr/>
              <w:t> </w:t>
            </w:r>
          </w:p>
        </w:tc>
      </w:tr>
      <w:tr>
        <w:trPr/>
        <w:tc>
          <w:tcPr>
            <w:tcW w:w="9471" w:type="dxa"/>
            <w:tcBorders/>
          </w:tcPr>
          <w:p>
            <w:pPr>
              <w:pStyle w:val="TableContents"/>
              <w:bidi w:val="0"/>
              <w:spacing w:before="0" w:after="0"/>
              <w:jc w:val="left"/>
              <w:rPr/>
            </w:pPr>
            <w:hyperlink w:anchor="fin309194_17">
              <w:r>
                <w:rPr>
                  <w:rStyle w:val="InternetLink"/>
                  <w:rFonts w:ascii="Times New Roman" w:hAnsi="Times New Roman"/>
                  <w:sz w:val="20"/>
                </w:rPr>
                <w:t>Unaudited Condensed Statements of Cash Flows for the six months ended March 31, 2023 and 2022</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F-81</w:t>
            </w:r>
          </w:p>
        </w:tc>
        <w:tc>
          <w:tcPr>
            <w:tcW w:w="62" w:type="dxa"/>
            <w:tcBorders/>
            <w:vAlign w:val="bottom"/>
          </w:tcPr>
          <w:p>
            <w:pPr>
              <w:pStyle w:val="TableContents"/>
              <w:bidi w:val="0"/>
              <w:spacing w:before="0" w:after="283"/>
              <w:jc w:val="left"/>
              <w:rPr/>
            </w:pPr>
            <w:r>
              <w:rPr/>
              <w:t> </w:t>
            </w:r>
          </w:p>
        </w:tc>
      </w:tr>
      <w:tr>
        <w:trPr/>
        <w:tc>
          <w:tcPr>
            <w:tcW w:w="9471" w:type="dxa"/>
            <w:tcBorders/>
          </w:tcPr>
          <w:p>
            <w:pPr>
              <w:pStyle w:val="TableContents"/>
              <w:bidi w:val="0"/>
              <w:spacing w:before="0" w:after="0"/>
              <w:jc w:val="left"/>
              <w:rPr/>
            </w:pPr>
            <w:hyperlink w:anchor="fin309194_18">
              <w:r>
                <w:rPr>
                  <w:rStyle w:val="InternetLink"/>
                  <w:rFonts w:ascii="Times New Roman" w:hAnsi="Times New Roman"/>
                  <w:sz w:val="20"/>
                </w:rPr>
                <w:t>Notes to Unaudited Condensed Financial Statements</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F-82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577850" cy="6794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77850" cy="6794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bookmarkStart w:id="39" w:name="fin309194_1"/>
      <w:bookmarkEnd w:id="39"/>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Board of Directors and Shareholders of </w:t>
      </w:r>
    </w:p>
    <w:p>
      <w:pPr>
        <w:pStyle w:val="TextBody"/>
        <w:bidi w:val="0"/>
        <w:spacing w:before="0" w:after="0"/>
        <w:jc w:val="left"/>
        <w:rPr>
          <w:rFonts w:ascii="Times New Roman" w:hAnsi="Times New Roman"/>
          <w:sz w:val="20"/>
        </w:rPr>
      </w:pPr>
      <w:r>
        <w:rPr>
          <w:rFonts w:ascii="Times New Roman" w:hAnsi="Times New Roman"/>
          <w:sz w:val="20"/>
        </w:rPr>
        <w:t xml:space="preserve">Rezolve AI Limited and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Opinion on the Carve-Out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carve-out consolidated balance sheets of Rezolve AI Limited and Subsidiaries (the Company) as of December 31, 2022 and 2021, and the related carve-out consolidated statements of operations, comprehensive loss, changes in shareholders deficit, and cash flows for each of the years in the two-year period ended December 31, 2022, and the related notes (collectively referred to as the carve-out consolidated financial statements). In our opinion, the carve-out consolidated financial statements present fairly, in all material respects, the financial position of the Company as of December 31, 2022 and 2021, and the results of its operations and its cash flows for each of the years in the two-year period ended December 31, 2022, in conformity with accounting principles generally accepted in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carve-out consolidated financial statements are the responsibility of the Companys management. Our responsibility is to express an opinion on the Companys carve-out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audits to obtain reasonable assurance about whether the carve-out consolidated financial statements are free of material misstatement, whether due to error or fraud. The Company is not required to have, nor were we engaged to perform, audits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carve-out consolidated financial statements, whether due to error or fraud, and performing procedures that respond to those risks. Such procedures included examining, on a test basis, evidence regarding the amounts and disclosures in the carve-out consolidated financial statements. Our audits also included evaluating the accounting principles used and significant estimates made by management, as well as evaluating the overall presentation of the carve-out consolidated financial statements. We believe that our audits provide a reasonable basis for our opinion.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7429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7850" cy="742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Critical Audit Matter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 period audit of the carve-out consolidated financial statements that was communicated or required to be communicated to the board of directors and that: (1) relate to accounts or disclosures that are material to the carve-out consolidated financial statements and (2) involved our especially challenging, subjective, or complex judgments. The communication of critical audit matter does not alter in any way our opinion on the carve-out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360" w:after="0"/>
        <w:jc w:val="left"/>
        <w:rPr>
          <w:rFonts w:ascii="Times New Roman" w:hAnsi="Times New Roman"/>
          <w:i/>
          <w:sz w:val="20"/>
        </w:rPr>
      </w:pPr>
      <w:r>
        <w:rPr>
          <w:rFonts w:ascii="Times New Roman" w:hAnsi="Times New Roman"/>
          <w:i/>
          <w:sz w:val="20"/>
        </w:rPr>
        <w:t xml:space="preserve">Evaluation of potential impairment indicators for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 2.12 to the carve-out consolidated financial statements, the Company reviews long-lived assets, primarily comprised of property and equipment, intangibles and goodwill, for impairment whenever events or changes in circumstances indicate that the carrying amount of the assets may no longer be recoverable (triggering events) or at least annually in the case of goodwill. Recoverability of these assets is measured by a comparison of the carrying amount of the asset to future net cash flows expected to be generated by the relevant unit of account which is different for each type of asset. If such assets are considered to be impaired, the impairment to be recognized is measured by the amount by which the carrying amount of the assets exceeds the fair value of the assets which is estimated to be the present value of the cash flow projections for the unit of account. </w:t>
      </w:r>
    </w:p>
    <w:p>
      <w:pPr>
        <w:pStyle w:val="TextBody"/>
        <w:bidi w:val="0"/>
        <w:spacing w:before="240" w:after="0"/>
        <w:jc w:val="left"/>
        <w:rPr>
          <w:rFonts w:ascii="Times New Roman" w:hAnsi="Times New Roman"/>
          <w:sz w:val="20"/>
        </w:rPr>
      </w:pPr>
      <w:r>
        <w:rPr>
          <w:rFonts w:ascii="Times New Roman" w:hAnsi="Times New Roman"/>
          <w:sz w:val="20"/>
        </w:rPr>
        <w:t xml:space="preserve">We identified the evaluation of potential impairment indicators for long-lived assets to be a critical audit matter. Evaluating the Companys judgments in determining whether a triggering event exists required a high degree of subjective auditor judgment and an increased extent of effort. </w:t>
      </w:r>
    </w:p>
    <w:p>
      <w:pPr>
        <w:pStyle w:val="TextBody"/>
        <w:bidi w:val="0"/>
        <w:spacing w:before="240" w:after="0"/>
        <w:jc w:val="left"/>
        <w:rPr>
          <w:rFonts w:ascii="Times New Roman" w:hAnsi="Times New Roman"/>
          <w:sz w:val="20"/>
        </w:rPr>
      </w:pPr>
      <w:r>
        <w:rPr>
          <w:rFonts w:ascii="Times New Roman" w:hAnsi="Times New Roman"/>
          <w:sz w:val="20"/>
        </w:rPr>
        <w:t xml:space="preserve">The primary procedures we performed to address this critical audit matter included the following. </w:t>
      </w:r>
    </w:p>
    <w:p>
      <w:pPr>
        <w:pStyle w:val="TextBody"/>
        <w:bidi w:val="0"/>
        <w:spacing w:before="0" w:after="0"/>
        <w:jc w:val="left"/>
        <w:rPr>
          <w:rFonts w:ascii="Times New Roman" w:hAnsi="Times New Roman"/>
          <w:sz w:val="20"/>
        </w:rPr>
      </w:pPr>
      <w:r>
        <w:rPr>
          <w:rFonts w:ascii="Times New Roman" w:hAnsi="Times New Roman"/>
          <w:sz w:val="20"/>
        </w:rPr>
        <w:t xml:space="preserve">We discussed the results of the Companys process to identify and assess triggering events that may indicate that the carrying amount of a long-lived asset may no longer be recoverable. We conducted our own independent assessment as to whether such conditions existed for other assets not identified by management. We then evaluated the Companys key assumptions used in estimating future cash flows from those long-lived assets which experienced triggering events and goodwill, which must be evaluated at least annually. We compared data used by the Company to develop its assumptions to external data sources, noting that such factors included both internal and external factors to analyst reports. We evaluated responses as to factors considered and evaluated whether the Company omitted any significant internal or external factors in their evaluation. We recalculated the amounts used to assess for impairment and where relevant, record impairment. We evaluated the Companys data and assumptions to ensure consistency with audit evidence obtained.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2022.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drawing>
                <wp:inline distT="0" distB="0" distL="0" distR="0">
                  <wp:extent cx="99060" cy="6477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9060" cy="64770"/>
                          </a:xfrm>
                          <a:prstGeom prst="rect">
                            <a:avLst/>
                          </a:prstGeom>
                        </pic:spPr>
                      </pic:pic>
                    </a:graphicData>
                  </a:graphic>
                </wp:inline>
              </w:drawing>
            </w:r>
            <w:r>
              <w:rPr/>
              <w:t xml:space="preserve">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MSPC</w:t>
            </w:r>
          </w:p>
          <w:p>
            <w:pPr>
              <w:pStyle w:val="TableContents"/>
              <w:bidi w:val="0"/>
              <w:spacing w:before="0" w:after="0"/>
              <w:jc w:val="left"/>
              <w:rPr>
                <w:rFonts w:ascii="Times New Roman" w:hAnsi="Times New Roman"/>
                <w:sz w:val="20"/>
              </w:rPr>
            </w:pPr>
            <w:r>
              <w:rPr>
                <w:rFonts w:ascii="Times New Roman" w:hAnsi="Times New Roman"/>
                <w:sz w:val="20"/>
              </w:rPr>
              <w:t>Certified Public Accountants and Advisors,</w:t>
            </w:r>
          </w:p>
          <w:p>
            <w:pPr>
              <w:pStyle w:val="TableContents"/>
              <w:bidi w:val="0"/>
              <w:spacing w:before="0" w:after="20"/>
              <w:jc w:val="left"/>
              <w:rPr>
                <w:rFonts w:ascii="Times New Roman" w:hAnsi="Times New Roman"/>
                <w:sz w:val="20"/>
              </w:rPr>
            </w:pPr>
            <w:r>
              <w:rPr>
                <w:rFonts w:ascii="Times New Roman" w:hAnsi="Times New Roman"/>
                <w:sz w:val="20"/>
              </w:rPr>
              <w:t>A Professional Corporation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 xml:space="preserve">June 13,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40" w:name="fin309194_1a"/>
      <w:bookmarkEnd w:id="40"/>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bookmarkStart w:id="41" w:name="fin309194_2"/>
      <w:bookmarkEnd w:id="41"/>
      <w:r>
        <w:rPr>
          <w:rFonts w:ascii="Times New Roman" w:hAnsi="Times New Roman"/>
          <w:b/>
          <w:sz w:val="20"/>
        </w:rPr>
        <w:t xml:space="preserve">Carve-out Consolidated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24"/>
        <w:gridCol w:w="498"/>
        <w:gridCol w:w="190"/>
        <w:gridCol w:w="1768"/>
        <w:gridCol w:w="155"/>
        <w:gridCol w:w="450"/>
        <w:gridCol w:w="208"/>
        <w:gridCol w:w="1754"/>
        <w:gridCol w:w="158"/>
      </w:tblGrid>
      <w:tr>
        <w:trPr/>
        <w:tc>
          <w:tcPr>
            <w:tcW w:w="5024" w:type="dxa"/>
            <w:tcBorders/>
            <w:vAlign w:val="center"/>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24"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158" w:type="dxa"/>
            <w:tcBorders/>
            <w:vAlign w:val="bottom"/>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7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7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024"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7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75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768" w:type="dxa"/>
            <w:tcBorders/>
            <w:shd w:fill="CCEEFF" w:val="clear"/>
            <w:vAlign w:val="bottom"/>
          </w:tcPr>
          <w:p>
            <w:pPr>
              <w:pStyle w:val="TableContents"/>
              <w:bidi w:val="0"/>
              <w:spacing w:before="0" w:after="283"/>
              <w:jc w:val="right"/>
              <w:rPr/>
            </w:pPr>
            <w:r>
              <w:rPr/>
              <w:t>41,709</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754" w:type="dxa"/>
            <w:tcBorders/>
            <w:shd w:fill="CCEEFF" w:val="clear"/>
            <w:vAlign w:val="bottom"/>
          </w:tcPr>
          <w:p>
            <w:pPr>
              <w:pStyle w:val="TableContents"/>
              <w:bidi w:val="0"/>
              <w:spacing w:before="0" w:after="283"/>
              <w:jc w:val="right"/>
              <w:rPr/>
            </w:pPr>
            <w:r>
              <w:rPr/>
              <w:t>2,690,024</w:t>
            </w:r>
          </w:p>
        </w:tc>
        <w:tc>
          <w:tcPr>
            <w:tcW w:w="158" w:type="dxa"/>
            <w:tcBorders/>
            <w:shd w:fill="CCEEFF" w:val="clear"/>
            <w:vAlign w:val="bottom"/>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682,474</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1,250,066</w:t>
            </w:r>
          </w:p>
        </w:tc>
        <w:tc>
          <w:tcPr>
            <w:tcW w:w="158" w:type="dxa"/>
            <w:tcBorders/>
            <w:vAlign w:val="bottom"/>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Receivables from related party</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pPr>
            <w:r>
              <w:rPr/>
              <w:t>168,754</w:t>
            </w:r>
          </w:p>
        </w:tc>
        <w:tc>
          <w:tcPr>
            <w:tcW w:w="158" w:type="dxa"/>
            <w:tcBorders/>
            <w:shd w:fill="CCEEFF" w:val="clear"/>
            <w:vAlign w:val="bottom"/>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sz w:val="20"/>
              </w:rPr>
            </w:pPr>
            <w:r>
              <w:rPr>
                <w:rFonts w:ascii="Times New Roman" w:hAnsi="Times New Roman"/>
                <w:sz w:val="20"/>
              </w:rPr>
              <w:t>Prepayments and other current assets</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1,202,572</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1,719,045</w:t>
            </w:r>
          </w:p>
        </w:tc>
        <w:tc>
          <w:tcPr>
            <w:tcW w:w="158" w:type="dxa"/>
            <w:tcBorders/>
            <w:vAlign w:val="bottom"/>
          </w:tcPr>
          <w:p>
            <w:pPr>
              <w:pStyle w:val="TableContents"/>
              <w:bidi w:val="0"/>
              <w:spacing w:before="0" w:after="283"/>
              <w:jc w:val="left"/>
              <w:rPr/>
            </w:pPr>
            <w:r>
              <w:rPr/>
              <w:t> </w:t>
            </w:r>
          </w:p>
        </w:tc>
      </w:tr>
      <w:tr>
        <w:trPr/>
        <w:tc>
          <w:tcPr>
            <w:tcW w:w="5024"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b/>
              </w:rPr>
            </w:pPr>
            <w:r>
              <w:rPr>
                <w:b/>
              </w:rPr>
              <w:t>1,926,755</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b/>
              </w:rPr>
            </w:pPr>
            <w:r>
              <w:rPr>
                <w:b/>
              </w:rPr>
              <w:t>5,827,889</w:t>
            </w:r>
          </w:p>
        </w:tc>
        <w:tc>
          <w:tcPr>
            <w:tcW w:w="158" w:type="dxa"/>
            <w:tcBorders/>
            <w:shd w:fill="CCEEFF" w:val="clear"/>
            <w:vAlign w:val="bottom"/>
          </w:tcPr>
          <w:p>
            <w:pPr>
              <w:pStyle w:val="TableContents"/>
              <w:bidi w:val="0"/>
              <w:spacing w:before="0" w:after="283"/>
              <w:jc w:val="left"/>
              <w:rPr/>
            </w:pPr>
            <w:r>
              <w:rPr/>
              <w:t> </w:t>
            </w:r>
          </w:p>
        </w:tc>
      </w:tr>
      <w:tr>
        <w:trPr/>
        <w:tc>
          <w:tcPr>
            <w:tcW w:w="5024"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rHeight w:val="120" w:hRule="atLeast"/>
        </w:trPr>
        <w:tc>
          <w:tcPr>
            <w:tcW w:w="5024" w:type="dxa"/>
            <w:tcBorders/>
            <w:vAlign w:val="center"/>
          </w:tcPr>
          <w:p>
            <w:pPr>
              <w:pStyle w:val="TableContents"/>
              <w:bidi w:val="0"/>
              <w:spacing w:before="0" w:after="283"/>
              <w:jc w:val="left"/>
              <w:rPr>
                <w:sz w:val="4"/>
                <w:szCs w:val="4"/>
              </w:rPr>
            </w:pPr>
            <w:r>
              <w:rPr>
                <w:sz w:val="4"/>
                <w:szCs w:val="4"/>
              </w:rPr>
            </w:r>
          </w:p>
        </w:tc>
        <w:tc>
          <w:tcPr>
            <w:tcW w:w="2611"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r>
      <w:tr>
        <w:trPr/>
        <w:tc>
          <w:tcPr>
            <w:tcW w:w="5024"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7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75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139,560</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pPr>
            <w:r>
              <w:rPr/>
              <w:t>161,284</w:t>
            </w:r>
          </w:p>
        </w:tc>
        <w:tc>
          <w:tcPr>
            <w:tcW w:w="158" w:type="dxa"/>
            <w:tcBorders/>
            <w:shd w:fill="CCEEFF" w:val="clear"/>
            <w:vAlign w:val="bottom"/>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81,660</w:t>
            </w:r>
          </w:p>
        </w:tc>
        <w:tc>
          <w:tcPr>
            <w:tcW w:w="158" w:type="dxa"/>
            <w:tcBorders/>
            <w:vAlign w:val="bottom"/>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1,061,763</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pPr>
            <w:r>
              <w:rPr/>
              <w:t>8,986,408</w:t>
            </w:r>
          </w:p>
        </w:tc>
        <w:tc>
          <w:tcPr>
            <w:tcW w:w="158" w:type="dxa"/>
            <w:tcBorders/>
            <w:shd w:fill="CCEEFF" w:val="clear"/>
            <w:vAlign w:val="bottom"/>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6,237,443</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7,316,729</w:t>
            </w:r>
          </w:p>
        </w:tc>
        <w:tc>
          <w:tcPr>
            <w:tcW w:w="158" w:type="dxa"/>
            <w:tcBorders/>
            <w:vAlign w:val="bottom"/>
          </w:tcPr>
          <w:p>
            <w:pPr>
              <w:pStyle w:val="TableContents"/>
              <w:bidi w:val="0"/>
              <w:spacing w:before="0" w:after="283"/>
              <w:jc w:val="left"/>
              <w:rPr/>
            </w:pPr>
            <w:r>
              <w:rPr/>
              <w:t> </w:t>
            </w:r>
          </w:p>
        </w:tc>
      </w:tr>
      <w:tr>
        <w:trPr/>
        <w:tc>
          <w:tcPr>
            <w:tcW w:w="5024"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b/>
              </w:rPr>
            </w:pPr>
            <w:r>
              <w:rPr>
                <w:b/>
              </w:rPr>
              <w:t>7,438,766</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b/>
              </w:rPr>
            </w:pPr>
            <w:r>
              <w:rPr>
                <w:b/>
              </w:rPr>
              <w:t>16,546,081</w:t>
            </w:r>
          </w:p>
        </w:tc>
        <w:tc>
          <w:tcPr>
            <w:tcW w:w="158" w:type="dxa"/>
            <w:tcBorders/>
            <w:shd w:fill="CCEEFF" w:val="clear"/>
            <w:vAlign w:val="bottom"/>
          </w:tcPr>
          <w:p>
            <w:pPr>
              <w:pStyle w:val="TableContents"/>
              <w:bidi w:val="0"/>
              <w:spacing w:before="0" w:after="283"/>
              <w:jc w:val="left"/>
              <w:rPr/>
            </w:pPr>
            <w:r>
              <w:rPr/>
              <w:t> </w:t>
            </w:r>
          </w:p>
        </w:tc>
      </w:tr>
      <w:tr>
        <w:trPr/>
        <w:tc>
          <w:tcPr>
            <w:tcW w:w="5024"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b/>
              </w:rPr>
            </w:pPr>
            <w:r>
              <w:rPr>
                <w:b/>
              </w:rPr>
              <w:t>9,365,521</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b/>
              </w:rPr>
            </w:pPr>
            <w:r>
              <w:rPr>
                <w:b/>
              </w:rPr>
              <w:t>22,373,970</w:t>
            </w:r>
          </w:p>
        </w:tc>
        <w:tc>
          <w:tcPr>
            <w:tcW w:w="158" w:type="dxa"/>
            <w:tcBorders/>
            <w:vAlign w:val="bottom"/>
          </w:tcPr>
          <w:p>
            <w:pPr>
              <w:pStyle w:val="TableContents"/>
              <w:bidi w:val="0"/>
              <w:spacing w:before="0" w:after="283"/>
              <w:jc w:val="left"/>
              <w:rPr/>
            </w:pPr>
            <w:r>
              <w:rPr/>
              <w:t> </w:t>
            </w:r>
          </w:p>
        </w:tc>
      </w:tr>
      <w:tr>
        <w:trPr/>
        <w:tc>
          <w:tcPr>
            <w:tcW w:w="5024"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7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75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rHeight w:val="75" w:hRule="atLeast"/>
        </w:trPr>
        <w:tc>
          <w:tcPr>
            <w:tcW w:w="5024" w:type="dxa"/>
            <w:tcBorders/>
            <w:vAlign w:val="center"/>
          </w:tcPr>
          <w:p>
            <w:pPr>
              <w:pStyle w:val="TableContents"/>
              <w:bidi w:val="0"/>
              <w:spacing w:before="0" w:after="283"/>
              <w:jc w:val="left"/>
              <w:rPr>
                <w:sz w:val="4"/>
                <w:szCs w:val="4"/>
              </w:rPr>
            </w:pPr>
            <w:r>
              <w:rPr>
                <w:sz w:val="4"/>
                <w:szCs w:val="4"/>
              </w:rPr>
            </w:r>
          </w:p>
        </w:tc>
        <w:tc>
          <w:tcPr>
            <w:tcW w:w="2611"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r>
      <w:tr>
        <w:trPr/>
        <w:tc>
          <w:tcPr>
            <w:tcW w:w="50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deficit</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7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7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024"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7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75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debt to related party</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768" w:type="dxa"/>
            <w:tcBorders/>
            <w:shd w:fill="CCEEFF" w:val="clear"/>
            <w:vAlign w:val="bottom"/>
          </w:tcPr>
          <w:p>
            <w:pPr>
              <w:pStyle w:val="TableContents"/>
              <w:bidi w:val="0"/>
              <w:spacing w:before="0" w:after="283"/>
              <w:jc w:val="right"/>
              <w:rPr/>
            </w:pPr>
            <w:r>
              <w:rPr/>
              <w:t>697,067</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754" w:type="dxa"/>
            <w:tcBorders/>
            <w:shd w:fill="CCEEFF" w:val="clear"/>
            <w:vAlign w:val="bottom"/>
          </w:tcPr>
          <w:p>
            <w:pPr>
              <w:pStyle w:val="TableContents"/>
              <w:bidi w:val="0"/>
              <w:spacing w:before="0" w:after="283"/>
              <w:jc w:val="right"/>
              <w:rPr/>
            </w:pPr>
            <w:r>
              <w:rPr/>
              <w:t>697,067</w:t>
            </w:r>
          </w:p>
        </w:tc>
        <w:tc>
          <w:tcPr>
            <w:tcW w:w="158" w:type="dxa"/>
            <w:tcBorders/>
            <w:shd w:fill="CCEEFF" w:val="clear"/>
            <w:vAlign w:val="bottom"/>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4,262,476</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1,244,810</w:t>
            </w:r>
          </w:p>
        </w:tc>
        <w:tc>
          <w:tcPr>
            <w:tcW w:w="158" w:type="dxa"/>
            <w:tcBorders/>
            <w:vAlign w:val="bottom"/>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Payable to related party</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225,120</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pPr>
            <w:r>
              <w:rPr/>
              <w:t>460,000</w:t>
            </w:r>
          </w:p>
        </w:tc>
        <w:tc>
          <w:tcPr>
            <w:tcW w:w="158" w:type="dxa"/>
            <w:tcBorders/>
            <w:shd w:fill="CCEEFF" w:val="clear"/>
            <w:vAlign w:val="bottom"/>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payables</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3,488,909</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1,875,609</w:t>
            </w:r>
          </w:p>
        </w:tc>
        <w:tc>
          <w:tcPr>
            <w:tcW w:w="158" w:type="dxa"/>
            <w:tcBorders/>
            <w:vAlign w:val="bottom"/>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lease liability</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pPr>
            <w:r>
              <w:rPr/>
              <w:t>46,236</w:t>
            </w:r>
          </w:p>
        </w:tc>
        <w:tc>
          <w:tcPr>
            <w:tcW w:w="158" w:type="dxa"/>
            <w:tcBorders/>
            <w:shd w:fill="CCEEFF" w:val="clear"/>
            <w:vAlign w:val="bottom"/>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sz w:val="20"/>
              </w:rPr>
            </w:pPr>
            <w:r>
              <w:rPr>
                <w:rFonts w:ascii="Times New Roman" w:hAnsi="Times New Roman"/>
                <w:sz w:val="20"/>
              </w:rPr>
              <w:t>Share consideration payable</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14,600,000</w:t>
            </w:r>
          </w:p>
        </w:tc>
        <w:tc>
          <w:tcPr>
            <w:tcW w:w="158" w:type="dxa"/>
            <w:tcBorders/>
            <w:vAlign w:val="bottom"/>
          </w:tcPr>
          <w:p>
            <w:pPr>
              <w:pStyle w:val="TableContents"/>
              <w:bidi w:val="0"/>
              <w:spacing w:before="0" w:after="283"/>
              <w:jc w:val="left"/>
              <w:rPr/>
            </w:pPr>
            <w:r>
              <w:rPr/>
              <w:t> </w:t>
            </w:r>
          </w:p>
        </w:tc>
      </w:tr>
      <w:tr>
        <w:trPr/>
        <w:tc>
          <w:tcPr>
            <w:tcW w:w="5024"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b/>
              </w:rPr>
            </w:pPr>
            <w:r>
              <w:rPr>
                <w:b/>
              </w:rPr>
              <w:t>8,673,572</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b/>
              </w:rPr>
            </w:pPr>
            <w:r>
              <w:rPr>
                <w:b/>
              </w:rPr>
              <w:t>18,923,722</w:t>
            </w:r>
          </w:p>
        </w:tc>
        <w:tc>
          <w:tcPr>
            <w:tcW w:w="158" w:type="dxa"/>
            <w:tcBorders/>
            <w:shd w:fill="CCEEFF" w:val="clear"/>
            <w:vAlign w:val="bottom"/>
          </w:tcPr>
          <w:p>
            <w:pPr>
              <w:pStyle w:val="TableContents"/>
              <w:bidi w:val="0"/>
              <w:spacing w:before="0" w:after="283"/>
              <w:jc w:val="left"/>
              <w:rPr/>
            </w:pPr>
            <w:r>
              <w:rPr/>
              <w:t> </w:t>
            </w:r>
          </w:p>
        </w:tc>
      </w:tr>
      <w:tr>
        <w:trPr/>
        <w:tc>
          <w:tcPr>
            <w:tcW w:w="5024"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rHeight w:val="120" w:hRule="atLeast"/>
        </w:trPr>
        <w:tc>
          <w:tcPr>
            <w:tcW w:w="5024" w:type="dxa"/>
            <w:tcBorders/>
            <w:vAlign w:val="center"/>
          </w:tcPr>
          <w:p>
            <w:pPr>
              <w:pStyle w:val="TableContents"/>
              <w:bidi w:val="0"/>
              <w:spacing w:before="0" w:after="283"/>
              <w:jc w:val="left"/>
              <w:rPr>
                <w:sz w:val="4"/>
                <w:szCs w:val="4"/>
              </w:rPr>
            </w:pPr>
            <w:r>
              <w:rPr>
                <w:sz w:val="4"/>
                <w:szCs w:val="4"/>
              </w:rPr>
            </w:r>
          </w:p>
        </w:tc>
        <w:tc>
          <w:tcPr>
            <w:tcW w:w="2611"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r>
      <w:tr>
        <w:trPr/>
        <w:tc>
          <w:tcPr>
            <w:tcW w:w="5024"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7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75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portion of lease liability</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pPr>
            <w:r>
              <w:rPr/>
              <w:t>35,423</w:t>
            </w:r>
          </w:p>
        </w:tc>
        <w:tc>
          <w:tcPr>
            <w:tcW w:w="158" w:type="dxa"/>
            <w:tcBorders/>
            <w:shd w:fill="CCEEFF" w:val="clear"/>
            <w:vAlign w:val="bottom"/>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debt</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25,302,709</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2,509,589</w:t>
            </w:r>
          </w:p>
        </w:tc>
        <w:tc>
          <w:tcPr>
            <w:tcW w:w="158" w:type="dxa"/>
            <w:tcBorders/>
            <w:vAlign w:val="bottom"/>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payment liability</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1,177,616</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pPr>
            <w:r>
              <w:rPr/>
              <w:t>1,060,720</w:t>
            </w:r>
          </w:p>
        </w:tc>
        <w:tc>
          <w:tcPr>
            <w:tcW w:w="158" w:type="dxa"/>
            <w:tcBorders/>
            <w:shd w:fill="CCEEFF" w:val="clear"/>
            <w:vAlign w:val="bottom"/>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1,526,622</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1,770,457</w:t>
            </w:r>
          </w:p>
        </w:tc>
        <w:tc>
          <w:tcPr>
            <w:tcW w:w="158" w:type="dxa"/>
            <w:tcBorders/>
            <w:vAlign w:val="bottom"/>
          </w:tcPr>
          <w:p>
            <w:pPr>
              <w:pStyle w:val="TableContents"/>
              <w:bidi w:val="0"/>
              <w:spacing w:before="0" w:after="283"/>
              <w:jc w:val="left"/>
              <w:rPr/>
            </w:pPr>
            <w:r>
              <w:rPr/>
              <w:t> </w:t>
            </w:r>
          </w:p>
        </w:tc>
      </w:tr>
      <w:tr>
        <w:trPr/>
        <w:tc>
          <w:tcPr>
            <w:tcW w:w="5024"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b/>
              </w:rPr>
            </w:pPr>
            <w:r>
              <w:rPr>
                <w:b/>
              </w:rPr>
              <w:t>28,006,947</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b/>
              </w:rPr>
            </w:pPr>
            <w:r>
              <w:rPr>
                <w:b/>
              </w:rPr>
              <w:t>5,376,189</w:t>
            </w:r>
          </w:p>
        </w:tc>
        <w:tc>
          <w:tcPr>
            <w:tcW w:w="158" w:type="dxa"/>
            <w:tcBorders/>
            <w:shd w:fill="CCEEFF" w:val="clear"/>
            <w:vAlign w:val="bottom"/>
          </w:tcPr>
          <w:p>
            <w:pPr>
              <w:pStyle w:val="TableContents"/>
              <w:bidi w:val="0"/>
              <w:spacing w:before="0" w:after="283"/>
              <w:jc w:val="left"/>
              <w:rPr/>
            </w:pPr>
            <w:r>
              <w:rPr/>
              <w:t> </w:t>
            </w:r>
          </w:p>
        </w:tc>
      </w:tr>
      <w:tr>
        <w:trPr/>
        <w:tc>
          <w:tcPr>
            <w:tcW w:w="5024"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b/>
              </w:rPr>
            </w:pPr>
            <w:r>
              <w:rPr>
                <w:b/>
              </w:rPr>
              <w:t>36,680,519</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b/>
              </w:rPr>
            </w:pPr>
            <w:r>
              <w:rPr>
                <w:b/>
              </w:rPr>
              <w:t>24,299,911</w:t>
            </w:r>
          </w:p>
        </w:tc>
        <w:tc>
          <w:tcPr>
            <w:tcW w:w="158" w:type="dxa"/>
            <w:tcBorders/>
            <w:vAlign w:val="bottom"/>
          </w:tcPr>
          <w:p>
            <w:pPr>
              <w:pStyle w:val="TableContents"/>
              <w:bidi w:val="0"/>
              <w:spacing w:before="0" w:after="283"/>
              <w:jc w:val="left"/>
              <w:rPr/>
            </w:pPr>
            <w:r>
              <w:rPr/>
              <w:t> </w:t>
            </w:r>
          </w:p>
        </w:tc>
      </w:tr>
      <w:tr>
        <w:trPr/>
        <w:tc>
          <w:tcPr>
            <w:tcW w:w="5024"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7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75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rHeight w:val="120" w:hRule="atLeast"/>
        </w:trPr>
        <w:tc>
          <w:tcPr>
            <w:tcW w:w="5024" w:type="dxa"/>
            <w:tcBorders/>
            <w:vAlign w:val="center"/>
          </w:tcPr>
          <w:p>
            <w:pPr>
              <w:pStyle w:val="TableContents"/>
              <w:bidi w:val="0"/>
              <w:spacing w:before="0" w:after="283"/>
              <w:jc w:val="left"/>
              <w:rPr>
                <w:sz w:val="4"/>
                <w:szCs w:val="4"/>
              </w:rPr>
            </w:pPr>
            <w:r>
              <w:rPr>
                <w:sz w:val="4"/>
                <w:szCs w:val="4"/>
              </w:rPr>
            </w:r>
          </w:p>
        </w:tc>
        <w:tc>
          <w:tcPr>
            <w:tcW w:w="2611"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r>
      <w:tr>
        <w:trPr/>
        <w:tc>
          <w:tcPr>
            <w:tcW w:w="50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Shareholders deficit</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7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7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024" w:type="dxa"/>
            <w:tcBorders/>
          </w:tcPr>
          <w:p>
            <w:pPr>
              <w:pStyle w:val="TableContents"/>
              <w:bidi w:val="0"/>
              <w:spacing w:before="0" w:after="0"/>
              <w:jc w:val="left"/>
              <w:rPr>
                <w:rFonts w:ascii="Times New Roman" w:hAnsi="Times New Roman"/>
                <w:sz w:val="20"/>
              </w:rPr>
            </w:pPr>
            <w:r>
              <w:rPr>
                <w:rFonts w:ascii="Times New Roman" w:hAnsi="Times New Roman"/>
                <w:sz w:val="20"/>
              </w:rPr>
              <w:t>Ordinary shares, £0.0001 nominal value; 927,806,159 shares issued and outstanding as of December 31, 2022; 891,818,882 shares issued and outstanding as of December 31, 2021; 986,121,959 and 950,134,682 shares authorized as of December 31, 2022 and 2021</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768" w:type="dxa"/>
            <w:tcBorders/>
            <w:vAlign w:val="bottom"/>
          </w:tcPr>
          <w:p>
            <w:pPr>
              <w:pStyle w:val="TableContents"/>
              <w:bidi w:val="0"/>
              <w:spacing w:before="0" w:after="283"/>
              <w:jc w:val="right"/>
              <w:rPr/>
            </w:pPr>
            <w:r>
              <w:rPr/>
              <w:t>126,677</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754" w:type="dxa"/>
            <w:tcBorders/>
            <w:vAlign w:val="bottom"/>
          </w:tcPr>
          <w:p>
            <w:pPr>
              <w:pStyle w:val="TableContents"/>
              <w:bidi w:val="0"/>
              <w:spacing w:before="0" w:after="283"/>
              <w:jc w:val="right"/>
              <w:rPr/>
            </w:pPr>
            <w:r>
              <w:rPr/>
              <w:t>122,427</w:t>
            </w:r>
          </w:p>
        </w:tc>
        <w:tc>
          <w:tcPr>
            <w:tcW w:w="158" w:type="dxa"/>
            <w:tcBorders/>
            <w:vAlign w:val="bottom"/>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shares, £0.0001 nominal value; 14,427,185 and nil shares issued and outstanding as of December 31, 2022 and 2021</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1,993</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sz w:val="20"/>
              </w:rPr>
            </w:pPr>
            <w:r>
              <w:rPr>
                <w:rFonts w:ascii="Times New Roman" w:hAnsi="Times New Roman"/>
                <w:sz w:val="20"/>
              </w:rPr>
              <w:t>Series A shares, £0.0001 nominal value 28,039,517 shares issued, authorized and outstanding as of December 31, 2022 and 2021</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3,868</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3,868</w:t>
            </w:r>
          </w:p>
        </w:tc>
        <w:tc>
          <w:tcPr>
            <w:tcW w:w="158" w:type="dxa"/>
            <w:tcBorders/>
            <w:vAlign w:val="bottom"/>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163,163,090</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pPr>
            <w:r>
              <w:rPr/>
              <w:t>83,692,381</w:t>
            </w:r>
          </w:p>
        </w:tc>
        <w:tc>
          <w:tcPr>
            <w:tcW w:w="158" w:type="dxa"/>
            <w:tcBorders/>
            <w:shd w:fill="CCEEFF" w:val="clear"/>
            <w:vAlign w:val="bottom"/>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sz w:val="20"/>
              </w:rPr>
            </w:pPr>
            <w:r>
              <w:rPr>
                <w:rFonts w:ascii="Times New Roman" w:hAnsi="Times New Roman"/>
                <w:sz w:val="20"/>
              </w:rPr>
              <w:t>Share subscription receivable</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(178,720</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(175,505</w:t>
            </w:r>
          </w:p>
        </w:tc>
        <w:tc>
          <w:tcPr>
            <w:tcW w:w="158" w:type="dxa"/>
            <w:tcBorders/>
            <w:vAlign w:val="bottom"/>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pPr>
            <w:r>
              <w:rPr/>
              <w:t>(189,171,542</w:t>
            </w:r>
          </w:p>
        </w:tc>
        <w:tc>
          <w:tcPr>
            <w:tcW w:w="155"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pPr>
            <w:r>
              <w:rPr/>
              <w:t>(85,066,104</w:t>
            </w:r>
          </w:p>
        </w:tc>
        <w:tc>
          <w:tcPr>
            <w:tcW w:w="158" w:type="dxa"/>
            <w:tcBorders/>
            <w:shd w:fill="CCEEFF" w:val="clear"/>
            <w:vAlign w:val="bottom"/>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pPr>
            <w:r>
              <w:rPr/>
              <w:t>(1,260,364</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(503,008</w:t>
            </w:r>
          </w:p>
        </w:tc>
        <w:tc>
          <w:tcPr>
            <w:tcW w:w="158" w:type="dxa"/>
            <w:tcBorders/>
            <w:vAlign w:val="bottom"/>
          </w:tcPr>
          <w:p>
            <w:pPr>
              <w:pStyle w:val="TableContents"/>
              <w:bidi w:val="0"/>
              <w:spacing w:before="0" w:after="283"/>
              <w:jc w:val="left"/>
              <w:rPr/>
            </w:pPr>
            <w:r>
              <w:rPr/>
              <w:t>) </w:t>
            </w:r>
          </w:p>
        </w:tc>
      </w:tr>
      <w:tr>
        <w:trPr/>
        <w:tc>
          <w:tcPr>
            <w:tcW w:w="5024"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shareholders deficit</w:t>
            </w:r>
          </w:p>
        </w:tc>
        <w:tc>
          <w:tcPr>
            <w:tcW w:w="49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68" w:type="dxa"/>
            <w:tcBorders/>
            <w:shd w:fill="CCEEFF" w:val="clear"/>
            <w:vAlign w:val="bottom"/>
          </w:tcPr>
          <w:p>
            <w:pPr>
              <w:pStyle w:val="TableContents"/>
              <w:bidi w:val="0"/>
              <w:spacing w:before="0" w:after="283"/>
              <w:jc w:val="right"/>
              <w:rPr>
                <w:b/>
              </w:rPr>
            </w:pPr>
            <w:r>
              <w:rPr>
                <w:b/>
              </w:rPr>
              <w:t>(27,314,998</w:t>
            </w:r>
          </w:p>
        </w:tc>
        <w:tc>
          <w:tcPr>
            <w:tcW w:w="155" w:type="dxa"/>
            <w:tcBorders/>
            <w:shd w:fill="CCEEFF" w:val="clear"/>
            <w:vAlign w:val="bottom"/>
          </w:tcPr>
          <w:p>
            <w:pPr>
              <w:pStyle w:val="TableContents"/>
              <w:bidi w:val="0"/>
              <w:spacing w:before="0" w:after="283"/>
              <w:jc w:val="left"/>
              <w:rPr>
                <w:b/>
              </w:rPr>
            </w:pPr>
            <w:r>
              <w:rPr>
                <w:b/>
              </w:rPr>
              <w:t>) </w:t>
            </w:r>
          </w:p>
        </w:tc>
        <w:tc>
          <w:tcPr>
            <w:tcW w:w="45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54" w:type="dxa"/>
            <w:tcBorders/>
            <w:shd w:fill="CCEEFF" w:val="clear"/>
            <w:vAlign w:val="bottom"/>
          </w:tcPr>
          <w:p>
            <w:pPr>
              <w:pStyle w:val="TableContents"/>
              <w:bidi w:val="0"/>
              <w:spacing w:before="0" w:after="283"/>
              <w:jc w:val="right"/>
              <w:rPr>
                <w:b/>
              </w:rPr>
            </w:pPr>
            <w:r>
              <w:rPr>
                <w:b/>
              </w:rPr>
              <w:t>(1,925,941</w:t>
            </w:r>
          </w:p>
        </w:tc>
        <w:tc>
          <w:tcPr>
            <w:tcW w:w="158" w:type="dxa"/>
            <w:tcBorders/>
            <w:shd w:fill="CCEEFF" w:val="clear"/>
            <w:vAlign w:val="bottom"/>
          </w:tcPr>
          <w:p>
            <w:pPr>
              <w:pStyle w:val="TableContents"/>
              <w:bidi w:val="0"/>
              <w:spacing w:before="0" w:after="283"/>
              <w:jc w:val="left"/>
              <w:rPr>
                <w:b/>
              </w:rPr>
            </w:pPr>
            <w:r>
              <w:rPr>
                <w:b/>
              </w:rPr>
              <w:t>) </w:t>
            </w:r>
          </w:p>
        </w:tc>
      </w:tr>
      <w:tr>
        <w:trPr/>
        <w:tc>
          <w:tcPr>
            <w:tcW w:w="5024"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7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5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deficit</w:t>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68" w:type="dxa"/>
            <w:tcBorders/>
            <w:vAlign w:val="bottom"/>
          </w:tcPr>
          <w:p>
            <w:pPr>
              <w:pStyle w:val="TableContents"/>
              <w:bidi w:val="0"/>
              <w:spacing w:before="0" w:after="283"/>
              <w:jc w:val="right"/>
              <w:rPr>
                <w:b/>
              </w:rPr>
            </w:pPr>
            <w:r>
              <w:rPr>
                <w:b/>
              </w:rPr>
              <w:t>9,365,521</w:t>
            </w:r>
          </w:p>
        </w:tc>
        <w:tc>
          <w:tcPr>
            <w:tcW w:w="15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b/>
              </w:rPr>
            </w:pPr>
            <w:r>
              <w:rPr>
                <w:b/>
              </w:rPr>
              <w:t>22,373,970</w:t>
            </w:r>
          </w:p>
        </w:tc>
        <w:tc>
          <w:tcPr>
            <w:tcW w:w="158" w:type="dxa"/>
            <w:tcBorders/>
            <w:vAlign w:val="bottom"/>
          </w:tcPr>
          <w:p>
            <w:pPr>
              <w:pStyle w:val="TableContents"/>
              <w:bidi w:val="0"/>
              <w:spacing w:before="0" w:after="283"/>
              <w:jc w:val="left"/>
              <w:rPr/>
            </w:pPr>
            <w:r>
              <w:rPr/>
              <w:t> </w:t>
            </w:r>
          </w:p>
        </w:tc>
      </w:tr>
      <w:tr>
        <w:trPr/>
        <w:tc>
          <w:tcPr>
            <w:tcW w:w="5024"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7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75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carve-out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bookmarkStart w:id="42" w:name="fin309194_3"/>
      <w:bookmarkEnd w:id="42"/>
      <w:r>
        <w:rPr>
          <w:rFonts w:ascii="Times New Roman" w:hAnsi="Times New Roman"/>
          <w:b/>
          <w:sz w:val="20"/>
        </w:rPr>
        <w:t xml:space="preserve">Carve-out Consolidated Statement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72"/>
        <w:gridCol w:w="340"/>
        <w:gridCol w:w="195"/>
        <w:gridCol w:w="1795"/>
        <w:gridCol w:w="155"/>
        <w:gridCol w:w="299"/>
        <w:gridCol w:w="202"/>
        <w:gridCol w:w="1787"/>
        <w:gridCol w:w="160"/>
      </w:tblGrid>
      <w:tr>
        <w:trPr/>
        <w:tc>
          <w:tcPr>
            <w:tcW w:w="5272"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7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990"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2022</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2021</w:t>
            </w:r>
          </w:p>
        </w:tc>
        <w:tc>
          <w:tcPr>
            <w:tcW w:w="160" w:type="dxa"/>
            <w:tcBorders/>
            <w:vAlign w:val="bottom"/>
          </w:tcPr>
          <w:p>
            <w:pPr>
              <w:pStyle w:val="TableContents"/>
              <w:bidi w:val="0"/>
              <w:spacing w:before="0" w:after="283"/>
              <w:jc w:val="left"/>
              <w:rPr/>
            </w:pPr>
            <w:r>
              <w:rPr/>
              <w:t> </w:t>
            </w:r>
          </w:p>
        </w:tc>
      </w:tr>
      <w:tr>
        <w:trPr/>
        <w:tc>
          <w:tcPr>
            <w:tcW w:w="52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3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795" w:type="dxa"/>
            <w:tcBorders/>
            <w:shd w:fill="CCEEFF" w:val="clear"/>
            <w:vAlign w:val="bottom"/>
          </w:tcPr>
          <w:p>
            <w:pPr>
              <w:pStyle w:val="TableContents"/>
              <w:bidi w:val="0"/>
              <w:spacing w:before="0" w:after="283"/>
              <w:jc w:val="right"/>
              <w:rPr/>
            </w:pPr>
            <w:r>
              <w:rPr/>
              <w:t>12,325,753</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1787" w:type="dxa"/>
            <w:tcBorders/>
            <w:shd w:fill="CCEEFF" w:val="clear"/>
            <w:vAlign w:val="bottom"/>
          </w:tcPr>
          <w:p>
            <w:pPr>
              <w:pStyle w:val="TableContents"/>
              <w:bidi w:val="0"/>
              <w:spacing w:before="0" w:after="283"/>
              <w:jc w:val="right"/>
              <w:rPr/>
            </w:pPr>
            <w:r>
              <w:rPr/>
              <w:t>3,904,574</w:t>
            </w:r>
          </w:p>
        </w:tc>
        <w:tc>
          <w:tcPr>
            <w:tcW w:w="160" w:type="dxa"/>
            <w:tcBorders/>
            <w:shd w:fill="CCEEFF" w:val="clear"/>
            <w:vAlign w:val="bottom"/>
          </w:tcPr>
          <w:p>
            <w:pPr>
              <w:pStyle w:val="TableContents"/>
              <w:bidi w:val="0"/>
              <w:spacing w:before="0" w:after="283"/>
              <w:jc w:val="left"/>
              <w:rPr/>
            </w:pPr>
            <w:r>
              <w:rPr/>
              <w:t> </w:t>
            </w:r>
          </w:p>
        </w:tc>
      </w:tr>
      <w:tr>
        <w:trPr/>
        <w:tc>
          <w:tcPr>
            <w:tcW w:w="5272"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78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120" w:hRule="atLeast"/>
        </w:trPr>
        <w:tc>
          <w:tcPr>
            <w:tcW w:w="5272" w:type="dxa"/>
            <w:tcBorders/>
            <w:vAlign w:val="center"/>
          </w:tcPr>
          <w:p>
            <w:pPr>
              <w:pStyle w:val="TableContents"/>
              <w:bidi w:val="0"/>
              <w:spacing w:before="0" w:after="283"/>
              <w:jc w:val="left"/>
              <w:rPr>
                <w:sz w:val="4"/>
                <w:szCs w:val="4"/>
              </w:rPr>
            </w:pPr>
            <w:r>
              <w:rPr>
                <w:sz w:val="4"/>
                <w:szCs w:val="4"/>
              </w:rPr>
            </w:r>
          </w:p>
        </w:tc>
        <w:tc>
          <w:tcPr>
            <w:tcW w:w="2485" w:type="dxa"/>
            <w:gridSpan w:val="4"/>
            <w:tcBorders/>
            <w:vAlign w:val="center"/>
          </w:tcPr>
          <w:p>
            <w:pPr>
              <w:pStyle w:val="TableContents"/>
              <w:bidi w:val="0"/>
              <w:spacing w:before="0" w:after="283"/>
              <w:jc w:val="left"/>
              <w:rPr>
                <w:sz w:val="4"/>
                <w:szCs w:val="4"/>
              </w:rPr>
            </w:pPr>
            <w:r>
              <w:rPr>
                <w:sz w:val="4"/>
                <w:szCs w:val="4"/>
              </w:rPr>
            </w:r>
          </w:p>
        </w:tc>
        <w:tc>
          <w:tcPr>
            <w:tcW w:w="2448" w:type="dxa"/>
            <w:gridSpan w:val="4"/>
            <w:tcBorders/>
            <w:vAlign w:val="center"/>
          </w:tcPr>
          <w:p>
            <w:pPr>
              <w:pStyle w:val="TableContents"/>
              <w:bidi w:val="0"/>
              <w:spacing w:before="0" w:after="283"/>
              <w:jc w:val="left"/>
              <w:rPr>
                <w:sz w:val="4"/>
                <w:szCs w:val="4"/>
              </w:rPr>
            </w:pPr>
            <w:r>
              <w:rPr>
                <w:sz w:val="4"/>
                <w:szCs w:val="4"/>
              </w:rPr>
            </w:r>
          </w:p>
        </w:tc>
      </w:tr>
      <w:tr>
        <w:trPr/>
        <w:tc>
          <w:tcPr>
            <w:tcW w:w="5272"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3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7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178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2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3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6,050,539</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87" w:type="dxa"/>
            <w:tcBorders/>
            <w:shd w:fill="CCEEFF" w:val="clear"/>
            <w:vAlign w:val="bottom"/>
          </w:tcPr>
          <w:p>
            <w:pPr>
              <w:pStyle w:val="TableContents"/>
              <w:bidi w:val="0"/>
              <w:spacing w:before="0" w:after="283"/>
              <w:jc w:val="right"/>
              <w:rPr/>
            </w:pPr>
            <w:r>
              <w:rPr/>
              <w:t>1,741,023</w:t>
            </w:r>
          </w:p>
        </w:tc>
        <w:tc>
          <w:tcPr>
            <w:tcW w:w="160" w:type="dxa"/>
            <w:tcBorders/>
            <w:shd w:fill="CCEEFF" w:val="clear"/>
            <w:vAlign w:val="bottom"/>
          </w:tcPr>
          <w:p>
            <w:pPr>
              <w:pStyle w:val="TableContents"/>
              <w:bidi w:val="0"/>
              <w:spacing w:before="0" w:after="283"/>
              <w:jc w:val="left"/>
              <w:rPr/>
            </w:pPr>
            <w:r>
              <w:rPr/>
              <w:t> </w:t>
            </w:r>
          </w:p>
        </w:tc>
      </w:tr>
      <w:tr>
        <w:trPr/>
        <w:tc>
          <w:tcPr>
            <w:tcW w:w="5272"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 expenses</w:t>
            </w:r>
          </w:p>
        </w:tc>
        <w:tc>
          <w:tcPr>
            <w:tcW w:w="3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6,827,211</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87" w:type="dxa"/>
            <w:tcBorders/>
            <w:vAlign w:val="bottom"/>
          </w:tcPr>
          <w:p>
            <w:pPr>
              <w:pStyle w:val="TableContents"/>
              <w:bidi w:val="0"/>
              <w:spacing w:before="0" w:after="283"/>
              <w:jc w:val="right"/>
              <w:rPr/>
            </w:pPr>
            <w:r>
              <w:rPr/>
              <w:t>2,312,496</w:t>
            </w:r>
          </w:p>
        </w:tc>
        <w:tc>
          <w:tcPr>
            <w:tcW w:w="160" w:type="dxa"/>
            <w:tcBorders/>
            <w:vAlign w:val="bottom"/>
          </w:tcPr>
          <w:p>
            <w:pPr>
              <w:pStyle w:val="TableContents"/>
              <w:bidi w:val="0"/>
              <w:spacing w:before="0" w:after="283"/>
              <w:jc w:val="left"/>
              <w:rPr/>
            </w:pPr>
            <w:r>
              <w:rPr/>
              <w:t> </w:t>
            </w:r>
          </w:p>
        </w:tc>
      </w:tr>
      <w:tr>
        <w:trPr/>
        <w:tc>
          <w:tcPr>
            <w:tcW w:w="52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General and administrative expenses </w:t>
            </w:r>
            <w:r>
              <w:rPr>
                <w:rFonts w:ascii="Times New Roman" w:hAnsi="Times New Roman"/>
                <w:i/>
                <w:sz w:val="20"/>
              </w:rPr>
              <w:t>(excluding depreciation and amortization below)</w:t>
            </w:r>
          </w:p>
        </w:tc>
        <w:tc>
          <w:tcPr>
            <w:tcW w:w="3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91,604,396</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87" w:type="dxa"/>
            <w:tcBorders/>
            <w:shd w:fill="CCEEFF" w:val="clear"/>
            <w:vAlign w:val="bottom"/>
          </w:tcPr>
          <w:p>
            <w:pPr>
              <w:pStyle w:val="TableContents"/>
              <w:bidi w:val="0"/>
              <w:spacing w:before="0" w:after="283"/>
              <w:jc w:val="right"/>
              <w:rPr/>
            </w:pPr>
            <w:r>
              <w:rPr/>
              <w:t>35,624,510</w:t>
            </w:r>
          </w:p>
        </w:tc>
        <w:tc>
          <w:tcPr>
            <w:tcW w:w="160" w:type="dxa"/>
            <w:tcBorders/>
            <w:shd w:fill="CCEEFF" w:val="clear"/>
            <w:vAlign w:val="bottom"/>
          </w:tcPr>
          <w:p>
            <w:pPr>
              <w:pStyle w:val="TableContents"/>
              <w:bidi w:val="0"/>
              <w:spacing w:before="0" w:after="283"/>
              <w:jc w:val="left"/>
              <w:rPr/>
            </w:pPr>
            <w:r>
              <w:rPr/>
              <w:t> </w:t>
            </w:r>
          </w:p>
        </w:tc>
      </w:tr>
      <w:tr>
        <w:trPr/>
        <w:tc>
          <w:tcPr>
            <w:tcW w:w="5272"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3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334,952</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87"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2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expenses</w:t>
            </w:r>
          </w:p>
        </w:tc>
        <w:tc>
          <w:tcPr>
            <w:tcW w:w="3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742,113</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87" w:type="dxa"/>
            <w:tcBorders/>
            <w:shd w:fill="CCEEFF" w:val="clear"/>
            <w:vAlign w:val="bottom"/>
          </w:tcPr>
          <w:p>
            <w:pPr>
              <w:pStyle w:val="TableContents"/>
              <w:bidi w:val="0"/>
              <w:spacing w:before="0" w:after="283"/>
              <w:jc w:val="right"/>
              <w:rPr/>
            </w:pPr>
            <w:r>
              <w:rPr/>
              <w:t>460,491</w:t>
            </w:r>
          </w:p>
        </w:tc>
        <w:tc>
          <w:tcPr>
            <w:tcW w:w="160" w:type="dxa"/>
            <w:tcBorders/>
            <w:shd w:fill="CCEEFF" w:val="clear"/>
            <w:vAlign w:val="bottom"/>
          </w:tcPr>
          <w:p>
            <w:pPr>
              <w:pStyle w:val="TableContents"/>
              <w:bidi w:val="0"/>
              <w:spacing w:before="0" w:after="283"/>
              <w:jc w:val="left"/>
              <w:rPr/>
            </w:pPr>
            <w:r>
              <w:rPr/>
              <w:t> </w:t>
            </w:r>
          </w:p>
        </w:tc>
      </w:tr>
      <w:tr>
        <w:trPr/>
        <w:tc>
          <w:tcPr>
            <w:tcW w:w="5272"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3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7,418,302</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87"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272"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78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3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b/>
              </w:rPr>
            </w:pPr>
            <w:r>
              <w:rPr>
                <w:b/>
              </w:rPr>
              <w:t>112,977,513</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87" w:type="dxa"/>
            <w:tcBorders/>
            <w:shd w:fill="CCEEFF" w:val="clear"/>
            <w:vAlign w:val="bottom"/>
          </w:tcPr>
          <w:p>
            <w:pPr>
              <w:pStyle w:val="TableContents"/>
              <w:bidi w:val="0"/>
              <w:spacing w:before="0" w:after="283"/>
              <w:jc w:val="right"/>
              <w:rPr>
                <w:b/>
              </w:rPr>
            </w:pPr>
            <w:r>
              <w:rPr>
                <w:b/>
              </w:rPr>
              <w:t>40,138,520</w:t>
            </w:r>
          </w:p>
        </w:tc>
        <w:tc>
          <w:tcPr>
            <w:tcW w:w="160" w:type="dxa"/>
            <w:tcBorders/>
            <w:shd w:fill="CCEEFF" w:val="clear"/>
            <w:vAlign w:val="bottom"/>
          </w:tcPr>
          <w:p>
            <w:pPr>
              <w:pStyle w:val="TableContents"/>
              <w:bidi w:val="0"/>
              <w:spacing w:before="0" w:after="283"/>
              <w:jc w:val="left"/>
              <w:rPr/>
            </w:pPr>
            <w:r>
              <w:rPr/>
              <w:t> </w:t>
            </w:r>
          </w:p>
        </w:tc>
      </w:tr>
      <w:tr>
        <w:trPr/>
        <w:tc>
          <w:tcPr>
            <w:tcW w:w="5272"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78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72"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3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b/>
              </w:rPr>
            </w:pPr>
            <w:r>
              <w:rPr>
                <w:b/>
              </w:rPr>
              <w:t>(100,651,760</w:t>
            </w:r>
          </w:p>
        </w:tc>
        <w:tc>
          <w:tcPr>
            <w:tcW w:w="155" w:type="dxa"/>
            <w:tcBorders/>
            <w:vAlign w:val="bottom"/>
          </w:tcPr>
          <w:p>
            <w:pPr>
              <w:pStyle w:val="TableContents"/>
              <w:bidi w:val="0"/>
              <w:spacing w:before="0" w:after="283"/>
              <w:jc w:val="left"/>
              <w:rPr>
                <w:b/>
              </w:rPr>
            </w:pPr>
            <w:r>
              <w:rPr>
                <w:b/>
              </w:rPr>
              <w:t>) </w:t>
            </w:r>
          </w:p>
        </w:tc>
        <w:tc>
          <w:tcPr>
            <w:tcW w:w="29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87" w:type="dxa"/>
            <w:tcBorders/>
            <w:vAlign w:val="bottom"/>
          </w:tcPr>
          <w:p>
            <w:pPr>
              <w:pStyle w:val="TableContents"/>
              <w:bidi w:val="0"/>
              <w:spacing w:before="0" w:after="283"/>
              <w:jc w:val="right"/>
              <w:rPr>
                <w:b/>
              </w:rPr>
            </w:pPr>
            <w:r>
              <w:rPr>
                <w:b/>
              </w:rPr>
              <w:t>(36,233,946</w:t>
            </w:r>
          </w:p>
        </w:tc>
        <w:tc>
          <w:tcPr>
            <w:tcW w:w="160" w:type="dxa"/>
            <w:tcBorders/>
            <w:vAlign w:val="bottom"/>
          </w:tcPr>
          <w:p>
            <w:pPr>
              <w:pStyle w:val="TableContents"/>
              <w:bidi w:val="0"/>
              <w:spacing w:before="0" w:after="283"/>
              <w:jc w:val="left"/>
              <w:rPr>
                <w:b/>
              </w:rPr>
            </w:pPr>
            <w:r>
              <w:rPr>
                <w:b/>
              </w:rPr>
              <w:t>) </w:t>
            </w:r>
          </w:p>
        </w:tc>
      </w:tr>
      <w:tr>
        <w:trPr/>
        <w:tc>
          <w:tcPr>
            <w:tcW w:w="5272"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78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120" w:hRule="atLeast"/>
        </w:trPr>
        <w:tc>
          <w:tcPr>
            <w:tcW w:w="5272" w:type="dxa"/>
            <w:tcBorders/>
            <w:vAlign w:val="center"/>
          </w:tcPr>
          <w:p>
            <w:pPr>
              <w:pStyle w:val="TableContents"/>
              <w:bidi w:val="0"/>
              <w:spacing w:before="0" w:after="283"/>
              <w:jc w:val="left"/>
              <w:rPr>
                <w:sz w:val="4"/>
                <w:szCs w:val="4"/>
              </w:rPr>
            </w:pPr>
            <w:r>
              <w:rPr>
                <w:sz w:val="4"/>
                <w:szCs w:val="4"/>
              </w:rPr>
            </w:r>
          </w:p>
        </w:tc>
        <w:tc>
          <w:tcPr>
            <w:tcW w:w="2485" w:type="dxa"/>
            <w:gridSpan w:val="4"/>
            <w:tcBorders/>
            <w:vAlign w:val="center"/>
          </w:tcPr>
          <w:p>
            <w:pPr>
              <w:pStyle w:val="TableContents"/>
              <w:bidi w:val="0"/>
              <w:spacing w:before="0" w:after="283"/>
              <w:jc w:val="left"/>
              <w:rPr>
                <w:sz w:val="4"/>
                <w:szCs w:val="4"/>
              </w:rPr>
            </w:pPr>
            <w:r>
              <w:rPr>
                <w:sz w:val="4"/>
                <w:szCs w:val="4"/>
              </w:rPr>
            </w:r>
          </w:p>
        </w:tc>
        <w:tc>
          <w:tcPr>
            <w:tcW w:w="2448" w:type="dxa"/>
            <w:gridSpan w:val="4"/>
            <w:tcBorders/>
            <w:vAlign w:val="center"/>
          </w:tcPr>
          <w:p>
            <w:pPr>
              <w:pStyle w:val="TableContents"/>
              <w:bidi w:val="0"/>
              <w:spacing w:before="0" w:after="283"/>
              <w:jc w:val="left"/>
              <w:rPr>
                <w:sz w:val="4"/>
                <w:szCs w:val="4"/>
              </w:rPr>
            </w:pPr>
            <w:r>
              <w:rPr>
                <w:sz w:val="4"/>
                <w:szCs w:val="4"/>
              </w:rPr>
            </w:r>
          </w:p>
        </w:tc>
      </w:tr>
      <w:tr>
        <w:trPr/>
        <w:tc>
          <w:tcPr>
            <w:tcW w:w="52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expenses</w:t>
            </w:r>
          </w:p>
        </w:tc>
        <w:tc>
          <w:tcPr>
            <w:tcW w:w="3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7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178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27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(3,884,698</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87" w:type="dxa"/>
            <w:tcBorders/>
            <w:vAlign w:val="bottom"/>
          </w:tcPr>
          <w:p>
            <w:pPr>
              <w:pStyle w:val="TableContents"/>
              <w:bidi w:val="0"/>
              <w:spacing w:before="0" w:after="283"/>
              <w:jc w:val="right"/>
              <w:rPr/>
            </w:pPr>
            <w:r>
              <w:rPr/>
              <w:t>(301,594</w:t>
            </w:r>
          </w:p>
        </w:tc>
        <w:tc>
          <w:tcPr>
            <w:tcW w:w="160" w:type="dxa"/>
            <w:tcBorders/>
            <w:vAlign w:val="bottom"/>
          </w:tcPr>
          <w:p>
            <w:pPr>
              <w:pStyle w:val="TableContents"/>
              <w:bidi w:val="0"/>
              <w:spacing w:before="0" w:after="283"/>
              <w:jc w:val="left"/>
              <w:rPr/>
            </w:pPr>
            <w:r>
              <w:rPr/>
              <w:t>) </w:t>
            </w:r>
          </w:p>
        </w:tc>
      </w:tr>
      <w:tr>
        <w:trPr/>
        <w:tc>
          <w:tcPr>
            <w:tcW w:w="52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income (expense), net</w:t>
            </w:r>
          </w:p>
        </w:tc>
        <w:tc>
          <w:tcPr>
            <w:tcW w:w="3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315,574</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87" w:type="dxa"/>
            <w:tcBorders/>
            <w:shd w:fill="CCEEFF" w:val="clear"/>
            <w:vAlign w:val="bottom"/>
          </w:tcPr>
          <w:p>
            <w:pPr>
              <w:pStyle w:val="TableContents"/>
              <w:bidi w:val="0"/>
              <w:spacing w:before="0" w:after="283"/>
              <w:jc w:val="right"/>
              <w:rPr/>
            </w:pPr>
            <w:r>
              <w:rPr/>
              <w:t>(1,210,690</w:t>
            </w:r>
          </w:p>
        </w:tc>
        <w:tc>
          <w:tcPr>
            <w:tcW w:w="160" w:type="dxa"/>
            <w:tcBorders/>
            <w:shd w:fill="CCEEFF" w:val="clear"/>
            <w:vAlign w:val="bottom"/>
          </w:tcPr>
          <w:p>
            <w:pPr>
              <w:pStyle w:val="TableContents"/>
              <w:bidi w:val="0"/>
              <w:spacing w:before="0" w:after="283"/>
              <w:jc w:val="left"/>
              <w:rPr/>
            </w:pPr>
            <w:r>
              <w:rPr/>
              <w:t>) </w:t>
            </w:r>
          </w:p>
        </w:tc>
      </w:tr>
      <w:tr>
        <w:trPr/>
        <w:tc>
          <w:tcPr>
            <w:tcW w:w="5272"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78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7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other expenses, net</w:t>
            </w:r>
          </w:p>
        </w:tc>
        <w:tc>
          <w:tcPr>
            <w:tcW w:w="3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b/>
              </w:rPr>
            </w:pPr>
            <w:r>
              <w:rPr>
                <w:b/>
              </w:rPr>
              <w:t>(3,569,124</w:t>
            </w:r>
          </w:p>
        </w:tc>
        <w:tc>
          <w:tcPr>
            <w:tcW w:w="155" w:type="dxa"/>
            <w:tcBorders/>
            <w:vAlign w:val="bottom"/>
          </w:tcPr>
          <w:p>
            <w:pPr>
              <w:pStyle w:val="TableContents"/>
              <w:bidi w:val="0"/>
              <w:spacing w:before="0" w:after="283"/>
              <w:jc w:val="left"/>
              <w:rPr>
                <w:b/>
              </w:rPr>
            </w:pPr>
            <w:r>
              <w:rPr>
                <w:b/>
              </w:rPr>
              <w:t>) </w:t>
            </w:r>
          </w:p>
        </w:tc>
        <w:tc>
          <w:tcPr>
            <w:tcW w:w="29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87" w:type="dxa"/>
            <w:tcBorders/>
            <w:vAlign w:val="bottom"/>
          </w:tcPr>
          <w:p>
            <w:pPr>
              <w:pStyle w:val="TableContents"/>
              <w:bidi w:val="0"/>
              <w:spacing w:before="0" w:after="283"/>
              <w:jc w:val="right"/>
              <w:rPr>
                <w:b/>
              </w:rPr>
            </w:pPr>
            <w:r>
              <w:rPr>
                <w:b/>
              </w:rPr>
              <w:t>(1,512,284</w:t>
            </w:r>
          </w:p>
        </w:tc>
        <w:tc>
          <w:tcPr>
            <w:tcW w:w="160" w:type="dxa"/>
            <w:tcBorders/>
            <w:vAlign w:val="bottom"/>
          </w:tcPr>
          <w:p>
            <w:pPr>
              <w:pStyle w:val="TableContents"/>
              <w:bidi w:val="0"/>
              <w:spacing w:before="0" w:after="283"/>
              <w:jc w:val="left"/>
              <w:rPr>
                <w:b/>
              </w:rPr>
            </w:pPr>
            <w:r>
              <w:rPr>
                <w:b/>
              </w:rPr>
              <w:t>) </w:t>
            </w:r>
          </w:p>
        </w:tc>
      </w:tr>
      <w:tr>
        <w:trPr/>
        <w:tc>
          <w:tcPr>
            <w:tcW w:w="5272"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78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before taxes</w:t>
            </w:r>
          </w:p>
        </w:tc>
        <w:tc>
          <w:tcPr>
            <w:tcW w:w="3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b/>
              </w:rPr>
            </w:pPr>
            <w:r>
              <w:rPr>
                <w:b/>
              </w:rPr>
              <w:t>(104,220,885</w:t>
            </w:r>
          </w:p>
        </w:tc>
        <w:tc>
          <w:tcPr>
            <w:tcW w:w="155" w:type="dxa"/>
            <w:tcBorders/>
            <w:shd w:fill="CCEEFF" w:val="clear"/>
            <w:vAlign w:val="bottom"/>
          </w:tcPr>
          <w:p>
            <w:pPr>
              <w:pStyle w:val="TableContents"/>
              <w:bidi w:val="0"/>
              <w:spacing w:before="0" w:after="283"/>
              <w:jc w:val="left"/>
              <w:rPr>
                <w:b/>
              </w:rPr>
            </w:pPr>
            <w:r>
              <w:rPr>
                <w:b/>
              </w:rPr>
              <w:t>) </w:t>
            </w:r>
          </w:p>
        </w:tc>
        <w:tc>
          <w:tcPr>
            <w:tcW w:w="29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87" w:type="dxa"/>
            <w:tcBorders/>
            <w:shd w:fill="CCEEFF" w:val="clear"/>
            <w:vAlign w:val="bottom"/>
          </w:tcPr>
          <w:p>
            <w:pPr>
              <w:pStyle w:val="TableContents"/>
              <w:bidi w:val="0"/>
              <w:spacing w:before="0" w:after="283"/>
              <w:jc w:val="right"/>
              <w:rPr>
                <w:b/>
              </w:rPr>
            </w:pPr>
            <w:r>
              <w:rPr>
                <w:b/>
              </w:rPr>
              <w:t>(37,746,230</w:t>
            </w:r>
          </w:p>
        </w:tc>
        <w:tc>
          <w:tcPr>
            <w:tcW w:w="160" w:type="dxa"/>
            <w:tcBorders/>
            <w:shd w:fill="CCEEFF" w:val="clear"/>
            <w:vAlign w:val="bottom"/>
          </w:tcPr>
          <w:p>
            <w:pPr>
              <w:pStyle w:val="TableContents"/>
              <w:bidi w:val="0"/>
              <w:spacing w:before="0" w:after="283"/>
              <w:jc w:val="left"/>
              <w:rPr>
                <w:b/>
              </w:rPr>
            </w:pPr>
            <w:r>
              <w:rPr>
                <w:b/>
              </w:rPr>
              <w:t>) </w:t>
            </w:r>
          </w:p>
        </w:tc>
      </w:tr>
      <w:tr>
        <w:trPr/>
        <w:tc>
          <w:tcPr>
            <w:tcW w:w="527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w:t>
            </w:r>
          </w:p>
        </w:tc>
        <w:tc>
          <w:tcPr>
            <w:tcW w:w="3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115,447</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787" w:type="dxa"/>
            <w:tcBorders/>
            <w:vAlign w:val="bottom"/>
          </w:tcPr>
          <w:p>
            <w:pPr>
              <w:pStyle w:val="TableContents"/>
              <w:bidi w:val="0"/>
              <w:spacing w:before="0" w:after="283"/>
              <w:jc w:val="right"/>
              <w:rPr/>
            </w:pPr>
            <w:r>
              <w:rPr/>
              <w:t>26,755</w:t>
            </w:r>
          </w:p>
        </w:tc>
        <w:tc>
          <w:tcPr>
            <w:tcW w:w="160" w:type="dxa"/>
            <w:tcBorders/>
            <w:vAlign w:val="bottom"/>
          </w:tcPr>
          <w:p>
            <w:pPr>
              <w:pStyle w:val="TableContents"/>
              <w:bidi w:val="0"/>
              <w:spacing w:before="0" w:after="283"/>
              <w:jc w:val="left"/>
              <w:rPr/>
            </w:pPr>
            <w:r>
              <w:rPr/>
              <w:t> </w:t>
            </w:r>
          </w:p>
        </w:tc>
      </w:tr>
      <w:tr>
        <w:trPr/>
        <w:tc>
          <w:tcPr>
            <w:tcW w:w="5272"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78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for the year</w:t>
            </w:r>
          </w:p>
        </w:tc>
        <w:tc>
          <w:tcPr>
            <w:tcW w:w="3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1795" w:type="dxa"/>
            <w:tcBorders/>
            <w:shd w:fill="CCEEFF" w:val="clear"/>
            <w:vAlign w:val="bottom"/>
          </w:tcPr>
          <w:p>
            <w:pPr>
              <w:pStyle w:val="TableContents"/>
              <w:bidi w:val="0"/>
              <w:spacing w:before="0" w:after="283"/>
              <w:jc w:val="right"/>
              <w:rPr>
                <w:b/>
              </w:rPr>
            </w:pPr>
            <w:r>
              <w:rPr>
                <w:b/>
              </w:rPr>
              <w:t>(104,105,438</w:t>
            </w:r>
          </w:p>
        </w:tc>
        <w:tc>
          <w:tcPr>
            <w:tcW w:w="155" w:type="dxa"/>
            <w:tcBorders/>
            <w:shd w:fill="CCEEFF" w:val="clear"/>
            <w:vAlign w:val="bottom"/>
          </w:tcPr>
          <w:p>
            <w:pPr>
              <w:pStyle w:val="TableContents"/>
              <w:bidi w:val="0"/>
              <w:spacing w:before="0" w:after="283"/>
              <w:jc w:val="left"/>
              <w:rPr>
                <w:b/>
              </w:rPr>
            </w:pPr>
            <w:r>
              <w:rPr>
                <w:b/>
              </w:rPr>
              <w:t>) </w:t>
            </w:r>
          </w:p>
        </w:tc>
        <w:tc>
          <w:tcPr>
            <w:tcW w:w="29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b/>
              </w:rPr>
            </w:pPr>
            <w:r>
              <w:rPr>
                <w:b/>
              </w:rPr>
              <w:t>$</w:t>
            </w:r>
          </w:p>
        </w:tc>
        <w:tc>
          <w:tcPr>
            <w:tcW w:w="1787" w:type="dxa"/>
            <w:tcBorders/>
            <w:shd w:fill="CCEEFF" w:val="clear"/>
            <w:vAlign w:val="bottom"/>
          </w:tcPr>
          <w:p>
            <w:pPr>
              <w:pStyle w:val="TableContents"/>
              <w:bidi w:val="0"/>
              <w:spacing w:before="0" w:after="283"/>
              <w:jc w:val="right"/>
              <w:rPr>
                <w:b/>
              </w:rPr>
            </w:pPr>
            <w:r>
              <w:rPr>
                <w:b/>
              </w:rPr>
              <w:t>(37,719,475</w:t>
            </w:r>
          </w:p>
        </w:tc>
        <w:tc>
          <w:tcPr>
            <w:tcW w:w="160" w:type="dxa"/>
            <w:tcBorders/>
            <w:shd w:fill="CCEEFF" w:val="clear"/>
            <w:vAlign w:val="bottom"/>
          </w:tcPr>
          <w:p>
            <w:pPr>
              <w:pStyle w:val="TableContents"/>
              <w:bidi w:val="0"/>
              <w:spacing w:before="0" w:after="283"/>
              <w:jc w:val="left"/>
              <w:rPr>
                <w:b/>
              </w:rPr>
            </w:pPr>
            <w:r>
              <w:rPr>
                <w:b/>
              </w:rPr>
              <w:t>) </w:t>
            </w:r>
          </w:p>
        </w:tc>
      </w:tr>
      <w:tr>
        <w:trPr/>
        <w:tc>
          <w:tcPr>
            <w:tcW w:w="5272"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178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72"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per share  Basic and diluted</w:t>
            </w:r>
          </w:p>
        </w:tc>
        <w:tc>
          <w:tcPr>
            <w:tcW w:w="3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795" w:type="dxa"/>
            <w:tcBorders/>
            <w:vAlign w:val="bottom"/>
          </w:tcPr>
          <w:p>
            <w:pPr>
              <w:pStyle w:val="TableContents"/>
              <w:bidi w:val="0"/>
              <w:spacing w:before="0" w:after="283"/>
              <w:jc w:val="right"/>
              <w:rPr/>
            </w:pPr>
            <w:r>
              <w:rPr/>
              <w:t>(0.11</w:t>
            </w:r>
          </w:p>
        </w:tc>
        <w:tc>
          <w:tcPr>
            <w:tcW w:w="155"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1787" w:type="dxa"/>
            <w:tcBorders/>
            <w:vAlign w:val="bottom"/>
          </w:tcPr>
          <w:p>
            <w:pPr>
              <w:pStyle w:val="TableContents"/>
              <w:bidi w:val="0"/>
              <w:spacing w:before="0" w:after="283"/>
              <w:jc w:val="right"/>
              <w:rPr/>
            </w:pPr>
            <w:r>
              <w:rPr/>
              <w:t>(0.04</w:t>
            </w:r>
          </w:p>
        </w:tc>
        <w:tc>
          <w:tcPr>
            <w:tcW w:w="160" w:type="dxa"/>
            <w:tcBorders/>
            <w:vAlign w:val="bottom"/>
          </w:tcPr>
          <w:p>
            <w:pPr>
              <w:pStyle w:val="TableContents"/>
              <w:bidi w:val="0"/>
              <w:spacing w:before="0" w:after="283"/>
              <w:jc w:val="left"/>
              <w:rPr/>
            </w:pPr>
            <w:r>
              <w:rPr/>
              <w:t>) </w:t>
            </w:r>
          </w:p>
        </w:tc>
      </w:tr>
      <w:tr>
        <w:trPr/>
        <w:tc>
          <w:tcPr>
            <w:tcW w:w="52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Basic and diluted</w:t>
            </w:r>
          </w:p>
        </w:tc>
        <w:tc>
          <w:tcPr>
            <w:tcW w:w="3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913,109,577</w:t>
            </w:r>
          </w:p>
        </w:tc>
        <w:tc>
          <w:tcPr>
            <w:tcW w:w="155"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787" w:type="dxa"/>
            <w:tcBorders/>
            <w:shd w:fill="CCEEFF" w:val="clear"/>
            <w:vAlign w:val="bottom"/>
          </w:tcPr>
          <w:p>
            <w:pPr>
              <w:pStyle w:val="TableContents"/>
              <w:bidi w:val="0"/>
              <w:spacing w:before="0" w:after="283"/>
              <w:jc w:val="right"/>
              <w:rPr/>
            </w:pPr>
            <w:r>
              <w:rPr/>
              <w:t>881,342,508</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carve-out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bookmarkStart w:id="43" w:name="fin309194_4"/>
      <w:bookmarkEnd w:id="43"/>
      <w:r>
        <w:rPr>
          <w:rFonts w:ascii="Times New Roman" w:hAnsi="Times New Roman"/>
          <w:b/>
          <w:sz w:val="20"/>
        </w:rPr>
        <w:t xml:space="preserve">Carve-out Consolidated Statements of Comprehensive Loss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61"/>
        <w:gridCol w:w="336"/>
        <w:gridCol w:w="195"/>
        <w:gridCol w:w="1804"/>
        <w:gridCol w:w="155"/>
        <w:gridCol w:w="294"/>
        <w:gridCol w:w="208"/>
        <w:gridCol w:w="1792"/>
        <w:gridCol w:w="160"/>
      </w:tblGrid>
      <w:tr>
        <w:trPr/>
        <w:tc>
          <w:tcPr>
            <w:tcW w:w="5261"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61"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999"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2022</w:t>
            </w:r>
          </w:p>
        </w:tc>
        <w:tc>
          <w:tcPr>
            <w:tcW w:w="15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2021</w:t>
            </w:r>
          </w:p>
        </w:tc>
        <w:tc>
          <w:tcPr>
            <w:tcW w:w="160" w:type="dxa"/>
            <w:tcBorders/>
            <w:vAlign w:val="bottom"/>
          </w:tcPr>
          <w:p>
            <w:pPr>
              <w:pStyle w:val="TableContents"/>
              <w:bidi w:val="0"/>
              <w:spacing w:before="0" w:after="283"/>
              <w:jc w:val="left"/>
              <w:rPr/>
            </w:pPr>
            <w:r>
              <w:rPr/>
              <w:t> </w:t>
            </w:r>
          </w:p>
        </w:tc>
      </w:tr>
      <w:tr>
        <w:trPr/>
        <w:tc>
          <w:tcPr>
            <w:tcW w:w="526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33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1804" w:type="dxa"/>
            <w:tcBorders/>
            <w:shd w:fill="CCEEFF" w:val="clear"/>
            <w:vAlign w:val="bottom"/>
          </w:tcPr>
          <w:p>
            <w:pPr>
              <w:pStyle w:val="TableContents"/>
              <w:bidi w:val="0"/>
              <w:spacing w:before="0" w:after="283"/>
              <w:jc w:val="right"/>
              <w:rPr>
                <w:b/>
              </w:rPr>
            </w:pPr>
            <w:r>
              <w:rPr>
                <w:b/>
              </w:rPr>
              <w:t>(104,105,438</w:t>
            </w:r>
          </w:p>
        </w:tc>
        <w:tc>
          <w:tcPr>
            <w:tcW w:w="155" w:type="dxa"/>
            <w:tcBorders/>
            <w:shd w:fill="CCEEFF" w:val="clear"/>
            <w:vAlign w:val="bottom"/>
          </w:tcPr>
          <w:p>
            <w:pPr>
              <w:pStyle w:val="TableContents"/>
              <w:bidi w:val="0"/>
              <w:spacing w:before="0" w:after="283"/>
              <w:jc w:val="left"/>
              <w:rPr>
                <w:b/>
              </w:rPr>
            </w:pPr>
            <w:r>
              <w:rPr>
                <w:b/>
              </w:rPr>
              <w:t>) </w:t>
            </w:r>
          </w:p>
        </w:tc>
        <w:tc>
          <w:tcPr>
            <w:tcW w:w="294"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b/>
              </w:rPr>
            </w:pPr>
            <w:r>
              <w:rPr>
                <w:b/>
              </w:rPr>
              <w:t>$</w:t>
            </w:r>
          </w:p>
        </w:tc>
        <w:tc>
          <w:tcPr>
            <w:tcW w:w="1792" w:type="dxa"/>
            <w:tcBorders/>
            <w:shd w:fill="CCEEFF" w:val="clear"/>
            <w:vAlign w:val="bottom"/>
          </w:tcPr>
          <w:p>
            <w:pPr>
              <w:pStyle w:val="TableContents"/>
              <w:bidi w:val="0"/>
              <w:spacing w:before="0" w:after="283"/>
              <w:jc w:val="right"/>
              <w:rPr>
                <w:b/>
              </w:rPr>
            </w:pPr>
            <w:r>
              <w:rPr>
                <w:b/>
              </w:rPr>
              <w:t>(37,719,475</w:t>
            </w:r>
          </w:p>
        </w:tc>
        <w:tc>
          <w:tcPr>
            <w:tcW w:w="160" w:type="dxa"/>
            <w:tcBorders/>
            <w:shd w:fill="CCEEFF" w:val="clear"/>
            <w:vAlign w:val="bottom"/>
          </w:tcPr>
          <w:p>
            <w:pPr>
              <w:pStyle w:val="TableContents"/>
              <w:bidi w:val="0"/>
              <w:spacing w:before="0" w:after="283"/>
              <w:jc w:val="left"/>
              <w:rPr>
                <w:b/>
              </w:rPr>
            </w:pPr>
            <w:r>
              <w:rPr>
                <w:b/>
              </w:rPr>
              <w:t>) </w:t>
            </w:r>
          </w:p>
        </w:tc>
      </w:tr>
      <w:tr>
        <w:trPr/>
        <w:tc>
          <w:tcPr>
            <w:tcW w:w="5261"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 net of tax</w:t>
            </w:r>
          </w:p>
        </w:tc>
        <w:tc>
          <w:tcPr>
            <w:tcW w:w="33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8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79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2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loss</w:t>
            </w:r>
          </w:p>
        </w:tc>
        <w:tc>
          <w:tcPr>
            <w:tcW w:w="33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(757,356</w:t>
            </w:r>
          </w:p>
        </w:tc>
        <w:tc>
          <w:tcPr>
            <w:tcW w:w="15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792" w:type="dxa"/>
            <w:tcBorders/>
            <w:shd w:fill="CCEEFF" w:val="clear"/>
            <w:vAlign w:val="bottom"/>
          </w:tcPr>
          <w:p>
            <w:pPr>
              <w:pStyle w:val="TableContents"/>
              <w:bidi w:val="0"/>
              <w:spacing w:before="0" w:after="283"/>
              <w:jc w:val="right"/>
              <w:rPr/>
            </w:pPr>
            <w:r>
              <w:rPr/>
              <w:t>(501,130</w:t>
            </w:r>
          </w:p>
        </w:tc>
        <w:tc>
          <w:tcPr>
            <w:tcW w:w="160" w:type="dxa"/>
            <w:tcBorders/>
            <w:shd w:fill="CCEEFF" w:val="clear"/>
            <w:vAlign w:val="bottom"/>
          </w:tcPr>
          <w:p>
            <w:pPr>
              <w:pStyle w:val="TableContents"/>
              <w:bidi w:val="0"/>
              <w:spacing w:before="0" w:after="283"/>
              <w:jc w:val="left"/>
              <w:rPr/>
            </w:pPr>
            <w:r>
              <w:rPr/>
              <w:t>) </w:t>
            </w:r>
          </w:p>
        </w:tc>
      </w:tr>
      <w:tr>
        <w:trPr/>
        <w:tc>
          <w:tcPr>
            <w:tcW w:w="5261"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7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6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comprehensive loss</w:t>
            </w:r>
          </w:p>
        </w:tc>
        <w:tc>
          <w:tcPr>
            <w:tcW w:w="33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b/>
              </w:rPr>
            </w:pPr>
            <w:r>
              <w:rPr>
                <w:b/>
              </w:rPr>
              <w:t>$</w:t>
            </w:r>
          </w:p>
        </w:tc>
        <w:tc>
          <w:tcPr>
            <w:tcW w:w="1804" w:type="dxa"/>
            <w:tcBorders/>
            <w:vAlign w:val="bottom"/>
          </w:tcPr>
          <w:p>
            <w:pPr>
              <w:pStyle w:val="TableContents"/>
              <w:bidi w:val="0"/>
              <w:spacing w:before="0" w:after="283"/>
              <w:jc w:val="right"/>
              <w:rPr>
                <w:b/>
              </w:rPr>
            </w:pPr>
            <w:r>
              <w:rPr>
                <w:b/>
              </w:rPr>
              <w:t>(104,862,794</w:t>
            </w:r>
          </w:p>
        </w:tc>
        <w:tc>
          <w:tcPr>
            <w:tcW w:w="155" w:type="dxa"/>
            <w:tcBorders/>
            <w:vAlign w:val="bottom"/>
          </w:tcPr>
          <w:p>
            <w:pPr>
              <w:pStyle w:val="TableContents"/>
              <w:bidi w:val="0"/>
              <w:spacing w:before="0" w:after="283"/>
              <w:jc w:val="left"/>
              <w:rPr>
                <w:b/>
              </w:rPr>
            </w:pPr>
            <w:r>
              <w:rPr>
                <w:b/>
              </w:rPr>
              <w:t>) </w:t>
            </w:r>
          </w:p>
        </w:tc>
        <w:tc>
          <w:tcPr>
            <w:tcW w:w="294"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b/>
              </w:rPr>
            </w:pPr>
            <w:r>
              <w:rPr>
                <w:b/>
              </w:rPr>
              <w:t>$</w:t>
            </w:r>
          </w:p>
        </w:tc>
        <w:tc>
          <w:tcPr>
            <w:tcW w:w="1792" w:type="dxa"/>
            <w:tcBorders/>
            <w:vAlign w:val="bottom"/>
          </w:tcPr>
          <w:p>
            <w:pPr>
              <w:pStyle w:val="TableContents"/>
              <w:bidi w:val="0"/>
              <w:spacing w:before="0" w:after="283"/>
              <w:jc w:val="right"/>
              <w:rPr>
                <w:b/>
              </w:rPr>
            </w:pPr>
            <w:r>
              <w:rPr>
                <w:b/>
              </w:rPr>
              <w:t>(38,220,605</w:t>
            </w:r>
          </w:p>
        </w:tc>
        <w:tc>
          <w:tcPr>
            <w:tcW w:w="160" w:type="dxa"/>
            <w:tcBorders/>
            <w:vAlign w:val="bottom"/>
          </w:tcPr>
          <w:p>
            <w:pPr>
              <w:pStyle w:val="TableContents"/>
              <w:bidi w:val="0"/>
              <w:spacing w:before="0" w:after="283"/>
              <w:jc w:val="left"/>
              <w:rPr>
                <w:b/>
              </w:rPr>
            </w:pPr>
            <w:r>
              <w:rPr>
                <w:b/>
              </w:rPr>
              <w:t>) </w:t>
            </w:r>
          </w:p>
        </w:tc>
      </w:tr>
      <w:tr>
        <w:trPr/>
        <w:tc>
          <w:tcPr>
            <w:tcW w:w="5261"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79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carve-out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bookmarkStart w:id="44" w:name="fin309194_5"/>
      <w:bookmarkEnd w:id="44"/>
      <w:r>
        <w:rPr>
          <w:rFonts w:ascii="Times New Roman" w:hAnsi="Times New Roman"/>
          <w:b/>
          <w:sz w:val="20"/>
        </w:rPr>
        <w:t xml:space="preserve">Carve-out Consolidated Statements of Changes in Shareholders Deficit </w:t>
      </w:r>
    </w:p>
    <w:p>
      <w:pPr>
        <w:pStyle w:val="TextBody"/>
        <w:bidi w:val="0"/>
        <w:spacing w:before="0" w:after="0"/>
        <w:jc w:val="left"/>
        <w:rPr/>
      </w:pPr>
      <w:r>
        <w:rPr/>
        <w:t> </w:t>
      </w:r>
    </w:p>
    <w:tbl>
      <w:tblPr>
        <w:tblW w:w="14700" w:type="dxa"/>
        <w:jc w:val="center"/>
        <w:tblInd w:w="0" w:type="dxa"/>
        <w:tblLayout w:type="fixed"/>
        <w:tblCellMar>
          <w:top w:w="0" w:type="dxa"/>
          <w:left w:w="0" w:type="dxa"/>
          <w:bottom w:w="0" w:type="dxa"/>
          <w:right w:w="0" w:type="dxa"/>
        </w:tblCellMar>
      </w:tblPr>
      <w:tblGrid>
        <w:gridCol w:w="1010"/>
        <w:gridCol w:w="60"/>
        <w:gridCol w:w="60"/>
        <w:gridCol w:w="920"/>
        <w:gridCol w:w="125"/>
        <w:gridCol w:w="60"/>
        <w:gridCol w:w="77"/>
        <w:gridCol w:w="783"/>
        <w:gridCol w:w="125"/>
        <w:gridCol w:w="60"/>
        <w:gridCol w:w="60"/>
        <w:gridCol w:w="830"/>
        <w:gridCol w:w="60"/>
        <w:gridCol w:w="60"/>
        <w:gridCol w:w="106"/>
        <w:gridCol w:w="754"/>
        <w:gridCol w:w="60"/>
        <w:gridCol w:w="60"/>
        <w:gridCol w:w="60"/>
        <w:gridCol w:w="830"/>
        <w:gridCol w:w="60"/>
        <w:gridCol w:w="60"/>
        <w:gridCol w:w="106"/>
        <w:gridCol w:w="754"/>
        <w:gridCol w:w="60"/>
        <w:gridCol w:w="60"/>
        <w:gridCol w:w="67"/>
        <w:gridCol w:w="1033"/>
        <w:gridCol w:w="60"/>
        <w:gridCol w:w="60"/>
        <w:gridCol w:w="79"/>
        <w:gridCol w:w="1291"/>
        <w:gridCol w:w="125"/>
        <w:gridCol w:w="60"/>
        <w:gridCol w:w="104"/>
        <w:gridCol w:w="1161"/>
        <w:gridCol w:w="125"/>
        <w:gridCol w:w="60"/>
        <w:gridCol w:w="107"/>
        <w:gridCol w:w="1428"/>
        <w:gridCol w:w="125"/>
        <w:gridCol w:w="60"/>
        <w:gridCol w:w="79"/>
        <w:gridCol w:w="1291"/>
        <w:gridCol w:w="125"/>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Ordinary shares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Deferred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 shares</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2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26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Share</w:t>
              <w:br/>
              <w:t>subscription</w:t>
              <w:br/>
              <w:t>receivable</w:t>
            </w:r>
          </w:p>
        </w:tc>
        <w:tc>
          <w:tcPr>
            <w:tcW w:w="12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53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income</w:t>
            </w:r>
          </w:p>
        </w:tc>
        <w:tc>
          <w:tcPr>
            <w:tcW w:w="12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Shareholders</w:t>
              <w:br/>
              <w:t>deficit</w:t>
            </w:r>
          </w:p>
        </w:tc>
        <w:tc>
          <w:tcPr>
            <w:tcW w:w="125" w:type="dxa"/>
            <w:vMerge w:val="restart"/>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2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65" w:type="dxa"/>
            <w:gridSpan w:val="2"/>
            <w:vMerge w:val="continue"/>
            <w:tcBorders/>
            <w:vAlign w:val="bottom"/>
          </w:tcPr>
          <w:p>
            <w:pPr>
              <w:pStyle w:val="Normal"/>
              <w:bidi w:val="0"/>
              <w:jc w:val="left"/>
              <w:rPr/>
            </w:pPr>
            <w:r>
              <w:rPr/>
            </w:r>
          </w:p>
        </w:tc>
        <w:tc>
          <w:tcPr>
            <w:tcW w:w="12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535" w:type="dxa"/>
            <w:gridSpan w:val="2"/>
            <w:vMerge w:val="continue"/>
            <w:tcBorders>
              <w:bottom w:val="single" w:sz="8" w:space="0" w:color="000000"/>
            </w:tcBorders>
            <w:tcMar>
              <w:bottom w:w="28" w:type="dxa"/>
            </w:tcMar>
            <w:vAlign w:val="bottom"/>
          </w:tcPr>
          <w:p>
            <w:pPr>
              <w:pStyle w:val="Normal"/>
              <w:bidi w:val="0"/>
              <w:jc w:val="left"/>
              <w:rPr/>
            </w:pPr>
            <w:r>
              <w:rPr/>
            </w:r>
          </w:p>
        </w:tc>
        <w:tc>
          <w:tcPr>
            <w:tcW w:w="12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bottom w:val="single" w:sz="8" w:space="0" w:color="000000"/>
            </w:tcBorders>
            <w:tcMar>
              <w:bottom w:w="28" w:type="dxa"/>
            </w:tcMar>
            <w:vAlign w:val="bottom"/>
          </w:tcPr>
          <w:p>
            <w:pPr>
              <w:pStyle w:val="Normal"/>
              <w:bidi w:val="0"/>
              <w:jc w:val="left"/>
              <w:rPr/>
            </w:pPr>
            <w:r>
              <w:rPr/>
            </w:r>
          </w:p>
        </w:tc>
        <w:tc>
          <w:tcPr>
            <w:tcW w:w="125" w:type="dxa"/>
            <w:vMerge w:val="continue"/>
            <w:tcBorders/>
            <w:vAlign w:val="bottom"/>
          </w:tcPr>
          <w:p>
            <w:pPr>
              <w:pStyle w:val="Normal"/>
              <w:bidi w:val="0"/>
              <w:jc w:val="left"/>
              <w:rPr/>
            </w:pPr>
            <w:r>
              <w:rPr/>
            </w:r>
          </w:p>
        </w:tc>
      </w:tr>
      <w:tr>
        <w:trPr/>
        <w:tc>
          <w:tcPr>
            <w:tcW w:w="101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Balance as of January 1, 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b/>
                <w:sz w:val="16"/>
              </w:rPr>
            </w:pPr>
            <w:r>
              <w:rPr>
                <w:b/>
                <w:sz w:val="16"/>
              </w:rPr>
              <w:t>860,322,600</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b/>
                <w:sz w:val="16"/>
              </w:rPr>
            </w:pPr>
            <w:r>
              <w:rPr>
                <w:b/>
                <w:sz w:val="16"/>
              </w:rPr>
              <w:t>118,094</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b/>
                <w:sz w:val="16"/>
              </w:rPr>
            </w:pPr>
            <w:r>
              <w:rPr>
                <w:b/>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b/>
                <w:sz w:val="16"/>
              </w:rPr>
            </w:pPr>
            <w:r>
              <w:rPr>
                <w:b/>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b/>
                <w:sz w:val="16"/>
              </w:rPr>
            </w:pPr>
            <w:r>
              <w:rPr>
                <w:b/>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b/>
                <w:sz w:val="16"/>
              </w:rPr>
            </w:pPr>
            <w:r>
              <w:rPr>
                <w:b/>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b/>
                <w:sz w:val="16"/>
              </w:rPr>
            </w:pPr>
            <w:r>
              <w:rPr>
                <w:b/>
                <w:sz w:val="16"/>
              </w:rPr>
              <w:t>38,625,645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sz w:val="16"/>
              </w:rPr>
            </w:pPr>
            <w:r>
              <w:rPr>
                <w:b/>
                <w:sz w:val="16"/>
              </w:rPr>
              <w:t>(47,346,629</w:t>
            </w:r>
          </w:p>
        </w:tc>
        <w:tc>
          <w:tcPr>
            <w:tcW w:w="125" w:type="dxa"/>
            <w:tcBorders/>
            <w:shd w:fill="CCEEFF" w:val="clear"/>
            <w:vAlign w:val="bottom"/>
          </w:tcPr>
          <w:p>
            <w:pPr>
              <w:pStyle w:val="TableContents"/>
              <w:bidi w:val="0"/>
              <w:spacing w:before="0" w:after="283"/>
              <w:jc w:val="left"/>
              <w:rPr>
                <w:b/>
                <w:sz w:val="16"/>
              </w:rPr>
            </w:pPr>
            <w:r>
              <w:rPr>
                <w:b/>
                <w:sz w:val="16"/>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b/>
                <w:sz w:val="16"/>
              </w:rPr>
            </w:pPr>
            <w:r>
              <w:rPr>
                <w:b/>
                <w:sz w:val="16"/>
              </w:rPr>
              <w:t>(776,560</w:t>
            </w:r>
          </w:p>
        </w:tc>
        <w:tc>
          <w:tcPr>
            <w:tcW w:w="125" w:type="dxa"/>
            <w:tcBorders/>
            <w:shd w:fill="CCEEFF" w:val="clear"/>
            <w:vAlign w:val="bottom"/>
          </w:tcPr>
          <w:p>
            <w:pPr>
              <w:pStyle w:val="TableContents"/>
              <w:bidi w:val="0"/>
              <w:spacing w:before="0" w:after="283"/>
              <w:jc w:val="left"/>
              <w:rPr>
                <w:b/>
                <w:sz w:val="16"/>
              </w:rPr>
            </w:pPr>
            <w:r>
              <w:rPr>
                <w:b/>
                <w:sz w:val="16"/>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b/>
                <w:sz w:val="16"/>
              </w:rPr>
            </w:pPr>
            <w:r>
              <w:rPr>
                <w:b/>
                <w:sz w:val="16"/>
              </w:rPr>
              <w:t>(1,877</w:t>
            </w:r>
          </w:p>
        </w:tc>
        <w:tc>
          <w:tcPr>
            <w:tcW w:w="125" w:type="dxa"/>
            <w:tcBorders/>
            <w:shd w:fill="CCEEFF" w:val="clear"/>
            <w:vAlign w:val="bottom"/>
          </w:tcPr>
          <w:p>
            <w:pPr>
              <w:pStyle w:val="TableContents"/>
              <w:bidi w:val="0"/>
              <w:spacing w:before="0" w:after="283"/>
              <w:jc w:val="left"/>
              <w:rPr>
                <w:b/>
                <w:sz w:val="16"/>
              </w:rPr>
            </w:pPr>
            <w:r>
              <w:rPr>
                <w:b/>
                <w:sz w:val="16"/>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sz w:val="16"/>
              </w:rPr>
            </w:pPr>
            <w:r>
              <w:rPr>
                <w:b/>
                <w:sz w:val="16"/>
              </w:rPr>
              <w:t>(9,381,327</w:t>
            </w:r>
          </w:p>
        </w:tc>
        <w:tc>
          <w:tcPr>
            <w:tcW w:w="125" w:type="dxa"/>
            <w:tcBorders/>
            <w:shd w:fill="CCEEFF" w:val="clear"/>
            <w:vAlign w:val="bottom"/>
          </w:tcPr>
          <w:p>
            <w:pPr>
              <w:pStyle w:val="TableContents"/>
              <w:bidi w:val="0"/>
              <w:spacing w:before="0" w:after="283"/>
              <w:jc w:val="left"/>
              <w:rPr>
                <w:b/>
                <w:sz w:val="16"/>
              </w:rPr>
            </w:pPr>
            <w:r>
              <w:rPr>
                <w:b/>
                <w:sz w:val="16"/>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Ordinary shares issued (note 10.2)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sz w:val="16"/>
              </w:rPr>
            </w:pPr>
            <w:r>
              <w:rPr>
                <w:sz w:val="16"/>
              </w:rPr>
              <w:t>3,359,223</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sz w:val="16"/>
              </w:rPr>
            </w:pPr>
            <w:r>
              <w:rPr>
                <w:sz w:val="16"/>
              </w:rPr>
              <w:t>463</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sz w:val="16"/>
              </w:rPr>
            </w:pPr>
            <w:r>
              <w:rPr>
                <w:sz w:val="16"/>
              </w:rPr>
              <w:t>3,460,336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sz w:val="16"/>
              </w:rPr>
            </w:pPr>
            <w:r>
              <w:rPr>
                <w:sz w:val="16"/>
              </w:rPr>
              <w:t>603,816</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sz w:val="16"/>
              </w:rPr>
            </w:pPr>
            <w:r>
              <w:rPr>
                <w:sz w:val="16"/>
              </w:rPr>
              <w:t>4,064,615</w:t>
            </w:r>
          </w:p>
        </w:tc>
        <w:tc>
          <w:tcPr>
            <w:tcW w:w="12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Series A shares issued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sz w:val="16"/>
              </w:rPr>
            </w:pPr>
            <w:r>
              <w:rPr>
                <w:sz w:val="16"/>
              </w:rPr>
              <w:t>13,404,541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sz w:val="16"/>
              </w:rPr>
            </w:pPr>
            <w:r>
              <w:rPr>
                <w:sz w:val="16"/>
              </w:rPr>
              <w:t>1,848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sz w:val="16"/>
              </w:rPr>
            </w:pPr>
            <w:r>
              <w:rPr>
                <w:sz w:val="16"/>
              </w:rPr>
              <w:t>13,763,152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sz w:val="16"/>
              </w:rPr>
            </w:pPr>
            <w:r>
              <w:rPr>
                <w:sz w:val="16"/>
              </w:rPr>
              <w:t>13,765,000</w:t>
            </w:r>
          </w:p>
        </w:tc>
        <w:tc>
          <w:tcPr>
            <w:tcW w:w="12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Series A shares issued against conversion of loan (note 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sz w:val="16"/>
              </w:rPr>
            </w:pPr>
            <w:r>
              <w:rPr>
                <w:sz w:val="16"/>
              </w:rPr>
              <w:t>14,634,976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sz w:val="16"/>
              </w:rPr>
            </w:pPr>
            <w:r>
              <w:rPr>
                <w:sz w:val="16"/>
              </w:rPr>
              <w:t>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sz w:val="16"/>
              </w:rPr>
            </w:pPr>
            <w:r>
              <w:rPr>
                <w:sz w:val="16"/>
              </w:rPr>
              <w:t>12,691,327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sz w:val="16"/>
              </w:rPr>
            </w:pPr>
            <w:r>
              <w:rPr>
                <w:sz w:val="16"/>
              </w:rPr>
              <w:t>12,693,347</w:t>
            </w:r>
          </w:p>
        </w:tc>
        <w:tc>
          <w:tcPr>
            <w:tcW w:w="12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Ordinary shares issued against exercise of call option (note 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sz w:val="16"/>
              </w:rPr>
            </w:pPr>
            <w:r>
              <w:rPr>
                <w:sz w:val="16"/>
              </w:rPr>
              <w:t>8,100,000</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sz w:val="16"/>
              </w:rPr>
            </w:pPr>
            <w:r>
              <w:rPr>
                <w:sz w:val="16"/>
              </w:rPr>
              <w:t>1,109</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sz w:val="16"/>
              </w:rPr>
            </w:pPr>
            <w:r>
              <w:rPr>
                <w:sz w:val="16"/>
              </w:rPr>
              <w:t>1,927,462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sz w:val="16"/>
              </w:rPr>
            </w:pPr>
            <w:r>
              <w:rPr>
                <w:sz w:val="16"/>
              </w:rPr>
              <w:t>1,928,571</w:t>
            </w:r>
          </w:p>
        </w:tc>
        <w:tc>
          <w:tcPr>
            <w:tcW w:w="12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Employee share-based compensation (note 10.1)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sz w:val="16"/>
              </w:rPr>
            </w:pPr>
            <w:r>
              <w:rPr>
                <w:sz w:val="16"/>
              </w:rPr>
              <w:t>20,037,059</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sz w:val="16"/>
              </w:rPr>
            </w:pPr>
            <w:r>
              <w:rPr>
                <w:sz w:val="16"/>
              </w:rPr>
              <w:t>2,761</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sz w:val="16"/>
              </w:rPr>
            </w:pPr>
            <w:r>
              <w:rPr>
                <w:sz w:val="16"/>
              </w:rPr>
              <w:t>13,224,459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sz w:val="16"/>
              </w:rPr>
            </w:pPr>
            <w:r>
              <w:rPr>
                <w:sz w:val="16"/>
              </w:rPr>
              <w:t>(2,761</w:t>
            </w:r>
          </w:p>
        </w:tc>
        <w:tc>
          <w:tcPr>
            <w:tcW w:w="125" w:type="dxa"/>
            <w:tcBorders/>
            <w:vAlign w:val="bottom"/>
          </w:tcPr>
          <w:p>
            <w:pPr>
              <w:pStyle w:val="TableContents"/>
              <w:bidi w:val="0"/>
              <w:spacing w:before="0" w:after="283"/>
              <w:jc w:val="left"/>
              <w:rPr>
                <w:sz w:val="16"/>
              </w:rPr>
            </w:pPr>
            <w:r>
              <w:rPr>
                <w:sz w:val="16"/>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sz w:val="16"/>
              </w:rPr>
            </w:pPr>
            <w:r>
              <w:rPr>
                <w:sz w:val="16"/>
              </w:rPr>
              <w:t>13,224,459</w:t>
            </w:r>
          </w:p>
        </w:tc>
        <w:tc>
          <w:tcPr>
            <w:tcW w:w="12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sz w:val="16"/>
              </w:rPr>
            </w:pPr>
            <w:r>
              <w:rPr>
                <w:sz w:val="16"/>
              </w:rPr>
              <w:t>(37,719,475</w:t>
            </w:r>
          </w:p>
        </w:tc>
        <w:tc>
          <w:tcPr>
            <w:tcW w:w="125" w:type="dxa"/>
            <w:tcBorders/>
            <w:shd w:fill="CCEEFF" w:val="clear"/>
            <w:vAlign w:val="bottom"/>
          </w:tcPr>
          <w:p>
            <w:pPr>
              <w:pStyle w:val="TableContents"/>
              <w:bidi w:val="0"/>
              <w:spacing w:before="0" w:after="283"/>
              <w:jc w:val="lef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sz w:val="16"/>
              </w:rPr>
            </w:pPr>
            <w:r>
              <w:rPr>
                <w:sz w:val="16"/>
              </w:rPr>
              <w:t>(37,719,475</w:t>
            </w:r>
          </w:p>
        </w:tc>
        <w:tc>
          <w:tcPr>
            <w:tcW w:w="125" w:type="dxa"/>
            <w:tcBorders/>
            <w:shd w:fill="CCEEFF" w:val="clear"/>
            <w:vAlign w:val="bottom"/>
          </w:tcPr>
          <w:p>
            <w:pPr>
              <w:pStyle w:val="TableContents"/>
              <w:bidi w:val="0"/>
              <w:spacing w:before="0" w:after="283"/>
              <w:jc w:val="left"/>
              <w:rPr>
                <w:sz w:val="16"/>
              </w:rPr>
            </w:pPr>
            <w:r>
              <w:rPr>
                <w:sz w:val="16"/>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Foreign currency translation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sz w:val="16"/>
              </w:rPr>
            </w:pPr>
            <w:r>
              <w:rPr>
                <w:sz w:val="16"/>
              </w:rPr>
              <w:t>(501,131</w:t>
            </w:r>
          </w:p>
        </w:tc>
        <w:tc>
          <w:tcPr>
            <w:tcW w:w="125" w:type="dxa"/>
            <w:tcBorders/>
            <w:vAlign w:val="bottom"/>
          </w:tcPr>
          <w:p>
            <w:pPr>
              <w:pStyle w:val="TableContents"/>
              <w:bidi w:val="0"/>
              <w:spacing w:before="0" w:after="283"/>
              <w:jc w:val="left"/>
              <w:rPr>
                <w:sz w:val="16"/>
              </w:rPr>
            </w:pPr>
            <w:r>
              <w:rPr>
                <w:sz w:val="16"/>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sz w:val="16"/>
              </w:rPr>
            </w:pPr>
            <w:r>
              <w:rPr>
                <w:sz w:val="16"/>
              </w:rPr>
              <w:t>(501,131</w:t>
            </w:r>
          </w:p>
        </w:tc>
        <w:tc>
          <w:tcPr>
            <w:tcW w:w="125" w:type="dxa"/>
            <w:tcBorders/>
            <w:vAlign w:val="bottom"/>
          </w:tcPr>
          <w:p>
            <w:pPr>
              <w:pStyle w:val="TableContents"/>
              <w:bidi w:val="0"/>
              <w:spacing w:before="0" w:after="283"/>
              <w:jc w:val="left"/>
              <w:rPr>
                <w:sz w:val="16"/>
              </w:rPr>
            </w:pPr>
            <w:r>
              <w:rPr>
                <w:sz w:val="16"/>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Balance as at December 31, 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b/>
                <w:sz w:val="16"/>
              </w:rPr>
            </w:pPr>
            <w:r>
              <w:rPr>
                <w:b/>
                <w:sz w:val="16"/>
              </w:rPr>
              <w:t>891,818,882</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b/>
                <w:sz w:val="16"/>
              </w:rPr>
            </w:pPr>
            <w:r>
              <w:rPr>
                <w:b/>
                <w:sz w:val="16"/>
              </w:rPr>
              <w:t>122,427</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b/>
                <w:sz w:val="16"/>
              </w:rPr>
            </w:pPr>
            <w:r>
              <w:rPr>
                <w:b/>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b/>
                <w:sz w:val="16"/>
              </w:rPr>
            </w:pPr>
            <w:r>
              <w:rPr>
                <w:b/>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b/>
                <w:sz w:val="16"/>
              </w:rPr>
            </w:pPr>
            <w:r>
              <w:rPr>
                <w:b/>
                <w:sz w:val="16"/>
              </w:rPr>
              <w:t>28,039,517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b/>
                <w:sz w:val="16"/>
              </w:rPr>
            </w:pPr>
            <w:r>
              <w:rPr>
                <w:b/>
                <w:sz w:val="16"/>
              </w:rPr>
              <w:t>3,868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b/>
                <w:sz w:val="16"/>
              </w:rPr>
            </w:pPr>
            <w:r>
              <w:rPr>
                <w:b/>
                <w:sz w:val="16"/>
              </w:rPr>
              <w:t>83,692,381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sz w:val="16"/>
              </w:rPr>
            </w:pPr>
            <w:r>
              <w:rPr>
                <w:b/>
                <w:sz w:val="16"/>
              </w:rPr>
              <w:t>(85,066,104</w:t>
            </w:r>
          </w:p>
        </w:tc>
        <w:tc>
          <w:tcPr>
            <w:tcW w:w="125" w:type="dxa"/>
            <w:tcBorders/>
            <w:shd w:fill="CCEEFF" w:val="clear"/>
            <w:vAlign w:val="bottom"/>
          </w:tcPr>
          <w:p>
            <w:pPr>
              <w:pStyle w:val="TableContents"/>
              <w:bidi w:val="0"/>
              <w:spacing w:before="0" w:after="283"/>
              <w:jc w:val="left"/>
              <w:rPr>
                <w:b/>
                <w:sz w:val="16"/>
              </w:rPr>
            </w:pPr>
            <w:r>
              <w:rPr>
                <w:b/>
                <w:sz w:val="16"/>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b/>
                <w:sz w:val="16"/>
              </w:rPr>
            </w:pPr>
            <w:r>
              <w:rPr>
                <w:b/>
                <w:sz w:val="16"/>
              </w:rPr>
              <w:t>(175,505</w:t>
            </w:r>
          </w:p>
        </w:tc>
        <w:tc>
          <w:tcPr>
            <w:tcW w:w="125" w:type="dxa"/>
            <w:tcBorders/>
            <w:shd w:fill="CCEEFF" w:val="clear"/>
            <w:vAlign w:val="bottom"/>
          </w:tcPr>
          <w:p>
            <w:pPr>
              <w:pStyle w:val="TableContents"/>
              <w:bidi w:val="0"/>
              <w:spacing w:before="0" w:after="283"/>
              <w:jc w:val="left"/>
              <w:rPr>
                <w:b/>
                <w:sz w:val="16"/>
              </w:rPr>
            </w:pPr>
            <w:r>
              <w:rPr>
                <w:b/>
                <w:sz w:val="16"/>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b/>
                <w:sz w:val="16"/>
              </w:rPr>
            </w:pPr>
            <w:r>
              <w:rPr>
                <w:b/>
                <w:sz w:val="16"/>
              </w:rPr>
              <w:t>(503,008</w:t>
            </w:r>
          </w:p>
        </w:tc>
        <w:tc>
          <w:tcPr>
            <w:tcW w:w="125" w:type="dxa"/>
            <w:tcBorders/>
            <w:shd w:fill="CCEEFF" w:val="clear"/>
            <w:vAlign w:val="bottom"/>
          </w:tcPr>
          <w:p>
            <w:pPr>
              <w:pStyle w:val="TableContents"/>
              <w:bidi w:val="0"/>
              <w:spacing w:before="0" w:after="283"/>
              <w:jc w:val="left"/>
              <w:rPr>
                <w:b/>
                <w:sz w:val="16"/>
              </w:rPr>
            </w:pPr>
            <w:r>
              <w:rPr>
                <w:b/>
                <w:sz w:val="16"/>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sz w:val="16"/>
              </w:rPr>
            </w:pPr>
            <w:r>
              <w:rPr>
                <w:b/>
                <w:sz w:val="16"/>
              </w:rPr>
              <w:t>(1,925,941</w:t>
            </w:r>
          </w:p>
        </w:tc>
        <w:tc>
          <w:tcPr>
            <w:tcW w:w="125" w:type="dxa"/>
            <w:tcBorders/>
            <w:shd w:fill="CCEEFF" w:val="clear"/>
            <w:vAlign w:val="bottom"/>
          </w:tcPr>
          <w:p>
            <w:pPr>
              <w:pStyle w:val="TableContents"/>
              <w:bidi w:val="0"/>
              <w:spacing w:before="0" w:after="283"/>
              <w:jc w:val="left"/>
              <w:rPr>
                <w:b/>
                <w:sz w:val="16"/>
              </w:rPr>
            </w:pPr>
            <w:r>
              <w:rPr>
                <w:b/>
                <w:sz w:val="16"/>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Ordinary shares issued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sz w:val="16"/>
              </w:rPr>
            </w:pPr>
            <w:r>
              <w:rPr>
                <w:sz w:val="16"/>
              </w:rPr>
              <w:t>2,040,816</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sz w:val="16"/>
              </w:rPr>
            </w:pPr>
            <w:r>
              <w:rPr>
                <w:sz w:val="16"/>
              </w:rPr>
              <w:t>166</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sz w:val="16"/>
              </w:rPr>
            </w:pPr>
            <w:r>
              <w:rPr>
                <w:sz w:val="16"/>
              </w:rPr>
              <w:t>2,499,754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sz w:val="16"/>
              </w:rPr>
            </w:pPr>
            <w:r>
              <w:rPr>
                <w:sz w:val="16"/>
              </w:rPr>
              <w:t>2,499,920</w:t>
            </w:r>
          </w:p>
        </w:tc>
        <w:tc>
          <w:tcPr>
            <w:tcW w:w="12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Ordinary shares issued for ANY (note 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sz w:val="16"/>
              </w:rPr>
            </w:pPr>
            <w:r>
              <w:rPr>
                <w:sz w:val="16"/>
              </w:rPr>
              <w:t>14,427,185</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sz w:val="16"/>
              </w:rPr>
            </w:pPr>
            <w:r>
              <w:rPr>
                <w:sz w:val="16"/>
              </w:rPr>
              <w:t>1,993</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7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sz w:val="16"/>
              </w:rPr>
            </w:pPr>
            <w:r>
              <w:rPr>
                <w:sz w:val="16"/>
              </w:rPr>
              <w:t>14,858,007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sz w:val="16"/>
              </w:rPr>
            </w:pPr>
            <w:r>
              <w:rPr>
                <w:sz w:val="16"/>
              </w:rPr>
              <w:t>14,860,000</w:t>
            </w:r>
          </w:p>
        </w:tc>
        <w:tc>
          <w:tcPr>
            <w:tcW w:w="12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Share-based compensation to consultant (note 10.3)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sz w:val="16"/>
              </w:rPr>
            </w:pPr>
            <w:r>
              <w:rPr>
                <w:sz w:val="16"/>
              </w:rPr>
              <w:t>5,000,000</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sz w:val="16"/>
              </w:rPr>
            </w:pPr>
            <w:r>
              <w:rPr>
                <w:sz w:val="16"/>
              </w:rPr>
              <w:t>677</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sz w:val="16"/>
              </w:rPr>
            </w:pPr>
            <w:r>
              <w:rPr>
                <w:sz w:val="16"/>
              </w:rPr>
              <w:t>18,417,139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sz w:val="16"/>
              </w:rPr>
            </w:pPr>
            <w:r>
              <w:rPr>
                <w:sz w:val="16"/>
              </w:rPr>
              <w:t>18,417,816</w:t>
            </w:r>
          </w:p>
        </w:tc>
        <w:tc>
          <w:tcPr>
            <w:tcW w:w="12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Ordinary shares issued against exercise of warrants (note 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sz w:val="16"/>
              </w:rPr>
            </w:pPr>
            <w:r>
              <w:rPr>
                <w:sz w:val="16"/>
              </w:rPr>
              <w:t>1,700,000</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sz w:val="16"/>
              </w:rPr>
            </w:pPr>
            <w:r>
              <w:rPr>
                <w:sz w:val="16"/>
              </w:rPr>
              <w:t>192</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sz w:val="16"/>
              </w:rPr>
            </w:pPr>
            <w:r>
              <w:rPr>
                <w:sz w:val="16"/>
              </w:rPr>
              <w:t>2,082,308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sz w:val="16"/>
              </w:rPr>
            </w:pPr>
            <w:r>
              <w:rPr>
                <w:sz w:val="16"/>
              </w:rPr>
              <w:t>2,082,500</w:t>
            </w:r>
          </w:p>
        </w:tc>
        <w:tc>
          <w:tcPr>
            <w:tcW w:w="12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Share-based compensation  related parties (note 10.4)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sz w:val="16"/>
              </w:rPr>
            </w:pPr>
            <w:r>
              <w:rPr>
                <w:sz w:val="16"/>
              </w:rPr>
              <w:t>27,246,461</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sz w:val="16"/>
              </w:rPr>
            </w:pPr>
            <w:r>
              <w:rPr>
                <w:sz w:val="16"/>
              </w:rPr>
              <w:t>3,215</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sz w:val="16"/>
              </w:rPr>
            </w:pPr>
            <w:r>
              <w:rPr>
                <w:sz w:val="16"/>
              </w:rPr>
              <w:t>39,498,486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sz w:val="16"/>
              </w:rPr>
            </w:pPr>
            <w:r>
              <w:rPr>
                <w:sz w:val="16"/>
              </w:rPr>
              <w:t>(3,215</w:t>
            </w:r>
          </w:p>
        </w:tc>
        <w:tc>
          <w:tcPr>
            <w:tcW w:w="125" w:type="dxa"/>
            <w:tcBorders/>
            <w:vAlign w:val="bottom"/>
          </w:tcPr>
          <w:p>
            <w:pPr>
              <w:pStyle w:val="TableContents"/>
              <w:bidi w:val="0"/>
              <w:spacing w:before="0" w:after="283"/>
              <w:jc w:val="left"/>
              <w:rPr>
                <w:sz w:val="16"/>
              </w:rPr>
            </w:pPr>
            <w:r>
              <w:rPr>
                <w:sz w:val="16"/>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sz w:val="16"/>
              </w:rPr>
            </w:pPr>
            <w:r>
              <w:rPr>
                <w:sz w:val="16"/>
              </w:rPr>
              <w:t>39,498,486</w:t>
            </w:r>
          </w:p>
        </w:tc>
        <w:tc>
          <w:tcPr>
            <w:tcW w:w="12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Employee share-based compensation (note 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sz w:val="16"/>
              </w:rPr>
            </w:pPr>
            <w:r>
              <w:rPr>
                <w:sz w:val="16"/>
              </w:rPr>
              <w:t>2,115,015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sz w:val="16"/>
              </w:rPr>
            </w:pPr>
            <w:r>
              <w:rPr>
                <w:sz w:val="16"/>
              </w:rPr>
              <w:t>2,115,015</w:t>
            </w:r>
          </w:p>
        </w:tc>
        <w:tc>
          <w:tcPr>
            <w:tcW w:w="12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ANY deferred shares (note 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sz w:val="16"/>
              </w:rPr>
            </w:pPr>
            <w:r>
              <w:rPr>
                <w:sz w:val="16"/>
              </w:rPr>
              <w:t>(14,427,185</w:t>
            </w:r>
          </w:p>
        </w:tc>
        <w:tc>
          <w:tcPr>
            <w:tcW w:w="125" w:type="dxa"/>
            <w:tcBorders/>
            <w:vAlign w:val="bottom"/>
          </w:tcPr>
          <w:p>
            <w:pPr>
              <w:pStyle w:val="TableContents"/>
              <w:bidi w:val="0"/>
              <w:spacing w:before="0" w:after="283"/>
              <w:jc w:val="left"/>
              <w:rPr>
                <w:sz w:val="16"/>
              </w:rPr>
            </w:pPr>
            <w:r>
              <w:rPr>
                <w:sz w:val="16"/>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sz w:val="16"/>
              </w:rPr>
            </w:pPr>
            <w:r>
              <w:rPr>
                <w:sz w:val="16"/>
              </w:rPr>
              <w:t>(1,993</w:t>
            </w:r>
          </w:p>
        </w:tc>
        <w:tc>
          <w:tcPr>
            <w:tcW w:w="125" w:type="dxa"/>
            <w:tcBorders/>
            <w:vAlign w:val="bottom"/>
          </w:tcPr>
          <w:p>
            <w:pPr>
              <w:pStyle w:val="TableContents"/>
              <w:bidi w:val="0"/>
              <w:spacing w:before="0" w:after="283"/>
              <w:jc w:val="lef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sz w:val="16"/>
              </w:rPr>
            </w:pPr>
            <w:r>
              <w:rPr>
                <w:sz w:val="16"/>
              </w:rPr>
              <w:t>14,427,185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sz w:val="16"/>
              </w:rPr>
            </w:pPr>
            <w:r>
              <w:rPr>
                <w:sz w:val="16"/>
              </w:rPr>
              <w:t>1,993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20"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783"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7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7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sz w:val="16"/>
              </w:rPr>
            </w:pPr>
            <w:r>
              <w:rPr>
                <w:sz w:val="16"/>
              </w:rPr>
              <w:t>(104,105,438</w:t>
            </w:r>
          </w:p>
        </w:tc>
        <w:tc>
          <w:tcPr>
            <w:tcW w:w="125" w:type="dxa"/>
            <w:tcBorders/>
            <w:shd w:fill="CCEEFF" w:val="clear"/>
            <w:vAlign w:val="bottom"/>
          </w:tcPr>
          <w:p>
            <w:pPr>
              <w:pStyle w:val="TableContents"/>
              <w:bidi w:val="0"/>
              <w:spacing w:before="0" w:after="283"/>
              <w:jc w:val="left"/>
              <w:rPr>
                <w:sz w:val="16"/>
              </w:rPr>
            </w:pPr>
            <w:r>
              <w:rPr>
                <w:sz w:val="16"/>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sz w:val="16"/>
              </w:rPr>
            </w:pPr>
            <w:r>
              <w:rPr>
                <w:sz w:val="16"/>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sz w:val="16"/>
              </w:rPr>
            </w:pPr>
            <w:r>
              <w:rPr>
                <w:sz w:val="16"/>
              </w:rPr>
              <w:t>(104,105,438</w:t>
            </w:r>
          </w:p>
        </w:tc>
        <w:tc>
          <w:tcPr>
            <w:tcW w:w="125" w:type="dxa"/>
            <w:tcBorders/>
            <w:shd w:fill="CCEEFF" w:val="clear"/>
            <w:vAlign w:val="bottom"/>
          </w:tcPr>
          <w:p>
            <w:pPr>
              <w:pStyle w:val="TableContents"/>
              <w:bidi w:val="0"/>
              <w:spacing w:before="0" w:after="283"/>
              <w:jc w:val="left"/>
              <w:rPr>
                <w:sz w:val="16"/>
              </w:rPr>
            </w:pPr>
            <w:r>
              <w:rPr>
                <w:sz w:val="16"/>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Foreign currency translation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sz w:val="16"/>
              </w:rPr>
            </w:pPr>
            <w:r>
              <w:rPr>
                <w:sz w:val="16"/>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sz w:val="16"/>
              </w:rPr>
            </w:pPr>
            <w:r>
              <w:rPr>
                <w:sz w:val="16"/>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sz w:val="16"/>
              </w:rPr>
            </w:pPr>
            <w:r>
              <w:rPr>
                <w:sz w:val="16"/>
              </w:rPr>
              <w:t>(757,356</w:t>
            </w:r>
          </w:p>
        </w:tc>
        <w:tc>
          <w:tcPr>
            <w:tcW w:w="125" w:type="dxa"/>
            <w:tcBorders/>
            <w:vAlign w:val="bottom"/>
          </w:tcPr>
          <w:p>
            <w:pPr>
              <w:pStyle w:val="TableContents"/>
              <w:bidi w:val="0"/>
              <w:spacing w:before="0" w:after="283"/>
              <w:jc w:val="left"/>
              <w:rPr>
                <w:sz w:val="16"/>
              </w:rPr>
            </w:pPr>
            <w:r>
              <w:rPr>
                <w:sz w:val="16"/>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sz w:val="16"/>
              </w:rPr>
            </w:pPr>
            <w:r>
              <w:rPr>
                <w:sz w:val="16"/>
              </w:rPr>
              <w:t>(757,356</w:t>
            </w:r>
          </w:p>
        </w:tc>
        <w:tc>
          <w:tcPr>
            <w:tcW w:w="125" w:type="dxa"/>
            <w:tcBorders/>
            <w:vAlign w:val="bottom"/>
          </w:tcPr>
          <w:p>
            <w:pPr>
              <w:pStyle w:val="TableContents"/>
              <w:bidi w:val="0"/>
              <w:spacing w:before="0" w:after="283"/>
              <w:jc w:val="left"/>
              <w:rPr>
                <w:sz w:val="16"/>
              </w:rPr>
            </w:pPr>
            <w:r>
              <w:rPr>
                <w:sz w:val="16"/>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jc w:val="left"/>
              <w:rPr>
                <w:rFonts w:ascii="Times New Roman" w:hAnsi="Times New Roman"/>
                <w:b/>
                <w:sz w:val="16"/>
              </w:rPr>
            </w:pPr>
            <w:r>
              <w:rPr>
                <w:rFonts w:ascii="Times New Roman" w:hAnsi="Times New Roman"/>
                <w:b/>
                <w:sz w:val="16"/>
              </w:rPr>
              <w:t>Balance as at December 31, 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b/>
                <w:sz w:val="16"/>
              </w:rPr>
            </w:pPr>
            <w:r>
              <w:rPr>
                <w:b/>
                <w:sz w:val="16"/>
              </w:rPr>
              <w:t>927,806,159</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b/>
                <w:sz w:val="16"/>
              </w:rPr>
            </w:pPr>
            <w:r>
              <w:rPr>
                <w:b/>
                <w:sz w:val="16"/>
              </w:rPr>
              <w:t>126,677</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b/>
                <w:sz w:val="16"/>
              </w:rPr>
            </w:pPr>
            <w:r>
              <w:rPr>
                <w:b/>
                <w:sz w:val="16"/>
              </w:rPr>
              <w:t>14,427,185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b/>
                <w:sz w:val="16"/>
              </w:rPr>
            </w:pPr>
            <w:r>
              <w:rPr>
                <w:b/>
                <w:sz w:val="16"/>
              </w:rPr>
              <w:t>1,993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b/>
                <w:sz w:val="16"/>
              </w:rPr>
            </w:pPr>
            <w:r>
              <w:rPr>
                <w:b/>
                <w:sz w:val="16"/>
              </w:rPr>
              <w:t>28,039,517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b/>
                <w:sz w:val="16"/>
              </w:rPr>
            </w:pPr>
            <w:r>
              <w:rPr>
                <w:b/>
                <w:sz w:val="16"/>
              </w:rPr>
              <w:t>3,868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b/>
                <w:sz w:val="16"/>
              </w:rPr>
            </w:pPr>
            <w:r>
              <w:rPr>
                <w:b/>
                <w:sz w:val="16"/>
              </w:rPr>
              <w:t>163,163,090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sz w:val="16"/>
              </w:rPr>
            </w:pPr>
            <w:r>
              <w:rPr>
                <w:b/>
                <w:sz w:val="16"/>
              </w:rPr>
              <w:t>(189,171,542</w:t>
            </w:r>
          </w:p>
        </w:tc>
        <w:tc>
          <w:tcPr>
            <w:tcW w:w="125" w:type="dxa"/>
            <w:tcBorders/>
            <w:shd w:fill="CCEEFF" w:val="clear"/>
            <w:vAlign w:val="bottom"/>
          </w:tcPr>
          <w:p>
            <w:pPr>
              <w:pStyle w:val="TableContents"/>
              <w:bidi w:val="0"/>
              <w:spacing w:before="0" w:after="283"/>
              <w:jc w:val="left"/>
              <w:rPr>
                <w:b/>
                <w:sz w:val="16"/>
              </w:rPr>
            </w:pPr>
            <w:r>
              <w:rPr>
                <w:b/>
                <w:sz w:val="16"/>
              </w:rPr>
              <w:t>) </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b/>
                <w:sz w:val="16"/>
              </w:rPr>
            </w:pPr>
            <w:r>
              <w:rPr>
                <w:b/>
                <w:sz w:val="16"/>
              </w:rPr>
              <w:t>(178,720</w:t>
            </w:r>
          </w:p>
        </w:tc>
        <w:tc>
          <w:tcPr>
            <w:tcW w:w="125" w:type="dxa"/>
            <w:tcBorders/>
            <w:shd w:fill="CCEEFF" w:val="clear"/>
            <w:vAlign w:val="bottom"/>
          </w:tcPr>
          <w:p>
            <w:pPr>
              <w:pStyle w:val="TableContents"/>
              <w:bidi w:val="0"/>
              <w:spacing w:before="0" w:after="283"/>
              <w:jc w:val="left"/>
              <w:rPr>
                <w:b/>
                <w:sz w:val="16"/>
              </w:rPr>
            </w:pPr>
            <w:r>
              <w:rPr>
                <w:b/>
                <w:sz w:val="16"/>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b/>
                <w:sz w:val="16"/>
              </w:rPr>
            </w:pPr>
            <w:r>
              <w:rPr>
                <w:b/>
                <w:sz w:val="16"/>
              </w:rPr>
              <w:t>(1,260,364</w:t>
            </w:r>
          </w:p>
        </w:tc>
        <w:tc>
          <w:tcPr>
            <w:tcW w:w="125" w:type="dxa"/>
            <w:tcBorders/>
            <w:shd w:fill="CCEEFF" w:val="clear"/>
            <w:vAlign w:val="bottom"/>
          </w:tcPr>
          <w:p>
            <w:pPr>
              <w:pStyle w:val="TableContents"/>
              <w:bidi w:val="0"/>
              <w:spacing w:before="0" w:after="283"/>
              <w:jc w:val="left"/>
              <w:rPr>
                <w:b/>
                <w:sz w:val="16"/>
              </w:rPr>
            </w:pPr>
            <w:r>
              <w:rPr>
                <w:b/>
                <w:sz w:val="16"/>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b/>
                <w:sz w:val="16"/>
              </w:rPr>
            </w:pPr>
            <w:r>
              <w:rPr>
                <w:b/>
                <w:sz w:val="16"/>
              </w:rPr>
              <w:t>(27,314,998</w:t>
            </w:r>
          </w:p>
        </w:tc>
        <w:tc>
          <w:tcPr>
            <w:tcW w:w="125" w:type="dxa"/>
            <w:tcBorders/>
            <w:shd w:fill="CCEEFF" w:val="clear"/>
            <w:vAlign w:val="bottom"/>
          </w:tcPr>
          <w:p>
            <w:pPr>
              <w:pStyle w:val="TableContents"/>
              <w:bidi w:val="0"/>
              <w:spacing w:before="0" w:after="283"/>
              <w:jc w:val="left"/>
              <w:rPr>
                <w:b/>
                <w:sz w:val="16"/>
              </w:rPr>
            </w:pPr>
            <w:r>
              <w:rPr>
                <w:b/>
                <w:sz w:val="16"/>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20" w:type="dxa"/>
            <w:tcBorders/>
            <w:vAlign w:val="bottom"/>
          </w:tcPr>
          <w:p>
            <w:pPr>
              <w:pStyle w:val="TableContents"/>
              <w:pBdr>
                <w:top w:val="double" w:sz="6"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783" w:type="dxa"/>
            <w:tcBorders/>
            <w:vAlign w:val="bottom"/>
          </w:tcPr>
          <w:p>
            <w:pPr>
              <w:pStyle w:val="TableContents"/>
              <w:pBdr>
                <w:top w:val="double" w:sz="6"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double" w:sz="6" w:space="1" w:color="000000"/>
              </w:pBdr>
              <w:bidi w:val="0"/>
              <w:spacing w:before="0" w:after="0"/>
              <w:jc w:val="left"/>
              <w:rPr/>
            </w:pPr>
            <w:r>
              <w:rPr/>
              <w:t> </w:t>
            </w:r>
          </w:p>
        </w:tc>
        <w:tc>
          <w:tcPr>
            <w:tcW w:w="7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double" w:sz="6" w:space="1" w:color="000000"/>
              </w:pBdr>
              <w:bidi w:val="0"/>
              <w:spacing w:before="0" w:after="0"/>
              <w:jc w:val="left"/>
              <w:rPr/>
            </w:pPr>
            <w:r>
              <w:rPr/>
              <w:t> </w:t>
            </w:r>
          </w:p>
        </w:tc>
        <w:tc>
          <w:tcPr>
            <w:tcW w:w="7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428" w:type="dxa"/>
            <w:tcBorders/>
            <w:vAlign w:val="bottom"/>
          </w:tcPr>
          <w:p>
            <w:pPr>
              <w:pStyle w:val="TableContents"/>
              <w:pBdr>
                <w:top w:val="double" w:sz="6"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carve-out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bookmarkStart w:id="45" w:name="fin309194_6"/>
      <w:bookmarkEnd w:id="45"/>
      <w:r>
        <w:rPr>
          <w:rFonts w:ascii="Times New Roman" w:hAnsi="Times New Roman"/>
          <w:b/>
          <w:sz w:val="20"/>
        </w:rPr>
        <w:t xml:space="preserve">Carve-out Consolidated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96"/>
        <w:gridCol w:w="219"/>
        <w:gridCol w:w="147"/>
        <w:gridCol w:w="1350"/>
        <w:gridCol w:w="155"/>
        <w:gridCol w:w="191"/>
        <w:gridCol w:w="152"/>
        <w:gridCol w:w="1336"/>
        <w:gridCol w:w="159"/>
      </w:tblGrid>
      <w:tr>
        <w:trPr/>
        <w:tc>
          <w:tcPr>
            <w:tcW w:w="6496"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96"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2022</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2021</w:t>
            </w:r>
          </w:p>
        </w:tc>
        <w:tc>
          <w:tcPr>
            <w:tcW w:w="159" w:type="dxa"/>
            <w:tcBorders/>
            <w:vAlign w:val="bottom"/>
          </w:tcPr>
          <w:p>
            <w:pPr>
              <w:pStyle w:val="TableContents"/>
              <w:bidi w:val="0"/>
              <w:spacing w:before="0" w:after="283"/>
              <w:jc w:val="left"/>
              <w:rPr/>
            </w:pPr>
            <w:r>
              <w:rPr/>
              <w:t> </w:t>
            </w:r>
          </w:p>
        </w:tc>
      </w:tr>
      <w:tr>
        <w:trPr/>
        <w:tc>
          <w:tcPr>
            <w:tcW w:w="64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33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496"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350" w:type="dxa"/>
            <w:tcBorders/>
            <w:vAlign w:val="bottom"/>
          </w:tcPr>
          <w:p>
            <w:pPr>
              <w:pStyle w:val="TableContents"/>
              <w:bidi w:val="0"/>
              <w:spacing w:before="0" w:after="283"/>
              <w:jc w:val="right"/>
              <w:rPr/>
            </w:pPr>
            <w:r>
              <w:rPr/>
              <w:t>(104,105,438</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336" w:type="dxa"/>
            <w:tcBorders/>
            <w:vAlign w:val="bottom"/>
          </w:tcPr>
          <w:p>
            <w:pPr>
              <w:pStyle w:val="TableContents"/>
              <w:bidi w:val="0"/>
              <w:spacing w:before="0" w:after="283"/>
              <w:jc w:val="right"/>
              <w:rPr/>
            </w:pPr>
            <w:r>
              <w:rPr/>
              <w:t>(37,719,475</w:t>
            </w:r>
          </w:p>
        </w:tc>
        <w:tc>
          <w:tcPr>
            <w:tcW w:w="159" w:type="dxa"/>
            <w:tcBorders/>
            <w:vAlign w:val="bottom"/>
          </w:tcPr>
          <w:p>
            <w:pPr>
              <w:pStyle w:val="TableContents"/>
              <w:bidi w:val="0"/>
              <w:spacing w:before="0" w:after="283"/>
              <w:jc w:val="left"/>
              <w:rPr/>
            </w:pPr>
            <w:r>
              <w:rPr/>
              <w:t>) </w:t>
            </w:r>
          </w:p>
        </w:tc>
      </w:tr>
      <w:tr>
        <w:trPr>
          <w:trHeight w:val="120" w:hRule="atLeast"/>
        </w:trPr>
        <w:tc>
          <w:tcPr>
            <w:tcW w:w="6496" w:type="dxa"/>
            <w:tcBorders/>
            <w:vAlign w:val="center"/>
          </w:tcPr>
          <w:p>
            <w:pPr>
              <w:pStyle w:val="TableContents"/>
              <w:bidi w:val="0"/>
              <w:spacing w:before="0" w:after="283"/>
              <w:jc w:val="left"/>
              <w:rPr>
                <w:sz w:val="4"/>
                <w:szCs w:val="4"/>
              </w:rPr>
            </w:pPr>
            <w:r>
              <w:rPr>
                <w:sz w:val="4"/>
                <w:szCs w:val="4"/>
              </w:rPr>
            </w:r>
          </w:p>
        </w:tc>
        <w:tc>
          <w:tcPr>
            <w:tcW w:w="1871" w:type="dxa"/>
            <w:gridSpan w:val="4"/>
            <w:tcBorders/>
            <w:vAlign w:val="center"/>
          </w:tcPr>
          <w:p>
            <w:pPr>
              <w:pStyle w:val="TableContents"/>
              <w:bidi w:val="0"/>
              <w:spacing w:before="0" w:after="283"/>
              <w:jc w:val="left"/>
              <w:rPr>
                <w:sz w:val="4"/>
                <w:szCs w:val="4"/>
              </w:rPr>
            </w:pPr>
            <w:r>
              <w:rPr>
                <w:sz w:val="4"/>
                <w:szCs w:val="4"/>
              </w:rPr>
            </w:r>
          </w:p>
        </w:tc>
        <w:tc>
          <w:tcPr>
            <w:tcW w:w="1838" w:type="dxa"/>
            <w:gridSpan w:val="4"/>
            <w:tcBorders/>
            <w:vAlign w:val="center"/>
          </w:tcPr>
          <w:p>
            <w:pPr>
              <w:pStyle w:val="TableContents"/>
              <w:bidi w:val="0"/>
              <w:spacing w:before="0" w:after="283"/>
              <w:jc w:val="left"/>
              <w:rPr>
                <w:sz w:val="4"/>
                <w:szCs w:val="4"/>
              </w:rPr>
            </w:pPr>
            <w:r>
              <w:rPr>
                <w:sz w:val="4"/>
                <w:szCs w:val="4"/>
              </w:rPr>
            </w:r>
          </w:p>
        </w:tc>
      </w:tr>
      <w:tr>
        <w:trPr/>
        <w:tc>
          <w:tcPr>
            <w:tcW w:w="64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Adjustments to reconcile net loss to net cash (used in) operating activities:</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33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49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742,113</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460,491</w:t>
            </w:r>
          </w:p>
        </w:tc>
        <w:tc>
          <w:tcPr>
            <w:tcW w:w="159" w:type="dxa"/>
            <w:tcBorders/>
            <w:vAlign w:val="bottom"/>
          </w:tcPr>
          <w:p>
            <w:pPr>
              <w:pStyle w:val="TableContents"/>
              <w:bidi w:val="0"/>
              <w:spacing w:before="0" w:after="283"/>
              <w:jc w:val="left"/>
              <w:rPr/>
            </w:pPr>
            <w:r>
              <w:rPr/>
              <w:t> </w:t>
            </w:r>
          </w:p>
        </w:tc>
      </w:tr>
      <w:tr>
        <w:trPr/>
        <w:tc>
          <w:tcPr>
            <w:tcW w:w="6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foreign exchange (gain)/loss</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(277,838</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714,914</w:t>
            </w:r>
          </w:p>
        </w:tc>
        <w:tc>
          <w:tcPr>
            <w:tcW w:w="159" w:type="dxa"/>
            <w:tcBorders/>
            <w:shd w:fill="CCEEFF" w:val="clear"/>
            <w:vAlign w:val="bottom"/>
          </w:tcPr>
          <w:p>
            <w:pPr>
              <w:pStyle w:val="TableContents"/>
              <w:bidi w:val="0"/>
              <w:spacing w:before="0" w:after="283"/>
              <w:jc w:val="left"/>
              <w:rPr/>
            </w:pPr>
            <w:r>
              <w:rPr/>
              <w:t> </w:t>
            </w:r>
          </w:p>
        </w:tc>
      </w:tr>
      <w:tr>
        <w:trPr/>
        <w:tc>
          <w:tcPr>
            <w:tcW w:w="6496" w:type="dxa"/>
            <w:tcBorders/>
          </w:tcPr>
          <w:p>
            <w:pPr>
              <w:pStyle w:val="TableContents"/>
              <w:bidi w:val="0"/>
              <w:spacing w:before="0" w:after="0"/>
              <w:jc w:val="left"/>
              <w:rPr>
                <w:rFonts w:ascii="Times New Roman" w:hAnsi="Times New Roman"/>
                <w:sz w:val="20"/>
              </w:rPr>
            </w:pPr>
            <w:r>
              <w:rPr>
                <w:rFonts w:ascii="Times New Roman" w:hAnsi="Times New Roman"/>
                <w:sz w:val="20"/>
              </w:rPr>
              <w:t>Share based compensation issued to related parties for consultancy services</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39,501,701</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13,227,220</w:t>
            </w:r>
          </w:p>
        </w:tc>
        <w:tc>
          <w:tcPr>
            <w:tcW w:w="159" w:type="dxa"/>
            <w:tcBorders/>
            <w:vAlign w:val="bottom"/>
          </w:tcPr>
          <w:p>
            <w:pPr>
              <w:pStyle w:val="TableContents"/>
              <w:bidi w:val="0"/>
              <w:spacing w:before="0" w:after="283"/>
              <w:jc w:val="left"/>
              <w:rPr/>
            </w:pPr>
            <w:r>
              <w:rPr/>
              <w:t> </w:t>
            </w:r>
          </w:p>
        </w:tc>
      </w:tr>
      <w:tr>
        <w:trPr/>
        <w:tc>
          <w:tcPr>
            <w:tcW w:w="6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based compensation for consultancy services</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18,417,816</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3,460,799</w:t>
            </w:r>
          </w:p>
        </w:tc>
        <w:tc>
          <w:tcPr>
            <w:tcW w:w="159" w:type="dxa"/>
            <w:tcBorders/>
            <w:shd w:fill="CCEEFF" w:val="clear"/>
            <w:vAlign w:val="bottom"/>
          </w:tcPr>
          <w:p>
            <w:pPr>
              <w:pStyle w:val="TableContents"/>
              <w:bidi w:val="0"/>
              <w:spacing w:before="0" w:after="283"/>
              <w:jc w:val="left"/>
              <w:rPr/>
            </w:pPr>
            <w:r>
              <w:rPr/>
              <w:t> </w:t>
            </w:r>
          </w:p>
        </w:tc>
      </w:tr>
      <w:tr>
        <w:trPr/>
        <w:tc>
          <w:tcPr>
            <w:tcW w:w="6496" w:type="dxa"/>
            <w:tcBorders/>
          </w:tcPr>
          <w:p>
            <w:pPr>
              <w:pStyle w:val="TableContents"/>
              <w:bidi w:val="0"/>
              <w:spacing w:before="0" w:after="0"/>
              <w:jc w:val="left"/>
              <w:rPr>
                <w:rFonts w:ascii="Times New Roman" w:hAnsi="Times New Roman"/>
                <w:sz w:val="20"/>
              </w:rPr>
            </w:pPr>
            <w:r>
              <w:rPr>
                <w:rFonts w:ascii="Times New Roman" w:hAnsi="Times New Roman"/>
                <w:sz w:val="20"/>
              </w:rPr>
              <w:t>Employee share based compensation</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2,115,015</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based compensation</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1,029,779</w:t>
            </w:r>
          </w:p>
        </w:tc>
        <w:tc>
          <w:tcPr>
            <w:tcW w:w="159" w:type="dxa"/>
            <w:tcBorders/>
            <w:shd w:fill="CCEEFF" w:val="clear"/>
            <w:vAlign w:val="bottom"/>
          </w:tcPr>
          <w:p>
            <w:pPr>
              <w:pStyle w:val="TableContents"/>
              <w:bidi w:val="0"/>
              <w:spacing w:before="0" w:after="283"/>
              <w:jc w:val="left"/>
              <w:rPr/>
            </w:pPr>
            <w:r>
              <w:rPr/>
              <w:t> </w:t>
            </w:r>
          </w:p>
        </w:tc>
      </w:tr>
      <w:tr>
        <w:trPr/>
        <w:tc>
          <w:tcPr>
            <w:tcW w:w="6496"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ROU asset, net of lease termination</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46,236</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prepayments and other current assets</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731,940</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496"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accounts receivable</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334,952</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7,418,302</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49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benefit</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(243,835</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(49,956</w:t>
            </w:r>
          </w:p>
        </w:tc>
        <w:tc>
          <w:tcPr>
            <w:tcW w:w="159" w:type="dxa"/>
            <w:tcBorders/>
            <w:vAlign w:val="bottom"/>
          </w:tcPr>
          <w:p>
            <w:pPr>
              <w:pStyle w:val="TableContents"/>
              <w:bidi w:val="0"/>
              <w:spacing w:before="0" w:after="283"/>
              <w:jc w:val="left"/>
              <w:rPr/>
            </w:pPr>
            <w:r>
              <w:rPr/>
              <w:t>) </w:t>
            </w:r>
          </w:p>
        </w:tc>
      </w:tr>
      <w:tr>
        <w:trPr/>
        <w:tc>
          <w:tcPr>
            <w:tcW w:w="6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3,884,698</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301,594</w:t>
            </w:r>
          </w:p>
        </w:tc>
        <w:tc>
          <w:tcPr>
            <w:tcW w:w="159" w:type="dxa"/>
            <w:tcBorders/>
            <w:shd w:fill="CCEEFF" w:val="clear"/>
            <w:vAlign w:val="bottom"/>
          </w:tcPr>
          <w:p>
            <w:pPr>
              <w:pStyle w:val="TableContents"/>
              <w:bidi w:val="0"/>
              <w:spacing w:before="0" w:after="283"/>
              <w:jc w:val="left"/>
              <w:rPr/>
            </w:pPr>
            <w:r>
              <w:rPr/>
              <w:t> </w:t>
            </w:r>
          </w:p>
        </w:tc>
      </w:tr>
      <w:tr>
        <w:trPr>
          <w:trHeight w:val="120" w:hRule="atLeast"/>
        </w:trPr>
        <w:tc>
          <w:tcPr>
            <w:tcW w:w="6496" w:type="dxa"/>
            <w:tcBorders/>
            <w:vAlign w:val="center"/>
          </w:tcPr>
          <w:p>
            <w:pPr>
              <w:pStyle w:val="TableContents"/>
              <w:bidi w:val="0"/>
              <w:spacing w:before="0" w:after="283"/>
              <w:jc w:val="left"/>
              <w:rPr>
                <w:sz w:val="4"/>
                <w:szCs w:val="4"/>
              </w:rPr>
            </w:pPr>
            <w:r>
              <w:rPr>
                <w:sz w:val="4"/>
                <w:szCs w:val="4"/>
              </w:rPr>
            </w:r>
          </w:p>
        </w:tc>
        <w:tc>
          <w:tcPr>
            <w:tcW w:w="1871" w:type="dxa"/>
            <w:gridSpan w:val="4"/>
            <w:tcBorders/>
            <w:vAlign w:val="center"/>
          </w:tcPr>
          <w:p>
            <w:pPr>
              <w:pStyle w:val="TableContents"/>
              <w:bidi w:val="0"/>
              <w:spacing w:before="0" w:after="283"/>
              <w:jc w:val="left"/>
              <w:rPr>
                <w:sz w:val="4"/>
                <w:szCs w:val="4"/>
              </w:rPr>
            </w:pPr>
            <w:r>
              <w:rPr>
                <w:sz w:val="4"/>
                <w:szCs w:val="4"/>
              </w:rPr>
            </w:r>
          </w:p>
        </w:tc>
        <w:tc>
          <w:tcPr>
            <w:tcW w:w="1838" w:type="dxa"/>
            <w:gridSpan w:val="4"/>
            <w:tcBorders/>
            <w:vAlign w:val="center"/>
          </w:tcPr>
          <w:p>
            <w:pPr>
              <w:pStyle w:val="TableContents"/>
              <w:bidi w:val="0"/>
              <w:spacing w:before="0" w:after="283"/>
              <w:jc w:val="left"/>
              <w:rPr>
                <w:sz w:val="4"/>
                <w:szCs w:val="4"/>
              </w:rPr>
            </w:pPr>
            <w:r>
              <w:rPr>
                <w:sz w:val="4"/>
                <w:szCs w:val="4"/>
              </w:rPr>
            </w:r>
          </w:p>
        </w:tc>
      </w:tr>
      <w:tr>
        <w:trPr/>
        <w:tc>
          <w:tcPr>
            <w:tcW w:w="6496" w:type="dxa"/>
            <w:tcBorders/>
          </w:tcPr>
          <w:p>
            <w:pPr>
              <w:pStyle w:val="TableContents"/>
              <w:bidi w:val="0"/>
              <w:spacing w:before="0" w:after="0"/>
              <w:jc w:val="left"/>
              <w:rPr>
                <w:rFonts w:ascii="Times New Roman" w:hAnsi="Times New Roman"/>
                <w:b/>
                <w:sz w:val="20"/>
              </w:rPr>
            </w:pPr>
            <w:r>
              <w:rPr>
                <w:rFonts w:ascii="Times New Roman" w:hAnsi="Times New Roman"/>
                <w:b/>
                <w:sz w:val="20"/>
              </w:rPr>
              <w:t>Changes in operating assets and liabilities:</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33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Decrease/(increase) in accounts receivable</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232,641</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(1,244,511</w:t>
            </w:r>
          </w:p>
        </w:tc>
        <w:tc>
          <w:tcPr>
            <w:tcW w:w="159" w:type="dxa"/>
            <w:tcBorders/>
            <w:shd w:fill="CCEEFF" w:val="clear"/>
            <w:vAlign w:val="bottom"/>
          </w:tcPr>
          <w:p>
            <w:pPr>
              <w:pStyle w:val="TableContents"/>
              <w:bidi w:val="0"/>
              <w:spacing w:before="0" w:after="283"/>
              <w:jc w:val="left"/>
              <w:rPr/>
            </w:pPr>
            <w:r>
              <w:rPr/>
              <w:t>) </w:t>
            </w:r>
          </w:p>
        </w:tc>
      </w:tr>
      <w:tr>
        <w:trPr/>
        <w:tc>
          <w:tcPr>
            <w:tcW w:w="6496" w:type="dxa"/>
            <w:tcBorders/>
          </w:tcPr>
          <w:p>
            <w:pPr>
              <w:pStyle w:val="TableContents"/>
              <w:bidi w:val="0"/>
              <w:spacing w:before="0" w:after="0"/>
              <w:jc w:val="left"/>
              <w:rPr>
                <w:rFonts w:ascii="Times New Roman" w:hAnsi="Times New Roman"/>
                <w:sz w:val="20"/>
              </w:rPr>
            </w:pPr>
            <w:r>
              <w:rPr>
                <w:rFonts w:ascii="Times New Roman" w:hAnsi="Times New Roman"/>
                <w:sz w:val="20"/>
              </w:rPr>
              <w:t>(Increase) in prepayment and other current assets</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(215,468</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(1,409,308</w:t>
            </w:r>
          </w:p>
        </w:tc>
        <w:tc>
          <w:tcPr>
            <w:tcW w:w="159" w:type="dxa"/>
            <w:tcBorders/>
            <w:vAlign w:val="bottom"/>
          </w:tcPr>
          <w:p>
            <w:pPr>
              <w:pStyle w:val="TableContents"/>
              <w:bidi w:val="0"/>
              <w:spacing w:before="0" w:after="283"/>
              <w:jc w:val="left"/>
              <w:rPr/>
            </w:pPr>
            <w:r>
              <w:rPr/>
              <w:t>) </w:t>
            </w:r>
          </w:p>
        </w:tc>
      </w:tr>
      <w:tr>
        <w:trPr/>
        <w:tc>
          <w:tcPr>
            <w:tcW w:w="6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 in operating lease liability</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(46,236</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(11,870</w:t>
            </w:r>
          </w:p>
        </w:tc>
        <w:tc>
          <w:tcPr>
            <w:tcW w:w="159" w:type="dxa"/>
            <w:tcBorders/>
            <w:shd w:fill="CCEEFF" w:val="clear"/>
            <w:vAlign w:val="bottom"/>
          </w:tcPr>
          <w:p>
            <w:pPr>
              <w:pStyle w:val="TableContents"/>
              <w:bidi w:val="0"/>
              <w:spacing w:before="0" w:after="283"/>
              <w:jc w:val="left"/>
              <w:rPr/>
            </w:pPr>
            <w:r>
              <w:rPr/>
              <w:t>) </w:t>
            </w:r>
          </w:p>
        </w:tc>
      </w:tr>
      <w:tr>
        <w:trPr/>
        <w:tc>
          <w:tcPr>
            <w:tcW w:w="6496" w:type="dxa"/>
            <w:tcBorders/>
          </w:tcPr>
          <w:p>
            <w:pPr>
              <w:pStyle w:val="TableContents"/>
              <w:bidi w:val="0"/>
              <w:spacing w:before="0" w:after="0"/>
              <w:jc w:val="left"/>
              <w:rPr>
                <w:rFonts w:ascii="Times New Roman" w:hAnsi="Times New Roman"/>
                <w:sz w:val="20"/>
              </w:rPr>
            </w:pPr>
            <w:r>
              <w:rPr>
                <w:rFonts w:ascii="Times New Roman" w:hAnsi="Times New Roman"/>
                <w:sz w:val="20"/>
              </w:rPr>
              <w:t>Decrease / (increase) in receivable with related parties</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168,754</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(21,629</w:t>
            </w:r>
          </w:p>
        </w:tc>
        <w:tc>
          <w:tcPr>
            <w:tcW w:w="159" w:type="dxa"/>
            <w:tcBorders/>
            <w:vAlign w:val="bottom"/>
          </w:tcPr>
          <w:p>
            <w:pPr>
              <w:pStyle w:val="TableContents"/>
              <w:bidi w:val="0"/>
              <w:spacing w:before="0" w:after="283"/>
              <w:jc w:val="left"/>
              <w:rPr/>
            </w:pPr>
            <w:r>
              <w:rPr/>
              <w:t>) </w:t>
            </w:r>
          </w:p>
        </w:tc>
      </w:tr>
      <w:tr>
        <w:trPr/>
        <w:tc>
          <w:tcPr>
            <w:tcW w:w="6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accounts payable, accrued expenses and other payables</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4,766,607</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1,542,066</w:t>
            </w:r>
          </w:p>
        </w:tc>
        <w:tc>
          <w:tcPr>
            <w:tcW w:w="159" w:type="dxa"/>
            <w:tcBorders/>
            <w:shd w:fill="CCEEFF" w:val="clear"/>
            <w:vAlign w:val="bottom"/>
          </w:tcPr>
          <w:p>
            <w:pPr>
              <w:pStyle w:val="TableContents"/>
              <w:bidi w:val="0"/>
              <w:spacing w:before="0" w:after="283"/>
              <w:jc w:val="left"/>
              <w:rPr/>
            </w:pPr>
            <w:r>
              <w:rPr/>
              <w:t> </w:t>
            </w:r>
          </w:p>
        </w:tc>
      </w:tr>
      <w:tr>
        <w:trPr/>
        <w:tc>
          <w:tcPr>
            <w:tcW w:w="6496" w:type="dxa"/>
            <w:tcBorders/>
          </w:tcPr>
          <w:p>
            <w:pPr>
              <w:pStyle w:val="TableContents"/>
              <w:bidi w:val="0"/>
              <w:spacing w:before="0" w:after="0"/>
              <w:jc w:val="left"/>
              <w:rPr>
                <w:rFonts w:ascii="Times New Roman" w:hAnsi="Times New Roman"/>
                <w:sz w:val="20"/>
              </w:rPr>
            </w:pPr>
            <w:r>
              <w:rPr>
                <w:rFonts w:ascii="Times New Roman" w:hAnsi="Times New Roman"/>
                <w:sz w:val="20"/>
              </w:rPr>
              <w:t>Decrease in payables to related parties</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(234,880</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(725,000</w:t>
            </w:r>
          </w:p>
        </w:tc>
        <w:tc>
          <w:tcPr>
            <w:tcW w:w="159" w:type="dxa"/>
            <w:tcBorders/>
            <w:vAlign w:val="bottom"/>
          </w:tcPr>
          <w:p>
            <w:pPr>
              <w:pStyle w:val="TableContents"/>
              <w:bidi w:val="0"/>
              <w:spacing w:before="0" w:after="283"/>
              <w:jc w:val="left"/>
              <w:rPr/>
            </w:pPr>
            <w:r>
              <w:rPr/>
              <w:t>) </w:t>
            </w:r>
          </w:p>
        </w:tc>
      </w:tr>
      <w:tr>
        <w:trPr/>
        <w:tc>
          <w:tcPr>
            <w:tcW w:w="6496"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9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b/>
              </w:rPr>
            </w:pPr>
            <w:r>
              <w:rPr>
                <w:b/>
              </w:rPr>
              <w:t>(26,762,920</w:t>
            </w:r>
          </w:p>
        </w:tc>
        <w:tc>
          <w:tcPr>
            <w:tcW w:w="155" w:type="dxa"/>
            <w:tcBorders/>
            <w:shd w:fill="CCEEFF" w:val="clear"/>
            <w:vAlign w:val="bottom"/>
          </w:tcPr>
          <w:p>
            <w:pPr>
              <w:pStyle w:val="TableContents"/>
              <w:bidi w:val="0"/>
              <w:spacing w:before="0" w:after="283"/>
              <w:jc w:val="left"/>
              <w:rPr>
                <w:b/>
              </w:rPr>
            </w:pPr>
            <w:r>
              <w:rPr>
                <w:b/>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b/>
              </w:rPr>
            </w:pPr>
            <w:r>
              <w:rPr>
                <w:b/>
              </w:rPr>
              <w:t>(20,444,886</w:t>
            </w:r>
          </w:p>
        </w:tc>
        <w:tc>
          <w:tcPr>
            <w:tcW w:w="159" w:type="dxa"/>
            <w:tcBorders/>
            <w:shd w:fill="CCEEFF" w:val="clear"/>
            <w:vAlign w:val="bottom"/>
          </w:tcPr>
          <w:p>
            <w:pPr>
              <w:pStyle w:val="TableContents"/>
              <w:bidi w:val="0"/>
              <w:spacing w:before="0" w:after="283"/>
              <w:jc w:val="left"/>
              <w:rPr>
                <w:b/>
              </w:rPr>
            </w:pPr>
            <w:r>
              <w:rPr>
                <w:b/>
              </w:rPr>
              <w:t>) </w:t>
            </w:r>
          </w:p>
        </w:tc>
      </w:tr>
      <w:tr>
        <w:trPr/>
        <w:tc>
          <w:tcPr>
            <w:tcW w:w="6496"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96"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33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(25,973</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(117,936</w:t>
            </w:r>
          </w:p>
        </w:tc>
        <w:tc>
          <w:tcPr>
            <w:tcW w:w="159" w:type="dxa"/>
            <w:tcBorders/>
            <w:shd w:fill="CCEEFF" w:val="clear"/>
            <w:vAlign w:val="bottom"/>
          </w:tcPr>
          <w:p>
            <w:pPr>
              <w:pStyle w:val="TableContents"/>
              <w:bidi w:val="0"/>
              <w:spacing w:before="0" w:after="283"/>
              <w:jc w:val="left"/>
              <w:rPr/>
            </w:pPr>
            <w:r>
              <w:rPr/>
              <w:t>) </w:t>
            </w:r>
          </w:p>
        </w:tc>
      </w:tr>
      <w:tr>
        <w:trPr/>
        <w:tc>
          <w:tcPr>
            <w:tcW w:w="6496"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b/>
              </w:rPr>
            </w:pPr>
            <w:r>
              <w:rPr>
                <w:b/>
              </w:rPr>
              <w:t>(25,973</w:t>
            </w:r>
          </w:p>
        </w:tc>
        <w:tc>
          <w:tcPr>
            <w:tcW w:w="155" w:type="dxa"/>
            <w:tcBorders/>
            <w:vAlign w:val="bottom"/>
          </w:tcPr>
          <w:p>
            <w:pPr>
              <w:pStyle w:val="TableContents"/>
              <w:bidi w:val="0"/>
              <w:spacing w:before="0" w:after="283"/>
              <w:jc w:val="left"/>
              <w:rPr>
                <w:b/>
              </w:rPr>
            </w:pPr>
            <w:r>
              <w:rPr>
                <w:b/>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b/>
              </w:rPr>
            </w:pPr>
            <w:r>
              <w:rPr>
                <w:b/>
              </w:rPr>
              <w:t>(117,936</w:t>
            </w:r>
          </w:p>
        </w:tc>
        <w:tc>
          <w:tcPr>
            <w:tcW w:w="159" w:type="dxa"/>
            <w:tcBorders/>
            <w:vAlign w:val="bottom"/>
          </w:tcPr>
          <w:p>
            <w:pPr>
              <w:pStyle w:val="TableContents"/>
              <w:bidi w:val="0"/>
              <w:spacing w:before="0" w:after="283"/>
              <w:jc w:val="left"/>
              <w:rPr>
                <w:b/>
              </w:rPr>
            </w:pPr>
            <w:r>
              <w:rPr>
                <w:b/>
              </w:rPr>
              <w:t>) </w:t>
            </w:r>
          </w:p>
        </w:tc>
      </w:tr>
      <w:tr>
        <w:trPr/>
        <w:tc>
          <w:tcPr>
            <w:tcW w:w="6496"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33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49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series A preferred shares</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1,765,000</w:t>
            </w:r>
          </w:p>
        </w:tc>
        <w:tc>
          <w:tcPr>
            <w:tcW w:w="159" w:type="dxa"/>
            <w:tcBorders/>
            <w:vAlign w:val="bottom"/>
          </w:tcPr>
          <w:p>
            <w:pPr>
              <w:pStyle w:val="TableContents"/>
              <w:bidi w:val="0"/>
              <w:spacing w:before="0" w:after="283"/>
              <w:jc w:val="left"/>
              <w:rPr/>
            </w:pPr>
            <w:r>
              <w:rPr/>
              <w:t> </w:t>
            </w:r>
          </w:p>
        </w:tc>
      </w:tr>
      <w:tr>
        <w:trPr/>
        <w:tc>
          <w:tcPr>
            <w:tcW w:w="6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series A preferred shares to related parties</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12,000,000</w:t>
            </w:r>
          </w:p>
        </w:tc>
        <w:tc>
          <w:tcPr>
            <w:tcW w:w="159" w:type="dxa"/>
            <w:tcBorders/>
            <w:shd w:fill="CCEEFF" w:val="clear"/>
            <w:vAlign w:val="bottom"/>
          </w:tcPr>
          <w:p>
            <w:pPr>
              <w:pStyle w:val="TableContents"/>
              <w:bidi w:val="0"/>
              <w:spacing w:before="0" w:after="283"/>
              <w:jc w:val="left"/>
              <w:rPr/>
            </w:pPr>
            <w:r>
              <w:rPr/>
              <w:t> </w:t>
            </w:r>
          </w:p>
        </w:tc>
      </w:tr>
      <w:tr>
        <w:trPr/>
        <w:tc>
          <w:tcPr>
            <w:tcW w:w="649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ordinary shares</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2,499,920</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Call-up capital received from related party</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603,816</w:t>
            </w:r>
          </w:p>
        </w:tc>
        <w:tc>
          <w:tcPr>
            <w:tcW w:w="159" w:type="dxa"/>
            <w:tcBorders/>
            <w:shd w:fill="CCEEFF" w:val="clear"/>
            <w:vAlign w:val="bottom"/>
          </w:tcPr>
          <w:p>
            <w:pPr>
              <w:pStyle w:val="TableContents"/>
              <w:bidi w:val="0"/>
              <w:spacing w:before="0" w:after="283"/>
              <w:jc w:val="left"/>
              <w:rPr/>
            </w:pPr>
            <w:r>
              <w:rPr/>
              <w:t> </w:t>
            </w:r>
          </w:p>
        </w:tc>
      </w:tr>
      <w:tr>
        <w:trPr/>
        <w:tc>
          <w:tcPr>
            <w:tcW w:w="649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 of warrants</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1,928,571</w:t>
            </w:r>
          </w:p>
        </w:tc>
        <w:tc>
          <w:tcPr>
            <w:tcW w:w="159" w:type="dxa"/>
            <w:tcBorders/>
            <w:vAlign w:val="bottom"/>
          </w:tcPr>
          <w:p>
            <w:pPr>
              <w:pStyle w:val="TableContents"/>
              <w:bidi w:val="0"/>
              <w:spacing w:before="0" w:after="283"/>
              <w:jc w:val="left"/>
              <w:rPr/>
            </w:pPr>
            <w:r>
              <w:rPr/>
              <w:t> </w:t>
            </w:r>
          </w:p>
        </w:tc>
      </w:tr>
      <w:tr>
        <w:trPr/>
        <w:tc>
          <w:tcPr>
            <w:tcW w:w="6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long-term debt obligation</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21,500,000</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2,500,000</w:t>
            </w:r>
          </w:p>
        </w:tc>
        <w:tc>
          <w:tcPr>
            <w:tcW w:w="159" w:type="dxa"/>
            <w:tcBorders/>
            <w:shd w:fill="CCEEFF" w:val="clear"/>
            <w:vAlign w:val="bottom"/>
          </w:tcPr>
          <w:p>
            <w:pPr>
              <w:pStyle w:val="TableContents"/>
              <w:bidi w:val="0"/>
              <w:spacing w:before="0" w:after="283"/>
              <w:jc w:val="left"/>
              <w:rPr/>
            </w:pPr>
            <w:r>
              <w:rPr/>
              <w:t> </w:t>
            </w:r>
          </w:p>
        </w:tc>
      </w:tr>
      <w:tr>
        <w:trPr/>
        <w:tc>
          <w:tcPr>
            <w:tcW w:w="6496"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flow generated from financing activities</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b/>
              </w:rPr>
            </w:pPr>
            <w:r>
              <w:rPr>
                <w:b/>
              </w:rPr>
              <w:t>23,999,920</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b/>
              </w:rPr>
            </w:pPr>
            <w:r>
              <w:rPr>
                <w:b/>
              </w:rPr>
              <w:t>18,785,517</w:t>
            </w:r>
          </w:p>
        </w:tc>
        <w:tc>
          <w:tcPr>
            <w:tcW w:w="159" w:type="dxa"/>
            <w:tcBorders/>
            <w:vAlign w:val="bottom"/>
          </w:tcPr>
          <w:p>
            <w:pPr>
              <w:pStyle w:val="TableContents"/>
              <w:bidi w:val="0"/>
              <w:spacing w:before="0" w:after="283"/>
              <w:jc w:val="left"/>
              <w:rPr/>
            </w:pPr>
            <w:r>
              <w:rPr/>
              <w:t> </w:t>
            </w:r>
          </w:p>
        </w:tc>
      </w:tr>
      <w:tr>
        <w:trPr/>
        <w:tc>
          <w:tcPr>
            <w:tcW w:w="6496"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9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Effect of exchange rate changes on cash</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b/>
              </w:rPr>
            </w:pPr>
            <w:r>
              <w:rPr>
                <w:b/>
              </w:rPr>
              <w:t>140,658</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b/>
              </w:rPr>
            </w:pPr>
            <w:r>
              <w:rPr>
                <w:b/>
              </w:rPr>
              <w:t>(84,440</w:t>
            </w:r>
          </w:p>
        </w:tc>
        <w:tc>
          <w:tcPr>
            <w:tcW w:w="159" w:type="dxa"/>
            <w:tcBorders/>
            <w:shd w:fill="CCEEFF" w:val="clear"/>
            <w:vAlign w:val="bottom"/>
          </w:tcPr>
          <w:p>
            <w:pPr>
              <w:pStyle w:val="TableContents"/>
              <w:bidi w:val="0"/>
              <w:spacing w:before="0" w:after="283"/>
              <w:jc w:val="left"/>
              <w:rPr>
                <w:b/>
              </w:rPr>
            </w:pPr>
            <w:r>
              <w:rPr>
                <w:b/>
              </w:rPr>
              <w:t>) </w:t>
            </w:r>
          </w:p>
        </w:tc>
      </w:tr>
      <w:tr>
        <w:trPr/>
        <w:tc>
          <w:tcPr>
            <w:tcW w:w="6496"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change in cash</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b/>
              </w:rPr>
            </w:pPr>
            <w:r>
              <w:rPr>
                <w:b/>
              </w:rPr>
              <w:t>(2,648,315</w:t>
            </w:r>
          </w:p>
        </w:tc>
        <w:tc>
          <w:tcPr>
            <w:tcW w:w="155" w:type="dxa"/>
            <w:tcBorders/>
            <w:vAlign w:val="bottom"/>
          </w:tcPr>
          <w:p>
            <w:pPr>
              <w:pStyle w:val="TableContents"/>
              <w:bidi w:val="0"/>
              <w:spacing w:before="0" w:after="283"/>
              <w:jc w:val="left"/>
              <w:rPr>
                <w:b/>
              </w:rPr>
            </w:pPr>
            <w:r>
              <w:rPr>
                <w:b/>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b/>
              </w:rPr>
            </w:pPr>
            <w:r>
              <w:rPr>
                <w:b/>
              </w:rPr>
              <w:t>(1,849,875</w:t>
            </w:r>
          </w:p>
        </w:tc>
        <w:tc>
          <w:tcPr>
            <w:tcW w:w="159" w:type="dxa"/>
            <w:tcBorders/>
            <w:vAlign w:val="bottom"/>
          </w:tcPr>
          <w:p>
            <w:pPr>
              <w:pStyle w:val="TableContents"/>
              <w:bidi w:val="0"/>
              <w:spacing w:before="0" w:after="283"/>
              <w:jc w:val="left"/>
              <w:rPr>
                <w:b/>
              </w:rPr>
            </w:pPr>
            <w:r>
              <w:rPr>
                <w:b/>
              </w:rPr>
              <w:t>) </w:t>
            </w:r>
          </w:p>
        </w:tc>
      </w:tr>
      <w:tr>
        <w:trPr/>
        <w:tc>
          <w:tcPr>
            <w:tcW w:w="6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year</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2,690,024</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4,539,899</w:t>
            </w:r>
          </w:p>
        </w:tc>
        <w:tc>
          <w:tcPr>
            <w:tcW w:w="159" w:type="dxa"/>
            <w:tcBorders/>
            <w:shd w:fill="CCEEFF" w:val="clear"/>
            <w:vAlign w:val="bottom"/>
          </w:tcPr>
          <w:p>
            <w:pPr>
              <w:pStyle w:val="TableContents"/>
              <w:bidi w:val="0"/>
              <w:spacing w:before="0" w:after="283"/>
              <w:jc w:val="left"/>
              <w:rPr/>
            </w:pPr>
            <w:r>
              <w:rPr/>
              <w:t> </w:t>
            </w:r>
          </w:p>
        </w:tc>
      </w:tr>
      <w:tr>
        <w:trPr/>
        <w:tc>
          <w:tcPr>
            <w:tcW w:w="6496"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33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end of year</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b/>
              </w:rPr>
            </w:pPr>
            <w:r>
              <w:rPr>
                <w:b/>
              </w:rPr>
              <w:t>41,709</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b/>
              </w:rPr>
            </w:pPr>
            <w:r>
              <w:rPr>
                <w:b/>
              </w:rPr>
              <w:t>2,690,024</w:t>
            </w:r>
          </w:p>
        </w:tc>
        <w:tc>
          <w:tcPr>
            <w:tcW w:w="159" w:type="dxa"/>
            <w:tcBorders/>
            <w:vAlign w:val="bottom"/>
          </w:tcPr>
          <w:p>
            <w:pPr>
              <w:pStyle w:val="TableContents"/>
              <w:bidi w:val="0"/>
              <w:spacing w:before="0" w:after="283"/>
              <w:jc w:val="left"/>
              <w:rPr/>
            </w:pPr>
            <w:r>
              <w:rPr/>
              <w:t> </w:t>
            </w:r>
          </w:p>
        </w:tc>
      </w:tr>
      <w:tr>
        <w:trPr/>
        <w:tc>
          <w:tcPr>
            <w:tcW w:w="6496"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33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 activities:</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33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496"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loan into series A preferred shares</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12,691,327</w:t>
            </w:r>
          </w:p>
        </w:tc>
        <w:tc>
          <w:tcPr>
            <w:tcW w:w="159" w:type="dxa"/>
            <w:tcBorders/>
            <w:vAlign w:val="bottom"/>
          </w:tcPr>
          <w:p>
            <w:pPr>
              <w:pStyle w:val="TableContents"/>
              <w:bidi w:val="0"/>
              <w:spacing w:before="0" w:after="283"/>
              <w:jc w:val="left"/>
              <w:rPr/>
            </w:pPr>
            <w:r>
              <w:rPr/>
              <w:t> </w:t>
            </w:r>
          </w:p>
        </w:tc>
      </w:tr>
      <w:tr>
        <w:trPr/>
        <w:tc>
          <w:tcPr>
            <w:tcW w:w="64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of Any Lifestyle Management GmbH  share consideration payable</w:t>
            </w:r>
          </w:p>
        </w:tc>
        <w:tc>
          <w:tcPr>
            <w:tcW w:w="21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14,600,000</w:t>
            </w:r>
          </w:p>
        </w:tc>
        <w:tc>
          <w:tcPr>
            <w:tcW w:w="159" w:type="dxa"/>
            <w:tcBorders/>
            <w:shd w:fill="CCEEFF" w:val="clear"/>
            <w:vAlign w:val="bottom"/>
          </w:tcPr>
          <w:p>
            <w:pPr>
              <w:pStyle w:val="TableContents"/>
              <w:bidi w:val="0"/>
              <w:spacing w:before="0" w:after="283"/>
              <w:jc w:val="left"/>
              <w:rPr/>
            </w:pPr>
            <w:r>
              <w:rPr/>
              <w:t> </w:t>
            </w:r>
          </w:p>
        </w:tc>
      </w:tr>
      <w:tr>
        <w:trPr/>
        <w:tc>
          <w:tcPr>
            <w:tcW w:w="649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obtained in exchange for lease obligation</w:t>
            </w:r>
          </w:p>
        </w:tc>
        <w:tc>
          <w:tcPr>
            <w:tcW w:w="21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94,763</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carve-out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bookmarkStart w:id="46" w:name="fin309194_7"/>
      <w:bookmarkEnd w:id="46"/>
      <w:r>
        <w:rPr>
          <w:rFonts w:ascii="Times New Roman" w:hAnsi="Times New Roman"/>
          <w:b/>
          <w:sz w:val="20"/>
        </w:rPr>
        <w:t xml:space="preserve">Notes to the Carve-out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nature of operations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Rezolve Group Limited (Rezolve or the Company) was incorporated in England and Wales on January 5, 2023 and changed its name on June 5, 2023 to Rezolve AI Limited. </w:t>
      </w:r>
    </w:p>
    <w:p>
      <w:pPr>
        <w:pStyle w:val="TextBody"/>
        <w:bidi w:val="0"/>
        <w:spacing w:before="120" w:after="0"/>
        <w:jc w:val="left"/>
        <w:rPr>
          <w:rFonts w:ascii="Times New Roman" w:hAnsi="Times New Roman"/>
          <w:sz w:val="20"/>
        </w:rPr>
      </w:pPr>
      <w:r>
        <w:rPr>
          <w:rFonts w:ascii="Times New Roman" w:hAnsi="Times New Roman"/>
          <w:sz w:val="20"/>
        </w:rPr>
        <w:t xml:space="preserve">Rezolve is a mobile commerce and engagement platform that enables retailers and brands to deliver rich and engaging mobile experiences to consumers. The mailing address of Rezolves registered office is 3rd Floor, 80 New Bond Street, London, United Kingdom, W1S 1SB.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presentation and summary of significant accounting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Carve-out Consolidated Financial Statements of Rezolve AI Limited and subsidiaries (together the Company or we) have been prepared in accordance with accounting principles generally accepted in the United States of America (US GAAP). The carve-out consolidated financial statements have been prepared using the United Stated Dollar ($ or US dollar) as the reporting currency.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 </w:t>
      </w:r>
    </w:p>
    <w:p>
      <w:pPr>
        <w:pStyle w:val="TextBody"/>
        <w:bidi w:val="0"/>
        <w:spacing w:before="120" w:after="0"/>
        <w:jc w:val="left"/>
        <w:rPr>
          <w:rFonts w:ascii="Times New Roman" w:hAnsi="Times New Roman"/>
          <w:sz w:val="20"/>
        </w:rPr>
      </w:pPr>
      <w:r>
        <w:rPr>
          <w:rFonts w:ascii="Times New Roman" w:hAnsi="Times New Roman"/>
          <w:sz w:val="20"/>
        </w:rPr>
        <w:t xml:space="preserve">On January 3, 2023, the Board of the Directors of Rezolve Limited approved a plan to restructure its business and assets by way of a corporate demerger. Subsequently, on January 5, 2023 an application to the local tax authorities, His Majestys Revenue and Customs (HMRC) was filed in respect of a proposed solvent liquidation procedure by way of a members voluntary liquidation (MVL) under section 110 of the Insolvency Act, 1986 to effect the corporate demerger (the Demerger). </w:t>
      </w:r>
    </w:p>
    <w:p>
      <w:pPr>
        <w:pStyle w:val="TextBody"/>
        <w:bidi w:val="0"/>
        <w:spacing w:before="120" w:after="0"/>
        <w:jc w:val="left"/>
        <w:rPr>
          <w:rFonts w:ascii="Times New Roman" w:hAnsi="Times New Roman"/>
          <w:sz w:val="20"/>
        </w:rPr>
      </w:pPr>
      <w:r>
        <w:rPr>
          <w:rFonts w:ascii="Times New Roman" w:hAnsi="Times New Roman"/>
          <w:sz w:val="20"/>
        </w:rPr>
        <w:t xml:space="preserve">Under the Demerger, Rezolve AI Limited will acquire all assets of Rezolve Limited, except for the China Business. Nine Stone is expected to be sold to a third party and Rezolve China will be dissolved. Rezolve Limited will be liquidated by way of an MVL in the course of this process. In exchange for the assets of Rezolve Limited, former shareholders of Rezolve Limited will be issued shares in Rezolve AI Limited in proportion to their previous shareholdings in Rezolve Limited. On May 3, 2023, HMRC gave a tax clearance in respect of the Demerger. </w:t>
      </w:r>
    </w:p>
    <w:p>
      <w:pPr>
        <w:pStyle w:val="TextBody"/>
        <w:bidi w:val="0"/>
        <w:spacing w:before="120" w:after="0"/>
        <w:jc w:val="left"/>
        <w:rPr>
          <w:rFonts w:ascii="Times New Roman" w:hAnsi="Times New Roman"/>
          <w:sz w:val="20"/>
        </w:rPr>
      </w:pPr>
      <w:r>
        <w:rPr>
          <w:rFonts w:ascii="Times New Roman" w:hAnsi="Times New Roman"/>
          <w:sz w:val="20"/>
        </w:rPr>
        <w:t xml:space="preserve">These Carve-out Consolidated Financial Statements have been prepared on the basis that the Demerger was completed retrospectively on December 31, 2020,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2020. Investments made in the China Business by Rezolve Limited in the Peoples Republic of China (China) for the years ending December 31, 2022 and 2021 have been recorded as Business development expenses, a component of General and Administrative expenses with in the Companys Consolidated Statement of Operations in accordance with Staff Accounting Bulletin Topic 1-B1, </w:t>
      </w:r>
      <w:r>
        <w:rPr>
          <w:rFonts w:ascii="Times New Roman" w:hAnsi="Times New Roman"/>
          <w:i/>
          <w:sz w:val="20"/>
        </w:rPr>
        <w:t xml:space="preserve">Costs Reflected in Historical Financial Statements </w:t>
      </w:r>
      <w:r>
        <w:rPr>
          <w:rFonts w:ascii="Times New Roman" w:hAnsi="Times New Roman"/>
          <w:sz w:val="20"/>
        </w:rPr>
        <w:t xml:space="preserve">(SAB 1-B1). Management asserts that this method used is reasonable.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consolidation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which most significantly impact on the entitys economic performance, and (2) the right to receive benefits or the obligation to absorb losses from the entity which could potentially be significant to the entity. </w:t>
      </w:r>
    </w:p>
    <w:p>
      <w:pPr>
        <w:pStyle w:val="TextBody"/>
        <w:bidi w:val="0"/>
        <w:spacing w:before="120" w:after="0"/>
        <w:jc w:val="left"/>
        <w:rPr>
          <w:rFonts w:ascii="Times New Roman" w:hAnsi="Times New Roman"/>
          <w:sz w:val="20"/>
        </w:rPr>
      </w:pPr>
      <w:r>
        <w:rPr>
          <w:rFonts w:ascii="Times New Roman" w:hAnsi="Times New Roman"/>
          <w:sz w:val="20"/>
        </w:rPr>
        <w:t xml:space="preserve">All intercompany balances and transactions have been eliminated. </w:t>
      </w:r>
    </w:p>
    <w:p>
      <w:pPr>
        <w:pStyle w:val="TextBody"/>
        <w:bidi w:val="0"/>
        <w:spacing w:before="120" w:after="0"/>
        <w:jc w:val="left"/>
        <w:rPr>
          <w:rFonts w:ascii="Times New Roman" w:hAnsi="Times New Roman"/>
          <w:sz w:val="20"/>
        </w:rPr>
      </w:pPr>
      <w:r>
        <w:rPr>
          <w:rFonts w:ascii="Times New Roman" w:hAnsi="Times New Roman"/>
          <w:sz w:val="20"/>
        </w:rPr>
        <w:t xml:space="preserve">A list of subsidiaries and VIEs for which we are the primary beneficiary and Rezolve Limiteds holding as of December 31, 2022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379"/>
        <w:gridCol w:w="324"/>
        <w:gridCol w:w="1923"/>
        <w:gridCol w:w="324"/>
        <w:gridCol w:w="1638"/>
        <w:gridCol w:w="324"/>
        <w:gridCol w:w="174"/>
        <w:gridCol w:w="1192"/>
        <w:gridCol w:w="294"/>
      </w:tblGrid>
      <w:tr>
        <w:trPr/>
        <w:tc>
          <w:tcPr>
            <w:tcW w:w="2379"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37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 of the entity</w:t>
            </w:r>
          </w:p>
        </w:tc>
        <w:tc>
          <w:tcPr>
            <w:tcW w:w="324" w:type="dxa"/>
            <w:tcBorders/>
            <w:vAlign w:val="bottom"/>
          </w:tcPr>
          <w:p>
            <w:pPr>
              <w:pStyle w:val="TableContents"/>
              <w:bidi w:val="0"/>
              <w:spacing w:before="0" w:after="283"/>
              <w:jc w:val="left"/>
              <w:rPr/>
            </w:pPr>
            <w:r>
              <w:rPr/>
              <w:t>  </w:t>
            </w:r>
          </w:p>
        </w:tc>
        <w:tc>
          <w:tcPr>
            <w:tcW w:w="192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 of incorporation</w:t>
            </w:r>
          </w:p>
        </w:tc>
        <w:tc>
          <w:tcPr>
            <w:tcW w:w="324" w:type="dxa"/>
            <w:tcBorders/>
            <w:vAlign w:val="bottom"/>
          </w:tcPr>
          <w:p>
            <w:pPr>
              <w:pStyle w:val="TableContents"/>
              <w:bidi w:val="0"/>
              <w:spacing w:before="0" w:after="283"/>
              <w:jc w:val="left"/>
              <w:rPr/>
            </w:pPr>
            <w:r>
              <w:rPr/>
              <w:t>  </w:t>
            </w:r>
          </w:p>
        </w:tc>
        <w:tc>
          <w:tcPr>
            <w:tcW w:w="163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Country of</w:t>
              <w:br/>
              <w:t>incorporation</w:t>
            </w:r>
          </w:p>
        </w:tc>
        <w:tc>
          <w:tcPr>
            <w:tcW w:w="324"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Group</w:t>
              <w:br/>
              <w:t>shareholding (%)</w:t>
            </w:r>
          </w:p>
        </w:tc>
        <w:tc>
          <w:tcPr>
            <w:tcW w:w="294" w:type="dxa"/>
            <w:tcBorders/>
            <w:vAlign w:val="bottom"/>
          </w:tcPr>
          <w:p>
            <w:pPr>
              <w:pStyle w:val="TableContents"/>
              <w:bidi w:val="0"/>
              <w:spacing w:before="0" w:after="283"/>
              <w:jc w:val="left"/>
              <w:rPr/>
            </w:pPr>
            <w:r>
              <w:rPr/>
              <w:t> </w:t>
            </w:r>
          </w:p>
        </w:tc>
      </w:tr>
      <w:tr>
        <w:trPr/>
        <w:tc>
          <w:tcPr>
            <w:tcW w:w="23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Rezolve Mobile Commerce Inc.</w:t>
            </w:r>
          </w:p>
        </w:tc>
        <w:tc>
          <w:tcPr>
            <w:tcW w:w="324" w:type="dxa"/>
            <w:tcBorders/>
            <w:shd w:fill="CCEEFF" w:val="clear"/>
            <w:vAlign w:val="bottom"/>
          </w:tcPr>
          <w:p>
            <w:pPr>
              <w:pStyle w:val="TableContents"/>
              <w:bidi w:val="0"/>
              <w:spacing w:before="0" w:after="283"/>
              <w:jc w:val="left"/>
              <w:rPr/>
            </w:pPr>
            <w:r>
              <w:rPr/>
              <w:t>  </w:t>
            </w:r>
          </w:p>
        </w:tc>
        <w:tc>
          <w:tcPr>
            <w:tcW w:w="1923" w:type="dxa"/>
            <w:tcBorders/>
            <w:shd w:fill="CCEEFF" w:val="clear"/>
            <w:vAlign w:val="bottom"/>
          </w:tcPr>
          <w:p>
            <w:pPr>
              <w:pStyle w:val="TableContents"/>
              <w:bidi w:val="0"/>
              <w:spacing w:before="0" w:after="283"/>
              <w:jc w:val="center"/>
              <w:rPr/>
            </w:pPr>
            <w:r>
              <w:rPr/>
              <w:t>April 20, 2016</w:t>
            </w:r>
          </w:p>
        </w:tc>
        <w:tc>
          <w:tcPr>
            <w:tcW w:w="324" w:type="dxa"/>
            <w:tcBorders/>
            <w:shd w:fill="CCEEFF" w:val="clear"/>
            <w:vAlign w:val="bottom"/>
          </w:tcPr>
          <w:p>
            <w:pPr>
              <w:pStyle w:val="TableContents"/>
              <w:bidi w:val="0"/>
              <w:spacing w:before="0" w:after="283"/>
              <w:jc w:val="left"/>
              <w:rPr/>
            </w:pPr>
            <w:r>
              <w:rPr/>
              <w:t>  </w:t>
            </w:r>
          </w:p>
        </w:tc>
        <w:tc>
          <w:tcPr>
            <w:tcW w:w="1638" w:type="dxa"/>
            <w:tcBorders/>
            <w:shd w:fill="CCEEFF" w:val="clear"/>
            <w:vAlign w:val="bottom"/>
          </w:tcPr>
          <w:p>
            <w:pPr>
              <w:pStyle w:val="TableContents"/>
              <w:bidi w:val="0"/>
              <w:spacing w:before="0" w:after="283"/>
              <w:jc w:val="center"/>
              <w:rPr/>
            </w:pPr>
            <w:r>
              <w:rPr/>
              <w:t>United States of</w:t>
              <w:br/>
              <w:t>America</w:t>
            </w:r>
          </w:p>
        </w:tc>
        <w:tc>
          <w:tcPr>
            <w:tcW w:w="32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100</w:t>
            </w:r>
          </w:p>
        </w:tc>
        <w:tc>
          <w:tcPr>
            <w:tcW w:w="294" w:type="dxa"/>
            <w:tcBorders/>
            <w:shd w:fill="CCEEFF" w:val="clear"/>
            <w:vAlign w:val="bottom"/>
          </w:tcPr>
          <w:p>
            <w:pPr>
              <w:pStyle w:val="TableContents"/>
              <w:bidi w:val="0"/>
              <w:spacing w:before="0" w:after="283"/>
              <w:jc w:val="left"/>
              <w:rPr/>
            </w:pPr>
            <w:r>
              <w:rPr/>
              <w:t>% </w:t>
            </w:r>
          </w:p>
        </w:tc>
      </w:tr>
      <w:tr>
        <w:trPr/>
        <w:tc>
          <w:tcPr>
            <w:tcW w:w="2379" w:type="dxa"/>
            <w:tcBorders/>
          </w:tcPr>
          <w:p>
            <w:pPr>
              <w:pStyle w:val="TableContents"/>
              <w:bidi w:val="0"/>
              <w:spacing w:before="0" w:after="0"/>
              <w:jc w:val="left"/>
              <w:rPr>
                <w:rFonts w:ascii="Times New Roman" w:hAnsi="Times New Roman"/>
                <w:sz w:val="20"/>
              </w:rPr>
            </w:pPr>
            <w:r>
              <w:rPr>
                <w:rFonts w:ascii="Times New Roman" w:hAnsi="Times New Roman"/>
                <w:sz w:val="20"/>
              </w:rPr>
              <w:t>Rezolve Technology S.L.</w:t>
            </w:r>
          </w:p>
        </w:tc>
        <w:tc>
          <w:tcPr>
            <w:tcW w:w="324" w:type="dxa"/>
            <w:tcBorders/>
            <w:vAlign w:val="bottom"/>
          </w:tcPr>
          <w:p>
            <w:pPr>
              <w:pStyle w:val="TableContents"/>
              <w:bidi w:val="0"/>
              <w:spacing w:before="0" w:after="283"/>
              <w:jc w:val="left"/>
              <w:rPr/>
            </w:pPr>
            <w:r>
              <w:rPr/>
              <w:t>  </w:t>
            </w:r>
          </w:p>
        </w:tc>
        <w:tc>
          <w:tcPr>
            <w:tcW w:w="1923" w:type="dxa"/>
            <w:tcBorders/>
            <w:vAlign w:val="bottom"/>
          </w:tcPr>
          <w:p>
            <w:pPr>
              <w:pStyle w:val="TableContents"/>
              <w:bidi w:val="0"/>
              <w:spacing w:before="0" w:after="283"/>
              <w:jc w:val="center"/>
              <w:rPr/>
            </w:pPr>
            <w:r>
              <w:rPr/>
              <w:t>August 25, 2020</w:t>
            </w:r>
          </w:p>
        </w:tc>
        <w:tc>
          <w:tcPr>
            <w:tcW w:w="324" w:type="dxa"/>
            <w:tcBorders/>
            <w:vAlign w:val="bottom"/>
          </w:tcPr>
          <w:p>
            <w:pPr>
              <w:pStyle w:val="TableContents"/>
              <w:bidi w:val="0"/>
              <w:spacing w:before="0" w:after="283"/>
              <w:jc w:val="left"/>
              <w:rPr/>
            </w:pPr>
            <w:r>
              <w:rPr/>
              <w:t>  </w:t>
            </w:r>
          </w:p>
        </w:tc>
        <w:tc>
          <w:tcPr>
            <w:tcW w:w="1638" w:type="dxa"/>
            <w:tcBorders/>
            <w:vAlign w:val="bottom"/>
          </w:tcPr>
          <w:p>
            <w:pPr>
              <w:pStyle w:val="TableContents"/>
              <w:bidi w:val="0"/>
              <w:spacing w:before="0" w:after="283"/>
              <w:jc w:val="center"/>
              <w:rPr/>
            </w:pPr>
            <w:r>
              <w:rPr/>
              <w:t>Spain</w:t>
            </w:r>
          </w:p>
        </w:tc>
        <w:tc>
          <w:tcPr>
            <w:tcW w:w="32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100</w:t>
            </w:r>
          </w:p>
        </w:tc>
        <w:tc>
          <w:tcPr>
            <w:tcW w:w="294" w:type="dxa"/>
            <w:tcBorders/>
            <w:vAlign w:val="bottom"/>
          </w:tcPr>
          <w:p>
            <w:pPr>
              <w:pStyle w:val="TableContents"/>
              <w:bidi w:val="0"/>
              <w:spacing w:before="0" w:after="283"/>
              <w:jc w:val="left"/>
              <w:rPr/>
            </w:pPr>
            <w:r>
              <w:rPr/>
              <w:t>% </w:t>
            </w:r>
          </w:p>
        </w:tc>
      </w:tr>
      <w:tr>
        <w:trPr/>
        <w:tc>
          <w:tcPr>
            <w:tcW w:w="23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Rezolve Taiwan Limited(1)</w:t>
            </w:r>
          </w:p>
        </w:tc>
        <w:tc>
          <w:tcPr>
            <w:tcW w:w="324" w:type="dxa"/>
            <w:tcBorders/>
            <w:shd w:fill="CCEEFF" w:val="clear"/>
            <w:vAlign w:val="bottom"/>
          </w:tcPr>
          <w:p>
            <w:pPr>
              <w:pStyle w:val="TableContents"/>
              <w:bidi w:val="0"/>
              <w:spacing w:before="0" w:after="283"/>
              <w:jc w:val="left"/>
              <w:rPr/>
            </w:pPr>
            <w:r>
              <w:rPr/>
              <w:t>  </w:t>
            </w:r>
          </w:p>
        </w:tc>
        <w:tc>
          <w:tcPr>
            <w:tcW w:w="1923" w:type="dxa"/>
            <w:tcBorders/>
            <w:shd w:fill="CCEEFF" w:val="clear"/>
            <w:vAlign w:val="bottom"/>
          </w:tcPr>
          <w:p>
            <w:pPr>
              <w:pStyle w:val="TableContents"/>
              <w:bidi w:val="0"/>
              <w:spacing w:before="0" w:after="283"/>
              <w:jc w:val="center"/>
              <w:rPr/>
            </w:pPr>
            <w:r>
              <w:rPr/>
              <w:t>November 9, 2000</w:t>
            </w:r>
          </w:p>
        </w:tc>
        <w:tc>
          <w:tcPr>
            <w:tcW w:w="324" w:type="dxa"/>
            <w:tcBorders/>
            <w:shd w:fill="CCEEFF" w:val="clear"/>
            <w:vAlign w:val="bottom"/>
          </w:tcPr>
          <w:p>
            <w:pPr>
              <w:pStyle w:val="TableContents"/>
              <w:bidi w:val="0"/>
              <w:spacing w:before="0" w:after="283"/>
              <w:jc w:val="left"/>
              <w:rPr/>
            </w:pPr>
            <w:r>
              <w:rPr/>
              <w:t>  </w:t>
            </w:r>
          </w:p>
        </w:tc>
        <w:tc>
          <w:tcPr>
            <w:tcW w:w="1638" w:type="dxa"/>
            <w:tcBorders/>
            <w:shd w:fill="CCEEFF" w:val="clear"/>
            <w:vAlign w:val="bottom"/>
          </w:tcPr>
          <w:p>
            <w:pPr>
              <w:pStyle w:val="TableContents"/>
              <w:bidi w:val="0"/>
              <w:spacing w:before="0" w:after="283"/>
              <w:jc w:val="center"/>
              <w:rPr/>
            </w:pPr>
            <w:r>
              <w:rPr/>
              <w:t>Taiwan</w:t>
            </w:r>
          </w:p>
        </w:tc>
        <w:tc>
          <w:tcPr>
            <w:tcW w:w="32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100</w:t>
            </w:r>
          </w:p>
        </w:tc>
        <w:tc>
          <w:tcPr>
            <w:tcW w:w="294" w:type="dxa"/>
            <w:tcBorders/>
            <w:shd w:fill="CCEEFF" w:val="clear"/>
            <w:vAlign w:val="bottom"/>
          </w:tcPr>
          <w:p>
            <w:pPr>
              <w:pStyle w:val="TableContents"/>
              <w:bidi w:val="0"/>
              <w:spacing w:before="0" w:after="283"/>
              <w:jc w:val="left"/>
              <w:rPr/>
            </w:pPr>
            <w:r>
              <w:rPr/>
              <w:t>% </w:t>
            </w:r>
          </w:p>
        </w:tc>
      </w:tr>
      <w:tr>
        <w:trPr/>
        <w:tc>
          <w:tcPr>
            <w:tcW w:w="2379" w:type="dxa"/>
            <w:tcBorders/>
          </w:tcPr>
          <w:p>
            <w:pPr>
              <w:pStyle w:val="TableContents"/>
              <w:bidi w:val="0"/>
              <w:spacing w:before="0" w:after="0"/>
              <w:jc w:val="left"/>
              <w:rPr>
                <w:rFonts w:ascii="Times New Roman" w:hAnsi="Times New Roman"/>
                <w:sz w:val="20"/>
              </w:rPr>
            </w:pPr>
            <w:r>
              <w:rPr>
                <w:rFonts w:ascii="Times New Roman" w:hAnsi="Times New Roman"/>
                <w:sz w:val="20"/>
              </w:rPr>
              <w:t>Rezolve Technology (India) Private Limited</w:t>
            </w:r>
          </w:p>
        </w:tc>
        <w:tc>
          <w:tcPr>
            <w:tcW w:w="324" w:type="dxa"/>
            <w:tcBorders/>
            <w:vAlign w:val="bottom"/>
          </w:tcPr>
          <w:p>
            <w:pPr>
              <w:pStyle w:val="TableContents"/>
              <w:bidi w:val="0"/>
              <w:spacing w:before="0" w:after="283"/>
              <w:jc w:val="left"/>
              <w:rPr/>
            </w:pPr>
            <w:r>
              <w:rPr/>
              <w:t>  </w:t>
            </w:r>
          </w:p>
        </w:tc>
        <w:tc>
          <w:tcPr>
            <w:tcW w:w="1923" w:type="dxa"/>
            <w:tcBorders/>
            <w:vAlign w:val="bottom"/>
          </w:tcPr>
          <w:p>
            <w:pPr>
              <w:pStyle w:val="TableContents"/>
              <w:bidi w:val="0"/>
              <w:spacing w:before="0" w:after="283"/>
              <w:jc w:val="center"/>
              <w:rPr/>
            </w:pPr>
            <w:r>
              <w:rPr/>
              <w:t>March 19, 2021</w:t>
            </w:r>
          </w:p>
        </w:tc>
        <w:tc>
          <w:tcPr>
            <w:tcW w:w="324" w:type="dxa"/>
            <w:tcBorders/>
            <w:vAlign w:val="bottom"/>
          </w:tcPr>
          <w:p>
            <w:pPr>
              <w:pStyle w:val="TableContents"/>
              <w:bidi w:val="0"/>
              <w:spacing w:before="0" w:after="283"/>
              <w:jc w:val="left"/>
              <w:rPr/>
            </w:pPr>
            <w:r>
              <w:rPr/>
              <w:t>  </w:t>
            </w:r>
          </w:p>
        </w:tc>
        <w:tc>
          <w:tcPr>
            <w:tcW w:w="1638" w:type="dxa"/>
            <w:tcBorders/>
            <w:vAlign w:val="bottom"/>
          </w:tcPr>
          <w:p>
            <w:pPr>
              <w:pStyle w:val="TableContents"/>
              <w:bidi w:val="0"/>
              <w:spacing w:before="0" w:after="283"/>
              <w:jc w:val="center"/>
              <w:rPr/>
            </w:pPr>
            <w:r>
              <w:rPr/>
              <w:t>India</w:t>
            </w:r>
          </w:p>
        </w:tc>
        <w:tc>
          <w:tcPr>
            <w:tcW w:w="32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100</w:t>
            </w:r>
          </w:p>
        </w:tc>
        <w:tc>
          <w:tcPr>
            <w:tcW w:w="294" w:type="dxa"/>
            <w:tcBorders/>
            <w:vAlign w:val="bottom"/>
          </w:tcPr>
          <w:p>
            <w:pPr>
              <w:pStyle w:val="TableContents"/>
              <w:bidi w:val="0"/>
              <w:spacing w:before="0" w:after="283"/>
              <w:jc w:val="left"/>
              <w:rPr/>
            </w:pPr>
            <w:r>
              <w:rPr/>
              <w:t>% </w:t>
            </w:r>
          </w:p>
        </w:tc>
      </w:tr>
      <w:tr>
        <w:trPr/>
        <w:tc>
          <w:tcPr>
            <w:tcW w:w="23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Any Lifestyle Marketing GmbH(2)</w:t>
            </w:r>
          </w:p>
        </w:tc>
        <w:tc>
          <w:tcPr>
            <w:tcW w:w="324" w:type="dxa"/>
            <w:tcBorders/>
            <w:shd w:fill="CCEEFF" w:val="clear"/>
            <w:vAlign w:val="bottom"/>
          </w:tcPr>
          <w:p>
            <w:pPr>
              <w:pStyle w:val="TableContents"/>
              <w:bidi w:val="0"/>
              <w:spacing w:before="0" w:after="283"/>
              <w:jc w:val="left"/>
              <w:rPr/>
            </w:pPr>
            <w:r>
              <w:rPr/>
              <w:t>  </w:t>
            </w:r>
          </w:p>
        </w:tc>
        <w:tc>
          <w:tcPr>
            <w:tcW w:w="1923" w:type="dxa"/>
            <w:tcBorders/>
            <w:shd w:fill="CCEEFF" w:val="clear"/>
            <w:vAlign w:val="bottom"/>
          </w:tcPr>
          <w:p>
            <w:pPr>
              <w:pStyle w:val="TableContents"/>
              <w:bidi w:val="0"/>
              <w:spacing w:before="0" w:after="283"/>
              <w:jc w:val="center"/>
              <w:rPr/>
            </w:pPr>
            <w:r>
              <w:rPr/>
              <w:t>August 13, 2021</w:t>
            </w:r>
          </w:p>
        </w:tc>
        <w:tc>
          <w:tcPr>
            <w:tcW w:w="324" w:type="dxa"/>
            <w:tcBorders/>
            <w:shd w:fill="CCEEFF" w:val="clear"/>
            <w:vAlign w:val="bottom"/>
          </w:tcPr>
          <w:p>
            <w:pPr>
              <w:pStyle w:val="TableContents"/>
              <w:bidi w:val="0"/>
              <w:spacing w:before="0" w:after="283"/>
              <w:jc w:val="left"/>
              <w:rPr/>
            </w:pPr>
            <w:r>
              <w:rPr/>
              <w:t>  </w:t>
            </w:r>
          </w:p>
        </w:tc>
        <w:tc>
          <w:tcPr>
            <w:tcW w:w="1638" w:type="dxa"/>
            <w:tcBorders/>
            <w:shd w:fill="CCEEFF" w:val="clear"/>
            <w:vAlign w:val="bottom"/>
          </w:tcPr>
          <w:p>
            <w:pPr>
              <w:pStyle w:val="TableContents"/>
              <w:bidi w:val="0"/>
              <w:spacing w:before="0" w:after="283"/>
              <w:jc w:val="center"/>
              <w:rPr/>
            </w:pPr>
            <w:r>
              <w:rPr/>
              <w:t>Germany</w:t>
            </w:r>
          </w:p>
        </w:tc>
        <w:tc>
          <w:tcPr>
            <w:tcW w:w="32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29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carve-out consolidated financial statements have been prepared using the United Stated Dollar ($) as its reporting currency.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Taiwan Inc (formerly Jaymax International (Service) Inc.) was acquired on October 7, 2021. Please refer to note 15  Business Combinations.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Lifestyle Marketing GmbH (ANY) has been consolidated as a VIE since August 30, 2021, when it was determined that Rezolve is its primary beneficiary. Rezolve was the sole shareholder of ANY from February 11, 2022 through December 28, 2022. Please refer to note 15  Business Combinations.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Emerging Growth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Liquidity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December 31, 2022, the Company has an accumulated deficit of $189.2 million and for the year then ended incurred a net loss of $104.1 million and net cash used in operating activities was $26.7 million. Cash and cash equivalents totaled $0.04 million as of December 31, 2022, a decrease of $ 2.7 million from December 31, 2021. The Company has a working capital deficit of $6.7 million as at December 31, 2022. While there may be conditions that give rise to doubt to the Companys ability to continue as a going concern, managements plans serve to alleviate such doubt that give rise to the ability of the Company to continue as a going concern for a period of twelve months after the issuance of the carve-out consolidated financial statements. The assessment includes the estimated economic outlook and identified risks and uncertainties in relation thereto. Furthermore, the review of the strategic plan and budget, including expected developments in liquidity and capital from definitive agreements entered into (Notes 8.3 and 20), were considered. Consequently, it has been concluded that adequate resources and liquidity to meet the cash flow requirements for the next twelve months are present, and it is reasonable to apply the going concern basis as the underlying assumption for the carve-out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Use of estimates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Foreign currency translation and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functional currency of the Company is the US dollar, being the currency in which the Company predominantly generates cash through financing transactions and expends cash in Rezolve Limited. The subsidiaries have different functional currencies such as the Euro, which has been determined on the basis of the primary economic environment in which each entity of the Company operates. Management believes that each individual entitys functional currency reflects the transactions, events and conditions under which the entity conducts its business. </w:t>
      </w:r>
    </w:p>
    <w:p>
      <w:pPr>
        <w:pStyle w:val="TextBody"/>
        <w:bidi w:val="0"/>
        <w:spacing w:before="120" w:after="0"/>
        <w:jc w:val="left"/>
        <w:rPr>
          <w:rFonts w:ascii="Times New Roman" w:hAnsi="Times New Roman"/>
          <w:sz w:val="20"/>
        </w:rPr>
      </w:pPr>
      <w:r>
        <w:rPr>
          <w:rFonts w:ascii="Times New Roman" w:hAnsi="Times New Roman"/>
          <w:sz w:val="20"/>
        </w:rPr>
        <w:t xml:space="preserve">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recognition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ASC 606, the Company determines revenue recognition through the following steps: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the contract, or contracts, with the customer;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the performance obligations in the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Determining the transaction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Allocating the transaction price to performance obligations in the contract;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Recognizing revenue when, or as, the Company satisfies performance obligations by transferring the promised goods or services.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Radio Advertisements (Germany)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earns revenue in Germany through its subsidiary, ANY which was acquired on August 30th, 2021 (refer to Note 15  Business Combination) from the Radio Group (the Sellers). ANY has a contract (the marketing agreement) with the Radio Group to be the exclusive provider of radio advertisements on the Radio Groups stations. Under the marketing agreement, ANY advises, supports and manages the advertising slots on the Radio Group stations, as well as seeks advertising customers and sets the pricing. </w:t>
      </w:r>
    </w:p>
    <w:p>
      <w:pPr>
        <w:pStyle w:val="TextBody"/>
        <w:bidi w:val="0"/>
        <w:spacing w:before="120" w:after="0"/>
        <w:jc w:val="left"/>
        <w:rPr>
          <w:rFonts w:ascii="Times New Roman" w:hAnsi="Times New Roman"/>
          <w:sz w:val="20"/>
        </w:rPr>
      </w:pPr>
      <w:r>
        <w:rPr>
          <w:rFonts w:ascii="Times New Roman" w:hAnsi="Times New Roman"/>
          <w:sz w:val="20"/>
        </w:rPr>
        <w:t xml:space="preserve">In exchange for the consideration which Rezolve agreed to provide to the Radio Group for the acquisition of ANY, Rezolve (through ANY) obtained the Radio Group customer list and most importantly, has sole control of the radio advertising slots on the Radio Group stations since no other party may sell those slots. ANYs customers include national advertisers, retailers and merchants. </w:t>
      </w:r>
    </w:p>
    <w:p>
      <w:pPr>
        <w:pStyle w:val="TextBody"/>
        <w:bidi w:val="0"/>
        <w:spacing w:before="120" w:after="0"/>
        <w:jc w:val="left"/>
        <w:rPr>
          <w:rFonts w:ascii="Times New Roman" w:hAnsi="Times New Roman"/>
          <w:sz w:val="20"/>
        </w:rPr>
      </w:pPr>
      <w:r>
        <w:rPr>
          <w:rFonts w:ascii="Times New Roman" w:hAnsi="Times New Roman"/>
          <w:sz w:val="20"/>
        </w:rPr>
        <w:t xml:space="preserve">ANYs performance obligation to its customers is to broadcast the radio advertisements on a Radio Group radio station during a specific advertising slot. As there is another party (Radio Group) involved with the providing of the service to the customer, the Company concluded that it is the Principal in the arrangement since it controls, directs the use of and obtains substantially all of the benefits of the advertising slots, carries inventory risk and has the discretion to set the pricing. The Radio Groups responsibility is to air the advertisements sold by ANY and remits payments received from ANYs customers. In exchange for the advertising slots, the Radio Group recharges ANY its fixed third party broadcast and carriage costs with a mark-up. </w:t>
      </w:r>
    </w:p>
    <w:p>
      <w:pPr>
        <w:pStyle w:val="TextBody"/>
        <w:bidi w:val="0"/>
        <w:spacing w:before="120" w:after="0"/>
        <w:jc w:val="left"/>
        <w:rPr>
          <w:rFonts w:ascii="Times New Roman" w:hAnsi="Times New Roman"/>
          <w:sz w:val="20"/>
        </w:rPr>
      </w:pPr>
      <w:r>
        <w:rPr>
          <w:rFonts w:ascii="Times New Roman" w:hAnsi="Times New Roman"/>
          <w:sz w:val="20"/>
        </w:rPr>
        <w:t xml:space="preserve">Customers are billed as the advertisements are broadcasted. Revenue is recognized in accordance with ASC 606 Revenue from Contracts with Customers at the point in time when the promised services are performed.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segments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Research and development credits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b/>
              </w:rPr>
            </w:pPr>
            <w:r>
              <w:rPr>
                <w:b/>
              </w:rPr>
              <w:t>2.10</w:t>
            </w:r>
          </w:p>
        </w:tc>
        <w:tc>
          <w:tcPr>
            <w:tcW w:w="975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stated at cost of acquisition less accumulated depreciation and accumulated impairment provisions, however, there have been no indicators identified during the reporting periods. </w:t>
      </w:r>
    </w:p>
    <w:p>
      <w:pPr>
        <w:pStyle w:val="TextBody"/>
        <w:bidi w:val="0"/>
        <w:spacing w:before="120" w:after="0"/>
        <w:jc w:val="left"/>
        <w:rPr>
          <w:rFonts w:ascii="Times New Roman" w:hAnsi="Times New Roman"/>
          <w:sz w:val="20"/>
        </w:rPr>
      </w:pPr>
      <w:r>
        <w:rPr>
          <w:rFonts w:ascii="Times New Roman" w:hAnsi="Times New Roman"/>
          <w:sz w:val="20"/>
        </w:rPr>
        <w:t xml:space="preserve">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 </w:t>
      </w:r>
    </w:p>
    <w:p>
      <w:pPr>
        <w:pStyle w:val="TextBody"/>
        <w:bidi w:val="0"/>
        <w:spacing w:before="120" w:after="0"/>
        <w:jc w:val="left"/>
        <w:rPr>
          <w:rFonts w:ascii="Times New Roman" w:hAnsi="Times New Roman"/>
          <w:sz w:val="20"/>
        </w:rPr>
      </w:pPr>
      <w:r>
        <w:rPr>
          <w:rFonts w:ascii="Times New Roman" w:hAnsi="Times New Roman"/>
          <w:sz w:val="20"/>
        </w:rPr>
        <w:t xml:space="preserve">Depreciation on property and equipment is charged to expense on a systematic basis over the useful life of assets as estimated by the management. Depreciation is computed using the straight-line method. The useful lives estimated by the management are as follows: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997"/>
        <w:gridCol w:w="194"/>
        <w:gridCol w:w="4605"/>
      </w:tblGrid>
      <w:tr>
        <w:trPr/>
        <w:tc>
          <w:tcPr>
            <w:tcW w:w="4997"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4605" w:type="dxa"/>
            <w:tcBorders/>
            <w:vAlign w:val="center"/>
          </w:tcPr>
          <w:p>
            <w:pPr>
              <w:pStyle w:val="TableContents"/>
              <w:bidi w:val="0"/>
              <w:spacing w:before="0" w:after="283"/>
              <w:jc w:val="left"/>
              <w:rPr>
                <w:sz w:val="4"/>
                <w:szCs w:val="4"/>
              </w:rPr>
            </w:pPr>
            <w:r>
              <w:rPr>
                <w:sz w:val="4"/>
                <w:szCs w:val="4"/>
              </w:rPr>
            </w:r>
          </w:p>
        </w:tc>
      </w:tr>
      <w:tr>
        <w:trPr/>
        <w:tc>
          <w:tcPr>
            <w:tcW w:w="4997" w:type="dxa"/>
            <w:tcBorders/>
            <w:vAlign w:val="bottom"/>
          </w:tcPr>
          <w:p>
            <w:pPr>
              <w:pStyle w:val="TableContents"/>
              <w:bidi w:val="0"/>
              <w:spacing w:before="0" w:after="283"/>
              <w:jc w:val="left"/>
              <w:rPr>
                <w:b/>
              </w:rPr>
            </w:pPr>
            <w:r>
              <w:rPr>
                <w:b/>
              </w:rPr>
              <w:t>Assets</w:t>
            </w:r>
          </w:p>
        </w:tc>
        <w:tc>
          <w:tcPr>
            <w:tcW w:w="194" w:type="dxa"/>
            <w:tcBorders/>
            <w:vAlign w:val="bottom"/>
          </w:tcPr>
          <w:p>
            <w:pPr>
              <w:pStyle w:val="TableContents"/>
              <w:bidi w:val="0"/>
              <w:spacing w:before="0" w:after="283"/>
              <w:jc w:val="left"/>
              <w:rPr/>
            </w:pPr>
            <w:r>
              <w:rPr/>
              <w:t>  </w:t>
            </w:r>
          </w:p>
        </w:tc>
        <w:tc>
          <w:tcPr>
            <w:tcW w:w="4605" w:type="dxa"/>
            <w:tcBorders/>
            <w:vAlign w:val="bottom"/>
          </w:tcPr>
          <w:p>
            <w:pPr>
              <w:pStyle w:val="TableContents"/>
              <w:bidi w:val="0"/>
              <w:spacing w:before="0" w:after="283"/>
              <w:jc w:val="left"/>
              <w:rPr>
                <w:b/>
              </w:rPr>
            </w:pPr>
            <w:r>
              <w:rPr>
                <w:b/>
              </w:rPr>
              <w:t>Useful life</w:t>
            </w:r>
          </w:p>
        </w:tc>
      </w:tr>
      <w:tr>
        <w:trPr/>
        <w:tc>
          <w:tcPr>
            <w:tcW w:w="4997" w:type="dxa"/>
            <w:tcBorders/>
            <w:shd w:fill="CCEEFF" w:val="clear"/>
          </w:tcPr>
          <w:p>
            <w:pPr>
              <w:pStyle w:val="TableContents"/>
              <w:bidi w:val="0"/>
              <w:spacing w:before="0" w:after="283"/>
              <w:jc w:val="left"/>
              <w:rPr/>
            </w:pPr>
            <w:r>
              <w:rPr/>
              <w:t>Computers</w:t>
            </w:r>
          </w:p>
        </w:tc>
        <w:tc>
          <w:tcPr>
            <w:tcW w:w="194" w:type="dxa"/>
            <w:tcBorders/>
            <w:shd w:fill="CCEEFF" w:val="clear"/>
            <w:vAlign w:val="bottom"/>
          </w:tcPr>
          <w:p>
            <w:pPr>
              <w:pStyle w:val="TableContents"/>
              <w:bidi w:val="0"/>
              <w:spacing w:before="0" w:after="283"/>
              <w:jc w:val="left"/>
              <w:rPr/>
            </w:pPr>
            <w:r>
              <w:rPr/>
              <w:t>  </w:t>
            </w:r>
          </w:p>
        </w:tc>
        <w:tc>
          <w:tcPr>
            <w:tcW w:w="4605" w:type="dxa"/>
            <w:tcBorders/>
            <w:shd w:fill="CCEEFF" w:val="clear"/>
          </w:tcPr>
          <w:p>
            <w:pPr>
              <w:pStyle w:val="TableContents"/>
              <w:bidi w:val="0"/>
              <w:spacing w:before="0" w:after="283"/>
              <w:jc w:val="left"/>
              <w:rPr/>
            </w:pPr>
            <w:r>
              <w:rPr/>
              <w:t>3 years</w:t>
            </w:r>
          </w:p>
        </w:tc>
      </w:tr>
      <w:tr>
        <w:trPr/>
        <w:tc>
          <w:tcPr>
            <w:tcW w:w="4997" w:type="dxa"/>
            <w:tcBorders/>
          </w:tcPr>
          <w:p>
            <w:pPr>
              <w:pStyle w:val="TableContents"/>
              <w:bidi w:val="0"/>
              <w:spacing w:before="0" w:after="283"/>
              <w:jc w:val="left"/>
              <w:rPr/>
            </w:pPr>
            <w:r>
              <w:rPr/>
              <w:t>Office equipment</w:t>
            </w:r>
          </w:p>
        </w:tc>
        <w:tc>
          <w:tcPr>
            <w:tcW w:w="194" w:type="dxa"/>
            <w:tcBorders/>
            <w:vAlign w:val="bottom"/>
          </w:tcPr>
          <w:p>
            <w:pPr>
              <w:pStyle w:val="TableContents"/>
              <w:bidi w:val="0"/>
              <w:spacing w:before="0" w:after="283"/>
              <w:jc w:val="left"/>
              <w:rPr/>
            </w:pPr>
            <w:r>
              <w:rPr/>
              <w:t>  </w:t>
            </w:r>
          </w:p>
        </w:tc>
        <w:tc>
          <w:tcPr>
            <w:tcW w:w="4605" w:type="dxa"/>
            <w:tcBorders/>
          </w:tcPr>
          <w:p>
            <w:pPr>
              <w:pStyle w:val="TableContents"/>
              <w:bidi w:val="0"/>
              <w:spacing w:before="0" w:after="283"/>
              <w:jc w:val="left"/>
              <w:rPr/>
            </w:pPr>
            <w:r>
              <w:rPr/>
              <w:t>3 years</w:t>
            </w:r>
          </w:p>
        </w:tc>
      </w:tr>
    </w:tbl>
    <w:p>
      <w:pPr>
        <w:pStyle w:val="TextBody"/>
        <w:bidi w:val="0"/>
        <w:spacing w:before="120" w:after="0"/>
        <w:jc w:val="left"/>
        <w:rPr>
          <w:rFonts w:ascii="Times New Roman" w:hAnsi="Times New Roman"/>
          <w:sz w:val="20"/>
        </w:rPr>
      </w:pPr>
      <w:r>
        <w:rPr>
          <w:rFonts w:ascii="Times New Roman" w:hAnsi="Times New Roman"/>
          <w:sz w:val="20"/>
        </w:rPr>
        <w:t xml:space="preserve">Repairs and maintenance of property and equipment are expensed as incurred; enhancements and improvements that extend the life of property and equipment are capitalized into their cost.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1"/>
        <w:gridCol w:w="9764"/>
      </w:tblGrid>
      <w:tr>
        <w:trPr/>
        <w:tc>
          <w:tcPr>
            <w:tcW w:w="441" w:type="dxa"/>
            <w:tcBorders/>
          </w:tcPr>
          <w:p>
            <w:pPr>
              <w:pStyle w:val="TableContents"/>
              <w:bidi w:val="0"/>
              <w:spacing w:before="0" w:after="283"/>
              <w:jc w:val="left"/>
              <w:rPr>
                <w:b/>
              </w:rPr>
            </w:pPr>
            <w:r>
              <w:rPr>
                <w:b/>
              </w:rPr>
              <w:t>2.11</w:t>
            </w:r>
          </w:p>
        </w:tc>
        <w:tc>
          <w:tcPr>
            <w:tcW w:w="976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Intangible assets consist of computer software, customer lists and goodwill. </w:t>
      </w:r>
    </w:p>
    <w:p>
      <w:pPr>
        <w:pStyle w:val="TextBody"/>
        <w:bidi w:val="0"/>
        <w:spacing w:before="360" w:after="0"/>
        <w:jc w:val="left"/>
        <w:rPr>
          <w:rFonts w:ascii="Times New Roman" w:hAnsi="Times New Roman"/>
          <w:i/>
          <w:sz w:val="20"/>
        </w:rPr>
      </w:pPr>
      <w:r>
        <w:rPr>
          <w:rFonts w:ascii="Times New Roman" w:hAnsi="Times New Roman"/>
          <w:i/>
          <w:sz w:val="20"/>
        </w:rPr>
        <w:t xml:space="preserve">Computer software </w:t>
      </w:r>
    </w:p>
    <w:p>
      <w:pPr>
        <w:pStyle w:val="TextBody"/>
        <w:bidi w:val="0"/>
        <w:spacing w:before="120" w:after="0"/>
        <w:jc w:val="left"/>
        <w:rPr>
          <w:rFonts w:ascii="Times New Roman" w:hAnsi="Times New Roman"/>
          <w:sz w:val="20"/>
        </w:rPr>
      </w:pPr>
      <w:r>
        <w:rPr>
          <w:rFonts w:ascii="Times New Roman" w:hAnsi="Times New Roman"/>
          <w:sz w:val="20"/>
        </w:rPr>
        <w:t xml:space="preserve">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2022 and 2021. </w:t>
      </w:r>
    </w:p>
    <w:p>
      <w:pPr>
        <w:pStyle w:val="TextBody"/>
        <w:bidi w:val="0"/>
        <w:spacing w:before="120" w:after="0"/>
        <w:jc w:val="left"/>
        <w:rPr>
          <w:rFonts w:ascii="Times New Roman" w:hAnsi="Times New Roman"/>
          <w:sz w:val="20"/>
        </w:rPr>
      </w:pPr>
      <w:r>
        <w:rPr>
          <w:rFonts w:ascii="Times New Roman" w:hAnsi="Times New Roman"/>
          <w:sz w:val="20"/>
        </w:rPr>
        <w:t xml:space="preserve">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 </w:t>
      </w:r>
    </w:p>
    <w:p>
      <w:pPr>
        <w:pStyle w:val="TextBody"/>
        <w:bidi w:val="0"/>
        <w:spacing w:before="120" w:after="0"/>
        <w:jc w:val="left"/>
        <w:rPr>
          <w:rFonts w:ascii="Times New Roman" w:hAnsi="Times New Roman"/>
          <w:sz w:val="20"/>
        </w:rPr>
      </w:pPr>
      <w:r>
        <w:rPr>
          <w:rFonts w:ascii="Times New Roman" w:hAnsi="Times New Roman"/>
          <w:sz w:val="20"/>
        </w:rPr>
        <w:t xml:space="preserve">The initial useful lives of computer software assets as estimated by management are summarized as follows: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996"/>
        <w:gridCol w:w="195"/>
        <w:gridCol w:w="4605"/>
      </w:tblGrid>
      <w:tr>
        <w:trPr/>
        <w:tc>
          <w:tcPr>
            <w:tcW w:w="4996"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4605" w:type="dxa"/>
            <w:tcBorders/>
            <w:vAlign w:val="center"/>
          </w:tcPr>
          <w:p>
            <w:pPr>
              <w:pStyle w:val="TableContents"/>
              <w:bidi w:val="0"/>
              <w:spacing w:before="0" w:after="283"/>
              <w:jc w:val="left"/>
              <w:rPr>
                <w:sz w:val="4"/>
                <w:szCs w:val="4"/>
              </w:rPr>
            </w:pPr>
            <w:r>
              <w:rPr>
                <w:sz w:val="4"/>
                <w:szCs w:val="4"/>
              </w:rPr>
            </w:r>
          </w:p>
        </w:tc>
      </w:tr>
      <w:tr>
        <w:trPr/>
        <w:tc>
          <w:tcPr>
            <w:tcW w:w="4996" w:type="dxa"/>
            <w:tcBorders/>
            <w:vAlign w:val="bottom"/>
          </w:tcPr>
          <w:p>
            <w:pPr>
              <w:pStyle w:val="TableContents"/>
              <w:bidi w:val="0"/>
              <w:spacing w:before="0" w:after="283"/>
              <w:jc w:val="left"/>
              <w:rPr>
                <w:b/>
              </w:rPr>
            </w:pPr>
            <w:r>
              <w:rPr>
                <w:b/>
              </w:rPr>
              <w:t>Assets</w:t>
            </w:r>
          </w:p>
        </w:tc>
        <w:tc>
          <w:tcPr>
            <w:tcW w:w="195" w:type="dxa"/>
            <w:tcBorders/>
            <w:vAlign w:val="bottom"/>
          </w:tcPr>
          <w:p>
            <w:pPr>
              <w:pStyle w:val="TableContents"/>
              <w:bidi w:val="0"/>
              <w:spacing w:before="0" w:after="283"/>
              <w:jc w:val="left"/>
              <w:rPr/>
            </w:pPr>
            <w:r>
              <w:rPr/>
              <w:t>  </w:t>
            </w:r>
          </w:p>
        </w:tc>
        <w:tc>
          <w:tcPr>
            <w:tcW w:w="4605" w:type="dxa"/>
            <w:tcBorders/>
            <w:vAlign w:val="bottom"/>
          </w:tcPr>
          <w:p>
            <w:pPr>
              <w:pStyle w:val="TableContents"/>
              <w:bidi w:val="0"/>
              <w:spacing w:before="0" w:after="283"/>
              <w:jc w:val="left"/>
              <w:rPr>
                <w:b/>
              </w:rPr>
            </w:pPr>
            <w:r>
              <w:rPr>
                <w:b/>
              </w:rPr>
              <w:t>Useful life</w:t>
            </w:r>
          </w:p>
        </w:tc>
      </w:tr>
      <w:tr>
        <w:trPr/>
        <w:tc>
          <w:tcPr>
            <w:tcW w:w="4996" w:type="dxa"/>
            <w:tcBorders/>
            <w:shd w:fill="CCEEFF" w:val="clear"/>
          </w:tcPr>
          <w:p>
            <w:pPr>
              <w:pStyle w:val="TableContents"/>
              <w:bidi w:val="0"/>
              <w:spacing w:before="0" w:after="283"/>
              <w:jc w:val="left"/>
              <w:rPr/>
            </w:pPr>
            <w:r>
              <w:rPr/>
              <w:t>Software</w:t>
            </w:r>
          </w:p>
        </w:tc>
        <w:tc>
          <w:tcPr>
            <w:tcW w:w="195" w:type="dxa"/>
            <w:tcBorders/>
            <w:shd w:fill="CCEEFF" w:val="clear"/>
            <w:vAlign w:val="bottom"/>
          </w:tcPr>
          <w:p>
            <w:pPr>
              <w:pStyle w:val="TableContents"/>
              <w:bidi w:val="0"/>
              <w:spacing w:before="0" w:after="283"/>
              <w:jc w:val="left"/>
              <w:rPr/>
            </w:pPr>
            <w:r>
              <w:rPr/>
              <w:t>  </w:t>
            </w:r>
          </w:p>
        </w:tc>
        <w:tc>
          <w:tcPr>
            <w:tcW w:w="4605" w:type="dxa"/>
            <w:tcBorders/>
            <w:shd w:fill="CCEEFF" w:val="clear"/>
          </w:tcPr>
          <w:p>
            <w:pPr>
              <w:pStyle w:val="TableContents"/>
              <w:bidi w:val="0"/>
              <w:spacing w:before="0" w:after="283"/>
              <w:jc w:val="left"/>
              <w:rPr/>
            </w:pPr>
            <w:r>
              <w:rPr/>
              <w:t>5 years</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Goodwill and customer lists </w:t>
      </w:r>
    </w:p>
    <w:p>
      <w:pPr>
        <w:pStyle w:val="TextBody"/>
        <w:bidi w:val="0"/>
        <w:spacing w:before="120" w:after="0"/>
        <w:jc w:val="left"/>
        <w:rPr>
          <w:rFonts w:ascii="Times New Roman" w:hAnsi="Times New Roman"/>
          <w:sz w:val="20"/>
        </w:rPr>
      </w:pPr>
      <w:r>
        <w:rPr>
          <w:rFonts w:ascii="Times New Roman" w:hAnsi="Times New Roman"/>
          <w:sz w:val="20"/>
        </w:rPr>
        <w:t xml:space="preserve">Goodwill represents the excess purchase price over the fair value of the identifiable net assets acquired in a business combination. Customer lists are initially recorded at their fair value in connection with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combinations. Goodwill and other intangible assets with indefinite useful lives are not amortized, but instead are tested for impairment at least annually. Intangible assets such as customer lists with finite lives are amortized on a straight-line basis over their respective estimated useful lives to their estimated residual values. </w:t>
      </w:r>
    </w:p>
    <w:p>
      <w:pPr>
        <w:pStyle w:val="TextBody"/>
        <w:bidi w:val="0"/>
        <w:spacing w:before="120" w:after="0"/>
        <w:jc w:val="left"/>
        <w:rPr>
          <w:rFonts w:ascii="Times New Roman" w:hAnsi="Times New Roman"/>
          <w:sz w:val="20"/>
        </w:rPr>
      </w:pPr>
      <w:r>
        <w:rPr>
          <w:rFonts w:ascii="Times New Roman" w:hAnsi="Times New Roman"/>
          <w:sz w:val="20"/>
        </w:rPr>
        <w:t xml:space="preserve">The initial useful life of the intangible assets with finite lives as estimated by management are summarized as follows: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996"/>
        <w:gridCol w:w="194"/>
        <w:gridCol w:w="4606"/>
      </w:tblGrid>
      <w:tr>
        <w:trPr/>
        <w:tc>
          <w:tcPr>
            <w:tcW w:w="4996"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c>
          <w:tcPr>
            <w:tcW w:w="4996" w:type="dxa"/>
            <w:tcBorders/>
            <w:vAlign w:val="bottom"/>
          </w:tcPr>
          <w:p>
            <w:pPr>
              <w:pStyle w:val="TableContents"/>
              <w:bidi w:val="0"/>
              <w:spacing w:before="0" w:after="283"/>
              <w:jc w:val="left"/>
              <w:rPr>
                <w:b/>
              </w:rPr>
            </w:pPr>
            <w:r>
              <w:rPr>
                <w:b/>
              </w:rPr>
              <w:t>Assets</w:t>
            </w:r>
          </w:p>
        </w:tc>
        <w:tc>
          <w:tcPr>
            <w:tcW w:w="194" w:type="dxa"/>
            <w:tcBorders/>
            <w:vAlign w:val="bottom"/>
          </w:tcPr>
          <w:p>
            <w:pPr>
              <w:pStyle w:val="TableContents"/>
              <w:bidi w:val="0"/>
              <w:spacing w:before="0" w:after="283"/>
              <w:jc w:val="left"/>
              <w:rPr/>
            </w:pPr>
            <w:r>
              <w:rPr/>
              <w:t>  </w:t>
            </w:r>
          </w:p>
        </w:tc>
        <w:tc>
          <w:tcPr>
            <w:tcW w:w="4606" w:type="dxa"/>
            <w:tcBorders/>
            <w:vAlign w:val="bottom"/>
          </w:tcPr>
          <w:p>
            <w:pPr>
              <w:pStyle w:val="TableContents"/>
              <w:bidi w:val="0"/>
              <w:spacing w:before="0" w:after="283"/>
              <w:jc w:val="left"/>
              <w:rPr>
                <w:b/>
              </w:rPr>
            </w:pPr>
            <w:r>
              <w:rPr>
                <w:b/>
              </w:rPr>
              <w:t>Useful life</w:t>
            </w:r>
          </w:p>
        </w:tc>
      </w:tr>
      <w:tr>
        <w:trPr/>
        <w:tc>
          <w:tcPr>
            <w:tcW w:w="4996" w:type="dxa"/>
            <w:tcBorders/>
            <w:shd w:fill="CCEEFF" w:val="clear"/>
          </w:tcPr>
          <w:p>
            <w:pPr>
              <w:pStyle w:val="TableContents"/>
              <w:bidi w:val="0"/>
              <w:spacing w:before="0" w:after="283"/>
              <w:jc w:val="left"/>
              <w:rPr/>
            </w:pPr>
            <w:r>
              <w:rPr/>
              <w:t>Customer lists (note 6)</w:t>
            </w:r>
          </w:p>
        </w:tc>
        <w:tc>
          <w:tcPr>
            <w:tcW w:w="194" w:type="dxa"/>
            <w:tcBorders/>
            <w:shd w:fill="CCEEFF" w:val="clear"/>
            <w:vAlign w:val="bottom"/>
          </w:tcPr>
          <w:p>
            <w:pPr>
              <w:pStyle w:val="TableContents"/>
              <w:bidi w:val="0"/>
              <w:spacing w:before="0" w:after="283"/>
              <w:jc w:val="left"/>
              <w:rPr/>
            </w:pPr>
            <w:r>
              <w:rPr/>
              <w:t>  </w:t>
            </w:r>
          </w:p>
        </w:tc>
        <w:tc>
          <w:tcPr>
            <w:tcW w:w="4606" w:type="dxa"/>
            <w:tcBorders/>
            <w:shd w:fill="CCEEFF" w:val="clear"/>
          </w:tcPr>
          <w:p>
            <w:pPr>
              <w:pStyle w:val="TableContents"/>
              <w:bidi w:val="0"/>
              <w:spacing w:before="0" w:after="283"/>
              <w:jc w:val="left"/>
              <w:rPr/>
            </w:pPr>
            <w:r>
              <w:rPr/>
              <w:t>13 years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2"/>
        <w:gridCol w:w="9753"/>
      </w:tblGrid>
      <w:tr>
        <w:trPr/>
        <w:tc>
          <w:tcPr>
            <w:tcW w:w="452" w:type="dxa"/>
            <w:tcBorders/>
          </w:tcPr>
          <w:p>
            <w:pPr>
              <w:pStyle w:val="TableContents"/>
              <w:bidi w:val="0"/>
              <w:spacing w:before="0" w:after="283"/>
              <w:jc w:val="left"/>
              <w:rPr>
                <w:b/>
              </w:rPr>
            </w:pPr>
            <w:r>
              <w:rPr>
                <w:b/>
              </w:rPr>
              <w:t>2.12</w:t>
            </w:r>
          </w:p>
        </w:tc>
        <w:tc>
          <w:tcPr>
            <w:tcW w:w="975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Impairment of long-lived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reviews long-lived assets, including the property and equipment and intangibles,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Management identified indicators of impairment in its Taiwanese subsidiary during the year-ended December 31, 2022, and as a result impairment charges for accounts receivable of $334,952, other current assets of $731,940 were recognized in the Companys Carve-out Consolidated Statement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reviews goodwill for impairment annually in its fourth quarter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identified indicators of impairment in Germany, through its subsidiary ANY which led to the recognition of a goodwill impairment loss of $7,418,302 in the Companys Carve-out Consolidated Statement of Operations for the year-ended December 31, 2022. Additionally, a goodwill impairment loss of related to the $44,438 related to its Taiwanese subsidiary was recognized in the year-ended December 31, 2022. </w:t>
      </w:r>
    </w:p>
    <w:p>
      <w:pPr>
        <w:pStyle w:val="TextBody"/>
        <w:bidi w:val="0"/>
        <w:spacing w:before="120" w:after="0"/>
        <w:jc w:val="left"/>
        <w:rPr>
          <w:rFonts w:ascii="Times New Roman" w:hAnsi="Times New Roman"/>
          <w:sz w:val="20"/>
        </w:rPr>
      </w:pPr>
      <w:r>
        <w:rPr>
          <w:rFonts w:ascii="Times New Roman" w:hAnsi="Times New Roman"/>
          <w:sz w:val="20"/>
        </w:rPr>
        <w:t xml:space="preserve">There were no other indicators of impairment for any of the long-lived assets as of December 31, 2022 and December 31, 2021 and the years then ended.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b/>
              </w:rPr>
            </w:pPr>
            <w:r>
              <w:rPr>
                <w:b/>
              </w:rPr>
              <w:t>2.13</w:t>
            </w:r>
          </w:p>
        </w:tc>
        <w:tc>
          <w:tcPr>
            <w:tcW w:w="975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Accounts receivable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Account receivable consists primarily of amounts related to fees charged to customers. Credit is extended based on evaluation of a customers financial condition and generally collateral is not required. Accounts receivable is stated at amounts due from customers net of allowances. The Company evaluates the need for an allowance for doubtful accounts based on historical collection trends and prevailing macroeconomic conditions. Accounts receivable in the accompanying consolidated financial statements does not have any allowances created for doubtful accounts.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b/>
              </w:rPr>
            </w:pPr>
            <w:r>
              <w:rPr>
                <w:b/>
              </w:rPr>
              <w:t>2.14</w:t>
            </w:r>
          </w:p>
        </w:tc>
        <w:tc>
          <w:tcPr>
            <w:tcW w:w="976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Cash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Cash comprises cash on hand and in current accounts which are readily available.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b/>
              </w:rPr>
            </w:pPr>
            <w:r>
              <w:rPr>
                <w:b/>
              </w:rPr>
              <w:t>2.15</w:t>
            </w:r>
          </w:p>
        </w:tc>
        <w:tc>
          <w:tcPr>
            <w:tcW w:w="975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early adopted ASU 2020-06 retrospectively within these consolidated financial statements in the year prior to those years. Had we adopted ASU 2020-06 on January 1, 2021 under the modified retrospective method, such adoption would had not have had a material impact on our carve-out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Companys senior secured notes issued in December 2021 are accounted for as a single liability instrument measured at its amortized cost, as no other embedded features require bifurcation and recognition as derivatives.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4"/>
        <w:gridCol w:w="9761"/>
      </w:tblGrid>
      <w:tr>
        <w:trPr/>
        <w:tc>
          <w:tcPr>
            <w:tcW w:w="444" w:type="dxa"/>
            <w:tcBorders/>
          </w:tcPr>
          <w:p>
            <w:pPr>
              <w:pStyle w:val="TableContents"/>
              <w:bidi w:val="0"/>
              <w:spacing w:before="0" w:after="283"/>
              <w:jc w:val="left"/>
              <w:rPr>
                <w:b/>
              </w:rPr>
            </w:pPr>
            <w:r>
              <w:rPr>
                <w:b/>
              </w:rPr>
              <w:t>2.16</w:t>
            </w:r>
          </w:p>
        </w:tc>
        <w:tc>
          <w:tcPr>
            <w:tcW w:w="976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measures the cost of share-based awards granted to employees, non-employees and directors based on the grant-date fair value of the awards. The grant-date fair value of the share options is calculated using a Black-Scholes Merton option pricing model. The fair value of the share-based compensation is recognized on a straight-line basis over the requisite service period, which is generally the vesting period of the award. The Company elected to recognize the effect of forfeitures in the period that they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9"/>
        <w:gridCol w:w="9756"/>
      </w:tblGrid>
      <w:tr>
        <w:trPr/>
        <w:tc>
          <w:tcPr>
            <w:tcW w:w="449" w:type="dxa"/>
            <w:tcBorders/>
          </w:tcPr>
          <w:p>
            <w:pPr>
              <w:pStyle w:val="TableContents"/>
              <w:bidi w:val="0"/>
              <w:spacing w:before="0" w:after="283"/>
              <w:jc w:val="left"/>
              <w:rPr>
                <w:b/>
              </w:rPr>
            </w:pPr>
            <w:r>
              <w:rPr>
                <w:b/>
              </w:rPr>
              <w:t>2.17</w:t>
            </w:r>
          </w:p>
        </w:tc>
        <w:tc>
          <w:tcPr>
            <w:tcW w:w="975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Shareholders deficit and reserves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presently has three classes of issued shares, ordinary shares, deferred shares and series A preferred. Each series A preferred and ordinary shareholder are entitled to one vote per share. Holders of deferred shares are not entitled to any votes. Holders of ordinary shares are entitled to receive dividends out of any asset legally available for payment of dividends only when such dividends are declared by the Board of Directors and approved by the majority of the shareholders. As of December 31, 2022, and 2021, the Companys Board of Directors had not declared any dividends for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On February 8, 2021 the Board of Directors of the Company approved an ordinary share split, wherein for every one share held of par value £0.01 per share, one hundred shares of par value £0.0001 per share was issued. All share and per share amounts in these financial statements have been adjusted to reflect the share split for all periods presented. </w:t>
      </w:r>
    </w:p>
    <w:p>
      <w:pPr>
        <w:pStyle w:val="TextBody"/>
        <w:bidi w:val="0"/>
        <w:spacing w:before="120" w:after="0"/>
        <w:jc w:val="left"/>
        <w:rPr>
          <w:rFonts w:ascii="Times New Roman" w:hAnsi="Times New Roman"/>
          <w:sz w:val="20"/>
        </w:rPr>
      </w:pPr>
      <w:r>
        <w:rPr>
          <w:rFonts w:ascii="Times New Roman" w:hAnsi="Times New Roman"/>
          <w:sz w:val="20"/>
        </w:rPr>
        <w:t xml:space="preserve">In the years presented in the consolidated financial statements, the following employee shares are outstanding. These shares par value of £0.0001 per share remain unpaid by the employees.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649"/>
        <w:gridCol w:w="263"/>
        <w:gridCol w:w="72"/>
        <w:gridCol w:w="1377"/>
        <w:gridCol w:w="158"/>
        <w:gridCol w:w="263"/>
        <w:gridCol w:w="113"/>
        <w:gridCol w:w="2155"/>
        <w:gridCol w:w="158"/>
        <w:gridCol w:w="262"/>
        <w:gridCol w:w="60"/>
        <w:gridCol w:w="876"/>
        <w:gridCol w:w="166"/>
      </w:tblGrid>
      <w:tr>
        <w:trPr/>
        <w:tc>
          <w:tcPr>
            <w:tcW w:w="2649"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49"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Employee</w:t>
              <w:br/>
              <w:t>Shares at Par</w:t>
              <w:br/>
              <w:t>Value</w:t>
            </w:r>
          </w:p>
        </w:tc>
        <w:tc>
          <w:tcPr>
            <w:tcW w:w="158"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2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Employee Shares</w:t>
              <w:br/>
              <w:t>Requiring Additional</w:t>
              <w:br/>
              <w:t>Paid in Capital</w:t>
            </w:r>
          </w:p>
        </w:tc>
        <w:tc>
          <w:tcPr>
            <w:tcW w:w="158" w:type="dxa"/>
            <w:tcBorders/>
            <w:vAlign w:val="bottom"/>
          </w:tcPr>
          <w:p>
            <w:pPr>
              <w:pStyle w:val="TableContents"/>
              <w:bidi w:val="0"/>
              <w:spacing w:before="0" w:after="283"/>
              <w:jc w:val="left"/>
              <w:rPr/>
            </w:pPr>
            <w:r>
              <w:rPr/>
              <w:t> </w:t>
            </w:r>
          </w:p>
        </w:tc>
        <w:tc>
          <w:tcPr>
            <w:tcW w:w="262" w:type="dxa"/>
            <w:vMerge w:val="restart"/>
            <w:tcBorders/>
            <w:vAlign w:val="bottom"/>
          </w:tcPr>
          <w:p>
            <w:pPr>
              <w:pStyle w:val="TableContents"/>
              <w:bidi w:val="0"/>
              <w:spacing w:before="0" w:after="283"/>
              <w:jc w:val="left"/>
              <w:rPr/>
            </w:pPr>
            <w:r>
              <w:rPr/>
              <w:t>  </w:t>
            </w:r>
          </w:p>
        </w:tc>
        <w:tc>
          <w:tcPr>
            <w:tcW w:w="936"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6" w:type="dxa"/>
            <w:vMerge w:val="restart"/>
            <w:tcBorders/>
            <w:vAlign w:val="bottom"/>
          </w:tcPr>
          <w:p>
            <w:pPr>
              <w:pStyle w:val="TableContents"/>
              <w:bidi w:val="0"/>
              <w:spacing w:before="0" w:after="283"/>
              <w:jc w:val="left"/>
              <w:rPr/>
            </w:pPr>
            <w:r>
              <w:rPr/>
              <w:t> </w:t>
            </w:r>
          </w:p>
        </w:tc>
      </w:tr>
      <w:tr>
        <w:trPr/>
        <w:tc>
          <w:tcPr>
            <w:tcW w:w="2649" w:type="dxa"/>
            <w:tcBorders/>
            <w:vAlign w:val="bottom"/>
          </w:tcPr>
          <w:p>
            <w:pPr>
              <w:pStyle w:val="TableContents"/>
              <w:bidi w:val="0"/>
              <w:spacing w:before="0" w:after="283"/>
              <w:jc w:val="left"/>
              <w:rPr>
                <w:b/>
              </w:rPr>
            </w:pPr>
            <w:r>
              <w:rPr>
                <w:b/>
              </w:rPr>
              <w:t>Exercise price</w:t>
            </w:r>
          </w:p>
        </w:tc>
        <w:tc>
          <w:tcPr>
            <w:tcW w:w="263" w:type="dxa"/>
            <w:tcBorders/>
            <w:vAlign w:val="bottom"/>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£0.0001</w:t>
            </w:r>
          </w:p>
        </w:tc>
        <w:tc>
          <w:tcPr>
            <w:tcW w:w="158"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2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£0.016</w:t>
            </w:r>
          </w:p>
        </w:tc>
        <w:tc>
          <w:tcPr>
            <w:tcW w:w="158" w:type="dxa"/>
            <w:tcBorders/>
            <w:vAlign w:val="bottom"/>
          </w:tcPr>
          <w:p>
            <w:pPr>
              <w:pStyle w:val="TableContents"/>
              <w:bidi w:val="0"/>
              <w:spacing w:before="0" w:after="283"/>
              <w:jc w:val="left"/>
              <w:rPr/>
            </w:pPr>
            <w:r>
              <w:rPr/>
              <w:t> </w:t>
            </w:r>
          </w:p>
        </w:tc>
        <w:tc>
          <w:tcPr>
            <w:tcW w:w="262" w:type="dxa"/>
            <w:vMerge w:val="continue"/>
            <w:tcBorders/>
            <w:vAlign w:val="bottom"/>
          </w:tcPr>
          <w:p>
            <w:pPr>
              <w:pStyle w:val="Normal"/>
              <w:bidi w:val="0"/>
              <w:jc w:val="left"/>
              <w:rPr/>
            </w:pPr>
            <w:r>
              <w:rPr/>
            </w:r>
          </w:p>
        </w:tc>
        <w:tc>
          <w:tcPr>
            <w:tcW w:w="936" w:type="dxa"/>
            <w:gridSpan w:val="2"/>
            <w:vMerge w:val="continue"/>
            <w:tcBorders>
              <w:bottom w:val="single" w:sz="8" w:space="0" w:color="000000"/>
            </w:tcBorders>
            <w:tcMar>
              <w:bottom w:w="28" w:type="dxa"/>
            </w:tcMar>
            <w:vAlign w:val="bottom"/>
          </w:tcPr>
          <w:p>
            <w:pPr>
              <w:pStyle w:val="Normal"/>
              <w:bidi w:val="0"/>
              <w:jc w:val="left"/>
              <w:rPr/>
            </w:pPr>
            <w:r>
              <w:rPr/>
            </w:r>
          </w:p>
        </w:tc>
        <w:tc>
          <w:tcPr>
            <w:tcW w:w="166" w:type="dxa"/>
            <w:vMerge w:val="continue"/>
            <w:tcBorders/>
            <w:vAlign w:val="bottom"/>
          </w:tcPr>
          <w:p>
            <w:pPr>
              <w:pStyle w:val="Normal"/>
              <w:bidi w:val="0"/>
              <w:jc w:val="left"/>
              <w:rPr/>
            </w:pPr>
            <w:r>
              <w:rPr/>
            </w:r>
          </w:p>
        </w:tc>
      </w:tr>
      <w:tr>
        <w:trPr/>
        <w:tc>
          <w:tcPr>
            <w:tcW w:w="26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on January 1, 2021</w:t>
            </w:r>
          </w:p>
        </w:tc>
        <w:tc>
          <w:tcPr>
            <w:tcW w:w="26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64,065,800</w:t>
            </w:r>
          </w:p>
        </w:tc>
        <w:tc>
          <w:tcPr>
            <w:tcW w:w="15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2155" w:type="dxa"/>
            <w:tcBorders/>
            <w:shd w:fill="CCEEFF" w:val="clear"/>
            <w:vAlign w:val="bottom"/>
          </w:tcPr>
          <w:p>
            <w:pPr>
              <w:pStyle w:val="TableContents"/>
              <w:bidi w:val="0"/>
              <w:spacing w:before="0" w:after="283"/>
              <w:jc w:val="right"/>
              <w:rPr/>
            </w:pPr>
            <w:r>
              <w:rPr/>
              <w:t>18,300,000</w:t>
            </w:r>
          </w:p>
        </w:tc>
        <w:tc>
          <w:tcPr>
            <w:tcW w:w="158"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371,842</w:t>
            </w:r>
          </w:p>
        </w:tc>
        <w:tc>
          <w:tcPr>
            <w:tcW w:w="166" w:type="dxa"/>
            <w:tcBorders/>
            <w:shd w:fill="CCEEFF" w:val="clear"/>
            <w:vAlign w:val="bottom"/>
          </w:tcPr>
          <w:p>
            <w:pPr>
              <w:pStyle w:val="TableContents"/>
              <w:bidi w:val="0"/>
              <w:spacing w:before="0" w:after="283"/>
              <w:jc w:val="left"/>
              <w:rPr/>
            </w:pPr>
            <w:r>
              <w:rPr/>
              <w:t> </w:t>
            </w:r>
          </w:p>
        </w:tc>
      </w:tr>
      <w:tr>
        <w:trPr/>
        <w:tc>
          <w:tcPr>
            <w:tcW w:w="2649" w:type="dxa"/>
            <w:tcBorders/>
          </w:tcPr>
          <w:p>
            <w:pPr>
              <w:pStyle w:val="TableContents"/>
              <w:bidi w:val="0"/>
              <w:spacing w:before="0" w:after="0"/>
              <w:jc w:val="left"/>
              <w:rPr>
                <w:rFonts w:ascii="Times New Roman" w:hAnsi="Times New Roman"/>
                <w:sz w:val="20"/>
              </w:rPr>
            </w:pPr>
            <w:r>
              <w:rPr>
                <w:rFonts w:ascii="Times New Roman" w:hAnsi="Times New Roman"/>
                <w:sz w:val="20"/>
              </w:rPr>
              <w:t>Issued during the year December 31, 2021</w:t>
            </w:r>
          </w:p>
        </w:tc>
        <w:tc>
          <w:tcPr>
            <w:tcW w:w="26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2,000,000</w:t>
            </w:r>
          </w:p>
        </w:tc>
        <w:tc>
          <w:tcPr>
            <w:tcW w:w="158"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15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228</w:t>
            </w:r>
          </w:p>
        </w:tc>
        <w:tc>
          <w:tcPr>
            <w:tcW w:w="166" w:type="dxa"/>
            <w:tcBorders/>
            <w:vAlign w:val="bottom"/>
          </w:tcPr>
          <w:p>
            <w:pPr>
              <w:pStyle w:val="TableContents"/>
              <w:bidi w:val="0"/>
              <w:spacing w:before="0" w:after="283"/>
              <w:jc w:val="left"/>
              <w:rPr/>
            </w:pPr>
            <w:r>
              <w:rPr/>
              <w:t> </w:t>
            </w:r>
          </w:p>
        </w:tc>
      </w:tr>
      <w:tr>
        <w:trPr/>
        <w:tc>
          <w:tcPr>
            <w:tcW w:w="26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 during the year December 31, 2021</w:t>
            </w:r>
          </w:p>
        </w:tc>
        <w:tc>
          <w:tcPr>
            <w:tcW w:w="26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(7,600,000</w:t>
            </w:r>
          </w:p>
        </w:tc>
        <w:tc>
          <w:tcPr>
            <w:tcW w:w="15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2155" w:type="dxa"/>
            <w:tcBorders/>
            <w:shd w:fill="CCEEFF" w:val="clear"/>
            <w:vAlign w:val="bottom"/>
          </w:tcPr>
          <w:p>
            <w:pPr>
              <w:pStyle w:val="TableContents"/>
              <w:bidi w:val="0"/>
              <w:spacing w:before="0" w:after="283"/>
              <w:jc w:val="right"/>
              <w:rPr/>
            </w:pPr>
            <w:r>
              <w:rPr/>
              <w:t>(7,600,000</w:t>
            </w:r>
          </w:p>
        </w:tc>
        <w:tc>
          <w:tcPr>
            <w:tcW w:w="158"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(156,621</w:t>
            </w:r>
          </w:p>
        </w:tc>
        <w:tc>
          <w:tcPr>
            <w:tcW w:w="166" w:type="dxa"/>
            <w:tcBorders/>
            <w:shd w:fill="CCEEFF" w:val="clear"/>
            <w:vAlign w:val="bottom"/>
          </w:tcPr>
          <w:p>
            <w:pPr>
              <w:pStyle w:val="TableContents"/>
              <w:bidi w:val="0"/>
              <w:spacing w:before="0" w:after="283"/>
              <w:jc w:val="left"/>
              <w:rPr/>
            </w:pPr>
            <w:r>
              <w:rPr/>
              <w:t>) </w:t>
            </w:r>
          </w:p>
        </w:tc>
      </w:tr>
      <w:tr>
        <w:trPr/>
        <w:tc>
          <w:tcPr>
            <w:tcW w:w="2649"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21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649" w:type="dxa"/>
            <w:tcBorders/>
          </w:tcPr>
          <w:p>
            <w:pPr>
              <w:pStyle w:val="TableContents"/>
              <w:bidi w:val="0"/>
              <w:spacing w:before="0" w:after="0"/>
              <w:jc w:val="left"/>
              <w:rPr>
                <w:rFonts w:ascii="Times New Roman" w:hAnsi="Times New Roman"/>
                <w:sz w:val="20"/>
              </w:rPr>
            </w:pPr>
            <w:r>
              <w:rPr>
                <w:rFonts w:ascii="Times New Roman" w:hAnsi="Times New Roman"/>
                <w:sz w:val="20"/>
              </w:rPr>
              <w:t>As at December 31, 2021</w:t>
            </w:r>
          </w:p>
        </w:tc>
        <w:tc>
          <w:tcPr>
            <w:tcW w:w="26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58,315,800</w:t>
            </w:r>
          </w:p>
        </w:tc>
        <w:tc>
          <w:tcPr>
            <w:tcW w:w="158"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155" w:type="dxa"/>
            <w:tcBorders/>
            <w:vAlign w:val="bottom"/>
          </w:tcPr>
          <w:p>
            <w:pPr>
              <w:pStyle w:val="TableContents"/>
              <w:bidi w:val="0"/>
              <w:spacing w:before="0" w:after="283"/>
              <w:jc w:val="right"/>
              <w:rPr/>
            </w:pPr>
            <w:r>
              <w:rPr/>
              <w:t>10,700,000</w:t>
            </w:r>
          </w:p>
        </w:tc>
        <w:tc>
          <w:tcPr>
            <w:tcW w:w="158"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215,448</w:t>
            </w:r>
          </w:p>
        </w:tc>
        <w:tc>
          <w:tcPr>
            <w:tcW w:w="166" w:type="dxa"/>
            <w:tcBorders/>
            <w:vAlign w:val="bottom"/>
          </w:tcPr>
          <w:p>
            <w:pPr>
              <w:pStyle w:val="TableContents"/>
              <w:bidi w:val="0"/>
              <w:spacing w:before="0" w:after="283"/>
              <w:jc w:val="left"/>
              <w:rPr/>
            </w:pPr>
            <w:r>
              <w:rPr/>
              <w:t> </w:t>
            </w:r>
          </w:p>
        </w:tc>
      </w:tr>
      <w:tr>
        <w:trPr/>
        <w:tc>
          <w:tcPr>
            <w:tcW w:w="26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Issued during the year December 31, 2022</w:t>
            </w:r>
          </w:p>
        </w:tc>
        <w:tc>
          <w:tcPr>
            <w:tcW w:w="26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215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2649" w:type="dxa"/>
            <w:tcBorders/>
          </w:tcPr>
          <w:p>
            <w:pPr>
              <w:pStyle w:val="TableContents"/>
              <w:bidi w:val="0"/>
              <w:spacing w:before="0" w:after="0"/>
              <w:jc w:val="left"/>
              <w:rPr>
                <w:rFonts w:ascii="Times New Roman" w:hAnsi="Times New Roman"/>
                <w:sz w:val="20"/>
              </w:rPr>
            </w:pPr>
            <w:r>
              <w:rPr>
                <w:rFonts w:ascii="Times New Roman" w:hAnsi="Times New Roman"/>
                <w:sz w:val="20"/>
              </w:rPr>
              <w:t>Forfeited during the year December 31, 2022</w:t>
            </w:r>
          </w:p>
        </w:tc>
        <w:tc>
          <w:tcPr>
            <w:tcW w:w="26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15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2649"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21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64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at December 31, 2022</w:t>
            </w:r>
          </w:p>
        </w:tc>
        <w:tc>
          <w:tcPr>
            <w:tcW w:w="26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b/>
              </w:rPr>
            </w:pPr>
            <w:r>
              <w:rPr>
                <w:b/>
              </w:rPr>
              <w:t>58,315,800</w:t>
            </w:r>
          </w:p>
        </w:tc>
        <w:tc>
          <w:tcPr>
            <w:tcW w:w="15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2155" w:type="dxa"/>
            <w:tcBorders/>
            <w:shd w:fill="CCEEFF" w:val="clear"/>
            <w:vAlign w:val="bottom"/>
          </w:tcPr>
          <w:p>
            <w:pPr>
              <w:pStyle w:val="TableContents"/>
              <w:bidi w:val="0"/>
              <w:spacing w:before="0" w:after="283"/>
              <w:jc w:val="right"/>
              <w:rPr>
                <w:b/>
              </w:rPr>
            </w:pPr>
            <w:r>
              <w:rPr>
                <w:b/>
              </w:rPr>
              <w:t>10,700,000</w:t>
            </w:r>
          </w:p>
        </w:tc>
        <w:tc>
          <w:tcPr>
            <w:tcW w:w="158"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b/>
              </w:rPr>
            </w:pPr>
            <w:r>
              <w:rPr>
                <w:b/>
              </w:rPr>
              <w:t>215,448</w:t>
            </w:r>
          </w:p>
        </w:tc>
        <w:tc>
          <w:tcPr>
            <w:tcW w:w="166" w:type="dxa"/>
            <w:tcBorders/>
            <w:shd w:fill="CCEEFF" w:val="clear"/>
            <w:vAlign w:val="bottom"/>
          </w:tcPr>
          <w:p>
            <w:pPr>
              <w:pStyle w:val="TableContents"/>
              <w:bidi w:val="0"/>
              <w:spacing w:before="0" w:after="283"/>
              <w:jc w:val="left"/>
              <w:rPr/>
            </w:pPr>
            <w:r>
              <w:rPr/>
              <w:t> </w:t>
            </w:r>
          </w:p>
        </w:tc>
      </w:tr>
      <w:tr>
        <w:trPr/>
        <w:tc>
          <w:tcPr>
            <w:tcW w:w="2649"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37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double" w:sz="6" w:space="1" w:color="000000"/>
              </w:pBdr>
              <w:bidi w:val="0"/>
              <w:spacing w:before="0" w:after="0"/>
              <w:jc w:val="left"/>
              <w:rPr/>
            </w:pPr>
            <w:r>
              <w:rPr/>
              <w:t> </w:t>
            </w:r>
          </w:p>
        </w:tc>
        <w:tc>
          <w:tcPr>
            <w:tcW w:w="215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2022, the Company estimates the total share-based payment expense to have been recognized immediately for the grant of 58,315,800 employee shares to be $71,728,434. This estimate uses a fair value per employee share of $1.23 based on a recent funding of the Company at $1.23 per Ordinary share and an exercise price of £0.0001 for each employee share. </w:t>
      </w:r>
    </w:p>
    <w:p>
      <w:pPr>
        <w:pStyle w:val="TextBody"/>
        <w:bidi w:val="0"/>
        <w:spacing w:before="120" w:after="0"/>
        <w:jc w:val="left"/>
        <w:rPr>
          <w:rFonts w:ascii="Times New Roman" w:hAnsi="Times New Roman"/>
          <w:sz w:val="20"/>
        </w:rPr>
      </w:pPr>
      <w:r>
        <w:rPr>
          <w:rFonts w:ascii="Times New Roman" w:hAnsi="Times New Roman"/>
          <w:sz w:val="20"/>
        </w:rPr>
        <w:t xml:space="preserve">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0"/>
        <w:gridCol w:w="9745"/>
      </w:tblGrid>
      <w:tr>
        <w:trPr/>
        <w:tc>
          <w:tcPr>
            <w:tcW w:w="460" w:type="dxa"/>
            <w:tcBorders/>
          </w:tcPr>
          <w:p>
            <w:pPr>
              <w:pStyle w:val="TableContents"/>
              <w:bidi w:val="0"/>
              <w:spacing w:before="0" w:after="283"/>
              <w:jc w:val="left"/>
              <w:rPr>
                <w:b/>
              </w:rPr>
            </w:pPr>
            <w:r>
              <w:rPr>
                <w:b/>
              </w:rPr>
              <w:t>2.18</w:t>
            </w:r>
          </w:p>
        </w:tc>
        <w:tc>
          <w:tcPr>
            <w:tcW w:w="974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 and concentration of credit risk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Level 1Inputs are quoted prices (unadjusted) in active markets for identical assets or liabilities that the Company has the ability to access at the measurement date. </w:t>
      </w:r>
    </w:p>
    <w:p>
      <w:pPr>
        <w:pStyle w:val="TextBody"/>
        <w:bidi w:val="0"/>
        <w:spacing w:before="120" w:after="0"/>
        <w:jc w:val="left"/>
        <w:rPr>
          <w:rFonts w:ascii="Times New Roman" w:hAnsi="Times New Roman"/>
          <w:sz w:val="20"/>
        </w:rPr>
      </w:pPr>
      <w:r>
        <w:rPr>
          <w:rFonts w:ascii="Times New Roman" w:hAnsi="Times New Roman"/>
          <w:sz w:val="20"/>
        </w:rPr>
        <w:t xml:space="preserve">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3Inputs are unobservable inputs for the asset or liability. </w:t>
      </w:r>
    </w:p>
    <w:p>
      <w:pPr>
        <w:pStyle w:val="TextBody"/>
        <w:bidi w:val="0"/>
        <w:spacing w:before="120" w:after="0"/>
        <w:jc w:val="left"/>
        <w:rPr>
          <w:rFonts w:ascii="Times New Roman" w:hAnsi="Times New Roman"/>
          <w:sz w:val="20"/>
        </w:rPr>
      </w:pPr>
      <w:r>
        <w:rPr>
          <w:rFonts w:ascii="Times New Roman" w:hAnsi="Times New Roman"/>
          <w:sz w:val="20"/>
        </w:rPr>
        <w:t xml:space="preserve">The level in the fair value hierarchy within which a fair value measurement in its entirety falls is based on the lowest-level input that is significant to the fair value measurement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Fair value measurement at reporting date: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59"/>
        <w:gridCol w:w="358"/>
        <w:gridCol w:w="228"/>
        <w:gridCol w:w="568"/>
        <w:gridCol w:w="60"/>
        <w:gridCol w:w="358"/>
        <w:gridCol w:w="228"/>
        <w:gridCol w:w="568"/>
        <w:gridCol w:w="60"/>
        <w:gridCol w:w="358"/>
        <w:gridCol w:w="140"/>
        <w:gridCol w:w="1223"/>
        <w:gridCol w:w="64"/>
      </w:tblGrid>
      <w:tr>
        <w:trPr/>
        <w:tc>
          <w:tcPr>
            <w:tcW w:w="4359"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358" w:type="dxa"/>
            <w:tcBorders/>
            <w:vAlign w:val="bottom"/>
          </w:tcPr>
          <w:p>
            <w:pPr>
              <w:pStyle w:val="TableContents"/>
              <w:bidi w:val="0"/>
              <w:spacing w:before="0" w:after="283"/>
              <w:jc w:val="left"/>
              <w:rPr/>
            </w:pPr>
            <w:r>
              <w:rPr/>
              <w:t>  </w:t>
            </w:r>
          </w:p>
        </w:tc>
        <w:tc>
          <w:tcPr>
            <w:tcW w:w="7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7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4" w:type="dxa"/>
            <w:tcBorders/>
            <w:vAlign w:val="bottom"/>
          </w:tcPr>
          <w:p>
            <w:pPr>
              <w:pStyle w:val="TableContents"/>
              <w:bidi w:val="0"/>
              <w:spacing w:before="0" w:after="283"/>
              <w:jc w:val="left"/>
              <w:rPr/>
            </w:pPr>
            <w:r>
              <w:rPr/>
              <w:t> </w:t>
            </w:r>
          </w:p>
        </w:tc>
      </w:tr>
      <w:tr>
        <w:trPr/>
        <w:tc>
          <w:tcPr>
            <w:tcW w:w="43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December 31, 2022</w:t>
            </w:r>
          </w:p>
          <w:p>
            <w:pPr>
              <w:pStyle w:val="TableContents"/>
              <w:bidi w:val="0"/>
              <w:spacing w:before="0" w:after="20"/>
              <w:jc w:val="left"/>
              <w:rPr>
                <w:rFonts w:ascii="Times New Roman" w:hAnsi="Times New Roman"/>
                <w:i/>
                <w:sz w:val="20"/>
              </w:rPr>
            </w:pPr>
            <w:r>
              <w:rPr>
                <w:rFonts w:ascii="Times New Roman" w:hAnsi="Times New Roman"/>
                <w:i/>
                <w:sz w:val="20"/>
              </w:rPr>
              <w:t>Fair value on recurring basis</w:t>
            </w:r>
          </w:p>
        </w:tc>
        <w:tc>
          <w:tcPr>
            <w:tcW w:w="35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359" w:type="dxa"/>
            <w:tcBorders/>
          </w:tcPr>
          <w:p>
            <w:pPr>
              <w:pStyle w:val="TableContents"/>
              <w:bidi w:val="0"/>
              <w:spacing w:before="0" w:after="0"/>
              <w:jc w:val="left"/>
              <w:rPr>
                <w:rFonts w:ascii="Times New Roman" w:hAnsi="Times New Roman"/>
                <w:sz w:val="20"/>
              </w:rPr>
            </w:pPr>
            <w:r>
              <w:rPr>
                <w:rFonts w:ascii="Times New Roman" w:hAnsi="Times New Roman"/>
                <w:sz w:val="20"/>
              </w:rPr>
              <w:t>(1) Share-based payment liability</w:t>
            </w:r>
          </w:p>
        </w:tc>
        <w:tc>
          <w:tcPr>
            <w:tcW w:w="35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1,177,617</w:t>
            </w:r>
          </w:p>
        </w:tc>
        <w:tc>
          <w:tcPr>
            <w:tcW w:w="64" w:type="dxa"/>
            <w:tcBorders/>
            <w:vAlign w:val="bottom"/>
          </w:tcPr>
          <w:p>
            <w:pPr>
              <w:pStyle w:val="TableContents"/>
              <w:bidi w:val="0"/>
              <w:spacing w:before="0" w:after="283"/>
              <w:jc w:val="left"/>
              <w:rPr/>
            </w:pPr>
            <w:r>
              <w:rPr/>
              <w:t> </w:t>
            </w:r>
          </w:p>
        </w:tc>
      </w:tr>
      <w:tr>
        <w:trPr/>
        <w:tc>
          <w:tcPr>
            <w:tcW w:w="43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December 31, 2021</w:t>
            </w:r>
          </w:p>
          <w:p>
            <w:pPr>
              <w:pStyle w:val="TableContents"/>
              <w:bidi w:val="0"/>
              <w:spacing w:before="0" w:after="20"/>
              <w:jc w:val="left"/>
              <w:rPr>
                <w:rFonts w:ascii="Times New Roman" w:hAnsi="Times New Roman"/>
                <w:i/>
                <w:sz w:val="20"/>
              </w:rPr>
            </w:pPr>
            <w:r>
              <w:rPr>
                <w:rFonts w:ascii="Times New Roman" w:hAnsi="Times New Roman"/>
                <w:i/>
                <w:sz w:val="20"/>
              </w:rPr>
              <w:t>Fair value on recurring basis</w:t>
            </w:r>
          </w:p>
        </w:tc>
        <w:tc>
          <w:tcPr>
            <w:tcW w:w="35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359" w:type="dxa"/>
            <w:tcBorders/>
          </w:tcPr>
          <w:p>
            <w:pPr>
              <w:pStyle w:val="TableContents"/>
              <w:bidi w:val="0"/>
              <w:spacing w:before="0" w:after="0"/>
              <w:jc w:val="left"/>
              <w:rPr>
                <w:rFonts w:ascii="Times New Roman" w:hAnsi="Times New Roman"/>
                <w:sz w:val="20"/>
              </w:rPr>
            </w:pPr>
            <w:r>
              <w:rPr>
                <w:rFonts w:ascii="Times New Roman" w:hAnsi="Times New Roman"/>
                <w:sz w:val="20"/>
              </w:rPr>
              <w:t>(1) Share-based payment liability</w:t>
            </w:r>
          </w:p>
        </w:tc>
        <w:tc>
          <w:tcPr>
            <w:tcW w:w="35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1,060,720</w:t>
            </w:r>
          </w:p>
        </w:tc>
        <w:tc>
          <w:tcPr>
            <w:tcW w:w="64" w:type="dxa"/>
            <w:tcBorders/>
            <w:vAlign w:val="bottom"/>
          </w:tcPr>
          <w:p>
            <w:pPr>
              <w:pStyle w:val="TableContents"/>
              <w:bidi w:val="0"/>
              <w:spacing w:before="0" w:after="283"/>
              <w:jc w:val="left"/>
              <w:rPr/>
            </w:pPr>
            <w:r>
              <w:rPr/>
              <w:t> </w:t>
            </w:r>
          </w:p>
        </w:tc>
      </w:tr>
      <w:tr>
        <w:trPr/>
        <w:tc>
          <w:tcPr>
            <w:tcW w:w="4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 Share consideration payable</w:t>
            </w:r>
          </w:p>
        </w:tc>
        <w:tc>
          <w:tcPr>
            <w:tcW w:w="35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14,600,000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fair value of the share-based payment liability was valued using a discounted cash flow method using a risk adjusted discount rate of 10.8%. Please also refer to note 8.4.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fair value of the share consideration payable was based on a recent funding of the Company at $1.03 per ordinary share, before using probability weighted outcomes of settling the outcomes of the share consideration payable and a discounted cash flow of the weighted outcomes using a market-based, risk-free rate.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carrying amount of the Companys cash, accounts receivable, accounts payable and accrued expenses approximated their fair values due to their short term to maturity. </w:t>
      </w:r>
    </w:p>
    <w:p>
      <w:pPr>
        <w:pStyle w:val="TextBody"/>
        <w:bidi w:val="0"/>
        <w:spacing w:before="360" w:after="0"/>
        <w:jc w:val="left"/>
        <w:rPr>
          <w:rFonts w:ascii="Times New Roman" w:hAnsi="Times New Roman"/>
          <w:b/>
          <w:sz w:val="20"/>
        </w:rPr>
      </w:pPr>
      <w:r>
        <w:rPr>
          <w:rFonts w:ascii="Times New Roman" w:hAnsi="Times New Roman"/>
          <w:b/>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Accounts receivable are potentially subject to credit risk concentration. The Company has not experienced any material losses related to concentrations during the years presented. The Company however has a concentration risk related to its contract with the Radio Group such that as at December 31, 2022, 89% of the Companys accounts receivable is through the marketing agreement with the Radio Group. If the marketing agreement with the Radio Group was terminated then such losses due to concentration risk may be material in the future and management makes no assurance that these losses may be avoided. </w:t>
      </w:r>
    </w:p>
    <w:p>
      <w:pPr>
        <w:pStyle w:val="TextBody"/>
        <w:bidi w:val="0"/>
        <w:spacing w:before="360" w:after="0"/>
        <w:jc w:val="left"/>
        <w:rPr>
          <w:rFonts w:ascii="Times New Roman" w:hAnsi="Times New Roman"/>
          <w:b/>
          <w:sz w:val="20"/>
        </w:rPr>
      </w:pPr>
      <w:r>
        <w:rPr>
          <w:rFonts w:ascii="Times New Roman" w:hAnsi="Times New Roman"/>
          <w:b/>
          <w:sz w:val="20"/>
        </w:rPr>
        <w:t xml:space="preserve">Foreign currency risk </w:t>
      </w:r>
    </w:p>
    <w:p>
      <w:pPr>
        <w:pStyle w:val="TextBody"/>
        <w:bidi w:val="0"/>
        <w:spacing w:before="120" w:after="0"/>
        <w:jc w:val="left"/>
        <w:rPr>
          <w:rFonts w:ascii="Times New Roman" w:hAnsi="Times New Roman"/>
          <w:sz w:val="20"/>
        </w:rPr>
      </w:pPr>
      <w:r>
        <w:rPr>
          <w:rFonts w:ascii="Times New Roman" w:hAnsi="Times New Roman"/>
          <w:sz w:val="20"/>
        </w:rPr>
        <w:t xml:space="preserve">All of the Companys revenue is denominated in the Euro (EUR) since the sales of the Company are primarily in Germany. Based upon the Companys level of operations for the year ended December 31, 2022, a sensitivity analysis shows that a 10% appreciation or depreciation in the EUR against the dollar would have increased or decreased, respectively, the Companys revenue for the years ended December 31, 2022 and 2021 by approximately $ 1,232,575 and $ 390,457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5"/>
        <w:gridCol w:w="9730"/>
      </w:tblGrid>
      <w:tr>
        <w:trPr/>
        <w:tc>
          <w:tcPr>
            <w:tcW w:w="475" w:type="dxa"/>
            <w:tcBorders/>
          </w:tcPr>
          <w:p>
            <w:pPr>
              <w:pStyle w:val="TableContents"/>
              <w:bidi w:val="0"/>
              <w:spacing w:before="0" w:after="283"/>
              <w:jc w:val="left"/>
              <w:rPr>
                <w:b/>
              </w:rPr>
            </w:pPr>
            <w:r>
              <w:rPr>
                <w:b/>
              </w:rPr>
              <w:t>2.19</w:t>
            </w:r>
          </w:p>
        </w:tc>
        <w:tc>
          <w:tcPr>
            <w:tcW w:w="973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operating losses in most of the geographies where the Company operates, we concluded that our deferred tax assets on unutilized tax losses were not more likely than not to be realized in the future and a full valuation allowance has been recorded.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0"/>
        <w:gridCol w:w="9735"/>
      </w:tblGrid>
      <w:tr>
        <w:trPr/>
        <w:tc>
          <w:tcPr>
            <w:tcW w:w="470" w:type="dxa"/>
            <w:tcBorders/>
          </w:tcPr>
          <w:p>
            <w:pPr>
              <w:pStyle w:val="TableContents"/>
              <w:bidi w:val="0"/>
              <w:spacing w:before="0" w:after="283"/>
              <w:jc w:val="left"/>
              <w:rPr>
                <w:b/>
              </w:rPr>
            </w:pPr>
            <w:r>
              <w:rPr>
                <w:b/>
              </w:rPr>
              <w:t>2.20</w:t>
            </w:r>
          </w:p>
        </w:tc>
        <w:tc>
          <w:tcPr>
            <w:tcW w:w="973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Loss and earnings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based on the weighted average number of ordinary shares issued and outstanding and is calculated by dividing net loss attributable to ordinary shareholders by the weighted average shares outstanding during the period. </w:t>
      </w:r>
    </w:p>
    <w:p>
      <w:pPr>
        <w:pStyle w:val="TextBody"/>
        <w:bidi w:val="0"/>
        <w:spacing w:before="120" w:after="0"/>
        <w:jc w:val="left"/>
        <w:rPr>
          <w:rFonts w:ascii="Times New Roman" w:hAnsi="Times New Roman"/>
          <w:sz w:val="20"/>
        </w:rPr>
      </w:pPr>
      <w:r>
        <w:rPr>
          <w:rFonts w:ascii="Times New Roman" w:hAnsi="Times New Roman"/>
          <w:sz w:val="20"/>
        </w:rPr>
        <w:t xml:space="preserve">Diluted loss per share is calculated by dividing net loss attributable to ordinary shareholders by the weighted average number of ordinary shares used in the net loss per share calculation plus the number of ordinary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2022 and 2021 the Company incurred net losses and therefore no potential dilutive ordinary share were utilized in the calculation of losses per share.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 </w:t>
      </w:r>
    </w:p>
    <w:p>
      <w:pPr>
        <w:pStyle w:val="TextBody"/>
        <w:bidi w:val="0"/>
        <w:spacing w:before="120" w:after="0"/>
        <w:jc w:val="left"/>
        <w:rPr>
          <w:rFonts w:ascii="Times New Roman" w:hAnsi="Times New Roman"/>
          <w:sz w:val="20"/>
        </w:rPr>
      </w:pPr>
      <w:r>
        <w:rPr>
          <w:rFonts w:ascii="Times New Roman" w:hAnsi="Times New Roman"/>
          <w:sz w:val="20"/>
        </w:rPr>
        <w:t xml:space="preserve">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 </w:t>
      </w:r>
    </w:p>
    <w:p>
      <w:pPr>
        <w:pStyle w:val="TextBody"/>
        <w:bidi w:val="0"/>
        <w:spacing w:before="120" w:after="0"/>
        <w:jc w:val="left"/>
        <w:rPr>
          <w:rFonts w:ascii="Times New Roman" w:hAnsi="Times New Roman"/>
          <w:sz w:val="20"/>
        </w:rPr>
      </w:pPr>
      <w:r>
        <w:rPr>
          <w:rFonts w:ascii="Times New Roman" w:hAnsi="Times New Roman"/>
          <w:sz w:val="20"/>
        </w:rPr>
        <w:t xml:space="preserve">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potential shares of ordinary shares outstanding that were excluded from the computation of diluted net loss per share of ordinary shares as of the periods presented because including them would have been antidilutive: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60"/>
        <w:gridCol w:w="428"/>
        <w:gridCol w:w="101"/>
        <w:gridCol w:w="1857"/>
        <w:gridCol w:w="60"/>
        <w:gridCol w:w="428"/>
        <w:gridCol w:w="101"/>
        <w:gridCol w:w="1857"/>
        <w:gridCol w:w="63"/>
      </w:tblGrid>
      <w:tr>
        <w:trPr/>
        <w:tc>
          <w:tcPr>
            <w:tcW w:w="2860"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860"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60"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63" w:type="dxa"/>
            <w:tcBorders/>
            <w:vAlign w:val="bottom"/>
          </w:tcPr>
          <w:p>
            <w:pPr>
              <w:pStyle w:val="TableContents"/>
              <w:bidi w:val="0"/>
              <w:spacing w:before="0" w:after="283"/>
              <w:jc w:val="left"/>
              <w:rPr/>
            </w:pPr>
            <w:r>
              <w:rPr/>
              <w:t> </w:t>
            </w:r>
          </w:p>
        </w:tc>
      </w:tr>
      <w:tr>
        <w:trPr/>
        <w:tc>
          <w:tcPr>
            <w:tcW w:w="2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debt (note 8.3)</w:t>
            </w:r>
          </w:p>
        </w:tc>
        <w:tc>
          <w:tcPr>
            <w:tcW w:w="42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right"/>
              <w:rPr/>
            </w:pPr>
            <w:r>
              <w:rPr/>
              <w:t>3,428,571</w:t>
            </w:r>
          </w:p>
        </w:tc>
        <w:tc>
          <w:tcPr>
            <w:tcW w:w="60"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right"/>
              <w:rPr/>
            </w:pPr>
            <w:r>
              <w:rPr/>
              <w:t>357,143</w:t>
            </w:r>
          </w:p>
        </w:tc>
        <w:tc>
          <w:tcPr>
            <w:tcW w:w="63" w:type="dxa"/>
            <w:tcBorders/>
            <w:shd w:fill="CCEEFF" w:val="clear"/>
            <w:vAlign w:val="bottom"/>
          </w:tcPr>
          <w:p>
            <w:pPr>
              <w:pStyle w:val="TableContents"/>
              <w:bidi w:val="0"/>
              <w:spacing w:before="0" w:after="283"/>
              <w:jc w:val="left"/>
              <w:rPr/>
            </w:pPr>
            <w:r>
              <w:rPr/>
              <w:t> </w:t>
            </w:r>
          </w:p>
        </w:tc>
      </w:tr>
      <w:tr>
        <w:trPr/>
        <w:tc>
          <w:tcPr>
            <w:tcW w:w="2860" w:type="dxa"/>
            <w:tcBorders/>
          </w:tcPr>
          <w:p>
            <w:pPr>
              <w:pStyle w:val="TableContents"/>
              <w:bidi w:val="0"/>
              <w:spacing w:before="0" w:after="0"/>
              <w:jc w:val="left"/>
              <w:rPr>
                <w:rFonts w:ascii="Times New Roman" w:hAnsi="Times New Roman"/>
                <w:sz w:val="20"/>
              </w:rPr>
            </w:pPr>
            <w:r>
              <w:rPr>
                <w:rFonts w:ascii="Times New Roman" w:hAnsi="Times New Roman"/>
                <w:sz w:val="20"/>
              </w:rPr>
              <w:t>Shares payable (note 8.5)</w:t>
            </w:r>
          </w:p>
        </w:tc>
        <w:tc>
          <w:tcPr>
            <w:tcW w:w="42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right"/>
              <w:rPr/>
            </w:pPr>
            <w:r>
              <w:rPr/>
              <w:t>140,000</w:t>
            </w:r>
          </w:p>
        </w:tc>
        <w:tc>
          <w:tcPr>
            <w:tcW w:w="60"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right"/>
              <w:rPr/>
            </w:pPr>
            <w:r>
              <w:rPr/>
              <w:t>140,000</w:t>
            </w:r>
          </w:p>
        </w:tc>
        <w:tc>
          <w:tcPr>
            <w:tcW w:w="63" w:type="dxa"/>
            <w:tcBorders/>
            <w:vAlign w:val="bottom"/>
          </w:tcPr>
          <w:p>
            <w:pPr>
              <w:pStyle w:val="TableContents"/>
              <w:bidi w:val="0"/>
              <w:spacing w:before="0" w:after="283"/>
              <w:jc w:val="left"/>
              <w:rPr/>
            </w:pPr>
            <w:r>
              <w:rPr/>
              <w:t> </w:t>
            </w:r>
          </w:p>
        </w:tc>
      </w:tr>
      <w:tr>
        <w:trPr/>
        <w:tc>
          <w:tcPr>
            <w:tcW w:w="2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Call Options</w:t>
            </w:r>
          </w:p>
        </w:tc>
        <w:tc>
          <w:tcPr>
            <w:tcW w:w="42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right"/>
              <w:rPr/>
            </w:pPr>
            <w:r>
              <w:rPr/>
              <w:t>8,319,200</w:t>
            </w:r>
          </w:p>
        </w:tc>
        <w:tc>
          <w:tcPr>
            <w:tcW w:w="63" w:type="dxa"/>
            <w:tcBorders/>
            <w:shd w:fill="CCEEFF" w:val="clear"/>
            <w:vAlign w:val="bottom"/>
          </w:tcPr>
          <w:p>
            <w:pPr>
              <w:pStyle w:val="TableContents"/>
              <w:bidi w:val="0"/>
              <w:spacing w:before="0" w:after="283"/>
              <w:jc w:val="left"/>
              <w:rPr/>
            </w:pPr>
            <w:r>
              <w:rPr/>
              <w:t> </w:t>
            </w:r>
          </w:p>
        </w:tc>
      </w:tr>
      <w:tr>
        <w:trPr/>
        <w:tc>
          <w:tcPr>
            <w:tcW w:w="2860"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42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right"/>
              <w:rPr/>
            </w:pPr>
            <w:r>
              <w:rPr/>
              <w:t>9,600,000</w:t>
            </w:r>
          </w:p>
        </w:tc>
        <w:tc>
          <w:tcPr>
            <w:tcW w:w="63" w:type="dxa"/>
            <w:tcBorders/>
            <w:vAlign w:val="bottom"/>
          </w:tcPr>
          <w:p>
            <w:pPr>
              <w:pStyle w:val="TableContents"/>
              <w:bidi w:val="0"/>
              <w:spacing w:before="0" w:after="283"/>
              <w:jc w:val="left"/>
              <w:rPr/>
            </w:pPr>
            <w:r>
              <w:rPr/>
              <w:t> </w:t>
            </w:r>
          </w:p>
        </w:tc>
      </w:tr>
      <w:tr>
        <w:trPr/>
        <w:tc>
          <w:tcPr>
            <w:tcW w:w="2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options</w:t>
            </w:r>
          </w:p>
        </w:tc>
        <w:tc>
          <w:tcPr>
            <w:tcW w:w="42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right"/>
              <w:rPr/>
            </w:pPr>
            <w:r>
              <w:rPr/>
              <w:t>5,200,000</w:t>
            </w:r>
          </w:p>
        </w:tc>
        <w:tc>
          <w:tcPr>
            <w:tcW w:w="60"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2860" w:type="dxa"/>
            <w:tcBorders/>
          </w:tcPr>
          <w:p>
            <w:pPr>
              <w:pStyle w:val="TableContents"/>
              <w:bidi w:val="0"/>
              <w:spacing w:before="0" w:after="0"/>
              <w:jc w:val="left"/>
              <w:rPr>
                <w:rFonts w:ascii="Times New Roman" w:hAnsi="Times New Roman"/>
                <w:sz w:val="20"/>
              </w:rPr>
            </w:pPr>
            <w:r>
              <w:rPr>
                <w:rFonts w:ascii="Times New Roman" w:hAnsi="Times New Roman"/>
                <w:sz w:val="20"/>
              </w:rPr>
              <w:t>Deferred shares</w:t>
            </w:r>
          </w:p>
        </w:tc>
        <w:tc>
          <w:tcPr>
            <w:tcW w:w="42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right"/>
              <w:rPr/>
            </w:pPr>
            <w:r>
              <w:rPr/>
              <w:t>14,427,185</w:t>
            </w:r>
          </w:p>
        </w:tc>
        <w:tc>
          <w:tcPr>
            <w:tcW w:w="60"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2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preferred shares</w:t>
            </w:r>
          </w:p>
        </w:tc>
        <w:tc>
          <w:tcPr>
            <w:tcW w:w="42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right"/>
              <w:rPr/>
            </w:pPr>
            <w:r>
              <w:rPr/>
              <w:t>28,039,517</w:t>
            </w:r>
          </w:p>
        </w:tc>
        <w:tc>
          <w:tcPr>
            <w:tcW w:w="60"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right"/>
              <w:rPr/>
            </w:pPr>
            <w:r>
              <w:rPr/>
              <w:t>28,039,517</w:t>
            </w:r>
          </w:p>
        </w:tc>
        <w:tc>
          <w:tcPr>
            <w:tcW w:w="63" w:type="dxa"/>
            <w:tcBorders/>
            <w:shd w:fill="CCEEFF" w:val="clear"/>
            <w:vAlign w:val="bottom"/>
          </w:tcPr>
          <w:p>
            <w:pPr>
              <w:pStyle w:val="TableContents"/>
              <w:bidi w:val="0"/>
              <w:spacing w:before="0" w:after="283"/>
              <w:jc w:val="left"/>
              <w:rPr/>
            </w:pPr>
            <w:r>
              <w:rPr/>
              <w:t> </w:t>
            </w:r>
          </w:p>
        </w:tc>
      </w:tr>
      <w:tr>
        <w:trPr/>
        <w:tc>
          <w:tcPr>
            <w:tcW w:w="2860"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18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185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8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2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right"/>
              <w:rPr>
                <w:b/>
              </w:rPr>
            </w:pPr>
            <w:r>
              <w:rPr>
                <w:b/>
              </w:rPr>
              <w:t>51,235,273</w:t>
            </w:r>
          </w:p>
        </w:tc>
        <w:tc>
          <w:tcPr>
            <w:tcW w:w="60"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right"/>
              <w:rPr>
                <w:b/>
              </w:rPr>
            </w:pPr>
            <w:r>
              <w:rPr>
                <w:b/>
              </w:rPr>
              <w:t>46,455,860</w:t>
            </w:r>
          </w:p>
        </w:tc>
        <w:tc>
          <w:tcPr>
            <w:tcW w:w="63" w:type="dxa"/>
            <w:tcBorders/>
            <w:vAlign w:val="bottom"/>
          </w:tcPr>
          <w:p>
            <w:pPr>
              <w:pStyle w:val="TableContents"/>
              <w:bidi w:val="0"/>
              <w:spacing w:before="0" w:after="283"/>
              <w:jc w:val="left"/>
              <w:rPr/>
            </w:pPr>
            <w:r>
              <w:rPr/>
              <w:t> </w:t>
            </w:r>
          </w:p>
        </w:tc>
      </w:tr>
      <w:tr>
        <w:trPr/>
        <w:tc>
          <w:tcPr>
            <w:tcW w:w="2860"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18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185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The Company does not include the employee ungranted shares (Note 2.17) as they are contingent on removal of significant restrictions including managements and or the boards rights to cancel the shares any time, restrictions on the right to transfer, to vote and cumulative dividends.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Recently issued accounting pronouncements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ASC 842 Leases </w:t>
      </w:r>
    </w:p>
    <w:p>
      <w:pPr>
        <w:pStyle w:val="TextBody"/>
        <w:bidi w:val="0"/>
        <w:spacing w:before="120" w:after="0"/>
        <w:jc w:val="left"/>
        <w:rPr>
          <w:rFonts w:ascii="Times New Roman" w:hAnsi="Times New Roman"/>
          <w:sz w:val="20"/>
        </w:rPr>
      </w:pPr>
      <w:r>
        <w:rPr>
          <w:rFonts w:ascii="Times New Roman" w:hAnsi="Times New Roman"/>
          <w:sz w:val="20"/>
        </w:rPr>
        <w:t xml:space="preserve">The standard requires all leases with lease terms over twelve months to be capitalized as a right-of-use asset and lease liability on the balance sheet at the date of lease commencement. Leases will be classified as either finance or operating.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distinction will be relevant for the pattern of expense recognition in the statement of operations. This standard was effective for the calendar year ended December 31, 2021. The Company does not have any significant leases and as a result the impact was immaterial. </w:t>
      </w:r>
    </w:p>
    <w:p>
      <w:pPr>
        <w:pStyle w:val="TextBody"/>
        <w:bidi w:val="0"/>
        <w:spacing w:before="120" w:after="0"/>
        <w:jc w:val="left"/>
        <w:rPr>
          <w:rFonts w:ascii="Times New Roman" w:hAnsi="Times New Roman"/>
          <w:sz w:val="20"/>
        </w:rPr>
      </w:pPr>
      <w:r>
        <w:rPr>
          <w:rFonts w:ascii="Times New Roman" w:hAnsi="Times New Roman"/>
          <w:sz w:val="20"/>
        </w:rPr>
        <w:t xml:space="preserve">ASC 326 Financial InstrumentsCredit Losses </w:t>
      </w:r>
    </w:p>
    <w:p>
      <w:pPr>
        <w:pStyle w:val="TextBody"/>
        <w:bidi w:val="0"/>
        <w:spacing w:before="120" w:after="0"/>
        <w:jc w:val="left"/>
        <w:rPr>
          <w:rFonts w:ascii="Times New Roman" w:hAnsi="Times New Roman"/>
          <w:sz w:val="20"/>
        </w:rPr>
      </w:pPr>
      <w:r>
        <w:rPr>
          <w:rFonts w:ascii="Times New Roman" w:hAnsi="Times New Roman"/>
          <w:sz w:val="20"/>
        </w:rPr>
        <w:t xml:space="preserve">The standard requires a financial asset (including trade receivables) measured at amortized cost basis to be presented at the net amount expected to be collected. Thus, the statement of operations will reflect the measurement of credit losses for newly recognized financial assets as well as the expected increases or decreases of expected credit losses that have taken place during the period. This standard will be effective for the calendar year ending December 31, 2023. The Company does not have any allowances for doubtful debts as of December 31, 2022 and 2021. The Company will evaluate the impact when the standard becomes effective. </w:t>
      </w:r>
    </w:p>
    <w:p>
      <w:pPr>
        <w:pStyle w:val="TextBody"/>
        <w:bidi w:val="0"/>
        <w:spacing w:before="120" w:after="0"/>
        <w:jc w:val="left"/>
        <w:rPr>
          <w:rFonts w:ascii="Times New Roman" w:hAnsi="Times New Roman"/>
          <w:sz w:val="20"/>
        </w:rPr>
      </w:pPr>
      <w:r>
        <w:rPr>
          <w:rFonts w:ascii="Times New Roman" w:hAnsi="Times New Roman"/>
          <w:sz w:val="20"/>
        </w:rPr>
        <w:t xml:space="preserve">ASU No. 2021-08, Accounting for Contract Assets and Contract Liabilities from Contracts with Customers (ASU 2021-08) </w:t>
      </w:r>
    </w:p>
    <w:p>
      <w:pPr>
        <w:pStyle w:val="TextBody"/>
        <w:bidi w:val="0"/>
        <w:spacing w:before="120" w:after="0"/>
        <w:jc w:val="left"/>
        <w:rPr>
          <w:rFonts w:ascii="Times New Roman" w:hAnsi="Times New Roman"/>
          <w:sz w:val="20"/>
        </w:rPr>
      </w:pPr>
      <w:r>
        <w:rPr>
          <w:rFonts w:ascii="Times New Roman" w:hAnsi="Times New Roman"/>
          <w:sz w:val="20"/>
        </w:rPr>
        <w:t xml:space="preserve">In October 2021, the FASB issued ASU No. 2021-08, Accounting for Contract Assets and Contract Liabilities from Contracts with Customers (ASU 2021-08), which requires contract assets and contract liabilities acquired in a business combination to be recognized and measured in accordance with Topic 606, Revenue from Contracts with Customers, as if the acquirer had originated the contracts. ASU 2021-08 is effective for annual reporting periods beginning after December 15, 2023, including interim periods within those fiscal years, with early adoption permitted. The main impact of the adoption of ASU 2021-08 will be the recognition of contract assets and contract liabilities in future business combinations at amounts generally consistent with the carrying value of such assets and liabilities of the acquiree immediately before the acquisition date. The Company has not yet determined the anticipated impact of adopting ASU 2021-08. </w:t>
      </w:r>
    </w:p>
    <w:p>
      <w:pPr>
        <w:pStyle w:val="TextBody"/>
        <w:bidi w:val="0"/>
        <w:spacing w:before="120" w:after="0"/>
        <w:jc w:val="left"/>
        <w:rPr>
          <w:rFonts w:ascii="Times New Roman" w:hAnsi="Times New Roman"/>
          <w:sz w:val="20"/>
        </w:rPr>
      </w:pPr>
      <w:r>
        <w:rPr>
          <w:rFonts w:ascii="Times New Roman" w:hAnsi="Times New Roman"/>
          <w:sz w:val="20"/>
        </w:rPr>
        <w:t xml:space="preserve">ASU No. 2019-12 Simplifying the Accounting for Income Taxes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2019, the FASB issued ASU No. 2019-12, Simplifying the Accounting for Income Taxes (ASU 2019-12), which is intended to improve consistency and simplify several areas of existing guidance. ASU 2019-12 removes certain exceptions to the general principles related to the approach for intra period tax allocation, the methodology for calculating income taxes in an interim period and the recognition of deferred tax liabilities for outside basis differences. The new guidance also clarifies the accounting for transactions that result in a step-up in the tax basis of goodwill. We adopted ASU 2019-12 on January 1, 2021, and such adoption had no impact on our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ASU No. 2020-06 DebtDebt with Conversion and Other Options (Subtopic 470-20) and Derivatives and HedgingContracts in Entitys Own Equity (Subtopic 815-40): Accounting for Convertible Instruments and Contracts in an Entitys Own Equity (ASU 2020-06)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the FASB issued ASU No. 2020-06. This ASU simplifies accounting for convertible instruments by removing major separation models required under current U.S. GAAP. Consequently, more convertible debt instruments will be reported as a single liability instrument and more convertible preferred share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ASU 2020-06 amends the diluted earnings per share guidance, including the requirement to use the if-converted method for all convertible instruments. </w:t>
      </w:r>
    </w:p>
    <w:p>
      <w:pPr>
        <w:pStyle w:val="TextBody"/>
        <w:bidi w:val="0"/>
        <w:spacing w:before="120" w:after="0"/>
        <w:jc w:val="left"/>
        <w:rPr>
          <w:rFonts w:ascii="Times New Roman" w:hAnsi="Times New Roman"/>
          <w:sz w:val="20"/>
        </w:rPr>
      </w:pPr>
      <w:r>
        <w:rPr>
          <w:rFonts w:ascii="Times New Roman" w:hAnsi="Times New Roman"/>
          <w:sz w:val="20"/>
        </w:rPr>
        <w:t xml:space="preserve">Our adoption of ASU 2020-06 was performed retrospectively within these consolidated financial statements in the year prior to those years presented. Had we adopted ASU 2020-06 on January 1, 2021 under the modified retrospective method, such adoption would had not have had a material impact on our carve-out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number of amended standards became applicable for the current reporting period. The Company did not have to change its accounting policies or make retrospective adjustments as a result of adopting these amended standards.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Prepayments and other current assets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66"/>
        <w:gridCol w:w="458"/>
        <w:gridCol w:w="244"/>
        <w:gridCol w:w="1780"/>
        <w:gridCol w:w="60"/>
        <w:gridCol w:w="458"/>
        <w:gridCol w:w="244"/>
        <w:gridCol w:w="1780"/>
        <w:gridCol w:w="65"/>
      </w:tblGrid>
      <w:tr>
        <w:trPr/>
        <w:tc>
          <w:tcPr>
            <w:tcW w:w="2666"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66"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0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0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65" w:type="dxa"/>
            <w:tcBorders/>
            <w:vAlign w:val="bottom"/>
          </w:tcPr>
          <w:p>
            <w:pPr>
              <w:pStyle w:val="TableContents"/>
              <w:bidi w:val="0"/>
              <w:spacing w:before="0" w:after="283"/>
              <w:jc w:val="left"/>
              <w:rPr/>
            </w:pPr>
            <w:r>
              <w:rPr/>
              <w:t> </w:t>
            </w:r>
          </w:p>
        </w:tc>
      </w:tr>
      <w:tr>
        <w:trPr/>
        <w:tc>
          <w:tcPr>
            <w:tcW w:w="2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458"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80" w:type="dxa"/>
            <w:tcBorders/>
            <w:shd w:fill="CCEEFF" w:val="clear"/>
            <w:vAlign w:val="bottom"/>
          </w:tcPr>
          <w:p>
            <w:pPr>
              <w:pStyle w:val="TableContents"/>
              <w:bidi w:val="0"/>
              <w:spacing w:before="0" w:after="283"/>
              <w:jc w:val="right"/>
              <w:rPr/>
            </w:pPr>
            <w:r>
              <w:rPr/>
              <w:t>217,270</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80" w:type="dxa"/>
            <w:tcBorders/>
            <w:shd w:fill="CCEEFF" w:val="clear"/>
            <w:vAlign w:val="bottom"/>
          </w:tcPr>
          <w:p>
            <w:pPr>
              <w:pStyle w:val="TableContents"/>
              <w:bidi w:val="0"/>
              <w:spacing w:before="0" w:after="283"/>
              <w:jc w:val="right"/>
              <w:rPr/>
            </w:pPr>
            <w:r>
              <w:rPr/>
              <w:t>572,119</w:t>
            </w:r>
          </w:p>
        </w:tc>
        <w:tc>
          <w:tcPr>
            <w:tcW w:w="65" w:type="dxa"/>
            <w:tcBorders/>
            <w:shd w:fill="CCEEFF" w:val="clear"/>
            <w:vAlign w:val="bottom"/>
          </w:tcPr>
          <w:p>
            <w:pPr>
              <w:pStyle w:val="TableContents"/>
              <w:bidi w:val="0"/>
              <w:spacing w:before="0" w:after="283"/>
              <w:jc w:val="left"/>
              <w:rPr/>
            </w:pPr>
            <w:r>
              <w:rPr/>
              <w:t> </w:t>
            </w:r>
          </w:p>
        </w:tc>
      </w:tr>
      <w:tr>
        <w:trPr/>
        <w:tc>
          <w:tcPr>
            <w:tcW w:w="2666" w:type="dxa"/>
            <w:tcBorders/>
          </w:tcPr>
          <w:p>
            <w:pPr>
              <w:pStyle w:val="TableContents"/>
              <w:bidi w:val="0"/>
              <w:spacing w:before="0" w:after="0"/>
              <w:jc w:val="left"/>
              <w:rPr>
                <w:rFonts w:ascii="Times New Roman" w:hAnsi="Times New Roman"/>
                <w:sz w:val="20"/>
              </w:rPr>
            </w:pPr>
            <w:r>
              <w:rPr>
                <w:rFonts w:ascii="Times New Roman" w:hAnsi="Times New Roman"/>
                <w:sz w:val="20"/>
              </w:rPr>
              <w:t>Receivable from government authorities</w:t>
            </w:r>
          </w:p>
        </w:tc>
        <w:tc>
          <w:tcPr>
            <w:tcW w:w="458"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right"/>
              <w:rPr/>
            </w:pPr>
            <w:r>
              <w:rPr/>
              <w:t>4,155</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right"/>
              <w:rPr/>
            </w:pPr>
            <w:r>
              <w:rPr/>
              <w:t>101,846</w:t>
            </w:r>
          </w:p>
        </w:tc>
        <w:tc>
          <w:tcPr>
            <w:tcW w:w="65" w:type="dxa"/>
            <w:tcBorders/>
            <w:vAlign w:val="bottom"/>
          </w:tcPr>
          <w:p>
            <w:pPr>
              <w:pStyle w:val="TableContents"/>
              <w:bidi w:val="0"/>
              <w:spacing w:before="0" w:after="283"/>
              <w:jc w:val="left"/>
              <w:rPr/>
            </w:pPr>
            <w:r>
              <w:rPr/>
              <w:t> </w:t>
            </w:r>
          </w:p>
        </w:tc>
      </w:tr>
      <w:tr>
        <w:trPr/>
        <w:tc>
          <w:tcPr>
            <w:tcW w:w="2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458"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80" w:type="dxa"/>
            <w:tcBorders/>
            <w:shd w:fill="CCEEFF" w:val="clear"/>
            <w:vAlign w:val="bottom"/>
          </w:tcPr>
          <w:p>
            <w:pPr>
              <w:pStyle w:val="TableContents"/>
              <w:bidi w:val="0"/>
              <w:spacing w:before="0" w:after="283"/>
              <w:jc w:val="right"/>
              <w:rPr/>
            </w:pPr>
            <w:r>
              <w:rPr/>
              <w:t>355,049</w:t>
            </w:r>
          </w:p>
        </w:tc>
        <w:tc>
          <w:tcPr>
            <w:tcW w:w="65" w:type="dxa"/>
            <w:tcBorders/>
            <w:shd w:fill="CCEEFF" w:val="clear"/>
            <w:vAlign w:val="bottom"/>
          </w:tcPr>
          <w:p>
            <w:pPr>
              <w:pStyle w:val="TableContents"/>
              <w:bidi w:val="0"/>
              <w:spacing w:before="0" w:after="283"/>
              <w:jc w:val="left"/>
              <w:rPr/>
            </w:pPr>
            <w:r>
              <w:rPr/>
              <w:t> </w:t>
            </w:r>
          </w:p>
        </w:tc>
      </w:tr>
      <w:tr>
        <w:trPr/>
        <w:tc>
          <w:tcPr>
            <w:tcW w:w="2666" w:type="dxa"/>
            <w:tcBorders/>
          </w:tcPr>
          <w:p>
            <w:pPr>
              <w:pStyle w:val="TableContents"/>
              <w:bidi w:val="0"/>
              <w:spacing w:before="0" w:after="0"/>
              <w:jc w:val="left"/>
              <w:rPr>
                <w:rFonts w:ascii="Times New Roman" w:hAnsi="Times New Roman"/>
                <w:sz w:val="20"/>
              </w:rPr>
            </w:pPr>
            <w:r>
              <w:rPr>
                <w:rFonts w:ascii="Times New Roman" w:hAnsi="Times New Roman"/>
                <w:sz w:val="20"/>
              </w:rPr>
              <w:t>Loans receivable</w:t>
            </w:r>
          </w:p>
        </w:tc>
        <w:tc>
          <w:tcPr>
            <w:tcW w:w="458"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right"/>
              <w:rPr/>
            </w:pPr>
            <w:r>
              <w:rPr/>
              <w:t>598,414</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Input tax credit</w:t>
            </w:r>
          </w:p>
        </w:tc>
        <w:tc>
          <w:tcPr>
            <w:tcW w:w="458"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80" w:type="dxa"/>
            <w:tcBorders/>
            <w:shd w:fill="CCEEFF" w:val="clear"/>
            <w:vAlign w:val="bottom"/>
          </w:tcPr>
          <w:p>
            <w:pPr>
              <w:pStyle w:val="TableContents"/>
              <w:bidi w:val="0"/>
              <w:spacing w:before="0" w:after="283"/>
              <w:jc w:val="right"/>
              <w:rPr/>
            </w:pPr>
            <w:r>
              <w:rPr/>
              <w:t>219,421</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80" w:type="dxa"/>
            <w:tcBorders/>
            <w:shd w:fill="CCEEFF" w:val="clear"/>
            <w:vAlign w:val="bottom"/>
          </w:tcPr>
          <w:p>
            <w:pPr>
              <w:pStyle w:val="TableContents"/>
              <w:bidi w:val="0"/>
              <w:spacing w:before="0" w:after="283"/>
              <w:jc w:val="right"/>
              <w:rPr/>
            </w:pPr>
            <w:r>
              <w:rPr/>
              <w:t>683,362</w:t>
            </w:r>
          </w:p>
        </w:tc>
        <w:tc>
          <w:tcPr>
            <w:tcW w:w="65" w:type="dxa"/>
            <w:tcBorders/>
            <w:shd w:fill="CCEEFF" w:val="clear"/>
            <w:vAlign w:val="bottom"/>
          </w:tcPr>
          <w:p>
            <w:pPr>
              <w:pStyle w:val="TableContents"/>
              <w:bidi w:val="0"/>
              <w:spacing w:before="0" w:after="283"/>
              <w:jc w:val="left"/>
              <w:rPr/>
            </w:pPr>
            <w:r>
              <w:rPr/>
              <w:t> </w:t>
            </w:r>
          </w:p>
        </w:tc>
      </w:tr>
      <w:tr>
        <w:trPr/>
        <w:tc>
          <w:tcPr>
            <w:tcW w:w="2666" w:type="dxa"/>
            <w:tcBorders/>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458"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right"/>
              <w:rPr/>
            </w:pPr>
            <w:r>
              <w:rPr/>
              <w:t>163,312</w:t>
            </w:r>
          </w:p>
        </w:tc>
        <w:tc>
          <w:tcPr>
            <w:tcW w:w="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right"/>
              <w:rPr/>
            </w:pPr>
            <w:r>
              <w:rPr/>
              <w:t>6,669</w:t>
            </w:r>
          </w:p>
        </w:tc>
        <w:tc>
          <w:tcPr>
            <w:tcW w:w="65" w:type="dxa"/>
            <w:tcBorders/>
            <w:vAlign w:val="bottom"/>
          </w:tcPr>
          <w:p>
            <w:pPr>
              <w:pStyle w:val="TableContents"/>
              <w:bidi w:val="0"/>
              <w:spacing w:before="0" w:after="283"/>
              <w:jc w:val="left"/>
              <w:rPr/>
            </w:pPr>
            <w:r>
              <w:rPr/>
              <w:t> </w:t>
            </w:r>
          </w:p>
        </w:tc>
      </w:tr>
      <w:tr>
        <w:trPr/>
        <w:tc>
          <w:tcPr>
            <w:tcW w:w="2666"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8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6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58"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b/>
              </w:rPr>
            </w:pPr>
            <w:r>
              <w:rPr>
                <w:b/>
              </w:rPr>
              <w:t>$</w:t>
            </w:r>
          </w:p>
        </w:tc>
        <w:tc>
          <w:tcPr>
            <w:tcW w:w="1780" w:type="dxa"/>
            <w:tcBorders/>
            <w:shd w:fill="CCEEFF" w:val="clear"/>
            <w:vAlign w:val="bottom"/>
          </w:tcPr>
          <w:p>
            <w:pPr>
              <w:pStyle w:val="TableContents"/>
              <w:bidi w:val="0"/>
              <w:spacing w:before="0" w:after="283"/>
              <w:jc w:val="right"/>
              <w:rPr>
                <w:b/>
              </w:rPr>
            </w:pPr>
            <w:r>
              <w:rPr>
                <w:b/>
              </w:rPr>
              <w:t>1,202,572</w:t>
            </w:r>
          </w:p>
        </w:tc>
        <w:tc>
          <w:tcPr>
            <w:tcW w:w="6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b/>
              </w:rPr>
            </w:pPr>
            <w:r>
              <w:rPr>
                <w:b/>
              </w:rPr>
              <w:t>$</w:t>
            </w:r>
          </w:p>
        </w:tc>
        <w:tc>
          <w:tcPr>
            <w:tcW w:w="1780" w:type="dxa"/>
            <w:tcBorders/>
            <w:shd w:fill="CCEEFF" w:val="clear"/>
            <w:vAlign w:val="bottom"/>
          </w:tcPr>
          <w:p>
            <w:pPr>
              <w:pStyle w:val="TableContents"/>
              <w:bidi w:val="0"/>
              <w:spacing w:before="0" w:after="283"/>
              <w:jc w:val="right"/>
              <w:rPr>
                <w:b/>
              </w:rPr>
            </w:pPr>
            <w:r>
              <w:rPr>
                <w:b/>
              </w:rPr>
              <w:t>1,719,045</w:t>
            </w:r>
          </w:p>
        </w:tc>
        <w:tc>
          <w:tcPr>
            <w:tcW w:w="65" w:type="dxa"/>
            <w:tcBorders/>
            <w:shd w:fill="CCEEFF" w:val="clear"/>
            <w:vAlign w:val="bottom"/>
          </w:tcPr>
          <w:p>
            <w:pPr>
              <w:pStyle w:val="TableContents"/>
              <w:bidi w:val="0"/>
              <w:spacing w:before="0" w:after="283"/>
              <w:jc w:val="left"/>
              <w:rPr/>
            </w:pPr>
            <w:r>
              <w:rPr/>
              <w:t> </w:t>
            </w:r>
          </w:p>
        </w:tc>
      </w:tr>
      <w:tr>
        <w:trPr/>
        <w:tc>
          <w:tcPr>
            <w:tcW w:w="2666"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7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78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loans receivable consists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$406,827 including accrued interest loaned to Neighbor, Inc. (Swipeby). The loan allows up to $65,000 to be loaned to Swipeby on a monthly basis beginning in July 2022. The loan bears interest of 8% and matures at the earlier of 1) The Company acquiring Swipeby or 2) December 31, 2022. The loan agreement was amended on February 23, 2023 such that the maturity date was extended to the earlier of 1) The Company acquiring Swipeby or 2) June 30,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$181,816 loaned to Grupo Hanhei Sapi de CV (Moneymatic). The loan initially provided $100,000 in August 2022, plus up to $25,000 per month terminating on October 31, 2022 while the Company completes integration of the Companys technology into Moneymatics applications. As of the date of issuance of these Carve-out Consolidated Financial Statement, the loan maturity date was in the process of being amended to mature past the original October 31, 2022 termination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net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43"/>
        <w:gridCol w:w="458"/>
        <w:gridCol w:w="291"/>
        <w:gridCol w:w="1700"/>
        <w:gridCol w:w="155"/>
        <w:gridCol w:w="458"/>
        <w:gridCol w:w="291"/>
        <w:gridCol w:w="1700"/>
        <w:gridCol w:w="159"/>
      </w:tblGrid>
      <w:tr>
        <w:trPr/>
        <w:tc>
          <w:tcPr>
            <w:tcW w:w="2543"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43"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9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155"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9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159" w:type="dxa"/>
            <w:tcBorders/>
            <w:vAlign w:val="bottom"/>
          </w:tcPr>
          <w:p>
            <w:pPr>
              <w:pStyle w:val="TableContents"/>
              <w:bidi w:val="0"/>
              <w:spacing w:before="0" w:after="283"/>
              <w:jc w:val="left"/>
              <w:rPr/>
            </w:pPr>
            <w:r>
              <w:rPr/>
              <w:t> </w:t>
            </w:r>
          </w:p>
        </w:tc>
      </w:tr>
      <w:tr>
        <w:trPr/>
        <w:tc>
          <w:tcPr>
            <w:tcW w:w="2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Computers</w:t>
            </w:r>
          </w:p>
        </w:tc>
        <w:tc>
          <w:tcPr>
            <w:tcW w:w="458"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168,298</w:t>
            </w:r>
          </w:p>
        </w:tc>
        <w:tc>
          <w:tcPr>
            <w:tcW w:w="155"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145,186</w:t>
            </w:r>
          </w:p>
        </w:tc>
        <w:tc>
          <w:tcPr>
            <w:tcW w:w="159" w:type="dxa"/>
            <w:tcBorders/>
            <w:shd w:fill="CCEEFF" w:val="clear"/>
            <w:vAlign w:val="bottom"/>
          </w:tcPr>
          <w:p>
            <w:pPr>
              <w:pStyle w:val="TableContents"/>
              <w:bidi w:val="0"/>
              <w:spacing w:before="0" w:after="283"/>
              <w:jc w:val="left"/>
              <w:rPr/>
            </w:pPr>
            <w:r>
              <w:rPr/>
              <w:t> </w:t>
            </w:r>
          </w:p>
        </w:tc>
      </w:tr>
      <w:tr>
        <w:trPr/>
        <w:tc>
          <w:tcPr>
            <w:tcW w:w="2543" w:type="dxa"/>
            <w:tcBorders/>
          </w:tcPr>
          <w:p>
            <w:pPr>
              <w:pStyle w:val="TableContents"/>
              <w:bidi w:val="0"/>
              <w:spacing w:before="0" w:after="0"/>
              <w:jc w:val="left"/>
              <w:rPr>
                <w:rFonts w:ascii="Times New Roman" w:hAnsi="Times New Roman"/>
                <w:sz w:val="20"/>
              </w:rPr>
            </w:pPr>
            <w:r>
              <w:rPr>
                <w:rFonts w:ascii="Times New Roman" w:hAnsi="Times New Roman"/>
                <w:sz w:val="20"/>
              </w:rPr>
              <w:t>Office equipment</w:t>
            </w:r>
          </w:p>
        </w:tc>
        <w:tc>
          <w:tcPr>
            <w:tcW w:w="458"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49,972</w:t>
            </w:r>
          </w:p>
        </w:tc>
        <w:tc>
          <w:tcPr>
            <w:tcW w:w="155"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49,682</w:t>
            </w:r>
          </w:p>
        </w:tc>
        <w:tc>
          <w:tcPr>
            <w:tcW w:w="159" w:type="dxa"/>
            <w:tcBorders/>
            <w:vAlign w:val="bottom"/>
          </w:tcPr>
          <w:p>
            <w:pPr>
              <w:pStyle w:val="TableContents"/>
              <w:bidi w:val="0"/>
              <w:spacing w:before="0" w:after="283"/>
              <w:jc w:val="left"/>
              <w:rPr/>
            </w:pPr>
            <w:r>
              <w:rPr/>
              <w:t> </w:t>
            </w:r>
          </w:p>
        </w:tc>
      </w:tr>
      <w:tr>
        <w:trPr/>
        <w:tc>
          <w:tcPr>
            <w:tcW w:w="2543"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 Accumulated depreciation</w:t>
            </w:r>
          </w:p>
        </w:tc>
        <w:tc>
          <w:tcPr>
            <w:tcW w:w="458"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(78,710</w:t>
            </w:r>
          </w:p>
        </w:tc>
        <w:tc>
          <w:tcPr>
            <w:tcW w:w="155"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(33,584</w:t>
            </w:r>
          </w:p>
        </w:tc>
        <w:tc>
          <w:tcPr>
            <w:tcW w:w="159" w:type="dxa"/>
            <w:tcBorders/>
            <w:shd w:fill="CCEEFF" w:val="clear"/>
            <w:vAlign w:val="bottom"/>
          </w:tcPr>
          <w:p>
            <w:pPr>
              <w:pStyle w:val="TableContents"/>
              <w:bidi w:val="0"/>
              <w:spacing w:before="0" w:after="283"/>
              <w:jc w:val="left"/>
              <w:rPr/>
            </w:pPr>
            <w:r>
              <w:rPr/>
              <w:t>) </w:t>
            </w:r>
          </w:p>
        </w:tc>
      </w:tr>
      <w:tr>
        <w:trPr/>
        <w:tc>
          <w:tcPr>
            <w:tcW w:w="2543"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54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Property and equipment, net</w:t>
            </w:r>
          </w:p>
        </w:tc>
        <w:tc>
          <w:tcPr>
            <w:tcW w:w="458"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b/>
              </w:rPr>
            </w:pPr>
            <w:r>
              <w:rPr>
                <w:b/>
              </w:rPr>
              <w:t>$</w:t>
            </w:r>
          </w:p>
        </w:tc>
        <w:tc>
          <w:tcPr>
            <w:tcW w:w="1700" w:type="dxa"/>
            <w:tcBorders/>
            <w:vAlign w:val="bottom"/>
          </w:tcPr>
          <w:p>
            <w:pPr>
              <w:pStyle w:val="TableContents"/>
              <w:bidi w:val="0"/>
              <w:spacing w:before="0" w:after="283"/>
              <w:jc w:val="right"/>
              <w:rPr>
                <w:b/>
              </w:rPr>
            </w:pPr>
            <w:r>
              <w:rPr>
                <w:b/>
              </w:rPr>
              <w:t>139,560</w:t>
            </w:r>
          </w:p>
        </w:tc>
        <w:tc>
          <w:tcPr>
            <w:tcW w:w="155"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b/>
              </w:rPr>
            </w:pPr>
            <w:r>
              <w:rPr>
                <w:b/>
              </w:rPr>
              <w:t>$</w:t>
            </w:r>
          </w:p>
        </w:tc>
        <w:tc>
          <w:tcPr>
            <w:tcW w:w="1700" w:type="dxa"/>
            <w:tcBorders/>
            <w:vAlign w:val="bottom"/>
          </w:tcPr>
          <w:p>
            <w:pPr>
              <w:pStyle w:val="TableContents"/>
              <w:bidi w:val="0"/>
              <w:spacing w:before="0" w:after="283"/>
              <w:jc w:val="right"/>
              <w:rPr>
                <w:b/>
              </w:rPr>
            </w:pPr>
            <w:r>
              <w:rPr>
                <w:b/>
              </w:rPr>
              <w:t>161,284</w:t>
            </w:r>
          </w:p>
        </w:tc>
        <w:tc>
          <w:tcPr>
            <w:tcW w:w="159" w:type="dxa"/>
            <w:tcBorders/>
            <w:vAlign w:val="bottom"/>
          </w:tcPr>
          <w:p>
            <w:pPr>
              <w:pStyle w:val="TableContents"/>
              <w:bidi w:val="0"/>
              <w:spacing w:before="0" w:after="283"/>
              <w:jc w:val="left"/>
              <w:rPr/>
            </w:pPr>
            <w:r>
              <w:rPr/>
              <w:t> </w:t>
            </w:r>
          </w:p>
        </w:tc>
      </w:tr>
      <w:tr>
        <w:trPr/>
        <w:tc>
          <w:tcPr>
            <w:tcW w:w="2543"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Depreciation expense for the years ended December 31, 2022 and 2021 was $45,126 and $15,649 respectively. During the year ended December 31, 2022, the Company recognized disposals of office equipment of $2,571. In the year ended December 31, 2021 the Company recognized disposals of office equipment of $30,400.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net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69"/>
        <w:gridCol w:w="417"/>
        <w:gridCol w:w="231"/>
        <w:gridCol w:w="1788"/>
        <w:gridCol w:w="155"/>
        <w:gridCol w:w="417"/>
        <w:gridCol w:w="245"/>
        <w:gridCol w:w="1775"/>
        <w:gridCol w:w="158"/>
      </w:tblGrid>
      <w:tr>
        <w:trPr/>
        <w:tc>
          <w:tcPr>
            <w:tcW w:w="2569"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69"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158" w:type="dxa"/>
            <w:tcBorders/>
            <w:vAlign w:val="bottom"/>
          </w:tcPr>
          <w:p>
            <w:pPr>
              <w:pStyle w:val="TableContents"/>
              <w:bidi w:val="0"/>
              <w:spacing w:before="0" w:after="283"/>
              <w:jc w:val="left"/>
              <w:rPr/>
            </w:pPr>
            <w:r>
              <w:rPr/>
              <w:t> </w:t>
            </w:r>
          </w:p>
        </w:tc>
      </w:tr>
      <w:tr>
        <w:trPr/>
        <w:tc>
          <w:tcPr>
            <w:tcW w:w="25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41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788" w:type="dxa"/>
            <w:tcBorders/>
            <w:shd w:fill="CCEEFF" w:val="clear"/>
            <w:vAlign w:val="bottom"/>
          </w:tcPr>
          <w:p>
            <w:pPr>
              <w:pStyle w:val="TableContents"/>
              <w:bidi w:val="0"/>
              <w:spacing w:before="0" w:after="283"/>
              <w:jc w:val="right"/>
              <w:rPr/>
            </w:pPr>
            <w:r>
              <w:rPr/>
              <w:t>989,400</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775" w:type="dxa"/>
            <w:tcBorders/>
            <w:shd w:fill="CCEEFF" w:val="clear"/>
            <w:vAlign w:val="bottom"/>
          </w:tcPr>
          <w:p>
            <w:pPr>
              <w:pStyle w:val="TableContents"/>
              <w:bidi w:val="0"/>
              <w:spacing w:before="0" w:after="283"/>
              <w:jc w:val="right"/>
              <w:rPr/>
            </w:pPr>
            <w:r>
              <w:rPr/>
              <w:t>989,400</w:t>
            </w:r>
          </w:p>
        </w:tc>
        <w:tc>
          <w:tcPr>
            <w:tcW w:w="158" w:type="dxa"/>
            <w:tcBorders/>
            <w:shd w:fill="CCEEFF" w:val="clear"/>
            <w:vAlign w:val="bottom"/>
          </w:tcPr>
          <w:p>
            <w:pPr>
              <w:pStyle w:val="TableContents"/>
              <w:bidi w:val="0"/>
              <w:spacing w:before="0" w:after="283"/>
              <w:jc w:val="left"/>
              <w:rPr/>
            </w:pPr>
            <w:r>
              <w:rPr/>
              <w:t> </w:t>
            </w:r>
          </w:p>
        </w:tc>
      </w:tr>
      <w:tr>
        <w:trPr/>
        <w:tc>
          <w:tcPr>
            <w:tcW w:w="2569" w:type="dxa"/>
            <w:tcBorders/>
          </w:tcPr>
          <w:p>
            <w:pPr>
              <w:pStyle w:val="TableContents"/>
              <w:bidi w:val="0"/>
              <w:spacing w:before="0" w:after="0"/>
              <w:jc w:val="left"/>
              <w:rPr>
                <w:rFonts w:ascii="Times New Roman" w:hAnsi="Times New Roman"/>
                <w:sz w:val="20"/>
              </w:rPr>
            </w:pPr>
            <w:r>
              <w:rPr>
                <w:rFonts w:ascii="Times New Roman" w:hAnsi="Times New Roman"/>
                <w:sz w:val="20"/>
              </w:rPr>
              <w:t>Customer list</w:t>
            </w:r>
          </w:p>
        </w:tc>
        <w:tc>
          <w:tcPr>
            <w:tcW w:w="41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7,093,574</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7,093,574</w:t>
            </w:r>
          </w:p>
        </w:tc>
        <w:tc>
          <w:tcPr>
            <w:tcW w:w="158" w:type="dxa"/>
            <w:tcBorders/>
            <w:vAlign w:val="bottom"/>
          </w:tcPr>
          <w:p>
            <w:pPr>
              <w:pStyle w:val="TableContents"/>
              <w:bidi w:val="0"/>
              <w:spacing w:before="0" w:after="283"/>
              <w:jc w:val="left"/>
              <w:rPr/>
            </w:pPr>
            <w:r>
              <w:rPr/>
              <w:t> </w:t>
            </w:r>
          </w:p>
        </w:tc>
      </w:tr>
      <w:tr>
        <w:trPr/>
        <w:tc>
          <w:tcPr>
            <w:tcW w:w="25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1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31,312</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31,312</w:t>
            </w:r>
          </w:p>
        </w:tc>
        <w:tc>
          <w:tcPr>
            <w:tcW w:w="158" w:type="dxa"/>
            <w:tcBorders/>
            <w:shd w:fill="CCEEFF" w:val="clear"/>
            <w:vAlign w:val="bottom"/>
          </w:tcPr>
          <w:p>
            <w:pPr>
              <w:pStyle w:val="TableContents"/>
              <w:bidi w:val="0"/>
              <w:spacing w:before="0" w:after="283"/>
              <w:jc w:val="left"/>
              <w:rPr/>
            </w:pPr>
            <w:r>
              <w:rPr/>
              <w:t> </w:t>
            </w:r>
          </w:p>
        </w:tc>
      </w:tr>
      <w:tr>
        <w:trPr/>
        <w:tc>
          <w:tcPr>
            <w:tcW w:w="2569"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569" w:type="dxa"/>
            <w:tcBorders/>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b/>
              </w:rPr>
            </w:pPr>
            <w:r>
              <w:rPr>
                <w:b/>
              </w:rPr>
              <w:t>8,114,286</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b/>
              </w:rPr>
            </w:pPr>
            <w:r>
              <w:rPr>
                <w:b/>
              </w:rPr>
              <w:t>8,114,286</w:t>
            </w:r>
          </w:p>
        </w:tc>
        <w:tc>
          <w:tcPr>
            <w:tcW w:w="158" w:type="dxa"/>
            <w:tcBorders/>
            <w:vAlign w:val="bottom"/>
          </w:tcPr>
          <w:p>
            <w:pPr>
              <w:pStyle w:val="TableContents"/>
              <w:bidi w:val="0"/>
              <w:spacing w:before="0" w:after="283"/>
              <w:jc w:val="left"/>
              <w:rPr/>
            </w:pPr>
            <w:r>
              <w:rPr/>
              <w:t> </w:t>
            </w:r>
          </w:p>
        </w:tc>
      </w:tr>
      <w:tr>
        <w:trPr/>
        <w:tc>
          <w:tcPr>
            <w:tcW w:w="25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41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788" w:type="dxa"/>
            <w:tcBorders/>
            <w:shd w:fill="CCEEFF" w:val="clear"/>
            <w:vAlign w:val="bottom"/>
          </w:tcPr>
          <w:p>
            <w:pPr>
              <w:pStyle w:val="TableContents"/>
              <w:bidi w:val="0"/>
              <w:spacing w:before="0" w:after="283"/>
              <w:jc w:val="right"/>
              <w:rPr/>
            </w:pPr>
            <w:r>
              <w:rPr/>
              <w:t>(624,790</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(239,920</w:t>
            </w:r>
          </w:p>
        </w:tc>
        <w:tc>
          <w:tcPr>
            <w:tcW w:w="158" w:type="dxa"/>
            <w:tcBorders/>
            <w:shd w:fill="CCEEFF" w:val="clear"/>
            <w:vAlign w:val="bottom"/>
          </w:tcPr>
          <w:p>
            <w:pPr>
              <w:pStyle w:val="TableContents"/>
              <w:bidi w:val="0"/>
              <w:spacing w:before="0" w:after="283"/>
              <w:jc w:val="left"/>
              <w:rPr/>
            </w:pPr>
            <w:r>
              <w:rPr/>
              <w:t>) </w:t>
            </w:r>
          </w:p>
        </w:tc>
      </w:tr>
      <w:tr>
        <w:trPr/>
        <w:tc>
          <w:tcPr>
            <w:tcW w:w="2569" w:type="dxa"/>
            <w:tcBorders/>
          </w:tcPr>
          <w:p>
            <w:pPr>
              <w:pStyle w:val="TableContents"/>
              <w:bidi w:val="0"/>
              <w:spacing w:before="0" w:after="0"/>
              <w:jc w:val="left"/>
              <w:rPr>
                <w:rFonts w:ascii="Times New Roman" w:hAnsi="Times New Roman"/>
                <w:sz w:val="20"/>
              </w:rPr>
            </w:pPr>
            <w:r>
              <w:rPr>
                <w:rFonts w:ascii="Times New Roman" w:hAnsi="Times New Roman"/>
                <w:sz w:val="20"/>
              </w:rPr>
              <w:t>Less  Accumulated amortization</w:t>
            </w:r>
          </w:p>
        </w:tc>
        <w:tc>
          <w:tcPr>
            <w:tcW w:w="41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788" w:type="dxa"/>
            <w:tcBorders/>
            <w:vAlign w:val="bottom"/>
          </w:tcPr>
          <w:p>
            <w:pPr>
              <w:pStyle w:val="TableContents"/>
              <w:bidi w:val="0"/>
              <w:spacing w:before="0" w:after="283"/>
              <w:jc w:val="right"/>
              <w:rPr/>
            </w:pPr>
            <w:r>
              <w:rPr/>
              <w:t>(1,252,053</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(557,637</w:t>
            </w:r>
          </w:p>
        </w:tc>
        <w:tc>
          <w:tcPr>
            <w:tcW w:w="158" w:type="dxa"/>
            <w:tcBorders/>
            <w:vAlign w:val="bottom"/>
          </w:tcPr>
          <w:p>
            <w:pPr>
              <w:pStyle w:val="TableContents"/>
              <w:bidi w:val="0"/>
              <w:spacing w:before="0" w:after="283"/>
              <w:jc w:val="left"/>
              <w:rPr/>
            </w:pPr>
            <w:r>
              <w:rPr/>
              <w:t>) </w:t>
            </w:r>
          </w:p>
        </w:tc>
      </w:tr>
      <w:tr>
        <w:trPr/>
        <w:tc>
          <w:tcPr>
            <w:tcW w:w="2569"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5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Intangible assets, net</w:t>
            </w:r>
          </w:p>
        </w:tc>
        <w:tc>
          <w:tcPr>
            <w:tcW w:w="417"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1788" w:type="dxa"/>
            <w:tcBorders/>
            <w:shd w:fill="CCEEFF" w:val="clear"/>
            <w:vAlign w:val="bottom"/>
          </w:tcPr>
          <w:p>
            <w:pPr>
              <w:pStyle w:val="TableContents"/>
              <w:bidi w:val="0"/>
              <w:spacing w:before="0" w:after="283"/>
              <w:jc w:val="right"/>
              <w:rPr>
                <w:b/>
              </w:rPr>
            </w:pPr>
            <w:r>
              <w:rPr>
                <w:b/>
              </w:rPr>
              <w:t>6,237,443</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b/>
              </w:rPr>
            </w:pPr>
            <w:r>
              <w:rPr>
                <w:b/>
              </w:rPr>
              <w:t>$</w:t>
            </w:r>
          </w:p>
        </w:tc>
        <w:tc>
          <w:tcPr>
            <w:tcW w:w="1775" w:type="dxa"/>
            <w:tcBorders/>
            <w:shd w:fill="CCEEFF" w:val="clear"/>
            <w:vAlign w:val="bottom"/>
          </w:tcPr>
          <w:p>
            <w:pPr>
              <w:pStyle w:val="TableContents"/>
              <w:bidi w:val="0"/>
              <w:spacing w:before="0" w:after="283"/>
              <w:jc w:val="right"/>
              <w:rPr>
                <w:b/>
              </w:rPr>
            </w:pPr>
            <w:r>
              <w:rPr>
                <w:b/>
              </w:rPr>
              <w:t>7,316,729</w:t>
            </w:r>
          </w:p>
        </w:tc>
        <w:tc>
          <w:tcPr>
            <w:tcW w:w="158" w:type="dxa"/>
            <w:tcBorders/>
            <w:shd w:fill="CCEEFF" w:val="clear"/>
            <w:vAlign w:val="bottom"/>
          </w:tcPr>
          <w:p>
            <w:pPr>
              <w:pStyle w:val="TableContents"/>
              <w:bidi w:val="0"/>
              <w:spacing w:before="0" w:after="283"/>
              <w:jc w:val="left"/>
              <w:rPr/>
            </w:pPr>
            <w:r>
              <w:rPr/>
              <w:t> </w:t>
            </w:r>
          </w:p>
        </w:tc>
      </w:tr>
      <w:tr>
        <w:trPr/>
        <w:tc>
          <w:tcPr>
            <w:tcW w:w="2569"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7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7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Amortization expense for the years ended December 31, 2022 and 2021 was $694,416 and $414,443 respectively. The customer list intangible acquired in the business combination of Any Lifestyle Management GmbH (note 15) is depreciated over its estimated useful life of 13 years.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expected amortization expense over the remaining intangible asset lives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59"/>
        <w:gridCol w:w="416"/>
        <w:gridCol w:w="141"/>
        <w:gridCol w:w="1160"/>
        <w:gridCol w:w="63"/>
      </w:tblGrid>
      <w:tr>
        <w:trPr/>
        <w:tc>
          <w:tcPr>
            <w:tcW w:w="5159"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4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788,608</w:t>
            </w:r>
          </w:p>
        </w:tc>
        <w:tc>
          <w:tcPr>
            <w:tcW w:w="63" w:type="dxa"/>
            <w:tcBorders/>
            <w:shd w:fill="CCEEFF" w:val="clear"/>
            <w:vAlign w:val="bottom"/>
          </w:tcPr>
          <w:p>
            <w:pPr>
              <w:pStyle w:val="TableContents"/>
              <w:bidi w:val="0"/>
              <w:spacing w:before="0" w:after="283"/>
              <w:jc w:val="left"/>
              <w:rPr/>
            </w:pPr>
            <w:r>
              <w:rPr/>
              <w:t> </w:t>
            </w:r>
          </w:p>
        </w:tc>
      </w:tr>
      <w:tr>
        <w:trPr/>
        <w:tc>
          <w:tcPr>
            <w:tcW w:w="5159" w:type="dxa"/>
            <w:tcBorders/>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788,608</w:t>
            </w:r>
          </w:p>
        </w:tc>
        <w:tc>
          <w:tcPr>
            <w:tcW w:w="63" w:type="dxa"/>
            <w:tcBorders/>
            <w:vAlign w:val="bottom"/>
          </w:tcPr>
          <w:p>
            <w:pPr>
              <w:pStyle w:val="TableContents"/>
              <w:bidi w:val="0"/>
              <w:spacing w:before="0" w:after="283"/>
              <w:jc w:val="left"/>
              <w:rPr/>
            </w:pPr>
            <w:r>
              <w:rPr/>
              <w:t> </w:t>
            </w:r>
          </w:p>
        </w:tc>
      </w:tr>
      <w:tr>
        <w:trPr/>
        <w:tc>
          <w:tcPr>
            <w:tcW w:w="51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688,495</w:t>
            </w:r>
          </w:p>
        </w:tc>
        <w:tc>
          <w:tcPr>
            <w:tcW w:w="63" w:type="dxa"/>
            <w:tcBorders/>
            <w:shd w:fill="CCEEFF" w:val="clear"/>
            <w:vAlign w:val="bottom"/>
          </w:tcPr>
          <w:p>
            <w:pPr>
              <w:pStyle w:val="TableContents"/>
              <w:bidi w:val="0"/>
              <w:spacing w:before="0" w:after="283"/>
              <w:jc w:val="left"/>
              <w:rPr/>
            </w:pPr>
            <w:r>
              <w:rPr/>
              <w:t> </w:t>
            </w:r>
          </w:p>
        </w:tc>
      </w:tr>
      <w:tr>
        <w:trPr/>
        <w:tc>
          <w:tcPr>
            <w:tcW w:w="5159"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547,647</w:t>
            </w:r>
          </w:p>
        </w:tc>
        <w:tc>
          <w:tcPr>
            <w:tcW w:w="63" w:type="dxa"/>
            <w:tcBorders/>
            <w:vAlign w:val="bottom"/>
          </w:tcPr>
          <w:p>
            <w:pPr>
              <w:pStyle w:val="TableContents"/>
              <w:bidi w:val="0"/>
              <w:spacing w:before="0" w:after="283"/>
              <w:jc w:val="left"/>
              <w:rPr/>
            </w:pPr>
            <w:r>
              <w:rPr/>
              <w:t> </w:t>
            </w:r>
          </w:p>
        </w:tc>
      </w:tr>
      <w:tr>
        <w:trPr/>
        <w:tc>
          <w:tcPr>
            <w:tcW w:w="51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590,728</w:t>
            </w:r>
          </w:p>
        </w:tc>
        <w:tc>
          <w:tcPr>
            <w:tcW w:w="63" w:type="dxa"/>
            <w:tcBorders/>
            <w:shd w:fill="CCEEFF" w:val="clear"/>
            <w:vAlign w:val="bottom"/>
          </w:tcPr>
          <w:p>
            <w:pPr>
              <w:pStyle w:val="TableContents"/>
              <w:bidi w:val="0"/>
              <w:spacing w:before="0" w:after="283"/>
              <w:jc w:val="left"/>
              <w:rPr/>
            </w:pPr>
            <w:r>
              <w:rPr/>
              <w:t> </w:t>
            </w:r>
          </w:p>
        </w:tc>
      </w:tr>
      <w:tr>
        <w:trPr/>
        <w:tc>
          <w:tcPr>
            <w:tcW w:w="5159"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2,833,353</w:t>
            </w:r>
          </w:p>
        </w:tc>
        <w:tc>
          <w:tcPr>
            <w:tcW w:w="63" w:type="dxa"/>
            <w:tcBorders/>
            <w:vAlign w:val="bottom"/>
          </w:tcPr>
          <w:p>
            <w:pPr>
              <w:pStyle w:val="TableContents"/>
              <w:bidi w:val="0"/>
              <w:spacing w:before="0" w:after="283"/>
              <w:jc w:val="left"/>
              <w:rPr/>
            </w:pPr>
            <w:r>
              <w:rPr/>
              <w:t> </w:t>
            </w:r>
          </w:p>
        </w:tc>
      </w:tr>
      <w:tr>
        <w:trPr/>
        <w:tc>
          <w:tcPr>
            <w:tcW w:w="5159"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59" w:type="dxa"/>
            <w:tcBorders/>
            <w:shd w:fill="CCEEFF" w:val="clear"/>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1160" w:type="dxa"/>
            <w:tcBorders/>
            <w:shd w:fill="CCEEFF" w:val="clear"/>
            <w:vAlign w:val="bottom"/>
          </w:tcPr>
          <w:p>
            <w:pPr>
              <w:pStyle w:val="TableContents"/>
              <w:bidi w:val="0"/>
              <w:spacing w:before="0" w:after="283"/>
              <w:jc w:val="right"/>
              <w:rPr>
                <w:b/>
              </w:rPr>
            </w:pPr>
            <w:r>
              <w:rPr>
                <w:b/>
              </w:rPr>
              <w:t>6,237,443</w:t>
            </w:r>
          </w:p>
        </w:tc>
        <w:tc>
          <w:tcPr>
            <w:tcW w:w="63" w:type="dxa"/>
            <w:tcBorders/>
            <w:shd w:fill="CCEEFF" w:val="clear"/>
            <w:vAlign w:val="bottom"/>
          </w:tcPr>
          <w:p>
            <w:pPr>
              <w:pStyle w:val="TableContents"/>
              <w:bidi w:val="0"/>
              <w:spacing w:before="0" w:after="283"/>
              <w:jc w:val="left"/>
              <w:rPr/>
            </w:pPr>
            <w:r>
              <w:rPr/>
              <w:t> </w:t>
            </w:r>
          </w:p>
        </w:tc>
      </w:tr>
      <w:tr>
        <w:trPr/>
        <w:tc>
          <w:tcPr>
            <w:tcW w:w="5159"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year ended December 31, 2022, management determined that indicators of impairment were present in respect of the customer list intangible asset. Management prepared a valuation of the customer list based on the excess earnings approach, consistent with that of the purchase price allocation model when the customer list was acquired in the acquisition of ANY (note 15). The sum of the undiscounted cash flows exceeded that of the carrying value and no impairment charge was required to be measured. The significant assumptions used in the excess earnings approach included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Projected compound annual growth rates for the German radio advertising industry based on third party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Forecasted inflation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 attrition rates based on historical trends of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contributory asset charge for working capital investment necessary to sustain revenue growth as advised by an external valuation expert;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German corporate income tax rates expected to be in effect in the years included within the valuation.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one or more of these assumptions were to have been adversely impacted such as a 0.5% reduction in growth rates, and 0.5% increase in inflation, the outcome would have led to an impairment charge of the customer list asset of $2,760,144.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82"/>
        <w:gridCol w:w="390"/>
        <w:gridCol w:w="140"/>
        <w:gridCol w:w="1065"/>
        <w:gridCol w:w="155"/>
        <w:gridCol w:w="390"/>
        <w:gridCol w:w="60"/>
        <w:gridCol w:w="761"/>
        <w:gridCol w:w="155"/>
        <w:gridCol w:w="390"/>
        <w:gridCol w:w="60"/>
        <w:gridCol w:w="1065"/>
        <w:gridCol w:w="159"/>
      </w:tblGrid>
      <w:tr>
        <w:trPr/>
        <w:tc>
          <w:tcPr>
            <w:tcW w:w="3782"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82"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Germany</w:t>
            </w:r>
          </w:p>
        </w:tc>
        <w:tc>
          <w:tcPr>
            <w:tcW w:w="15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15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59" w:type="dxa"/>
            <w:tcBorders/>
            <w:vAlign w:val="bottom"/>
          </w:tcPr>
          <w:p>
            <w:pPr>
              <w:pStyle w:val="TableContents"/>
              <w:bidi w:val="0"/>
              <w:spacing w:before="0" w:after="283"/>
              <w:jc w:val="left"/>
              <w:rPr/>
            </w:pPr>
            <w:r>
              <w:rPr/>
              <w:t> </w:t>
            </w:r>
          </w:p>
        </w:tc>
      </w:tr>
      <w:tr>
        <w:trPr/>
        <w:tc>
          <w:tcPr>
            <w:tcW w:w="37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January 1, 2021</w:t>
            </w:r>
          </w:p>
        </w:tc>
        <w:tc>
          <w:tcPr>
            <w:tcW w:w="3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65" w:type="dxa"/>
            <w:tcBorders/>
            <w:shd w:fill="CCEEFF" w:val="clear"/>
            <w:vAlign w:val="bottom"/>
          </w:tcPr>
          <w:p>
            <w:pPr>
              <w:pStyle w:val="TableContents"/>
              <w:bidi w:val="0"/>
              <w:spacing w:before="0" w:after="283"/>
              <w:jc w:val="right"/>
              <w:rPr/>
            </w:pPr>
            <w:r>
              <w:rPr/>
              <w:t xml:space="preserve">   </w:t>
            </w:r>
          </w:p>
        </w:tc>
        <w:tc>
          <w:tcPr>
            <w:tcW w:w="15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782" w:type="dxa"/>
            <w:tcBorders/>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6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7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3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9,274,173</w:t>
            </w:r>
          </w:p>
        </w:tc>
        <w:tc>
          <w:tcPr>
            <w:tcW w:w="15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44,438</w:t>
            </w:r>
          </w:p>
        </w:tc>
        <w:tc>
          <w:tcPr>
            <w:tcW w:w="15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9,318,611</w:t>
            </w:r>
          </w:p>
        </w:tc>
        <w:tc>
          <w:tcPr>
            <w:tcW w:w="159" w:type="dxa"/>
            <w:tcBorders/>
            <w:shd w:fill="CCEEFF" w:val="clear"/>
            <w:vAlign w:val="bottom"/>
          </w:tcPr>
          <w:p>
            <w:pPr>
              <w:pStyle w:val="TableContents"/>
              <w:bidi w:val="0"/>
              <w:spacing w:before="0" w:after="283"/>
              <w:jc w:val="left"/>
              <w:rPr/>
            </w:pPr>
            <w:r>
              <w:rPr/>
              <w:t> </w:t>
            </w:r>
          </w:p>
        </w:tc>
      </w:tr>
      <w:tr>
        <w:trPr/>
        <w:tc>
          <w:tcPr>
            <w:tcW w:w="3782"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3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(332,203</w:t>
            </w:r>
          </w:p>
        </w:tc>
        <w:tc>
          <w:tcPr>
            <w:tcW w:w="15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(332,203</w:t>
            </w:r>
          </w:p>
        </w:tc>
        <w:tc>
          <w:tcPr>
            <w:tcW w:w="159" w:type="dxa"/>
            <w:tcBorders/>
            <w:vAlign w:val="bottom"/>
          </w:tcPr>
          <w:p>
            <w:pPr>
              <w:pStyle w:val="TableContents"/>
              <w:bidi w:val="0"/>
              <w:spacing w:before="0" w:after="283"/>
              <w:jc w:val="left"/>
              <w:rPr/>
            </w:pPr>
            <w:r>
              <w:rPr/>
              <w:t>) </w:t>
            </w:r>
          </w:p>
        </w:tc>
      </w:tr>
      <w:tr>
        <w:trPr/>
        <w:tc>
          <w:tcPr>
            <w:tcW w:w="3782" w:type="dxa"/>
            <w:tcBorders/>
            <w:vAlign w:val="bottom"/>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at December 31, 2021</w:t>
            </w:r>
          </w:p>
        </w:tc>
        <w:tc>
          <w:tcPr>
            <w:tcW w:w="3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8,941,970</w:t>
            </w:r>
          </w:p>
        </w:tc>
        <w:tc>
          <w:tcPr>
            <w:tcW w:w="15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44,438</w:t>
            </w:r>
          </w:p>
        </w:tc>
        <w:tc>
          <w:tcPr>
            <w:tcW w:w="15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8,986,408</w:t>
            </w:r>
          </w:p>
        </w:tc>
        <w:tc>
          <w:tcPr>
            <w:tcW w:w="159" w:type="dxa"/>
            <w:tcBorders/>
            <w:shd w:fill="CCEEFF" w:val="clear"/>
            <w:vAlign w:val="bottom"/>
          </w:tcPr>
          <w:p>
            <w:pPr>
              <w:pStyle w:val="TableContents"/>
              <w:bidi w:val="0"/>
              <w:spacing w:before="0" w:after="283"/>
              <w:jc w:val="left"/>
              <w:rPr/>
            </w:pPr>
            <w:r>
              <w:rPr/>
              <w:t> </w:t>
            </w:r>
          </w:p>
        </w:tc>
      </w:tr>
      <w:tr>
        <w:trPr/>
        <w:tc>
          <w:tcPr>
            <w:tcW w:w="3782" w:type="dxa"/>
            <w:tcBorders/>
          </w:tcPr>
          <w:p>
            <w:pPr>
              <w:pStyle w:val="TableContents"/>
              <w:bidi w:val="0"/>
              <w:spacing w:before="0" w:after="0"/>
              <w:jc w:val="left"/>
              <w:rPr>
                <w:rFonts w:ascii="Times New Roman" w:hAnsi="Times New Roman"/>
                <w:sz w:val="20"/>
              </w:rPr>
            </w:pPr>
            <w:r>
              <w:rPr>
                <w:rFonts w:ascii="Times New Roman" w:hAnsi="Times New Roman"/>
                <w:sz w:val="20"/>
              </w:rPr>
              <w:t>Impairment losses</w:t>
            </w:r>
          </w:p>
        </w:tc>
        <w:tc>
          <w:tcPr>
            <w:tcW w:w="3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(7,373,864</w:t>
            </w:r>
          </w:p>
        </w:tc>
        <w:tc>
          <w:tcPr>
            <w:tcW w:w="15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(44,438</w:t>
            </w:r>
          </w:p>
        </w:tc>
        <w:tc>
          <w:tcPr>
            <w:tcW w:w="15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(7,418,302</w:t>
            </w:r>
          </w:p>
        </w:tc>
        <w:tc>
          <w:tcPr>
            <w:tcW w:w="159" w:type="dxa"/>
            <w:tcBorders/>
            <w:vAlign w:val="bottom"/>
          </w:tcPr>
          <w:p>
            <w:pPr>
              <w:pStyle w:val="TableContents"/>
              <w:bidi w:val="0"/>
              <w:spacing w:before="0" w:after="283"/>
              <w:jc w:val="left"/>
              <w:rPr/>
            </w:pPr>
            <w:r>
              <w:rPr/>
              <w:t>) </w:t>
            </w:r>
          </w:p>
        </w:tc>
      </w:tr>
      <w:tr>
        <w:trPr/>
        <w:tc>
          <w:tcPr>
            <w:tcW w:w="37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3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(506,343</w:t>
            </w:r>
          </w:p>
        </w:tc>
        <w:tc>
          <w:tcPr>
            <w:tcW w:w="15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(506,343</w:t>
            </w:r>
          </w:p>
        </w:tc>
        <w:tc>
          <w:tcPr>
            <w:tcW w:w="159" w:type="dxa"/>
            <w:tcBorders/>
            <w:shd w:fill="CCEEFF" w:val="clear"/>
            <w:vAlign w:val="bottom"/>
          </w:tcPr>
          <w:p>
            <w:pPr>
              <w:pStyle w:val="TableContents"/>
              <w:bidi w:val="0"/>
              <w:spacing w:before="0" w:after="283"/>
              <w:jc w:val="left"/>
              <w:rPr/>
            </w:pPr>
            <w:r>
              <w:rPr/>
              <w:t>) </w:t>
            </w:r>
          </w:p>
        </w:tc>
      </w:tr>
      <w:tr>
        <w:trPr/>
        <w:tc>
          <w:tcPr>
            <w:tcW w:w="3782" w:type="dxa"/>
            <w:tcBorders/>
            <w:vAlign w:val="bottom"/>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8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at December 31, 2022</w:t>
            </w:r>
          </w:p>
        </w:tc>
        <w:tc>
          <w:tcPr>
            <w:tcW w:w="3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b/>
              </w:rPr>
            </w:pPr>
            <w:r>
              <w:rPr>
                <w:b/>
              </w:rPr>
              <w:t>1,061,763</w:t>
            </w:r>
          </w:p>
        </w:tc>
        <w:tc>
          <w:tcPr>
            <w:tcW w:w="15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b/>
              </w:rPr>
            </w:pPr>
            <w:r>
              <w:rPr>
                <w:b/>
              </w:rPr>
              <w:t>1,061,763</w:t>
            </w:r>
          </w:p>
        </w:tc>
        <w:tc>
          <w:tcPr>
            <w:tcW w:w="159" w:type="dxa"/>
            <w:tcBorders/>
            <w:vAlign w:val="bottom"/>
          </w:tcPr>
          <w:p>
            <w:pPr>
              <w:pStyle w:val="TableContents"/>
              <w:bidi w:val="0"/>
              <w:spacing w:before="0" w:after="283"/>
              <w:jc w:val="left"/>
              <w:rPr/>
            </w:pPr>
            <w:r>
              <w:rPr/>
              <w:t> </w:t>
            </w:r>
          </w:p>
        </w:tc>
      </w:tr>
      <w:tr>
        <w:trPr/>
        <w:tc>
          <w:tcPr>
            <w:tcW w:w="3782" w:type="dxa"/>
            <w:tcBorders/>
            <w:vAlign w:val="bottom"/>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amongst various factors, the Companys equity values were to decline or, the adverse impacts of economic, competitive, regulatory or other factors were to cause our results of operations or cash flows to be worse than anticipated, we may conclude in future periods that impairment charges are required in order to reduce the carrying values of our goodwill. Any such impairment charges could be significant. </w:t>
      </w:r>
    </w:p>
    <w:p>
      <w:pPr>
        <w:pStyle w:val="TextBody"/>
        <w:bidi w:val="0"/>
        <w:spacing w:before="120" w:after="0"/>
        <w:jc w:val="left"/>
        <w:rPr>
          <w:rFonts w:ascii="Times New Roman" w:hAnsi="Times New Roman"/>
          <w:sz w:val="20"/>
        </w:rPr>
      </w:pPr>
      <w:r>
        <w:rPr>
          <w:rFonts w:ascii="Times New Roman" w:hAnsi="Times New Roman"/>
          <w:sz w:val="20"/>
        </w:rPr>
        <w:t xml:space="preserve">Goodwill is tested for impairment annually on December 31 or earlier, if indicators of impairment exist. Due to a revised forecast for the Companys German business, ANY, operating profits and cash flows are expected to be lower than initially anticipated when ANY was acquired in 2021. In the year ended December 31, 2022, a goodwill impairment loss of $7.4 million was recognized by ANY. The fair value of that reporting unit was estimated using the expected present value of future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significant assumptions used in the expected present value of future cash flows included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Projected compound annual growth rates for the German radio advertising industry based on third party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Forecasted inflation rates;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weighted average cost of capital of 10.5% prepared by an external valuation expert.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and other liabilities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39"/>
        <w:gridCol w:w="482"/>
        <w:gridCol w:w="220"/>
        <w:gridCol w:w="1744"/>
        <w:gridCol w:w="60"/>
        <w:gridCol w:w="482"/>
        <w:gridCol w:w="220"/>
        <w:gridCol w:w="1744"/>
        <w:gridCol w:w="64"/>
      </w:tblGrid>
      <w:tr>
        <w:trPr/>
        <w:tc>
          <w:tcPr>
            <w:tcW w:w="2739"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739"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64" w:type="dxa"/>
            <w:tcBorders/>
            <w:vAlign w:val="bottom"/>
          </w:tcPr>
          <w:p>
            <w:pPr>
              <w:pStyle w:val="TableContents"/>
              <w:bidi w:val="0"/>
              <w:spacing w:before="0" w:after="283"/>
              <w:jc w:val="left"/>
              <w:rPr/>
            </w:pPr>
            <w:r>
              <w:rPr/>
              <w:t> </w:t>
            </w:r>
          </w:p>
        </w:tc>
      </w:tr>
      <w:tr>
        <w:trPr/>
        <w:tc>
          <w:tcPr>
            <w:tcW w:w="27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Short-term debt and other liabilities</w:t>
            </w:r>
          </w:p>
        </w:tc>
        <w:tc>
          <w:tcPr>
            <w:tcW w:w="48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7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8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74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739" w:type="dxa"/>
            <w:tcBorders/>
          </w:tcPr>
          <w:p>
            <w:pPr>
              <w:pStyle w:val="TableContents"/>
              <w:bidi w:val="0"/>
              <w:spacing w:before="0" w:after="0"/>
              <w:jc w:val="left"/>
              <w:rPr>
                <w:rFonts w:ascii="Times New Roman" w:hAnsi="Times New Roman"/>
                <w:sz w:val="20"/>
              </w:rPr>
            </w:pPr>
            <w:r>
              <w:rPr>
                <w:rFonts w:ascii="Times New Roman" w:hAnsi="Times New Roman"/>
                <w:sz w:val="20"/>
              </w:rPr>
              <w:t>Short-term debt from related party (8.1)</w:t>
            </w:r>
          </w:p>
        </w:tc>
        <w:tc>
          <w:tcPr>
            <w:tcW w:w="48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744" w:type="dxa"/>
            <w:tcBorders/>
            <w:vAlign w:val="bottom"/>
          </w:tcPr>
          <w:p>
            <w:pPr>
              <w:pStyle w:val="TableContents"/>
              <w:bidi w:val="0"/>
              <w:spacing w:before="0" w:after="283"/>
              <w:jc w:val="right"/>
              <w:rPr/>
            </w:pPr>
            <w:r>
              <w:rPr/>
              <w:t>697,067</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744" w:type="dxa"/>
            <w:tcBorders/>
            <w:vAlign w:val="bottom"/>
          </w:tcPr>
          <w:p>
            <w:pPr>
              <w:pStyle w:val="TableContents"/>
              <w:bidi w:val="0"/>
              <w:spacing w:before="0" w:after="283"/>
              <w:jc w:val="right"/>
              <w:rPr/>
            </w:pPr>
            <w:r>
              <w:rPr/>
              <w:t>697,067</w:t>
            </w:r>
          </w:p>
        </w:tc>
        <w:tc>
          <w:tcPr>
            <w:tcW w:w="64" w:type="dxa"/>
            <w:tcBorders/>
            <w:vAlign w:val="bottom"/>
          </w:tcPr>
          <w:p>
            <w:pPr>
              <w:pStyle w:val="TableContents"/>
              <w:bidi w:val="0"/>
              <w:spacing w:before="0" w:after="283"/>
              <w:jc w:val="left"/>
              <w:rPr/>
            </w:pPr>
            <w:r>
              <w:rPr/>
              <w:t> </w:t>
            </w:r>
          </w:p>
        </w:tc>
      </w:tr>
      <w:tr>
        <w:trPr/>
        <w:tc>
          <w:tcPr>
            <w:tcW w:w="27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liability  current (8.5)</w:t>
            </w:r>
          </w:p>
        </w:tc>
        <w:tc>
          <w:tcPr>
            <w:tcW w:w="48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right"/>
              <w:rPr/>
            </w:pPr>
            <w:r>
              <w:rPr/>
              <w:t>46,236</w:t>
            </w:r>
          </w:p>
        </w:tc>
        <w:tc>
          <w:tcPr>
            <w:tcW w:w="64" w:type="dxa"/>
            <w:tcBorders/>
            <w:shd w:fill="CCEEFF" w:val="clear"/>
            <w:vAlign w:val="bottom"/>
          </w:tcPr>
          <w:p>
            <w:pPr>
              <w:pStyle w:val="TableContents"/>
              <w:bidi w:val="0"/>
              <w:spacing w:before="0" w:after="283"/>
              <w:jc w:val="left"/>
              <w:rPr/>
            </w:pPr>
            <w:r>
              <w:rPr/>
              <w:t> </w:t>
            </w:r>
          </w:p>
        </w:tc>
      </w:tr>
      <w:tr>
        <w:trPr/>
        <w:tc>
          <w:tcPr>
            <w:tcW w:w="2739" w:type="dxa"/>
            <w:tcBorders/>
          </w:tcPr>
          <w:p>
            <w:pPr>
              <w:pStyle w:val="TableContents"/>
              <w:bidi w:val="0"/>
              <w:spacing w:before="0" w:after="0"/>
              <w:jc w:val="left"/>
              <w:rPr>
                <w:rFonts w:ascii="Times New Roman" w:hAnsi="Times New Roman"/>
                <w:sz w:val="20"/>
              </w:rPr>
            </w:pPr>
            <w:r>
              <w:rPr>
                <w:rFonts w:ascii="Times New Roman" w:hAnsi="Times New Roman"/>
                <w:sz w:val="20"/>
              </w:rPr>
              <w:t>Share consideration payable (8.2)</w:t>
            </w:r>
          </w:p>
        </w:tc>
        <w:tc>
          <w:tcPr>
            <w:tcW w:w="48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right"/>
              <w:rPr/>
            </w:pPr>
            <w:r>
              <w:rPr/>
              <w:t>14,600,000</w:t>
            </w:r>
          </w:p>
        </w:tc>
        <w:tc>
          <w:tcPr>
            <w:tcW w:w="64" w:type="dxa"/>
            <w:tcBorders/>
            <w:vAlign w:val="bottom"/>
          </w:tcPr>
          <w:p>
            <w:pPr>
              <w:pStyle w:val="TableContents"/>
              <w:bidi w:val="0"/>
              <w:spacing w:before="0" w:after="283"/>
              <w:jc w:val="left"/>
              <w:rPr/>
            </w:pPr>
            <w:r>
              <w:rPr/>
              <w:t> </w:t>
            </w:r>
          </w:p>
        </w:tc>
      </w:tr>
      <w:tr>
        <w:trPr/>
        <w:tc>
          <w:tcPr>
            <w:tcW w:w="2739"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4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7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debt and other liabilities</w:t>
            </w:r>
          </w:p>
        </w:tc>
        <w:tc>
          <w:tcPr>
            <w:tcW w:w="48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7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8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74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739"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debt (8.3)</w:t>
            </w:r>
          </w:p>
        </w:tc>
        <w:tc>
          <w:tcPr>
            <w:tcW w:w="48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right"/>
              <w:rPr/>
            </w:pPr>
            <w:r>
              <w:rPr/>
              <w:t>25,302,709</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right"/>
              <w:rPr/>
            </w:pPr>
            <w:r>
              <w:rPr/>
              <w:t>2,509,589</w:t>
            </w:r>
          </w:p>
        </w:tc>
        <w:tc>
          <w:tcPr>
            <w:tcW w:w="64" w:type="dxa"/>
            <w:tcBorders/>
            <w:vAlign w:val="bottom"/>
          </w:tcPr>
          <w:p>
            <w:pPr>
              <w:pStyle w:val="TableContents"/>
              <w:bidi w:val="0"/>
              <w:spacing w:before="0" w:after="283"/>
              <w:jc w:val="left"/>
              <w:rPr/>
            </w:pPr>
            <w:r>
              <w:rPr/>
              <w:t> </w:t>
            </w:r>
          </w:p>
        </w:tc>
      </w:tr>
      <w:tr>
        <w:trPr/>
        <w:tc>
          <w:tcPr>
            <w:tcW w:w="27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payment liability (8.4)</w:t>
            </w:r>
          </w:p>
        </w:tc>
        <w:tc>
          <w:tcPr>
            <w:tcW w:w="48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right"/>
              <w:rPr/>
            </w:pPr>
            <w:r>
              <w:rPr/>
              <w:t>1,177,617</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right"/>
              <w:rPr/>
            </w:pPr>
            <w:r>
              <w:rPr/>
              <w:t>1,060,720</w:t>
            </w:r>
          </w:p>
        </w:tc>
        <w:tc>
          <w:tcPr>
            <w:tcW w:w="64" w:type="dxa"/>
            <w:tcBorders/>
            <w:shd w:fill="CCEEFF" w:val="clear"/>
            <w:vAlign w:val="bottom"/>
          </w:tcPr>
          <w:p>
            <w:pPr>
              <w:pStyle w:val="TableContents"/>
              <w:bidi w:val="0"/>
              <w:spacing w:before="0" w:after="283"/>
              <w:jc w:val="left"/>
              <w:rPr/>
            </w:pPr>
            <w:r>
              <w:rPr/>
              <w:t> </w:t>
            </w:r>
          </w:p>
        </w:tc>
      </w:tr>
      <w:tr>
        <w:trPr/>
        <w:tc>
          <w:tcPr>
            <w:tcW w:w="2739"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  non-current (8.5)</w:t>
            </w:r>
          </w:p>
        </w:tc>
        <w:tc>
          <w:tcPr>
            <w:tcW w:w="48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right"/>
              <w:rPr/>
            </w:pPr>
            <w:r>
              <w:rPr/>
              <w:t>35,423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Unsecured interest free loan taken from a related party (note 9) is repayable on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30, 2021, the Company acquired ANY from the Radio Group GmbH. The Company acquired ANY by agreeing to issue 14,427,185 ordinary shares valued at $1.03 per share. The ordinary shares were issued on February 11, 2022.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consideration shares issued on February 11, 2022 were to be adjusted on August 30, 2022 (one year from the signing of binding purchase agreement) by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 million in cash issued to the Radio Group in exchange for the re-transfer of 9,708,738 of the consideration shares back to Rezolve, if Rezolve is publicly listed with a valuation of $1 billion or more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14.86 million in cash issued to the Radio Group in exchange for the transfer of all consideration shares back to Rezolve, if Rezolve is publicly listed with a valuation of less than $1 billion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 million in cash issued to the Radio Group in exchange for the re-transfer of 8,737,864 of the consideration shares back to Rezolve, if Rezolve is privately held but has a valuation of more than $1 billion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$14.86 million in cash issued to the Radio Group, if Rezolve is privately held but has a valuation of less than $1 billion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fair value of the share consideration payable has been calculated as $14,600,000, based on the probability weighted outcomes of the discounted cash flow of the above mentioned scenarios and a risk-free rate of return. The valuation was performed by an independent third party valuation expert.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is expected to close by the end of 2023.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accordance with the executed subscription agreements, the investors that pre-funded the PIPE entered into an agreement to purchase secured convertible notes of the Company for a total of $20 million. These notes will mature on December 16, 2023, and are redeemable by the noteholder on the occurrence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maturity, with interest accrued at 20% per annum,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Immediately prior to an IPO or SPAC transaction, the principal amount and accrued interest is converted into ordinary shares at a 30% discount to the pre-close equity value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interest rate is 20% per annum, and is reduced in the following events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 per annum if the IPO or SPAC transaction occurred prior to December 16, 2022,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 per annum if the IPO or SPAC transaction occurs between December 16, 2022 and June 16, 2023.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the issuance of the notes, the amount pre-funded by each participating investor reduces their remaining respective commitment in the PIPE. </w:t>
      </w:r>
    </w:p>
    <w:p>
      <w:pPr>
        <w:pStyle w:val="TextBody"/>
        <w:bidi w:val="0"/>
        <w:spacing w:before="120" w:after="0"/>
        <w:jc w:val="left"/>
        <w:rPr>
          <w:rFonts w:ascii="Times New Roman" w:hAnsi="Times New Roman"/>
          <w:sz w:val="20"/>
        </w:rPr>
      </w:pPr>
      <w:r>
        <w:rPr>
          <w:rFonts w:ascii="Times New Roman" w:hAnsi="Times New Roman"/>
          <w:sz w:val="20"/>
        </w:rPr>
        <w:t xml:space="preserve">On November 21, 2022, the original as well as a new PIPE investor agreed to extend their commitment under the notes, by committing an additional $4 million which was drawn by December 31, 2022.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return for their commitment, the Company granted each investor 850,000 warrants (refer to note 9). These warrants have been accounted for as a discount to the convertible debt. The Company also agreed to provide as collateral all buildings, fittings, fixtures and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The secured convertible notes have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straight-line basis over the contractual terms of the secured convertible loan notes. The Company estimates that the difference between amortizing the debt discounts and the issuance costs using the straight-line method as compared to using effective interest rate method is immaterial. </w:t>
      </w:r>
    </w:p>
    <w:p>
      <w:pPr>
        <w:pStyle w:val="TextBody"/>
        <w:bidi w:val="0"/>
        <w:spacing w:before="120" w:after="0"/>
        <w:jc w:val="left"/>
        <w:rPr>
          <w:rFonts w:ascii="Times New Roman" w:hAnsi="Times New Roman"/>
          <w:sz w:val="20"/>
        </w:rPr>
      </w:pPr>
      <w:r>
        <w:rPr>
          <w:rFonts w:ascii="Times New Roman" w:hAnsi="Times New Roman"/>
          <w:sz w:val="20"/>
        </w:rPr>
        <w:t xml:space="preserve">The carrying amount of the convertible debt was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63"/>
        <w:gridCol w:w="370"/>
        <w:gridCol w:w="164"/>
        <w:gridCol w:w="1350"/>
        <w:gridCol w:w="161"/>
        <w:gridCol w:w="370"/>
        <w:gridCol w:w="176"/>
        <w:gridCol w:w="1337"/>
        <w:gridCol w:w="64"/>
      </w:tblGrid>
      <w:tr>
        <w:trPr/>
        <w:tc>
          <w:tcPr>
            <w:tcW w:w="3763"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63"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15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161"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2021</w:t>
            </w:r>
          </w:p>
        </w:tc>
        <w:tc>
          <w:tcPr>
            <w:tcW w:w="64" w:type="dxa"/>
            <w:tcBorders/>
            <w:vAlign w:val="bottom"/>
          </w:tcPr>
          <w:p>
            <w:pPr>
              <w:pStyle w:val="TableContents"/>
              <w:bidi w:val="0"/>
              <w:spacing w:before="0" w:after="283"/>
              <w:jc w:val="left"/>
              <w:rPr/>
            </w:pPr>
            <w:r>
              <w:rPr/>
              <w:t> </w:t>
            </w:r>
          </w:p>
        </w:tc>
      </w:tr>
      <w:tr>
        <w:trPr/>
        <w:tc>
          <w:tcPr>
            <w:tcW w:w="37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Convertible debt</w:t>
            </w:r>
          </w:p>
        </w:tc>
        <w:tc>
          <w:tcPr>
            <w:tcW w:w="37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37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33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763" w:type="dxa"/>
            <w:tcBorders/>
          </w:tcPr>
          <w:p>
            <w:pPr>
              <w:pStyle w:val="TableContents"/>
              <w:bidi w:val="0"/>
              <w:spacing w:before="0" w:after="0"/>
              <w:jc w:val="left"/>
              <w:rPr>
                <w:rFonts w:ascii="Times New Roman" w:hAnsi="Times New Roman"/>
                <w:sz w:val="20"/>
              </w:rPr>
            </w:pPr>
            <w:r>
              <w:rPr>
                <w:rFonts w:ascii="Times New Roman" w:hAnsi="Times New Roman"/>
                <w:sz w:val="20"/>
              </w:rPr>
              <w:t>Principal amount of notes</w:t>
            </w:r>
          </w:p>
        </w:tc>
        <w:tc>
          <w:tcPr>
            <w:tcW w:w="37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w:t>
            </w:r>
          </w:p>
        </w:tc>
        <w:tc>
          <w:tcPr>
            <w:tcW w:w="1350" w:type="dxa"/>
            <w:tcBorders/>
            <w:vAlign w:val="bottom"/>
          </w:tcPr>
          <w:p>
            <w:pPr>
              <w:pStyle w:val="TableContents"/>
              <w:bidi w:val="0"/>
              <w:spacing w:before="0" w:after="283"/>
              <w:jc w:val="right"/>
              <w:rPr/>
            </w:pPr>
            <w:r>
              <w:rPr/>
              <w:t>24,000,000</w:t>
            </w:r>
          </w:p>
        </w:tc>
        <w:tc>
          <w:tcPr>
            <w:tcW w:w="161"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337" w:type="dxa"/>
            <w:tcBorders/>
            <w:vAlign w:val="bottom"/>
          </w:tcPr>
          <w:p>
            <w:pPr>
              <w:pStyle w:val="TableContents"/>
              <w:bidi w:val="0"/>
              <w:spacing w:before="0" w:after="283"/>
              <w:jc w:val="right"/>
              <w:rPr/>
            </w:pPr>
            <w:r>
              <w:rPr/>
              <w:t>2,500,000</w:t>
            </w:r>
          </w:p>
        </w:tc>
        <w:tc>
          <w:tcPr>
            <w:tcW w:w="64" w:type="dxa"/>
            <w:tcBorders/>
            <w:vAlign w:val="bottom"/>
          </w:tcPr>
          <w:p>
            <w:pPr>
              <w:pStyle w:val="TableContents"/>
              <w:bidi w:val="0"/>
              <w:spacing w:before="0" w:after="283"/>
              <w:jc w:val="left"/>
              <w:rPr/>
            </w:pPr>
            <w:r>
              <w:rPr/>
              <w:t> </w:t>
            </w:r>
          </w:p>
        </w:tc>
      </w:tr>
      <w:tr>
        <w:trPr/>
        <w:tc>
          <w:tcPr>
            <w:tcW w:w="3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37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3,221,233</w:t>
            </w:r>
          </w:p>
        </w:tc>
        <w:tc>
          <w:tcPr>
            <w:tcW w:w="161"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9,589</w:t>
            </w:r>
          </w:p>
        </w:tc>
        <w:tc>
          <w:tcPr>
            <w:tcW w:w="64" w:type="dxa"/>
            <w:tcBorders/>
            <w:shd w:fill="CCEEFF" w:val="clear"/>
            <w:vAlign w:val="bottom"/>
          </w:tcPr>
          <w:p>
            <w:pPr>
              <w:pStyle w:val="TableContents"/>
              <w:bidi w:val="0"/>
              <w:spacing w:before="0" w:after="283"/>
              <w:jc w:val="left"/>
              <w:rPr/>
            </w:pPr>
            <w:r>
              <w:rPr/>
              <w:t> </w:t>
            </w:r>
          </w:p>
        </w:tc>
      </w:tr>
      <w:tr>
        <w:trPr/>
        <w:tc>
          <w:tcPr>
            <w:tcW w:w="3763" w:type="dxa"/>
            <w:tcBorders/>
          </w:tcPr>
          <w:p>
            <w:pPr>
              <w:pStyle w:val="TableContents"/>
              <w:bidi w:val="0"/>
              <w:spacing w:before="0" w:after="0"/>
              <w:jc w:val="left"/>
              <w:rPr>
                <w:rFonts w:ascii="Times New Roman" w:hAnsi="Times New Roman"/>
                <w:sz w:val="20"/>
              </w:rPr>
            </w:pPr>
            <w:r>
              <w:rPr>
                <w:rFonts w:ascii="Times New Roman" w:hAnsi="Times New Roman"/>
                <w:sz w:val="20"/>
              </w:rPr>
              <w:t>Discount on convertible debt</w:t>
            </w:r>
          </w:p>
        </w:tc>
        <w:tc>
          <w:tcPr>
            <w:tcW w:w="37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(1,918,524</w:t>
            </w:r>
          </w:p>
        </w:tc>
        <w:tc>
          <w:tcPr>
            <w:tcW w:w="161"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763"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63" w:type="dxa"/>
            <w:tcBorders/>
            <w:shd w:fill="CCEEFF" w:val="clear"/>
          </w:tcPr>
          <w:p>
            <w:pPr>
              <w:pStyle w:val="TableContents"/>
              <w:bidi w:val="0"/>
              <w:spacing w:before="0" w:after="283"/>
              <w:jc w:val="left"/>
              <w:rPr>
                <w:sz w:val="4"/>
                <w:szCs w:val="4"/>
              </w:rPr>
            </w:pPr>
            <w:r>
              <w:rPr>
                <w:sz w:val="4"/>
                <w:szCs w:val="4"/>
              </w:rPr>
            </w:r>
          </w:p>
        </w:tc>
        <w:tc>
          <w:tcPr>
            <w:tcW w:w="37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b/>
              </w:rPr>
            </w:pPr>
            <w:r>
              <w:rPr>
                <w:b/>
              </w:rPr>
              <w:t>25,302,709</w:t>
            </w:r>
          </w:p>
        </w:tc>
        <w:tc>
          <w:tcPr>
            <w:tcW w:w="161"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b/>
              </w:rPr>
            </w:pPr>
            <w:r>
              <w:rPr>
                <w:b/>
              </w:rPr>
              <w:t>2,509,589</w:t>
            </w:r>
          </w:p>
        </w:tc>
        <w:tc>
          <w:tcPr>
            <w:tcW w:w="64" w:type="dxa"/>
            <w:tcBorders/>
            <w:shd w:fill="CCEEFF" w:val="clear"/>
            <w:vAlign w:val="bottom"/>
          </w:tcPr>
          <w:p>
            <w:pPr>
              <w:pStyle w:val="TableContents"/>
              <w:bidi w:val="0"/>
              <w:spacing w:before="0" w:after="283"/>
              <w:jc w:val="left"/>
              <w:rPr/>
            </w:pPr>
            <w:r>
              <w:rPr/>
              <w:t> </w:t>
            </w:r>
          </w:p>
        </w:tc>
      </w:tr>
      <w:tr>
        <w:trPr/>
        <w:tc>
          <w:tcPr>
            <w:tcW w:w="3763"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not incurred any material debt issuance costs.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interest expense recognized related to the convertible debt: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10"/>
        <w:gridCol w:w="545"/>
        <w:gridCol w:w="176"/>
        <w:gridCol w:w="1300"/>
        <w:gridCol w:w="60"/>
        <w:gridCol w:w="545"/>
        <w:gridCol w:w="779"/>
        <w:gridCol w:w="676"/>
        <w:gridCol w:w="64"/>
      </w:tblGrid>
      <w:tr>
        <w:trPr/>
        <w:tc>
          <w:tcPr>
            <w:tcW w:w="3610" w:type="dxa"/>
            <w:tcBorders/>
            <w:vAlign w:val="center"/>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1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2021</w:t>
            </w:r>
          </w:p>
        </w:tc>
        <w:tc>
          <w:tcPr>
            <w:tcW w:w="64" w:type="dxa"/>
            <w:tcBorders/>
            <w:vAlign w:val="bottom"/>
          </w:tcPr>
          <w:p>
            <w:pPr>
              <w:pStyle w:val="TableContents"/>
              <w:bidi w:val="0"/>
              <w:spacing w:before="0" w:after="283"/>
              <w:jc w:val="left"/>
              <w:rPr/>
            </w:pPr>
            <w:r>
              <w:rPr/>
              <w:t> </w:t>
            </w:r>
          </w:p>
        </w:tc>
      </w:tr>
      <w:tr>
        <w:trPr/>
        <w:tc>
          <w:tcPr>
            <w:tcW w:w="36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Convertible debt</w:t>
            </w:r>
          </w:p>
        </w:tc>
        <w:tc>
          <w:tcPr>
            <w:tcW w:w="54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3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45"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left"/>
              <w:rPr>
                <w:sz w:val="4"/>
                <w:szCs w:val="4"/>
              </w:rPr>
            </w:pPr>
            <w:r>
              <w:rPr>
                <w:sz w:val="4"/>
                <w:szCs w:val="4"/>
              </w:rPr>
            </w:r>
          </w:p>
        </w:tc>
        <w:tc>
          <w:tcPr>
            <w:tcW w:w="67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610" w:type="dxa"/>
            <w:tcBorders/>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54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300" w:type="dxa"/>
            <w:tcBorders/>
            <w:vAlign w:val="bottom"/>
          </w:tcPr>
          <w:p>
            <w:pPr>
              <w:pStyle w:val="TableContents"/>
              <w:bidi w:val="0"/>
              <w:spacing w:before="0" w:after="283"/>
              <w:jc w:val="right"/>
              <w:rPr/>
            </w:pPr>
            <w:r>
              <w:rPr/>
              <w:t>3,111,664</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left"/>
              <w:rPr/>
            </w:pPr>
            <w:r>
              <w:rPr/>
              <w:t>        </w:t>
            </w:r>
            <w:r>
              <w:rPr/>
              <w:t>$</w:t>
            </w:r>
          </w:p>
        </w:tc>
        <w:tc>
          <w:tcPr>
            <w:tcW w:w="676" w:type="dxa"/>
            <w:tcBorders/>
            <w:vAlign w:val="bottom"/>
          </w:tcPr>
          <w:p>
            <w:pPr>
              <w:pStyle w:val="TableContents"/>
              <w:bidi w:val="0"/>
              <w:spacing w:before="0" w:after="283"/>
              <w:jc w:val="right"/>
              <w:rPr/>
            </w:pPr>
            <w:r>
              <w:rPr/>
              <w:t>9,589</w:t>
            </w:r>
          </w:p>
        </w:tc>
        <w:tc>
          <w:tcPr>
            <w:tcW w:w="64" w:type="dxa"/>
            <w:tcBorders/>
            <w:vAlign w:val="bottom"/>
          </w:tcPr>
          <w:p>
            <w:pPr>
              <w:pStyle w:val="TableContents"/>
              <w:bidi w:val="0"/>
              <w:spacing w:before="0" w:after="283"/>
              <w:jc w:val="left"/>
              <w:rPr/>
            </w:pPr>
            <w:r>
              <w:rPr/>
              <w:t> </w:t>
            </w:r>
          </w:p>
        </w:tc>
      </w:tr>
      <w:tr>
        <w:trPr/>
        <w:tc>
          <w:tcPr>
            <w:tcW w:w="3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discount</w:t>
            </w:r>
          </w:p>
        </w:tc>
        <w:tc>
          <w:tcPr>
            <w:tcW w:w="54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283"/>
              <w:jc w:val="right"/>
              <w:rPr/>
            </w:pPr>
            <w:r>
              <w:rPr/>
              <w:t>163,976</w:t>
            </w:r>
          </w:p>
        </w:tc>
        <w:tc>
          <w:tcPr>
            <w:tcW w:w="6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610"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3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10" w:type="dxa"/>
            <w:tcBorders/>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283"/>
              <w:jc w:val="right"/>
              <w:rPr>
                <w:b/>
              </w:rPr>
            </w:pPr>
            <w:r>
              <w:rPr>
                <w:b/>
              </w:rPr>
              <w:t>3,275,640</w:t>
            </w:r>
          </w:p>
        </w:tc>
        <w:tc>
          <w:tcPr>
            <w:tcW w:w="6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b/>
              </w:rPr>
            </w:pPr>
            <w:r>
              <w:rPr>
                <w:b/>
              </w:rPr>
              <w:t>9,589</w:t>
            </w:r>
          </w:p>
        </w:tc>
        <w:tc>
          <w:tcPr>
            <w:tcW w:w="64" w:type="dxa"/>
            <w:tcBorders/>
            <w:vAlign w:val="bottom"/>
          </w:tcPr>
          <w:p>
            <w:pPr>
              <w:pStyle w:val="TableContents"/>
              <w:bidi w:val="0"/>
              <w:spacing w:before="0" w:after="283"/>
              <w:jc w:val="left"/>
              <w:rPr/>
            </w:pPr>
            <w:r>
              <w:rPr/>
              <w:t> </w:t>
            </w:r>
          </w:p>
        </w:tc>
      </w:tr>
      <w:tr>
        <w:trPr/>
        <w:tc>
          <w:tcPr>
            <w:tcW w:w="3610"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3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May 23, 2023, the Company executed a further amendment to the secured convertible loan notes. </w:t>
      </w:r>
    </w:p>
    <w:p>
      <w:pPr>
        <w:pStyle w:val="TextBody"/>
        <w:bidi w:val="0"/>
        <w:spacing w:before="120" w:after="0"/>
        <w:jc w:val="left"/>
        <w:rPr>
          <w:rFonts w:ascii="Times New Roman" w:hAnsi="Times New Roman"/>
          <w:sz w:val="20"/>
        </w:rPr>
      </w:pPr>
      <w:r>
        <w:rPr>
          <w:rFonts w:ascii="Times New Roman" w:hAnsi="Times New Roman"/>
          <w:sz w:val="20"/>
        </w:rPr>
        <w:t xml:space="preserve">The amendments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additional $15,625,000 commitment has been added to the principal amount of the notes, split between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5"/>
        <w:gridCol w:w="203"/>
        <w:gridCol w:w="8271"/>
      </w:tblGrid>
      <w:tr>
        <w:trPr/>
        <w:tc>
          <w:tcPr>
            <w:tcW w:w="142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of accrued interest of $3,000,000 into loan principal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9"/>
        <w:gridCol w:w="305"/>
        <w:gridCol w:w="202"/>
        <w:gridCol w:w="8269"/>
      </w:tblGrid>
      <w:tr>
        <w:trPr/>
        <w:tc>
          <w:tcPr>
            <w:tcW w:w="142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$1,250,000 of loan principal previously advanced in February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5"/>
        <w:gridCol w:w="201"/>
        <w:gridCol w:w="8272"/>
      </w:tblGrid>
      <w:tr>
        <w:trPr/>
        <w:tc>
          <w:tcPr>
            <w:tcW w:w="142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$125,000 of loan principal advanced by a director and related party in February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9"/>
        <w:gridCol w:w="305"/>
        <w:gridCol w:w="202"/>
        <w:gridCol w:w="8269"/>
      </w:tblGrid>
      <w:tr>
        <w:trPr/>
        <w:tc>
          <w:tcPr>
            <w:tcW w:w="142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additional $2,750,000 of loan notes to be advanced,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2"/>
        <w:gridCol w:w="8272"/>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$8,500,000 in notes upon completion of the Demerger, for which no monetary consideration will be received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was extended to three years from the date of an IPO or Business Combination, or December 31, 2024 if an IPO or Business Combination with a publicly listed company has not yet occurred by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was reduced to 7.5% per annum from the date that the amendment was executed.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into ordinary shares of the Company is at the option of the investor from any date of an IPO or Business Combination with a publicly listed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the May 23, 2023 amendment terms of the secured convertible notes, Rezolve has given certain covenants to the noteholders which remain in force while the convertible notes are outstanding, including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 long as one or more of Apeiron Investment Group Ltd, Bradley Wickens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 </w:t>
      </w:r>
    </w:p>
    <w:p>
      <w:pPr>
        <w:pStyle w:val="TextBody"/>
        <w:bidi w:val="0"/>
        <w:spacing w:before="120" w:after="0"/>
        <w:jc w:val="left"/>
        <w:rPr>
          <w:rFonts w:ascii="Times New Roman" w:hAnsi="Times New Roman"/>
          <w:sz w:val="20"/>
        </w:rPr>
      </w:pPr>
      <w:r>
        <w:rPr>
          <w:rFonts w:ascii="Times New Roman" w:hAnsi="Times New Roman"/>
          <w:sz w:val="20"/>
        </w:rPr>
        <w:t xml:space="preserve">Upon execution of the amendment the secured convertible notes are then referred to as the senior secured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It is the Companys current intent to settle the principal amount and accrued interest of its outstanding convertible debt in the Companys ordinary shares. Upon execution of the senior secured convertible note on May 23, 2023, and extension to the maturity date to at least December 31, 2024, the Company classified the Convertible debt as non-current as at December 31, 2022 under the guidance in ASC 470-10-45-14.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management is confident that it is more likely than not that the former owner will not breach the non-compete agreement. The share-based payment liability is to be settled by a fixed dollar amount of shares and therefore represents a liability in accordance with ASC 480. The liability has been measured at fair value using a discounted cash-flow model and a market participant borrowing rate of 10.8%.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non-current portion of the lease liability as at December 31, 2021 related to a 2-year operating lease for an office lease in Taipei, Taiwan. In December 2022, the lease was formally terminated and an immaterial termination charge was incurred.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Warrants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November 14, 2021, 8,100,000 warrants issued to Apeiron on December 18, 2018 were exercised for proceeds of $1.928 million. </w:t>
      </w:r>
    </w:p>
    <w:p>
      <w:pPr>
        <w:pStyle w:val="TextBody"/>
        <w:bidi w:val="0"/>
        <w:spacing w:before="240" w:after="0"/>
        <w:jc w:val="left"/>
        <w:rPr>
          <w:rFonts w:ascii="Times New Roman" w:hAnsi="Times New Roman"/>
          <w:sz w:val="20"/>
        </w:rPr>
      </w:pPr>
      <w:r>
        <w:rPr>
          <w:rFonts w:ascii="Times New Roman" w:hAnsi="Times New Roman"/>
          <w:sz w:val="20"/>
        </w:rPr>
        <w:t xml:space="preserve">On December 14, 2021, 9,600,000 warrants issued to Bradley Wickens, the initial expiry date for which was December 31, 2021 had their expiry date later extended by one year to December 31, 2022. The Company measured the effect of the modification as a difference between the fair value between the modified call option and the fair value of the call option immediately before the modification. The Company revalued the warrants both after and before the modification using the Black-Scholes Merton option pricing model and determined the fair value of the Warrants to purchase at $ Nil per share option after modification and $ Nil per share before modification. The key inputs to the valuation model included an average volatility of 42.3% for options after modification and 45.9% before modification, the fair value of the ordinary shares at $0.02 per unit and an expected term of 0.52 and 0.01 years, respectively. The warrants are freestanding equity-classified instruments, the modification of which does not cause the warrant to become liability-classified and is deemed to be an exchange of the original warrant for a new warrant. The increase in the fair value of $16 has been deemed as immaterial. </w:t>
      </w:r>
    </w:p>
    <w:p>
      <w:pPr>
        <w:pStyle w:val="TextBody"/>
        <w:bidi w:val="0"/>
        <w:spacing w:before="240" w:after="0"/>
        <w:jc w:val="left"/>
        <w:rPr>
          <w:rFonts w:ascii="Times New Roman" w:hAnsi="Times New Roman"/>
          <w:sz w:val="20"/>
        </w:rPr>
      </w:pPr>
      <w:r>
        <w:rPr>
          <w:rFonts w:ascii="Times New Roman" w:hAnsi="Times New Roman"/>
          <w:sz w:val="20"/>
        </w:rPr>
        <w:t xml:space="preserve">On November 21, 2022, the Company granted 850,000 warrants each to Apeiron and Bradley Wickens for agreeing to extend their commitment in the exchangeable notes (convertible debt, note 8.3). The warrants are equity classified because they are freestanding financial instruments that are legally detachable and separately exercisable from the convertible notes and do not embody an obligation for the Company to repurchase its shares or provide any guarantee of value or return. These warrants were exercised on November 30, 2022. The Company valued the warrants using the Black-Scholes Merton option pricing model and determined the fair value of the Warrants to be $1.20 per unit. The key inputs to the valuation model included an average volatility of 61.9% based on a group of similar companies, a risk-free rate as of the grant date and the fair value of the ordinary shares of the Company based on a recent financing. These warrants have been recorded as a discount of $2.1 million to the Convertible debt.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Ordinary shares issued at nominal value in lieu of services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10.1 Ordinary share issued under share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On October 12, 2020, the board issued a 36-month maximum term share incentive plan to the Group CEO and founder, Dan Wagner to receive share issuances up to a maximum of 5% of the ordinary share of the Company, cumulatively, based on the below specific enterprise value milestones: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issued at $500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 at $1 billion;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 at $1.5 billion;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 at $2 billion;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 at $2.5 billion.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would be granted based on any successful capital raise, subject to the above meaningful enterprise valuations being achieved. </w:t>
      </w:r>
    </w:p>
    <w:p>
      <w:pPr>
        <w:pStyle w:val="TextBody"/>
        <w:bidi w:val="0"/>
        <w:spacing w:before="240" w:after="0"/>
        <w:jc w:val="left"/>
        <w:rPr>
          <w:rFonts w:ascii="Times New Roman" w:hAnsi="Times New Roman"/>
          <w:sz w:val="20"/>
        </w:rPr>
      </w:pPr>
      <w:r>
        <w:rPr>
          <w:rFonts w:ascii="Times New Roman" w:hAnsi="Times New Roman"/>
          <w:sz w:val="20"/>
        </w:rPr>
        <w:t xml:space="preserve">In April 2021, Dan Wagner was awarded 20,037,059 ordinary shares under this arrangement when the Company raised $13,765,000 from the issuance of series A preferred share and conversion of the loan from Future Fund, under an implied enterprise valuation of $1 billion. </w:t>
      </w:r>
    </w:p>
    <w:p>
      <w:pPr>
        <w:pStyle w:val="TextBody"/>
        <w:bidi w:val="0"/>
        <w:spacing w:before="240" w:after="0"/>
        <w:jc w:val="left"/>
        <w:rPr>
          <w:rFonts w:ascii="Times New Roman" w:hAnsi="Times New Roman"/>
          <w:sz w:val="20"/>
        </w:rPr>
      </w:pPr>
      <w:r>
        <w:rPr>
          <w:rFonts w:ascii="Times New Roman" w:hAnsi="Times New Roman"/>
          <w:sz w:val="20"/>
        </w:rPr>
        <w:t xml:space="preserve">The ordinary shares were vested and allotted on the same date. The fair value of the ordinary share of $.66 per unit was back-solved using an option pricing model based on the Series A preferred share issued at $1.03 on the same date. Accordingly, $13.22 million is recognized as a general and administrative expense with a corresponding credit in additional paid-in-capital in the year ended December 31, 2021. </w:t>
      </w:r>
    </w:p>
    <w:p>
      <w:pPr>
        <w:pStyle w:val="TextBody"/>
        <w:bidi w:val="0"/>
        <w:spacing w:before="240" w:after="0"/>
        <w:jc w:val="left"/>
        <w:rPr>
          <w:rFonts w:ascii="Times New Roman" w:hAnsi="Times New Roman"/>
          <w:sz w:val="20"/>
        </w:rPr>
      </w:pPr>
      <w:r>
        <w:rPr>
          <w:rFonts w:ascii="Times New Roman" w:hAnsi="Times New Roman"/>
          <w:sz w:val="20"/>
        </w:rPr>
        <w:t xml:space="preserve">10.2 On August 12, 2021, the Company issued 2,000,000 and 1,359,223 ordinary shares each to two promotors in Taiwan for services provided at a fair value of $1.03 per unit which were vested and allocated on the same date. The fair value of the ordinary shares was based on the shares agreed to be issued for the acquisition of ANY (note 15) near the date of issuance. The Company recognized $3.46 million as a general and administrative expense with a corresponding credit in shareholders deficit. </w:t>
      </w:r>
    </w:p>
    <w:p>
      <w:pPr>
        <w:pStyle w:val="TextBody"/>
        <w:bidi w:val="0"/>
        <w:spacing w:before="240" w:after="0"/>
        <w:jc w:val="left"/>
        <w:rPr>
          <w:rFonts w:ascii="Times New Roman" w:hAnsi="Times New Roman"/>
          <w:sz w:val="20"/>
        </w:rPr>
      </w:pPr>
      <w:r>
        <w:rPr>
          <w:rFonts w:ascii="Times New Roman" w:hAnsi="Times New Roman"/>
          <w:sz w:val="20"/>
        </w:rPr>
        <w:t xml:space="preserve">10.3 On February 15, 2022 the Company issued 5,000,000 ordinary shares to an advisor for services provided at a fair value of $1.80 per unit which were vested and allocated on the same date. The Company agreed to issue to the same advisor an additional 5,000,000 ordinary shares at the end of the year ending December 31, 2022 at a fair value of $1.80. The Company recognized $18.4 million as general and administrative costs with a corresponding credit in shareholders deficit. The fair value of the ordinary shares was based on a Black-Scholes model using an average volatility of 60.4% based on a group of similar companies, a risk-free rate available on the issuance date, and the exercise price of £.0001 per share, and the fair value of the ordinary shares of the Company based on a recent financing. </w:t>
      </w:r>
    </w:p>
    <w:p>
      <w:pPr>
        <w:pStyle w:val="TextBody"/>
        <w:bidi w:val="0"/>
        <w:spacing w:before="240" w:after="0"/>
        <w:jc w:val="left"/>
        <w:rPr>
          <w:rFonts w:ascii="Times New Roman" w:hAnsi="Times New Roman"/>
          <w:sz w:val="20"/>
        </w:rPr>
      </w:pPr>
      <w:r>
        <w:rPr>
          <w:rFonts w:ascii="Times New Roman" w:hAnsi="Times New Roman"/>
          <w:sz w:val="20"/>
        </w:rPr>
        <w:t xml:space="preserve">10.4 On November 30, 2022, the Company awarded 27,246,461 ordinary shares at a fair value of $1.20 per unit respectively to DBLP Sea Cow Limited (founding shareholder) in lieu of services to the Company which were vested and allotted on the same date. The Company recognized $33.4 million as a general and administrative cost with a corresponding credit in shareholders deficit in the year ended December 31, 2022. The fair value of the ordinary shares was based on a Black-Scholes model using an average volatility of 61.9% based on a group of similar companies, a risk-free rate available on the issuance date, the exercise price of £.0001 per share, and the fair value of the ordinary shares of the Company based on a recent financing.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Series A preferred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July 2020, the Company issued an unsecured 8 percent optionally convertible term loan note to Future Fund and other investors amounting to $ 11,349,957 with maturity of 3 years from the date of agreement. On occurrence of any of the following events, the loan will convert into the following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Qualified financing  automatic conversion into the most senior class of shares issued in such financing at a 20 percent discount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Non-qualified financing  conversion at the option of the majority of the holders exercising the right into the most senior class of shares issued in such financing at a 20 percent discount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 automatic conversion into the most senior class of shares as are in issue as that date at a 20 percent discount.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case of an exit event (i.e. change in control, sale of business or an IPO event), the lender would have had the right to receive the greater of the cash consideration on sale of its shares received upon conversion as if the principal loan amount was being repaid with a 100 percent redemption premium or the option to receive non cash consideration for the sale of its shares issued on conversion equivalent to the principal loan amount with a 100 percent redemption premium converted into the most senior class of share issued on completion of the exit. This exit event will be extinguished on a subsequent round of qualified financing or post six months after a subsequent round of non-qualified financing, whichever is earlier. </w:t>
      </w:r>
    </w:p>
    <w:p>
      <w:pPr>
        <w:pStyle w:val="TextBody"/>
        <w:bidi w:val="0"/>
        <w:spacing w:before="120" w:after="0"/>
        <w:jc w:val="left"/>
        <w:rPr>
          <w:rFonts w:ascii="Times New Roman" w:hAnsi="Times New Roman"/>
          <w:sz w:val="20"/>
        </w:rPr>
      </w:pPr>
      <w:r>
        <w:rPr>
          <w:rFonts w:ascii="Times New Roman" w:hAnsi="Times New Roman"/>
          <w:sz w:val="20"/>
        </w:rPr>
        <w:t xml:space="preserve">The above loan was accounted for as a liability in accordance with ASC 47020. The Company early adopted ASU 2020-06, effective on January 1, 2021, and therefore no bifurcation of the beneficial conversion feature was recorded in equity. </w:t>
      </w:r>
    </w:p>
    <w:p>
      <w:pPr>
        <w:pStyle w:val="TextBody"/>
        <w:bidi w:val="0"/>
        <w:spacing w:before="120" w:after="0"/>
        <w:jc w:val="left"/>
        <w:rPr>
          <w:rFonts w:ascii="Times New Roman" w:hAnsi="Times New Roman"/>
          <w:sz w:val="20"/>
        </w:rPr>
      </w:pPr>
      <w:r>
        <w:rPr>
          <w:rFonts w:ascii="Times New Roman" w:hAnsi="Times New Roman"/>
          <w:sz w:val="20"/>
        </w:rPr>
        <w:t xml:space="preserve">On April 14, 2021, upon issuance of 13,404,541 shares of series A preferred share (occurrence of a qualified financing), the Company entered into an investment deed with the lenders wherein the long-term debt including accrued interest of $12.7 million was converted into 14,634,976 Series A preferred shares. The shares were issued at a discount of 20 percent from the price per share issued to new investors.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November 2022, the Companys Board approved the 2022 Long-Term Incentive Plan (the 2022 LTIP). Under the 2022 LTIP, as of December 31, 2022, the Company was authorized to issue a maximum number of 52,696,461 ordinary shares before any grants made in the year to directors, shareholders, consultants or financers to purchase or acquire ordinary shares. After awarding 1,700,000 warrants (note 9), 5,000,000 (note 10.3) and 27,246,461 (note 10.4) ordinary shares to financers, a consultant and its principal shareholder and founder, respectively, the Company had 18,750,000 ordinary shares available to grant. The Company granted 15,750,000 share options in the year ended December 31, 2022. </w:t>
      </w:r>
    </w:p>
    <w:p>
      <w:pPr>
        <w:pStyle w:val="TextBody"/>
        <w:bidi w:val="0"/>
        <w:spacing w:before="120" w:after="0"/>
        <w:jc w:val="left"/>
        <w:rPr>
          <w:rFonts w:ascii="Times New Roman" w:hAnsi="Times New Roman"/>
          <w:sz w:val="20"/>
        </w:rPr>
      </w:pPr>
      <w:r>
        <w:rPr>
          <w:rFonts w:ascii="Times New Roman" w:hAnsi="Times New Roman"/>
          <w:sz w:val="20"/>
        </w:rPr>
        <w:t xml:space="preserve">The share options under the terms of the 2022 LTIP have an exercise price equal to the nominal value of £0.0001 per option. Most share options granted have service-based vesting conditions with the exception of only two employees whose combined 2,500,000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in 2021.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21"/>
        <w:gridCol w:w="403"/>
        <w:gridCol w:w="60"/>
        <w:gridCol w:w="1377"/>
        <w:gridCol w:w="278"/>
      </w:tblGrid>
      <w:tr>
        <w:trPr/>
        <w:tc>
          <w:tcPr>
            <w:tcW w:w="4821"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821"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8" w:type="dxa"/>
            <w:tcBorders/>
            <w:vAlign w:val="bottom"/>
          </w:tcPr>
          <w:p>
            <w:pPr>
              <w:pStyle w:val="TableContents"/>
              <w:bidi w:val="0"/>
              <w:spacing w:before="0" w:after="283"/>
              <w:jc w:val="left"/>
              <w:rPr/>
            </w:pPr>
            <w:r>
              <w:rPr/>
              <w:t> </w:t>
            </w:r>
          </w:p>
        </w:tc>
      </w:tr>
      <w:tr>
        <w:trPr/>
        <w:tc>
          <w:tcPr>
            <w:tcW w:w="4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 years(1)</w:t>
            </w:r>
          </w:p>
        </w:tc>
        <w:tc>
          <w:tcPr>
            <w:tcW w:w="4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2.5  5.1</w:t>
            </w:r>
          </w:p>
        </w:tc>
        <w:tc>
          <w:tcPr>
            <w:tcW w:w="278" w:type="dxa"/>
            <w:tcBorders/>
            <w:shd w:fill="CCEEFF" w:val="clear"/>
            <w:vAlign w:val="bottom"/>
          </w:tcPr>
          <w:p>
            <w:pPr>
              <w:pStyle w:val="TableContents"/>
              <w:bidi w:val="0"/>
              <w:spacing w:before="0" w:after="283"/>
              <w:jc w:val="left"/>
              <w:rPr/>
            </w:pPr>
            <w:r>
              <w:rPr/>
              <w:t> </w:t>
            </w:r>
          </w:p>
        </w:tc>
      </w:tr>
      <w:tr>
        <w:trPr/>
        <w:tc>
          <w:tcPr>
            <w:tcW w:w="4821" w:type="dxa"/>
            <w:tcBorders/>
          </w:tcPr>
          <w:p>
            <w:pPr>
              <w:pStyle w:val="TableContents"/>
              <w:bidi w:val="0"/>
              <w:spacing w:before="0" w:after="0"/>
              <w:jc w:val="left"/>
              <w:rPr>
                <w:rFonts w:ascii="Times New Roman" w:hAnsi="Times New Roman"/>
                <w:sz w:val="20"/>
              </w:rPr>
            </w:pPr>
            <w:r>
              <w:rPr>
                <w:rFonts w:ascii="Times New Roman" w:hAnsi="Times New Roman"/>
                <w:sz w:val="20"/>
              </w:rPr>
              <w:t>Current share value</w:t>
            </w:r>
          </w:p>
        </w:tc>
        <w:tc>
          <w:tcPr>
            <w:tcW w:w="4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1.23</w:t>
            </w:r>
          </w:p>
        </w:tc>
        <w:tc>
          <w:tcPr>
            <w:tcW w:w="278" w:type="dxa"/>
            <w:tcBorders/>
            <w:vAlign w:val="bottom"/>
          </w:tcPr>
          <w:p>
            <w:pPr>
              <w:pStyle w:val="TableContents"/>
              <w:bidi w:val="0"/>
              <w:spacing w:before="0" w:after="283"/>
              <w:jc w:val="left"/>
              <w:rPr/>
            </w:pPr>
            <w:r>
              <w:rPr/>
              <w:t> </w:t>
            </w:r>
          </w:p>
        </w:tc>
      </w:tr>
      <w:tr>
        <w:trPr/>
        <w:tc>
          <w:tcPr>
            <w:tcW w:w="4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volatility(2)</w:t>
            </w:r>
          </w:p>
        </w:tc>
        <w:tc>
          <w:tcPr>
            <w:tcW w:w="4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59.6%  63.5%</w:t>
            </w:r>
          </w:p>
        </w:tc>
        <w:tc>
          <w:tcPr>
            <w:tcW w:w="278" w:type="dxa"/>
            <w:tcBorders/>
            <w:shd w:fill="CCEEFF" w:val="clear"/>
            <w:vAlign w:val="bottom"/>
          </w:tcPr>
          <w:p>
            <w:pPr>
              <w:pStyle w:val="TableContents"/>
              <w:bidi w:val="0"/>
              <w:spacing w:before="0" w:after="283"/>
              <w:jc w:val="left"/>
              <w:rPr/>
            </w:pPr>
            <w:r>
              <w:rPr/>
              <w:t> </w:t>
            </w:r>
          </w:p>
        </w:tc>
      </w:tr>
      <w:tr>
        <w:trPr/>
        <w:tc>
          <w:tcPr>
            <w:tcW w:w="4821"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rate(3)</w:t>
            </w:r>
          </w:p>
        </w:tc>
        <w:tc>
          <w:tcPr>
            <w:tcW w:w="4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3.8%  4.2%</w:t>
            </w:r>
          </w:p>
        </w:tc>
        <w:tc>
          <w:tcPr>
            <w:tcW w:w="278" w:type="dxa"/>
            <w:tcBorders/>
            <w:vAlign w:val="bottom"/>
          </w:tcPr>
          <w:p>
            <w:pPr>
              <w:pStyle w:val="TableContents"/>
              <w:bidi w:val="0"/>
              <w:spacing w:before="0" w:after="283"/>
              <w:jc w:val="left"/>
              <w:rPr/>
            </w:pPr>
            <w:r>
              <w:rPr/>
              <w:t> </w:t>
            </w:r>
          </w:p>
        </w:tc>
      </w:tr>
      <w:tr>
        <w:trPr/>
        <w:tc>
          <w:tcPr>
            <w:tcW w:w="4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yield(4)</w:t>
            </w:r>
          </w:p>
        </w:tc>
        <w:tc>
          <w:tcPr>
            <w:tcW w:w="4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0</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term is the length of time the grant is expected to be outstanding before it is exercised or terminated. This number is calculated as the midpoint between the end of the vesting term and the contractual period to exercise.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or the standard deviation of annualized returns, was calculated based on comparable companies reported volatilities. </w:t>
            </w:r>
          </w:p>
        </w:tc>
      </w:tr>
    </w:tbl>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 free rate was obtained from US treasury notes for the expected terms noted as of the valuation date. </w:t>
            </w:r>
          </w:p>
        </w:tc>
      </w:tr>
    </w:tbl>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assumed a dividend yield of zero as it has no plans to declare dividends in the foreseeable future.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Companys share option activity for the year ended December 31, 2022 was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27"/>
        <w:gridCol w:w="348"/>
        <w:gridCol w:w="60"/>
        <w:gridCol w:w="1261"/>
        <w:gridCol w:w="60"/>
        <w:gridCol w:w="348"/>
        <w:gridCol w:w="183"/>
        <w:gridCol w:w="1004"/>
        <w:gridCol w:w="64"/>
      </w:tblGrid>
      <w:tr>
        <w:trPr/>
        <w:tc>
          <w:tcPr>
            <w:tcW w:w="4427"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2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3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w:t>
              <w:br/>
              <w:t>options</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4" w:type="dxa"/>
            <w:tcBorders/>
            <w:vAlign w:val="bottom"/>
          </w:tcPr>
          <w:p>
            <w:pPr>
              <w:pStyle w:val="TableContents"/>
              <w:bidi w:val="0"/>
              <w:spacing w:before="0" w:after="283"/>
              <w:jc w:val="left"/>
              <w:rPr/>
            </w:pPr>
            <w:r>
              <w:rPr/>
              <w:t> </w:t>
            </w:r>
          </w:p>
        </w:tc>
      </w:tr>
      <w:tr>
        <w:trPr/>
        <w:tc>
          <w:tcPr>
            <w:tcW w:w="4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2021</w:t>
            </w:r>
          </w:p>
        </w:tc>
        <w:tc>
          <w:tcPr>
            <w:tcW w:w="3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rFonts w:ascii="Times New Roman" w:hAnsi="Times New Roman"/>
                <w:sz w:val="20"/>
              </w:rPr>
            </w:pPr>
            <w:r>
              <w:rPr>
                <w:rFonts w:ascii="Times New Roman" w:hAnsi="Times New Roman"/>
                <w:sz w:val="20"/>
              </w:rPr>
              <w:t>Issued</w:t>
            </w:r>
          </w:p>
        </w:tc>
        <w:tc>
          <w:tcPr>
            <w:tcW w:w="3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15,750,000</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04" w:type="dxa"/>
            <w:tcBorders/>
            <w:vAlign w:val="bottom"/>
          </w:tcPr>
          <w:p>
            <w:pPr>
              <w:pStyle w:val="TableContents"/>
              <w:bidi w:val="0"/>
              <w:spacing w:before="0" w:after="283"/>
              <w:jc w:val="right"/>
              <w:rPr/>
            </w:pPr>
            <w:r>
              <w:rPr/>
              <w:t>0.0001</w:t>
            </w:r>
          </w:p>
        </w:tc>
        <w:tc>
          <w:tcPr>
            <w:tcW w:w="64" w:type="dxa"/>
            <w:tcBorders/>
            <w:vAlign w:val="bottom"/>
          </w:tcPr>
          <w:p>
            <w:pPr>
              <w:pStyle w:val="TableContents"/>
              <w:bidi w:val="0"/>
              <w:spacing w:before="0" w:after="283"/>
              <w:jc w:val="left"/>
              <w:rPr/>
            </w:pPr>
            <w:r>
              <w:rPr/>
              <w:t> </w:t>
            </w:r>
          </w:p>
        </w:tc>
      </w:tr>
      <w:tr>
        <w:trPr/>
        <w:tc>
          <w:tcPr>
            <w:tcW w:w="4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rFonts w:ascii="Times New Roman" w:hAnsi="Times New Roman"/>
                <w:sz w:val="20"/>
              </w:rPr>
            </w:pPr>
            <w:r>
              <w:rPr>
                <w:rFonts w:ascii="Times New Roman" w:hAnsi="Times New Roman"/>
                <w:sz w:val="20"/>
              </w:rPr>
              <w:t>Cancelled/Forfeited</w:t>
            </w:r>
          </w:p>
        </w:tc>
        <w:tc>
          <w:tcPr>
            <w:tcW w:w="3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2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2022</w:t>
            </w:r>
          </w:p>
        </w:tc>
        <w:tc>
          <w:tcPr>
            <w:tcW w:w="3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15,750,000</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b/>
              </w:rPr>
            </w:pPr>
            <w:r>
              <w:rPr>
                <w:b/>
              </w:rPr>
              <w:t>£</w:t>
            </w:r>
          </w:p>
        </w:tc>
        <w:tc>
          <w:tcPr>
            <w:tcW w:w="1004" w:type="dxa"/>
            <w:tcBorders/>
            <w:shd w:fill="CCEEFF" w:val="clear"/>
            <w:vAlign w:val="bottom"/>
          </w:tcPr>
          <w:p>
            <w:pPr>
              <w:pStyle w:val="TableContents"/>
              <w:bidi w:val="0"/>
              <w:spacing w:before="0" w:after="283"/>
              <w:jc w:val="right"/>
              <w:rPr>
                <w:b/>
              </w:rPr>
            </w:pPr>
            <w:r>
              <w:rPr>
                <w:b/>
              </w:rPr>
              <w:t>0.0001</w:t>
            </w:r>
          </w:p>
        </w:tc>
        <w:tc>
          <w:tcPr>
            <w:tcW w:w="64" w:type="dxa"/>
            <w:tcBorders/>
            <w:shd w:fill="CCEEFF" w:val="clear"/>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0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27" w:type="dxa"/>
            <w:tcBorders/>
          </w:tcPr>
          <w:p>
            <w:pPr>
              <w:pStyle w:val="TableContents"/>
              <w:bidi w:val="0"/>
              <w:spacing w:before="0" w:after="0"/>
              <w:jc w:val="left"/>
              <w:rPr>
                <w:rFonts w:ascii="Times New Roman" w:hAnsi="Times New Roman"/>
                <w:sz w:val="20"/>
              </w:rPr>
            </w:pPr>
            <w:r>
              <w:rPr>
                <w:rFonts w:ascii="Times New Roman" w:hAnsi="Times New Roman"/>
                <w:sz w:val="20"/>
              </w:rPr>
              <w:t>Vested and exercisable</w:t>
            </w:r>
          </w:p>
        </w:tc>
        <w:tc>
          <w:tcPr>
            <w:tcW w:w="3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5,700,000</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04" w:type="dxa"/>
            <w:tcBorders/>
            <w:vAlign w:val="bottom"/>
          </w:tcPr>
          <w:p>
            <w:pPr>
              <w:pStyle w:val="TableContents"/>
              <w:bidi w:val="0"/>
              <w:spacing w:before="0" w:after="283"/>
              <w:jc w:val="right"/>
              <w:rPr/>
            </w:pPr>
            <w:r>
              <w:rPr/>
              <w:t>0.0001</w:t>
            </w:r>
          </w:p>
        </w:tc>
        <w:tc>
          <w:tcPr>
            <w:tcW w:w="64" w:type="dxa"/>
            <w:tcBorders/>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2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Vested and expected to vest</w:t>
            </w:r>
          </w:p>
        </w:tc>
        <w:tc>
          <w:tcPr>
            <w:tcW w:w="3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b/>
              </w:rPr>
            </w:pPr>
            <w:r>
              <w:rPr>
                <w:b/>
              </w:rPr>
              <w:t>15,750,000</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b/>
              </w:rPr>
            </w:pPr>
            <w:r>
              <w:rPr>
                <w:b/>
              </w:rPr>
              <w:t>£</w:t>
            </w:r>
          </w:p>
        </w:tc>
        <w:tc>
          <w:tcPr>
            <w:tcW w:w="1004" w:type="dxa"/>
            <w:tcBorders/>
            <w:shd w:fill="CCEEFF" w:val="clear"/>
            <w:vAlign w:val="bottom"/>
          </w:tcPr>
          <w:p>
            <w:pPr>
              <w:pStyle w:val="TableContents"/>
              <w:bidi w:val="0"/>
              <w:spacing w:before="0" w:after="283"/>
              <w:jc w:val="right"/>
              <w:rPr>
                <w:b/>
              </w:rPr>
            </w:pPr>
            <w:r>
              <w:rPr>
                <w:b/>
              </w:rPr>
              <w:t>0.0001</w:t>
            </w:r>
          </w:p>
        </w:tc>
        <w:tc>
          <w:tcPr>
            <w:tcW w:w="64" w:type="dxa"/>
            <w:tcBorders/>
            <w:shd w:fill="CCEEFF" w:val="clear"/>
            <w:vAlign w:val="bottom"/>
          </w:tcPr>
          <w:p>
            <w:pPr>
              <w:pStyle w:val="TableContents"/>
              <w:bidi w:val="0"/>
              <w:spacing w:before="0" w:after="283"/>
              <w:jc w:val="left"/>
              <w:rPr/>
            </w:pPr>
            <w:r>
              <w:rPr/>
              <w:t> </w:t>
            </w:r>
          </w:p>
        </w:tc>
      </w:tr>
      <w:tr>
        <w:trPr/>
        <w:tc>
          <w:tcPr>
            <w:tcW w:w="4427"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0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weighted-average grant date fair-value per share of the options granted during the year December 31, 2022 was $1.20. The total fair value of the options that vested during the year ended December 31, 2022 was $6,982,500. </w:t>
      </w:r>
    </w:p>
    <w:p>
      <w:pPr>
        <w:pStyle w:val="TextBody"/>
        <w:bidi w:val="0"/>
        <w:spacing w:before="120" w:after="0"/>
        <w:jc w:val="left"/>
        <w:rPr>
          <w:rFonts w:ascii="Times New Roman" w:hAnsi="Times New Roman"/>
          <w:sz w:val="20"/>
        </w:rPr>
      </w:pPr>
      <w:r>
        <w:rPr>
          <w:rFonts w:ascii="Times New Roman" w:hAnsi="Times New Roman"/>
          <w:sz w:val="20"/>
        </w:rPr>
        <w:t xml:space="preserve">No share options were exercised during the year ended December 31, 2022.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the Company had $11.6 million of unrecognized share-based compensation expense related to share options. This cost is expected to be recognized over a weighted-average period of 15 months. </w:t>
      </w:r>
    </w:p>
    <w:p>
      <w:pPr>
        <w:pStyle w:val="TextBody"/>
        <w:bidi w:val="0"/>
        <w:spacing w:before="120" w:after="0"/>
        <w:jc w:val="left"/>
        <w:rPr>
          <w:rFonts w:ascii="Times New Roman" w:hAnsi="Times New Roman"/>
          <w:sz w:val="20"/>
        </w:rPr>
      </w:pPr>
      <w:r>
        <w:rPr>
          <w:rFonts w:ascii="Times New Roman" w:hAnsi="Times New Roman"/>
          <w:sz w:val="20"/>
        </w:rPr>
        <w:t xml:space="preserve">There was no share option activity in the year ended December 31, 2021 as no share options were issued prior to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payables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17"/>
        <w:gridCol w:w="507"/>
        <w:gridCol w:w="245"/>
        <w:gridCol w:w="1755"/>
        <w:gridCol w:w="60"/>
        <w:gridCol w:w="507"/>
        <w:gridCol w:w="245"/>
        <w:gridCol w:w="1755"/>
        <w:gridCol w:w="64"/>
      </w:tblGrid>
      <w:tr>
        <w:trPr/>
        <w:tc>
          <w:tcPr>
            <w:tcW w:w="2617" w:type="dxa"/>
            <w:tcBorders/>
            <w:vAlign w:val="center"/>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617"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64" w:type="dxa"/>
            <w:tcBorders/>
            <w:vAlign w:val="bottom"/>
          </w:tcPr>
          <w:p>
            <w:pPr>
              <w:pStyle w:val="TableContents"/>
              <w:bidi w:val="0"/>
              <w:spacing w:before="0" w:after="283"/>
              <w:jc w:val="left"/>
              <w:rPr/>
            </w:pPr>
            <w:r>
              <w:rPr/>
              <w:t> </w:t>
            </w:r>
          </w:p>
        </w:tc>
      </w:tr>
      <w:tr>
        <w:trPr/>
        <w:tc>
          <w:tcPr>
            <w:tcW w:w="2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related payables</w:t>
            </w:r>
          </w:p>
        </w:tc>
        <w:tc>
          <w:tcPr>
            <w:tcW w:w="50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755" w:type="dxa"/>
            <w:tcBorders/>
            <w:shd w:fill="CCEEFF" w:val="clear"/>
            <w:vAlign w:val="bottom"/>
          </w:tcPr>
          <w:p>
            <w:pPr>
              <w:pStyle w:val="TableContents"/>
              <w:bidi w:val="0"/>
              <w:spacing w:before="0" w:after="283"/>
              <w:jc w:val="right"/>
              <w:rPr/>
            </w:pPr>
            <w:r>
              <w:rPr/>
              <w:t>763,181</w:t>
            </w:r>
          </w:p>
        </w:tc>
        <w:tc>
          <w:tcPr>
            <w:tcW w:w="60"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755" w:type="dxa"/>
            <w:tcBorders/>
            <w:shd w:fill="CCEEFF" w:val="clear"/>
            <w:vAlign w:val="bottom"/>
          </w:tcPr>
          <w:p>
            <w:pPr>
              <w:pStyle w:val="TableContents"/>
              <w:bidi w:val="0"/>
              <w:spacing w:before="0" w:after="283"/>
              <w:jc w:val="right"/>
              <w:rPr/>
            </w:pPr>
            <w:r>
              <w:rPr/>
              <w:t>470,153</w:t>
            </w:r>
          </w:p>
        </w:tc>
        <w:tc>
          <w:tcPr>
            <w:tcW w:w="64" w:type="dxa"/>
            <w:tcBorders/>
            <w:shd w:fill="CCEEFF" w:val="clear"/>
            <w:vAlign w:val="bottom"/>
          </w:tcPr>
          <w:p>
            <w:pPr>
              <w:pStyle w:val="TableContents"/>
              <w:bidi w:val="0"/>
              <w:spacing w:before="0" w:after="283"/>
              <w:jc w:val="left"/>
              <w:rPr/>
            </w:pPr>
            <w:r>
              <w:rPr/>
              <w:t> </w:t>
            </w:r>
          </w:p>
        </w:tc>
      </w:tr>
      <w:tr>
        <w:trPr/>
        <w:tc>
          <w:tcPr>
            <w:tcW w:w="2617"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50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55" w:type="dxa"/>
            <w:tcBorders/>
            <w:vAlign w:val="bottom"/>
          </w:tcPr>
          <w:p>
            <w:pPr>
              <w:pStyle w:val="TableContents"/>
              <w:bidi w:val="0"/>
              <w:spacing w:before="0" w:after="283"/>
              <w:jc w:val="right"/>
              <w:rPr/>
            </w:pPr>
            <w:r>
              <w:rPr/>
              <w:t>2,535,133</w:t>
            </w:r>
          </w:p>
        </w:tc>
        <w:tc>
          <w:tcPr>
            <w:tcW w:w="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55" w:type="dxa"/>
            <w:tcBorders/>
            <w:vAlign w:val="bottom"/>
          </w:tcPr>
          <w:p>
            <w:pPr>
              <w:pStyle w:val="TableContents"/>
              <w:bidi w:val="0"/>
              <w:spacing w:before="0" w:after="283"/>
              <w:jc w:val="right"/>
              <w:rPr/>
            </w:pPr>
            <w:r>
              <w:rPr/>
              <w:t>1,399,433</w:t>
            </w:r>
          </w:p>
        </w:tc>
        <w:tc>
          <w:tcPr>
            <w:tcW w:w="64" w:type="dxa"/>
            <w:tcBorders/>
            <w:vAlign w:val="bottom"/>
          </w:tcPr>
          <w:p>
            <w:pPr>
              <w:pStyle w:val="TableContents"/>
              <w:bidi w:val="0"/>
              <w:spacing w:before="0" w:after="283"/>
              <w:jc w:val="left"/>
              <w:rPr/>
            </w:pPr>
            <w:r>
              <w:rPr/>
              <w:t> </w:t>
            </w:r>
          </w:p>
        </w:tc>
      </w:tr>
      <w:tr>
        <w:trPr/>
        <w:tc>
          <w:tcPr>
            <w:tcW w:w="2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VAT Liability</w:t>
            </w:r>
          </w:p>
        </w:tc>
        <w:tc>
          <w:tcPr>
            <w:tcW w:w="50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bidi w:val="0"/>
              <w:spacing w:before="0" w:after="283"/>
              <w:jc w:val="right"/>
              <w:rPr/>
            </w:pPr>
            <w:r>
              <w:rPr/>
              <w:t>11,515</w:t>
            </w:r>
          </w:p>
        </w:tc>
        <w:tc>
          <w:tcPr>
            <w:tcW w:w="60"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bidi w:val="0"/>
              <w:spacing w:before="0" w:after="283"/>
              <w:jc w:val="right"/>
              <w:rPr/>
            </w:pPr>
            <w:r>
              <w:rPr/>
              <w:t>6,023</w:t>
            </w:r>
          </w:p>
        </w:tc>
        <w:tc>
          <w:tcPr>
            <w:tcW w:w="64" w:type="dxa"/>
            <w:tcBorders/>
            <w:shd w:fill="CCEEFF" w:val="clear"/>
            <w:vAlign w:val="bottom"/>
          </w:tcPr>
          <w:p>
            <w:pPr>
              <w:pStyle w:val="TableContents"/>
              <w:bidi w:val="0"/>
              <w:spacing w:before="0" w:after="283"/>
              <w:jc w:val="left"/>
              <w:rPr/>
            </w:pPr>
            <w:r>
              <w:rPr/>
              <w:t> </w:t>
            </w:r>
          </w:p>
        </w:tc>
      </w:tr>
      <w:tr>
        <w:trPr/>
        <w:tc>
          <w:tcPr>
            <w:tcW w:w="2617"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0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55" w:type="dxa"/>
            <w:tcBorders/>
            <w:vAlign w:val="bottom"/>
          </w:tcPr>
          <w:p>
            <w:pPr>
              <w:pStyle w:val="TableContents"/>
              <w:bidi w:val="0"/>
              <w:spacing w:before="0" w:after="283"/>
              <w:jc w:val="right"/>
              <w:rPr/>
            </w:pPr>
            <w:r>
              <w:rPr/>
              <w:t>179,080</w:t>
            </w:r>
          </w:p>
        </w:tc>
        <w:tc>
          <w:tcPr>
            <w:tcW w:w="6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5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5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6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0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bidi w:val="0"/>
              <w:spacing w:before="0" w:after="283"/>
              <w:jc w:val="right"/>
              <w:rPr>
                <w:b/>
              </w:rPr>
            </w:pPr>
            <w:r>
              <w:rPr>
                <w:b/>
              </w:rPr>
              <w:t>3,488,909</w:t>
            </w:r>
          </w:p>
        </w:tc>
        <w:tc>
          <w:tcPr>
            <w:tcW w:w="60"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bidi w:val="0"/>
              <w:spacing w:before="0" w:after="283"/>
              <w:jc w:val="right"/>
              <w:rPr>
                <w:b/>
              </w:rPr>
            </w:pPr>
            <w:r>
              <w:rPr>
                <w:b/>
              </w:rPr>
              <w:t>1,875,609</w:t>
            </w:r>
          </w:p>
        </w:tc>
        <w:tc>
          <w:tcPr>
            <w:tcW w:w="64" w:type="dxa"/>
            <w:tcBorders/>
            <w:shd w:fill="CCEEFF" w:val="clear"/>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7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75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14. Expenses and other Non-operating (income) expense, net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and marketing expenses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10"/>
        <w:gridCol w:w="435"/>
        <w:gridCol w:w="244"/>
        <w:gridCol w:w="1774"/>
        <w:gridCol w:w="60"/>
        <w:gridCol w:w="435"/>
        <w:gridCol w:w="112"/>
        <w:gridCol w:w="1920"/>
        <w:gridCol w:w="65"/>
      </w:tblGrid>
      <w:tr>
        <w:trPr/>
        <w:tc>
          <w:tcPr>
            <w:tcW w:w="2710"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71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6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65" w:type="dxa"/>
            <w:tcBorders/>
            <w:vAlign w:val="bottom"/>
          </w:tcPr>
          <w:p>
            <w:pPr>
              <w:pStyle w:val="TableContents"/>
              <w:bidi w:val="0"/>
              <w:spacing w:before="0" w:after="283"/>
              <w:jc w:val="left"/>
              <w:rPr/>
            </w:pPr>
            <w:r>
              <w:rPr/>
              <w:t> </w:t>
            </w:r>
          </w:p>
        </w:tc>
      </w:tr>
      <w:tr>
        <w:trPr/>
        <w:tc>
          <w:tcPr>
            <w:tcW w:w="2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Advertisement and publicity expenses</w:t>
            </w:r>
          </w:p>
        </w:tc>
        <w:tc>
          <w:tcPr>
            <w:tcW w:w="43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74" w:type="dxa"/>
            <w:tcBorders/>
            <w:shd w:fill="CCEEFF" w:val="clear"/>
            <w:vAlign w:val="bottom"/>
          </w:tcPr>
          <w:p>
            <w:pPr>
              <w:pStyle w:val="TableContents"/>
              <w:bidi w:val="0"/>
              <w:spacing w:before="0" w:after="283"/>
              <w:jc w:val="right"/>
              <w:rPr/>
            </w:pPr>
            <w:r>
              <w:rPr/>
              <w:t>3,123,820</w:t>
            </w:r>
          </w:p>
        </w:tc>
        <w:tc>
          <w:tcPr>
            <w:tcW w:w="60"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20" w:type="dxa"/>
            <w:tcBorders/>
            <w:shd w:fill="CCEEFF" w:val="clear"/>
            <w:vAlign w:val="bottom"/>
          </w:tcPr>
          <w:p>
            <w:pPr>
              <w:pStyle w:val="TableContents"/>
              <w:bidi w:val="0"/>
              <w:spacing w:before="0" w:after="283"/>
              <w:jc w:val="right"/>
              <w:rPr/>
            </w:pPr>
            <w:r>
              <w:rPr/>
              <w:t>387,083</w:t>
            </w:r>
          </w:p>
        </w:tc>
        <w:tc>
          <w:tcPr>
            <w:tcW w:w="65" w:type="dxa"/>
            <w:tcBorders/>
            <w:shd w:fill="CCEEFF" w:val="clear"/>
            <w:vAlign w:val="bottom"/>
          </w:tcPr>
          <w:p>
            <w:pPr>
              <w:pStyle w:val="TableContents"/>
              <w:bidi w:val="0"/>
              <w:spacing w:before="0" w:after="283"/>
              <w:jc w:val="left"/>
              <w:rPr/>
            </w:pPr>
            <w:r>
              <w:rPr/>
              <w:t> </w:t>
            </w:r>
          </w:p>
        </w:tc>
      </w:tr>
      <w:tr>
        <w:trPr/>
        <w:tc>
          <w:tcPr>
            <w:tcW w:w="2710" w:type="dxa"/>
            <w:tcBorders/>
          </w:tcPr>
          <w:p>
            <w:pPr>
              <w:pStyle w:val="TableContents"/>
              <w:bidi w:val="0"/>
              <w:spacing w:before="0" w:after="0"/>
              <w:jc w:val="left"/>
              <w:rPr>
                <w:rFonts w:ascii="Times New Roman" w:hAnsi="Times New Roman"/>
                <w:sz w:val="20"/>
              </w:rPr>
            </w:pPr>
            <w:r>
              <w:rPr>
                <w:rFonts w:ascii="Times New Roman" w:hAnsi="Times New Roman"/>
                <w:sz w:val="20"/>
              </w:rPr>
              <w:t>Employee salaries and benefits</w:t>
            </w:r>
          </w:p>
        </w:tc>
        <w:tc>
          <w:tcPr>
            <w:tcW w:w="43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1,788,941</w:t>
            </w:r>
          </w:p>
        </w:tc>
        <w:tc>
          <w:tcPr>
            <w:tcW w:w="6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20" w:type="dxa"/>
            <w:tcBorders/>
            <w:vAlign w:val="bottom"/>
          </w:tcPr>
          <w:p>
            <w:pPr>
              <w:pStyle w:val="TableContents"/>
              <w:bidi w:val="0"/>
              <w:spacing w:before="0" w:after="283"/>
              <w:jc w:val="right"/>
              <w:rPr/>
            </w:pPr>
            <w:r>
              <w:rPr/>
              <w:t>1,201,369</w:t>
            </w:r>
          </w:p>
        </w:tc>
        <w:tc>
          <w:tcPr>
            <w:tcW w:w="65" w:type="dxa"/>
            <w:tcBorders/>
            <w:vAlign w:val="bottom"/>
          </w:tcPr>
          <w:p>
            <w:pPr>
              <w:pStyle w:val="TableContents"/>
              <w:bidi w:val="0"/>
              <w:spacing w:before="0" w:after="283"/>
              <w:jc w:val="left"/>
              <w:rPr/>
            </w:pPr>
            <w:r>
              <w:rPr/>
              <w:t> </w:t>
            </w:r>
          </w:p>
        </w:tc>
      </w:tr>
      <w:tr>
        <w:trPr/>
        <w:tc>
          <w:tcPr>
            <w:tcW w:w="27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Consultancy charges</w:t>
            </w:r>
          </w:p>
        </w:tc>
        <w:tc>
          <w:tcPr>
            <w:tcW w:w="43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1,538,729</w:t>
            </w:r>
          </w:p>
        </w:tc>
        <w:tc>
          <w:tcPr>
            <w:tcW w:w="60"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20" w:type="dxa"/>
            <w:tcBorders/>
            <w:shd w:fill="CCEEFF" w:val="clear"/>
            <w:vAlign w:val="bottom"/>
          </w:tcPr>
          <w:p>
            <w:pPr>
              <w:pStyle w:val="TableContents"/>
              <w:bidi w:val="0"/>
              <w:spacing w:before="0" w:after="283"/>
              <w:jc w:val="right"/>
              <w:rPr/>
            </w:pPr>
            <w:r>
              <w:rPr/>
              <w:t>724,044</w:t>
            </w:r>
          </w:p>
        </w:tc>
        <w:tc>
          <w:tcPr>
            <w:tcW w:w="65" w:type="dxa"/>
            <w:tcBorders/>
            <w:shd w:fill="CCEEFF" w:val="clear"/>
            <w:vAlign w:val="bottom"/>
          </w:tcPr>
          <w:p>
            <w:pPr>
              <w:pStyle w:val="TableContents"/>
              <w:bidi w:val="0"/>
              <w:spacing w:before="0" w:after="283"/>
              <w:jc w:val="left"/>
              <w:rPr/>
            </w:pPr>
            <w:r>
              <w:rPr/>
              <w:t> </w:t>
            </w:r>
          </w:p>
        </w:tc>
      </w:tr>
      <w:tr>
        <w:trPr/>
        <w:tc>
          <w:tcPr>
            <w:tcW w:w="2710" w:type="dxa"/>
            <w:tcBorders/>
          </w:tcPr>
          <w:p>
            <w:pPr>
              <w:pStyle w:val="TableContents"/>
              <w:bidi w:val="0"/>
              <w:spacing w:before="0" w:after="0"/>
              <w:jc w:val="left"/>
              <w:rPr>
                <w:rFonts w:ascii="Times New Roman" w:hAnsi="Times New Roman"/>
                <w:sz w:val="20"/>
              </w:rPr>
            </w:pPr>
            <w:r>
              <w:rPr>
                <w:rFonts w:ascii="Times New Roman" w:hAnsi="Times New Roman"/>
                <w:sz w:val="20"/>
              </w:rPr>
              <w:t>Share-based payments to employees</w:t>
            </w:r>
          </w:p>
        </w:tc>
        <w:tc>
          <w:tcPr>
            <w:tcW w:w="43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375,721</w:t>
            </w:r>
          </w:p>
        </w:tc>
        <w:tc>
          <w:tcPr>
            <w:tcW w:w="6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2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710"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192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7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3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b/>
              </w:rPr>
            </w:pPr>
            <w:r>
              <w:rPr>
                <w:b/>
              </w:rPr>
              <w:t xml:space="preserve">6,827,211 </w:t>
            </w:r>
          </w:p>
        </w:tc>
        <w:tc>
          <w:tcPr>
            <w:tcW w:w="60"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20" w:type="dxa"/>
            <w:tcBorders/>
            <w:shd w:fill="CCEEFF" w:val="clear"/>
            <w:vAlign w:val="bottom"/>
          </w:tcPr>
          <w:p>
            <w:pPr>
              <w:pStyle w:val="TableContents"/>
              <w:bidi w:val="0"/>
              <w:spacing w:before="0" w:after="283"/>
              <w:jc w:val="right"/>
              <w:rPr>
                <w:b/>
              </w:rPr>
            </w:pPr>
            <w:r>
              <w:rPr>
                <w:b/>
              </w:rPr>
              <w:t>2,312,496</w:t>
            </w:r>
          </w:p>
        </w:tc>
        <w:tc>
          <w:tcPr>
            <w:tcW w:w="65" w:type="dxa"/>
            <w:tcBorders/>
            <w:shd w:fill="CCEEFF" w:val="clear"/>
            <w:vAlign w:val="bottom"/>
          </w:tcPr>
          <w:p>
            <w:pPr>
              <w:pStyle w:val="TableContents"/>
              <w:bidi w:val="0"/>
              <w:spacing w:before="0" w:after="283"/>
              <w:jc w:val="left"/>
              <w:rPr/>
            </w:pPr>
            <w:r>
              <w:rPr/>
              <w:t> </w:t>
            </w:r>
          </w:p>
        </w:tc>
      </w:tr>
      <w:tr>
        <w:trPr/>
        <w:tc>
          <w:tcPr>
            <w:tcW w:w="2710"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7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192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35"/>
        <w:gridCol w:w="426"/>
        <w:gridCol w:w="210"/>
        <w:gridCol w:w="1805"/>
        <w:gridCol w:w="60"/>
        <w:gridCol w:w="426"/>
        <w:gridCol w:w="101"/>
        <w:gridCol w:w="1929"/>
        <w:gridCol w:w="63"/>
      </w:tblGrid>
      <w:tr>
        <w:trPr/>
        <w:tc>
          <w:tcPr>
            <w:tcW w:w="2735"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63" w:type="dxa"/>
            <w:tcBorders/>
            <w:vAlign w:val="bottom"/>
          </w:tcPr>
          <w:p>
            <w:pPr>
              <w:pStyle w:val="TableContents"/>
              <w:bidi w:val="0"/>
              <w:spacing w:before="0" w:after="283"/>
              <w:jc w:val="left"/>
              <w:rPr/>
            </w:pPr>
            <w:r>
              <w:rPr/>
              <w:t> </w:t>
            </w:r>
          </w:p>
        </w:tc>
      </w:tr>
      <w:tr>
        <w:trPr/>
        <w:tc>
          <w:tcPr>
            <w:tcW w:w="2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IT expenses</w:t>
            </w:r>
          </w:p>
        </w:tc>
        <w:tc>
          <w:tcPr>
            <w:tcW w:w="4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805" w:type="dxa"/>
            <w:tcBorders/>
            <w:shd w:fill="CCEEFF" w:val="clear"/>
            <w:vAlign w:val="bottom"/>
          </w:tcPr>
          <w:p>
            <w:pPr>
              <w:pStyle w:val="TableContents"/>
              <w:bidi w:val="0"/>
              <w:spacing w:before="0" w:after="283"/>
              <w:jc w:val="right"/>
              <w:rPr/>
            </w:pPr>
            <w:r>
              <w:rPr/>
              <w:t>1,066,708</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29" w:type="dxa"/>
            <w:tcBorders/>
            <w:shd w:fill="CCEEFF" w:val="clear"/>
            <w:vAlign w:val="bottom"/>
          </w:tcPr>
          <w:p>
            <w:pPr>
              <w:pStyle w:val="TableContents"/>
              <w:bidi w:val="0"/>
              <w:spacing w:before="0" w:after="283"/>
              <w:jc w:val="right"/>
              <w:rPr/>
            </w:pPr>
            <w:r>
              <w:rPr/>
              <w:t>929,963</w:t>
            </w:r>
          </w:p>
        </w:tc>
        <w:tc>
          <w:tcPr>
            <w:tcW w:w="63" w:type="dxa"/>
            <w:tcBorders/>
            <w:shd w:fill="CCEEFF" w:val="clear"/>
            <w:vAlign w:val="bottom"/>
          </w:tcPr>
          <w:p>
            <w:pPr>
              <w:pStyle w:val="TableContents"/>
              <w:bidi w:val="0"/>
              <w:spacing w:before="0" w:after="283"/>
              <w:jc w:val="left"/>
              <w:rPr/>
            </w:pPr>
            <w:r>
              <w:rPr/>
              <w:t> </w:t>
            </w:r>
          </w:p>
        </w:tc>
      </w:tr>
      <w:tr>
        <w:trPr/>
        <w:tc>
          <w:tcPr>
            <w:tcW w:w="2735" w:type="dxa"/>
            <w:tcBorders/>
          </w:tcPr>
          <w:p>
            <w:pPr>
              <w:pStyle w:val="TableContents"/>
              <w:bidi w:val="0"/>
              <w:spacing w:before="0" w:after="0"/>
              <w:jc w:val="left"/>
              <w:rPr>
                <w:rFonts w:ascii="Times New Roman" w:hAnsi="Times New Roman"/>
                <w:sz w:val="20"/>
              </w:rPr>
            </w:pPr>
            <w:r>
              <w:rPr>
                <w:rFonts w:ascii="Times New Roman" w:hAnsi="Times New Roman"/>
                <w:sz w:val="20"/>
              </w:rPr>
              <w:t>Legal and professional expenses</w:t>
            </w:r>
          </w:p>
        </w:tc>
        <w:tc>
          <w:tcPr>
            <w:tcW w:w="42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right"/>
              <w:rPr/>
            </w:pPr>
            <w:r>
              <w:rPr/>
              <w:t>5,598,739</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29" w:type="dxa"/>
            <w:tcBorders/>
            <w:vAlign w:val="bottom"/>
          </w:tcPr>
          <w:p>
            <w:pPr>
              <w:pStyle w:val="TableContents"/>
              <w:bidi w:val="0"/>
              <w:spacing w:before="0" w:after="283"/>
              <w:jc w:val="right"/>
              <w:rPr/>
            </w:pPr>
            <w:r>
              <w:rPr/>
              <w:t>2,721,398</w:t>
            </w:r>
          </w:p>
        </w:tc>
        <w:tc>
          <w:tcPr>
            <w:tcW w:w="63" w:type="dxa"/>
            <w:tcBorders/>
            <w:vAlign w:val="bottom"/>
          </w:tcPr>
          <w:p>
            <w:pPr>
              <w:pStyle w:val="TableContents"/>
              <w:bidi w:val="0"/>
              <w:spacing w:before="0" w:after="283"/>
              <w:jc w:val="left"/>
              <w:rPr/>
            </w:pPr>
            <w:r>
              <w:rPr/>
              <w:t> </w:t>
            </w:r>
          </w:p>
        </w:tc>
      </w:tr>
      <w:tr>
        <w:trPr/>
        <w:tc>
          <w:tcPr>
            <w:tcW w:w="2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Business development expenses</w:t>
            </w:r>
          </w:p>
        </w:tc>
        <w:tc>
          <w:tcPr>
            <w:tcW w:w="4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right"/>
              <w:rPr/>
            </w:pPr>
            <w:r>
              <w:rPr/>
              <w:t>7,136,168</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29" w:type="dxa"/>
            <w:tcBorders/>
            <w:shd w:fill="CCEEFF" w:val="clear"/>
            <w:vAlign w:val="bottom"/>
          </w:tcPr>
          <w:p>
            <w:pPr>
              <w:pStyle w:val="TableContents"/>
              <w:bidi w:val="0"/>
              <w:spacing w:before="0" w:after="283"/>
              <w:jc w:val="right"/>
              <w:rPr/>
            </w:pPr>
            <w:r>
              <w:rPr/>
              <w:t>5,207,047</w:t>
            </w:r>
          </w:p>
        </w:tc>
        <w:tc>
          <w:tcPr>
            <w:tcW w:w="63" w:type="dxa"/>
            <w:tcBorders/>
            <w:shd w:fill="CCEEFF" w:val="clear"/>
            <w:vAlign w:val="bottom"/>
          </w:tcPr>
          <w:p>
            <w:pPr>
              <w:pStyle w:val="TableContents"/>
              <w:bidi w:val="0"/>
              <w:spacing w:before="0" w:after="283"/>
              <w:jc w:val="left"/>
              <w:rPr/>
            </w:pPr>
            <w:r>
              <w:rPr/>
              <w:t> </w:t>
            </w:r>
          </w:p>
        </w:tc>
      </w:tr>
      <w:tr>
        <w:trPr/>
        <w:tc>
          <w:tcPr>
            <w:tcW w:w="2735" w:type="dxa"/>
            <w:tcBorders/>
          </w:tcPr>
          <w:p>
            <w:pPr>
              <w:pStyle w:val="TableContents"/>
              <w:bidi w:val="0"/>
              <w:spacing w:before="0" w:after="0"/>
              <w:jc w:val="left"/>
              <w:rPr>
                <w:rFonts w:ascii="Times New Roman" w:hAnsi="Times New Roman"/>
                <w:sz w:val="20"/>
              </w:rPr>
            </w:pPr>
            <w:r>
              <w:rPr>
                <w:rFonts w:ascii="Times New Roman" w:hAnsi="Times New Roman"/>
                <w:sz w:val="20"/>
              </w:rPr>
              <w:t>Employee salaries and benefits</w:t>
            </w:r>
          </w:p>
        </w:tc>
        <w:tc>
          <w:tcPr>
            <w:tcW w:w="42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right"/>
              <w:rPr/>
            </w:pPr>
            <w:r>
              <w:rPr/>
              <w:t>6,762,343</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29" w:type="dxa"/>
            <w:tcBorders/>
            <w:vAlign w:val="bottom"/>
          </w:tcPr>
          <w:p>
            <w:pPr>
              <w:pStyle w:val="TableContents"/>
              <w:bidi w:val="0"/>
              <w:spacing w:before="0" w:after="283"/>
              <w:jc w:val="right"/>
              <w:rPr/>
            </w:pPr>
            <w:r>
              <w:rPr/>
              <w:t>3,990,189</w:t>
            </w:r>
          </w:p>
        </w:tc>
        <w:tc>
          <w:tcPr>
            <w:tcW w:w="63" w:type="dxa"/>
            <w:tcBorders/>
            <w:vAlign w:val="bottom"/>
          </w:tcPr>
          <w:p>
            <w:pPr>
              <w:pStyle w:val="TableContents"/>
              <w:bidi w:val="0"/>
              <w:spacing w:before="0" w:after="283"/>
              <w:jc w:val="left"/>
              <w:rPr/>
            </w:pPr>
            <w:r>
              <w:rPr/>
              <w:t> </w:t>
            </w:r>
          </w:p>
        </w:tc>
      </w:tr>
      <w:tr>
        <w:trPr/>
        <w:tc>
          <w:tcPr>
            <w:tcW w:w="2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Consultancy charges</w:t>
            </w:r>
          </w:p>
        </w:tc>
        <w:tc>
          <w:tcPr>
            <w:tcW w:w="4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right"/>
              <w:rPr/>
            </w:pPr>
            <w:r>
              <w:rPr/>
              <w:t>8,223,297</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29" w:type="dxa"/>
            <w:tcBorders/>
            <w:shd w:fill="CCEEFF" w:val="clear"/>
            <w:vAlign w:val="bottom"/>
          </w:tcPr>
          <w:p>
            <w:pPr>
              <w:pStyle w:val="TableContents"/>
              <w:bidi w:val="0"/>
              <w:spacing w:before="0" w:after="283"/>
              <w:jc w:val="right"/>
              <w:rPr/>
            </w:pPr>
            <w:r>
              <w:rPr/>
              <w:t>4,414,787</w:t>
            </w:r>
          </w:p>
        </w:tc>
        <w:tc>
          <w:tcPr>
            <w:tcW w:w="63" w:type="dxa"/>
            <w:tcBorders/>
            <w:shd w:fill="CCEEFF" w:val="clear"/>
            <w:vAlign w:val="bottom"/>
          </w:tcPr>
          <w:p>
            <w:pPr>
              <w:pStyle w:val="TableContents"/>
              <w:bidi w:val="0"/>
              <w:spacing w:before="0" w:after="283"/>
              <w:jc w:val="left"/>
              <w:rPr/>
            </w:pPr>
            <w:r>
              <w:rPr/>
              <w:t> </w:t>
            </w:r>
          </w:p>
        </w:tc>
      </w:tr>
      <w:tr>
        <w:trPr/>
        <w:tc>
          <w:tcPr>
            <w:tcW w:w="2735" w:type="dxa"/>
            <w:tcBorders/>
          </w:tcPr>
          <w:p>
            <w:pPr>
              <w:pStyle w:val="TableContents"/>
              <w:bidi w:val="0"/>
              <w:spacing w:before="0" w:after="0"/>
              <w:jc w:val="left"/>
              <w:rPr>
                <w:rFonts w:ascii="Times New Roman" w:hAnsi="Times New Roman"/>
                <w:sz w:val="20"/>
              </w:rPr>
            </w:pPr>
            <w:r>
              <w:rPr>
                <w:rFonts w:ascii="Times New Roman" w:hAnsi="Times New Roman"/>
                <w:sz w:val="20"/>
              </w:rPr>
              <w:t>Share-based payments to employees</w:t>
            </w:r>
          </w:p>
        </w:tc>
        <w:tc>
          <w:tcPr>
            <w:tcW w:w="42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right"/>
              <w:rPr/>
            </w:pPr>
            <w:r>
              <w:rPr/>
              <w:t>1,739,294</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2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2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payments to related parties</w:t>
            </w:r>
          </w:p>
        </w:tc>
        <w:tc>
          <w:tcPr>
            <w:tcW w:w="4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right"/>
              <w:rPr/>
            </w:pPr>
            <w:r>
              <w:rPr/>
              <w:t>39,501,701</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29" w:type="dxa"/>
            <w:tcBorders/>
            <w:shd w:fill="CCEEFF" w:val="clear"/>
            <w:vAlign w:val="bottom"/>
          </w:tcPr>
          <w:p>
            <w:pPr>
              <w:pStyle w:val="TableContents"/>
              <w:bidi w:val="0"/>
              <w:spacing w:before="0" w:after="283"/>
              <w:jc w:val="right"/>
              <w:rPr/>
            </w:pPr>
            <w:r>
              <w:rPr/>
              <w:t>13,227,220</w:t>
            </w:r>
          </w:p>
        </w:tc>
        <w:tc>
          <w:tcPr>
            <w:tcW w:w="63" w:type="dxa"/>
            <w:tcBorders/>
            <w:shd w:fill="CCEEFF" w:val="clear"/>
            <w:vAlign w:val="bottom"/>
          </w:tcPr>
          <w:p>
            <w:pPr>
              <w:pStyle w:val="TableContents"/>
              <w:bidi w:val="0"/>
              <w:spacing w:before="0" w:after="283"/>
              <w:jc w:val="left"/>
              <w:rPr/>
            </w:pPr>
            <w:r>
              <w:rPr/>
              <w:t> </w:t>
            </w:r>
          </w:p>
        </w:tc>
      </w:tr>
      <w:tr>
        <w:trPr/>
        <w:tc>
          <w:tcPr>
            <w:tcW w:w="2735" w:type="dxa"/>
            <w:tcBorders/>
          </w:tcPr>
          <w:p>
            <w:pPr>
              <w:pStyle w:val="TableContents"/>
              <w:bidi w:val="0"/>
              <w:spacing w:before="0" w:after="0"/>
              <w:jc w:val="left"/>
              <w:rPr>
                <w:rFonts w:ascii="Times New Roman" w:hAnsi="Times New Roman"/>
                <w:sz w:val="20"/>
              </w:rPr>
            </w:pPr>
            <w:r>
              <w:rPr>
                <w:rFonts w:ascii="Times New Roman" w:hAnsi="Times New Roman"/>
                <w:sz w:val="20"/>
              </w:rPr>
              <w:t>Share-based payments for consultancy</w:t>
            </w:r>
          </w:p>
        </w:tc>
        <w:tc>
          <w:tcPr>
            <w:tcW w:w="42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right"/>
              <w:rPr/>
            </w:pPr>
            <w:r>
              <w:rPr/>
              <w:t>18,417,816</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29" w:type="dxa"/>
            <w:tcBorders/>
            <w:vAlign w:val="bottom"/>
          </w:tcPr>
          <w:p>
            <w:pPr>
              <w:pStyle w:val="TableContents"/>
              <w:bidi w:val="0"/>
              <w:spacing w:before="0" w:after="283"/>
              <w:jc w:val="right"/>
              <w:rPr/>
            </w:pPr>
            <w:r>
              <w:rPr/>
              <w:t>3,460,799</w:t>
            </w:r>
          </w:p>
        </w:tc>
        <w:tc>
          <w:tcPr>
            <w:tcW w:w="63" w:type="dxa"/>
            <w:tcBorders/>
            <w:vAlign w:val="bottom"/>
          </w:tcPr>
          <w:p>
            <w:pPr>
              <w:pStyle w:val="TableContents"/>
              <w:bidi w:val="0"/>
              <w:spacing w:before="0" w:after="283"/>
              <w:jc w:val="left"/>
              <w:rPr/>
            </w:pPr>
            <w:r>
              <w:rPr/>
              <w:t> </w:t>
            </w:r>
          </w:p>
        </w:tc>
      </w:tr>
      <w:tr>
        <w:trPr/>
        <w:tc>
          <w:tcPr>
            <w:tcW w:w="2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right"/>
              <w:rPr/>
            </w:pPr>
            <w:r>
              <w:rPr/>
              <w:t>3,158,330</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29" w:type="dxa"/>
            <w:tcBorders/>
            <w:shd w:fill="CCEEFF" w:val="clear"/>
            <w:vAlign w:val="bottom"/>
          </w:tcPr>
          <w:p>
            <w:pPr>
              <w:pStyle w:val="TableContents"/>
              <w:bidi w:val="0"/>
              <w:spacing w:before="0" w:after="283"/>
              <w:jc w:val="right"/>
              <w:rPr/>
            </w:pPr>
            <w:r>
              <w:rPr/>
              <w:t>1,673,107</w:t>
            </w:r>
          </w:p>
        </w:tc>
        <w:tc>
          <w:tcPr>
            <w:tcW w:w="63" w:type="dxa"/>
            <w:tcBorders/>
            <w:shd w:fill="CCEEFF" w:val="clear"/>
            <w:vAlign w:val="bottom"/>
          </w:tcPr>
          <w:p>
            <w:pPr>
              <w:pStyle w:val="TableContents"/>
              <w:bidi w:val="0"/>
              <w:spacing w:before="0" w:after="283"/>
              <w:jc w:val="left"/>
              <w:rPr/>
            </w:pPr>
            <w:r>
              <w:rPr/>
              <w:t> </w:t>
            </w:r>
          </w:p>
        </w:tc>
      </w:tr>
      <w:tr>
        <w:trPr/>
        <w:tc>
          <w:tcPr>
            <w:tcW w:w="2735"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192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73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2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right"/>
              <w:rPr>
                <w:b/>
              </w:rPr>
            </w:pPr>
            <w:r>
              <w:rPr>
                <w:b/>
              </w:rPr>
              <w:t xml:space="preserve">91,604,396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29" w:type="dxa"/>
            <w:tcBorders/>
            <w:vAlign w:val="bottom"/>
          </w:tcPr>
          <w:p>
            <w:pPr>
              <w:pStyle w:val="TableContents"/>
              <w:bidi w:val="0"/>
              <w:spacing w:before="0" w:after="283"/>
              <w:jc w:val="right"/>
              <w:rPr>
                <w:b/>
              </w:rPr>
            </w:pPr>
            <w:r>
              <w:rPr>
                <w:b/>
              </w:rPr>
              <w:t>35,624,510</w:t>
            </w:r>
          </w:p>
        </w:tc>
        <w:tc>
          <w:tcPr>
            <w:tcW w:w="63" w:type="dxa"/>
            <w:tcBorders/>
            <w:vAlign w:val="bottom"/>
          </w:tcPr>
          <w:p>
            <w:pPr>
              <w:pStyle w:val="TableContents"/>
              <w:bidi w:val="0"/>
              <w:spacing w:before="0" w:after="283"/>
              <w:jc w:val="left"/>
              <w:rPr/>
            </w:pPr>
            <w:r>
              <w:rPr/>
              <w:t> </w:t>
            </w:r>
          </w:p>
        </w:tc>
      </w:tr>
      <w:tr>
        <w:trPr/>
        <w:tc>
          <w:tcPr>
            <w:tcW w:w="2735"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8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192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non-operating (income) expense, net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46"/>
        <w:gridCol w:w="433"/>
        <w:gridCol w:w="269"/>
        <w:gridCol w:w="1739"/>
        <w:gridCol w:w="155"/>
        <w:gridCol w:w="433"/>
        <w:gridCol w:w="112"/>
        <w:gridCol w:w="1909"/>
        <w:gridCol w:w="159"/>
      </w:tblGrid>
      <w:tr>
        <w:trPr/>
        <w:tc>
          <w:tcPr>
            <w:tcW w:w="2546" w:type="dxa"/>
            <w:tcBorders/>
            <w:vAlign w:val="center"/>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46"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2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15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20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159" w:type="dxa"/>
            <w:tcBorders/>
            <w:vAlign w:val="bottom"/>
          </w:tcPr>
          <w:p>
            <w:pPr>
              <w:pStyle w:val="TableContents"/>
              <w:bidi w:val="0"/>
              <w:spacing w:before="0" w:after="283"/>
              <w:jc w:val="left"/>
              <w:rPr/>
            </w:pPr>
            <w:r>
              <w:rPr/>
              <w:t> </w:t>
            </w:r>
          </w:p>
        </w:tc>
      </w:tr>
      <w:tr>
        <w:trPr/>
        <w:tc>
          <w:tcPr>
            <w:tcW w:w="2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loss</w:t>
            </w:r>
          </w:p>
        </w:tc>
        <w:tc>
          <w:tcPr>
            <w:tcW w:w="433"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739" w:type="dxa"/>
            <w:tcBorders/>
            <w:shd w:fill="CCEEFF" w:val="clear"/>
            <w:vAlign w:val="bottom"/>
          </w:tcPr>
          <w:p>
            <w:pPr>
              <w:pStyle w:val="TableContents"/>
              <w:bidi w:val="0"/>
              <w:spacing w:before="0" w:after="283"/>
              <w:jc w:val="right"/>
              <w:rPr/>
            </w:pPr>
            <w:r>
              <w:rPr/>
              <w:t>194,595</w:t>
            </w:r>
          </w:p>
        </w:tc>
        <w:tc>
          <w:tcPr>
            <w:tcW w:w="155"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714,914</w:t>
            </w:r>
          </w:p>
        </w:tc>
        <w:tc>
          <w:tcPr>
            <w:tcW w:w="159" w:type="dxa"/>
            <w:tcBorders/>
            <w:shd w:fill="CCEEFF" w:val="clear"/>
            <w:vAlign w:val="bottom"/>
          </w:tcPr>
          <w:p>
            <w:pPr>
              <w:pStyle w:val="TableContents"/>
              <w:bidi w:val="0"/>
              <w:spacing w:before="0" w:after="283"/>
              <w:jc w:val="left"/>
              <w:rPr/>
            </w:pPr>
            <w:r>
              <w:rPr/>
              <w:t> </w:t>
            </w:r>
          </w:p>
        </w:tc>
      </w:tr>
      <w:tr>
        <w:trPr/>
        <w:tc>
          <w:tcPr>
            <w:tcW w:w="2546" w:type="dxa"/>
            <w:tcBorders/>
          </w:tcPr>
          <w:p>
            <w:pPr>
              <w:pStyle w:val="TableContents"/>
              <w:bidi w:val="0"/>
              <w:spacing w:before="0" w:after="0"/>
              <w:jc w:val="left"/>
              <w:rPr>
                <w:rFonts w:ascii="Times New Roman" w:hAnsi="Times New Roman"/>
                <w:sz w:val="20"/>
              </w:rPr>
            </w:pPr>
            <w:r>
              <w:rPr>
                <w:rFonts w:ascii="Times New Roman" w:hAnsi="Times New Roman"/>
                <w:sz w:val="20"/>
              </w:rPr>
              <w:t>R&amp;D credits</w:t>
            </w:r>
          </w:p>
        </w:tc>
        <w:tc>
          <w:tcPr>
            <w:tcW w:w="43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(467,563</w:t>
            </w:r>
          </w:p>
        </w:tc>
        <w:tc>
          <w:tcPr>
            <w:tcW w:w="15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(559,122</w:t>
            </w:r>
          </w:p>
        </w:tc>
        <w:tc>
          <w:tcPr>
            <w:tcW w:w="159" w:type="dxa"/>
            <w:tcBorders/>
            <w:vAlign w:val="bottom"/>
          </w:tcPr>
          <w:p>
            <w:pPr>
              <w:pStyle w:val="TableContents"/>
              <w:bidi w:val="0"/>
              <w:spacing w:before="0" w:after="283"/>
              <w:jc w:val="left"/>
              <w:rPr/>
            </w:pPr>
            <w:r>
              <w:rPr/>
              <w:t>) </w:t>
            </w:r>
          </w:p>
        </w:tc>
      </w:tr>
      <w:tr>
        <w:trPr/>
        <w:tc>
          <w:tcPr>
            <w:tcW w:w="2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433"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pPr>
            <w:r>
              <w:rPr/>
              <w:t>(42,606</w:t>
            </w:r>
          </w:p>
        </w:tc>
        <w:tc>
          <w:tcPr>
            <w:tcW w:w="155"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25,119</w:t>
            </w:r>
          </w:p>
        </w:tc>
        <w:tc>
          <w:tcPr>
            <w:tcW w:w="159" w:type="dxa"/>
            <w:tcBorders/>
            <w:shd w:fill="CCEEFF" w:val="clear"/>
            <w:vAlign w:val="bottom"/>
          </w:tcPr>
          <w:p>
            <w:pPr>
              <w:pStyle w:val="TableContents"/>
              <w:bidi w:val="0"/>
              <w:spacing w:before="0" w:after="283"/>
              <w:jc w:val="left"/>
              <w:rPr/>
            </w:pPr>
            <w:r>
              <w:rPr/>
              <w:t> </w:t>
            </w:r>
          </w:p>
        </w:tc>
      </w:tr>
      <w:tr>
        <w:trPr/>
        <w:tc>
          <w:tcPr>
            <w:tcW w:w="2546" w:type="dxa"/>
            <w:tcBorders/>
          </w:tcPr>
          <w:p>
            <w:pPr>
              <w:pStyle w:val="TableContents"/>
              <w:bidi w:val="0"/>
              <w:spacing w:before="0" w:after="0"/>
              <w:jc w:val="left"/>
              <w:rPr>
                <w:rFonts w:ascii="Times New Roman" w:hAnsi="Times New Roman"/>
                <w:sz w:val="20"/>
              </w:rPr>
            </w:pPr>
            <w:r>
              <w:rPr>
                <w:rFonts w:ascii="Times New Roman" w:hAnsi="Times New Roman"/>
                <w:sz w:val="20"/>
              </w:rPr>
              <w:t>Share-based payment cost</w:t>
            </w:r>
          </w:p>
        </w:tc>
        <w:tc>
          <w:tcPr>
            <w:tcW w:w="43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1,029,779</w:t>
            </w:r>
          </w:p>
        </w:tc>
        <w:tc>
          <w:tcPr>
            <w:tcW w:w="159" w:type="dxa"/>
            <w:tcBorders/>
            <w:vAlign w:val="bottom"/>
          </w:tcPr>
          <w:p>
            <w:pPr>
              <w:pStyle w:val="TableContents"/>
              <w:bidi w:val="0"/>
              <w:spacing w:before="0" w:after="283"/>
              <w:jc w:val="left"/>
              <w:rPr/>
            </w:pPr>
            <w:r>
              <w:rPr/>
              <w:t> </w:t>
            </w:r>
          </w:p>
        </w:tc>
      </w:tr>
      <w:tr>
        <w:trPr/>
        <w:tc>
          <w:tcPr>
            <w:tcW w:w="2546"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33"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b/>
              </w:rPr>
            </w:pPr>
            <w:r>
              <w:rPr>
                <w:b/>
              </w:rPr>
              <w:t>(315,572</w:t>
            </w:r>
          </w:p>
        </w:tc>
        <w:tc>
          <w:tcPr>
            <w:tcW w:w="155" w:type="dxa"/>
            <w:tcBorders/>
            <w:shd w:fill="CCEEFF" w:val="clear"/>
            <w:vAlign w:val="bottom"/>
          </w:tcPr>
          <w:p>
            <w:pPr>
              <w:pStyle w:val="TableContents"/>
              <w:bidi w:val="0"/>
              <w:spacing w:before="0" w:after="283"/>
              <w:jc w:val="left"/>
              <w:rPr>
                <w:b/>
              </w:rPr>
            </w:pPr>
            <w:r>
              <w:rPr>
                <w:b/>
              </w:rPr>
              <w:t>) </w:t>
            </w:r>
          </w:p>
        </w:tc>
        <w:tc>
          <w:tcPr>
            <w:tcW w:w="433"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b/>
              </w:rPr>
            </w:pPr>
            <w:r>
              <w:rPr>
                <w:b/>
              </w:rPr>
              <w:t>1,210,690</w:t>
            </w:r>
          </w:p>
        </w:tc>
        <w:tc>
          <w:tcPr>
            <w:tcW w:w="159" w:type="dxa"/>
            <w:tcBorders/>
            <w:shd w:fill="CCEEFF" w:val="clear"/>
            <w:vAlign w:val="bottom"/>
          </w:tcPr>
          <w:p>
            <w:pPr>
              <w:pStyle w:val="TableContents"/>
              <w:bidi w:val="0"/>
              <w:spacing w:before="0" w:after="283"/>
              <w:jc w:val="left"/>
              <w:rPr/>
            </w:pPr>
            <w:r>
              <w:rPr/>
              <w:t> </w:t>
            </w:r>
          </w:p>
        </w:tc>
      </w:tr>
      <w:tr>
        <w:trPr/>
        <w:tc>
          <w:tcPr>
            <w:tcW w:w="2546"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7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double" w:sz="6" w:space="1" w:color="000000"/>
              </w:pBdr>
              <w:bidi w:val="0"/>
              <w:spacing w:before="0" w:after="0"/>
              <w:jc w:val="left"/>
              <w:rPr/>
            </w:pPr>
            <w:r>
              <w:rPr/>
              <w:t> </w:t>
            </w:r>
          </w:p>
        </w:tc>
        <w:tc>
          <w:tcPr>
            <w:tcW w:w="19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u w:val="single"/>
        </w:rPr>
        <w:t>Share-based payment cost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management is confident that it is more likely than not that the former owner will not breach the non-compete agreement. Management has considered this to be a non-recurring item.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Business Combinations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Acquisition of Any Lifestyle Marketing GmbH (ANY Acquisition) </w:t>
      </w:r>
    </w:p>
    <w:p>
      <w:pPr>
        <w:pStyle w:val="TextBody"/>
        <w:bidi w:val="0"/>
        <w:spacing w:before="120" w:after="0"/>
        <w:jc w:val="left"/>
        <w:rPr>
          <w:rFonts w:ascii="Times New Roman" w:hAnsi="Times New Roman"/>
          <w:sz w:val="20"/>
        </w:rPr>
      </w:pPr>
      <w:r>
        <w:rPr>
          <w:rFonts w:ascii="Times New Roman" w:hAnsi="Times New Roman"/>
          <w:sz w:val="20"/>
        </w:rPr>
        <w:t xml:space="preserve">On August 30, 2021, the Company acquired Any Lifestyle Marketing GmbH (ANY) from Radio Group Holding GmbH. ANY was incorporated on August 13, 2021. ANY was established to purchase the whole and exclusive rights to sell services of the companies owned by Radio Group Holding GmbH (Radio Group) such as events and airtime advertisements. ANYs business from incorporation is Radio Groups predecessor marketing business prior to being carved-out and inserted into the newly formed company, ANY. The establishment of ANY was done so to allow the acquisition of a foreign entity, (Rezolve) to acquire the Radio Groups marketing business as German regulation does not allow a foreign entity to acquire a media company. The acquisition of ANY by Rezolve was to (i) leverage the Radio Groups customer list and to gain immediate access to potential customers and (ii) achieve synergistic benefits through the embedding of the Rezolve technology (beacons) in Radio Group advertisements in Germany.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acquired ANY by agreeing to issue 14,427,185 ordinary shares valued at $1.03 per share (the consideration shares). The shares were issued on February 11, 2022. </w:t>
      </w:r>
    </w:p>
    <w:p>
      <w:pPr>
        <w:pStyle w:val="TextBody"/>
        <w:bidi w:val="0"/>
        <w:spacing w:before="120" w:after="0"/>
        <w:jc w:val="left"/>
        <w:rPr>
          <w:rFonts w:ascii="Times New Roman" w:hAnsi="Times New Roman"/>
          <w:sz w:val="20"/>
        </w:rPr>
      </w:pPr>
      <w:r>
        <w:rPr>
          <w:rFonts w:ascii="Times New Roman" w:hAnsi="Times New Roman"/>
          <w:sz w:val="20"/>
        </w:rPr>
        <w:t xml:space="preserve">This consideration was subject to adjustment on August 30, 2022 (the Settlement Date)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Rezolve was then publicly listed with a valuation of $1 billion or more, Rezolve was to pay $10 million in cash to the sellers of ANY and 9,708,738 of the consideration shares were to be reclassified as deferred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Rezolve was then publicly listed with a valuation of less than $1 billion, Rezolve was to pay $14.86 million in cash to the Sellers of ANY and all consideration shares were to be reclassified as deferred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Rezolve was not then publicly listed and had a valuation of $1 billion or more, Rezolve was to pay $9 million in cash to the sellers of ANY and 8,737,864 of the consideration shares of the consideration shares were to be reclassified as deferred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Rezolve was not then publicly listed and had a valuation of less than $1 billion, Rezolve was to pay $14.86 million in cash to the sellers of ANY and all of the consideration shares were to be reclassified as deferred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Company failed to pay the cash in any of the above mentioned scenarios by the Settlement Date, the sellers of ANY could re-acquire the shares in ANY and their consideration shares would then be reclassified as deferred shares. </w:t>
      </w:r>
    </w:p>
    <w:p>
      <w:pPr>
        <w:pStyle w:val="TextBody"/>
        <w:bidi w:val="0"/>
        <w:spacing w:before="120" w:after="0"/>
        <w:jc w:val="left"/>
        <w:rPr>
          <w:rFonts w:ascii="Times New Roman" w:hAnsi="Times New Roman"/>
          <w:sz w:val="20"/>
        </w:rPr>
      </w:pPr>
      <w:r>
        <w:rPr>
          <w:rFonts w:ascii="Times New Roman" w:hAnsi="Times New Roman"/>
          <w:sz w:val="20"/>
        </w:rPr>
        <w:t xml:space="preserve">On June 10, 2022, the Company and the sellers of ANY entered into a Standstill Agreement, whereby the Settlement Date was extended to December 31, 2022.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extension, the Company agreed to pay the sellers of ANY 70,000 monthly in each of the four months from September 2022 to December 2022, provided the Company was not yet listed on an internationally recognized stock exchange. </w:t>
      </w:r>
    </w:p>
    <w:p>
      <w:pPr>
        <w:pStyle w:val="TextBody"/>
        <w:bidi w:val="0"/>
        <w:spacing w:before="120" w:after="0"/>
        <w:jc w:val="left"/>
        <w:rPr>
          <w:rFonts w:ascii="Times New Roman" w:hAnsi="Times New Roman"/>
          <w:sz w:val="20"/>
        </w:rPr>
      </w:pPr>
      <w:r>
        <w:rPr>
          <w:rFonts w:ascii="Times New Roman" w:hAnsi="Times New Roman"/>
          <w:sz w:val="20"/>
        </w:rPr>
        <w:t xml:space="preserve">On December 28, 2022 the legal ownership of ANY reverted back to the sellers of ANY, the consideration shares were reclassified as deferred shares, and further negotiations took place between the sellers of ANY and the Company. On May 24, 2023, the sellers of ANY and the Company agreed that the Company could re-acquire the shares in ANY as soon as practicable after listing of Rezolves Ordinary Shares and on completion of the purchase the deferred shares held by the sellers of ANY are to be reclassified as Ordinary Shares. If the sellers of ANY so elect within 14 days of the listing of Rezolves Ordinary Shares, Rezolve is to pay the sellers of ANY $5 million within 60 days after such election and upon such payment 4,854,368 of the consideration shares (as adjusted as a result of the Pre-Closing Demerger) held by those sellers will be reclassified as deferred shares. If Rezolve fails to make such payment, the sellers of ANY may reverse the acquisition and would also be required to return the EUR 2 million of cash referred to below, if it has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paid. If the Company does not complete an initial public offering by November 30, 2023, the sellers of ANY may terminate the acquisition of ANY. </w:t>
      </w:r>
    </w:p>
    <w:p>
      <w:pPr>
        <w:pStyle w:val="TextBody"/>
        <w:bidi w:val="0"/>
        <w:spacing w:before="120" w:after="0"/>
        <w:jc w:val="left"/>
        <w:rPr>
          <w:rFonts w:ascii="Times New Roman" w:hAnsi="Times New Roman"/>
          <w:sz w:val="20"/>
        </w:rPr>
      </w:pPr>
      <w:r>
        <w:rPr>
          <w:rFonts w:ascii="Times New Roman" w:hAnsi="Times New Roman"/>
          <w:sz w:val="20"/>
        </w:rPr>
        <w:t xml:space="preserve">The sellers of ANY may sell EUR two million (equivalent to $2,161,600) of their consideration shares within 60 days of the listing to existing shareholders of Rezolve. If the sellers of ANY do not find an interested buyer in the shares within 60 days, the sellers may elect within 14 days after that 60 day period that Rezolve pays the sellers EUR two million (equivalent to $2,161,600) within 10 business days and upon such payment 2,098,640 of the consideration shares (as adjusted as a result of the Pre-Closing Demerger) held by those sellers will be reclassified as deferred shares. If Rezolve fails to make such payment, the sellers of ANY may reverse the acquisition and would also be required to return the $5 million of cash if it has been paid. </w:t>
      </w:r>
    </w:p>
    <w:p>
      <w:pPr>
        <w:pStyle w:val="TextBody"/>
        <w:bidi w:val="0"/>
        <w:spacing w:before="120" w:after="0"/>
        <w:jc w:val="left"/>
        <w:rPr>
          <w:rFonts w:ascii="Times New Roman" w:hAnsi="Times New Roman"/>
          <w:sz w:val="20"/>
        </w:rPr>
      </w:pPr>
      <w:r>
        <w:rPr>
          <w:rFonts w:ascii="Times New Roman" w:hAnsi="Times New Roman"/>
          <w:sz w:val="20"/>
        </w:rPr>
        <w:t xml:space="preserve">ANY was determined to be a Variable Interest Entity with Rezolve to be the Primary Beneficiary in accordance with the provisions of ASC 810 from August 30, 2021. During the period from the negotiations entered into with the Radio Group in December 2022 and indefinitely thereafter, the Company continues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the power to direct ANY in a manner which most significantly impacts its economic activity, by having Rezolves chief executive Officer and Chief commercial officer execute all decisions regarding strategy, budgets and marketing,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absorb any gains,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 to absorb any losses, via requirement to fund ANY for any cash or working capital shortfalls.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accounted for the ANY Acquisition using the acquisition method of accounting, whereby the total purchase price was allocated to the acquired identifiable net assets of ANY based on assessments of their respective fair values, and the excess of the purchase price over the fair values of these identifiable net assets was allocated to goodwill. A summary of the purchase price and the balance sheet of ANY as at the August 30, 2021 acquisition date is presented in the following table. The balance sheet presented below reflects the Companys final purchase price allocation: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05"/>
        <w:gridCol w:w="712"/>
        <w:gridCol w:w="186"/>
        <w:gridCol w:w="1479"/>
        <w:gridCol w:w="157"/>
      </w:tblGrid>
      <w:tr>
        <w:trPr/>
        <w:tc>
          <w:tcPr>
            <w:tcW w:w="4405" w:type="dxa"/>
            <w:tcBorders/>
            <w:vAlign w:val="center"/>
          </w:tcPr>
          <w:p>
            <w:pPr>
              <w:pStyle w:val="TableContents"/>
              <w:bidi w:val="0"/>
              <w:spacing w:before="0" w:after="283"/>
              <w:jc w:val="left"/>
              <w:rPr>
                <w:sz w:val="4"/>
                <w:szCs w:val="4"/>
              </w:rPr>
            </w:pPr>
            <w:r>
              <w:rPr>
                <w:sz w:val="4"/>
                <w:szCs w:val="4"/>
              </w:rPr>
            </w:r>
          </w:p>
        </w:tc>
        <w:tc>
          <w:tcPr>
            <w:tcW w:w="712"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5"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left"/>
              <w:rPr/>
            </w:pPr>
            <w:r>
              <w:rPr/>
              <w:t>  </w:t>
            </w:r>
          </w:p>
        </w:tc>
        <w:tc>
          <w:tcPr>
            <w:tcW w:w="1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August 30, 2021</w:t>
            </w:r>
          </w:p>
        </w:tc>
        <w:tc>
          <w:tcPr>
            <w:tcW w:w="157" w:type="dxa"/>
            <w:tcBorders/>
            <w:vAlign w:val="bottom"/>
          </w:tcPr>
          <w:p>
            <w:pPr>
              <w:pStyle w:val="TableContents"/>
              <w:bidi w:val="0"/>
              <w:spacing w:before="0" w:after="283"/>
              <w:jc w:val="left"/>
              <w:rPr/>
            </w:pPr>
            <w:r>
              <w:rPr/>
              <w:t> </w:t>
            </w:r>
          </w:p>
        </w:tc>
      </w:tr>
      <w:tr>
        <w:trPr/>
        <w:tc>
          <w:tcPr>
            <w:tcW w:w="44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71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479" w:type="dxa"/>
            <w:tcBorders/>
            <w:shd w:fill="CCEEFF" w:val="clear"/>
            <w:vAlign w:val="bottom"/>
          </w:tcPr>
          <w:p>
            <w:pPr>
              <w:pStyle w:val="TableContents"/>
              <w:bidi w:val="0"/>
              <w:spacing w:before="0" w:after="283"/>
              <w:jc w:val="right"/>
              <w:rPr/>
            </w:pPr>
            <w:r>
              <w:rPr/>
              <w:t>29,476</w:t>
            </w:r>
          </w:p>
        </w:tc>
        <w:tc>
          <w:tcPr>
            <w:tcW w:w="157" w:type="dxa"/>
            <w:tcBorders/>
            <w:shd w:fill="CCEEFF" w:val="clear"/>
            <w:vAlign w:val="bottom"/>
          </w:tcPr>
          <w:p>
            <w:pPr>
              <w:pStyle w:val="TableContents"/>
              <w:bidi w:val="0"/>
              <w:spacing w:before="0" w:after="283"/>
              <w:jc w:val="left"/>
              <w:rPr/>
            </w:pPr>
            <w:r>
              <w:rPr/>
              <w:t> </w:t>
            </w:r>
          </w:p>
        </w:tc>
      </w:tr>
      <w:tr>
        <w:trPr/>
        <w:tc>
          <w:tcPr>
            <w:tcW w:w="440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71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79" w:type="dxa"/>
            <w:tcBorders/>
            <w:vAlign w:val="bottom"/>
          </w:tcPr>
          <w:p>
            <w:pPr>
              <w:pStyle w:val="TableContents"/>
              <w:bidi w:val="0"/>
              <w:spacing w:before="0" w:after="283"/>
              <w:jc w:val="right"/>
              <w:rPr/>
            </w:pPr>
            <w:r>
              <w:rPr/>
              <w:t>18,940</w:t>
            </w:r>
          </w:p>
        </w:tc>
        <w:tc>
          <w:tcPr>
            <w:tcW w:w="157" w:type="dxa"/>
            <w:tcBorders/>
            <w:vAlign w:val="bottom"/>
          </w:tcPr>
          <w:p>
            <w:pPr>
              <w:pStyle w:val="TableContents"/>
              <w:bidi w:val="0"/>
              <w:spacing w:before="0" w:after="283"/>
              <w:jc w:val="left"/>
              <w:rPr/>
            </w:pPr>
            <w:r>
              <w:rPr/>
              <w:t> </w:t>
            </w:r>
          </w:p>
        </w:tc>
      </w:tr>
      <w:tr>
        <w:trPr/>
        <w:tc>
          <w:tcPr>
            <w:tcW w:w="44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71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79" w:type="dxa"/>
            <w:tcBorders/>
            <w:shd w:fill="CCEEFF" w:val="clear"/>
            <w:vAlign w:val="bottom"/>
          </w:tcPr>
          <w:p>
            <w:pPr>
              <w:pStyle w:val="TableContents"/>
              <w:bidi w:val="0"/>
              <w:spacing w:before="0" w:after="283"/>
              <w:jc w:val="right"/>
              <w:rPr/>
            </w:pPr>
            <w:r>
              <w:rPr/>
              <w:t>71,319</w:t>
            </w:r>
          </w:p>
        </w:tc>
        <w:tc>
          <w:tcPr>
            <w:tcW w:w="157" w:type="dxa"/>
            <w:tcBorders/>
            <w:shd w:fill="CCEEFF" w:val="clear"/>
            <w:vAlign w:val="bottom"/>
          </w:tcPr>
          <w:p>
            <w:pPr>
              <w:pStyle w:val="TableContents"/>
              <w:bidi w:val="0"/>
              <w:spacing w:before="0" w:after="283"/>
              <w:jc w:val="left"/>
              <w:rPr/>
            </w:pPr>
            <w:r>
              <w:rPr/>
              <w:t> </w:t>
            </w:r>
          </w:p>
        </w:tc>
      </w:tr>
      <w:tr>
        <w:trPr/>
        <w:tc>
          <w:tcPr>
            <w:tcW w:w="4405" w:type="dxa"/>
            <w:tcBorders/>
          </w:tcPr>
          <w:p>
            <w:pPr>
              <w:pStyle w:val="TableContents"/>
              <w:bidi w:val="0"/>
              <w:spacing w:before="0" w:after="0"/>
              <w:jc w:val="left"/>
              <w:rPr>
                <w:rFonts w:ascii="Times New Roman" w:hAnsi="Times New Roman"/>
                <w:sz w:val="20"/>
              </w:rPr>
            </w:pPr>
            <w:r>
              <w:rPr>
                <w:rFonts w:ascii="Times New Roman" w:hAnsi="Times New Roman"/>
                <w:sz w:val="20"/>
              </w:rPr>
              <w:t>Customer list</w:t>
            </w:r>
          </w:p>
        </w:tc>
        <w:tc>
          <w:tcPr>
            <w:tcW w:w="71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79" w:type="dxa"/>
            <w:tcBorders/>
            <w:vAlign w:val="bottom"/>
          </w:tcPr>
          <w:p>
            <w:pPr>
              <w:pStyle w:val="TableContents"/>
              <w:bidi w:val="0"/>
              <w:spacing w:before="0" w:after="283"/>
              <w:jc w:val="right"/>
              <w:rPr/>
            </w:pPr>
            <w:r>
              <w:rPr/>
              <w:t>7,093,574</w:t>
            </w:r>
          </w:p>
        </w:tc>
        <w:tc>
          <w:tcPr>
            <w:tcW w:w="157" w:type="dxa"/>
            <w:tcBorders/>
            <w:vAlign w:val="bottom"/>
          </w:tcPr>
          <w:p>
            <w:pPr>
              <w:pStyle w:val="TableContents"/>
              <w:bidi w:val="0"/>
              <w:spacing w:before="0" w:after="283"/>
              <w:jc w:val="left"/>
              <w:rPr/>
            </w:pPr>
            <w:r>
              <w:rPr/>
              <w:t> </w:t>
            </w:r>
          </w:p>
        </w:tc>
      </w:tr>
      <w:tr>
        <w:trPr/>
        <w:tc>
          <w:tcPr>
            <w:tcW w:w="44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(a)</w:t>
            </w:r>
          </w:p>
        </w:tc>
        <w:tc>
          <w:tcPr>
            <w:tcW w:w="71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79" w:type="dxa"/>
            <w:tcBorders/>
            <w:shd w:fill="CCEEFF" w:val="clear"/>
            <w:vAlign w:val="bottom"/>
          </w:tcPr>
          <w:p>
            <w:pPr>
              <w:pStyle w:val="TableContents"/>
              <w:bidi w:val="0"/>
              <w:spacing w:before="0" w:after="283"/>
              <w:jc w:val="right"/>
              <w:rPr/>
            </w:pPr>
            <w:r>
              <w:rPr/>
              <w:t>9,274,173</w:t>
            </w:r>
          </w:p>
        </w:tc>
        <w:tc>
          <w:tcPr>
            <w:tcW w:w="157" w:type="dxa"/>
            <w:tcBorders/>
            <w:shd w:fill="CCEEFF" w:val="clear"/>
            <w:vAlign w:val="bottom"/>
          </w:tcPr>
          <w:p>
            <w:pPr>
              <w:pStyle w:val="TableContents"/>
              <w:bidi w:val="0"/>
              <w:spacing w:before="0" w:after="283"/>
              <w:jc w:val="left"/>
              <w:rPr/>
            </w:pPr>
            <w:r>
              <w:rPr/>
              <w:t> </w:t>
            </w:r>
          </w:p>
        </w:tc>
      </w:tr>
      <w:tr>
        <w:trPr/>
        <w:tc>
          <w:tcPr>
            <w:tcW w:w="4405"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71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79" w:type="dxa"/>
            <w:tcBorders/>
            <w:vAlign w:val="bottom"/>
          </w:tcPr>
          <w:p>
            <w:pPr>
              <w:pStyle w:val="TableContents"/>
              <w:bidi w:val="0"/>
              <w:spacing w:before="0" w:after="283"/>
              <w:jc w:val="right"/>
              <w:rPr/>
            </w:pPr>
            <w:r>
              <w:rPr/>
              <w:t>(1,884,457</w:t>
            </w:r>
          </w:p>
        </w:tc>
        <w:tc>
          <w:tcPr>
            <w:tcW w:w="157" w:type="dxa"/>
            <w:tcBorders/>
            <w:vAlign w:val="bottom"/>
          </w:tcPr>
          <w:p>
            <w:pPr>
              <w:pStyle w:val="TableContents"/>
              <w:bidi w:val="0"/>
              <w:spacing w:before="0" w:after="283"/>
              <w:jc w:val="left"/>
              <w:rPr/>
            </w:pPr>
            <w:r>
              <w:rPr/>
              <w:t>) </w:t>
            </w:r>
          </w:p>
        </w:tc>
      </w:tr>
      <w:tr>
        <w:trPr/>
        <w:tc>
          <w:tcPr>
            <w:tcW w:w="44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payables</w:t>
            </w:r>
          </w:p>
        </w:tc>
        <w:tc>
          <w:tcPr>
            <w:tcW w:w="71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79" w:type="dxa"/>
            <w:tcBorders/>
            <w:shd w:fill="CCEEFF" w:val="clear"/>
            <w:vAlign w:val="bottom"/>
          </w:tcPr>
          <w:p>
            <w:pPr>
              <w:pStyle w:val="TableContents"/>
              <w:bidi w:val="0"/>
              <w:spacing w:before="0" w:after="283"/>
              <w:jc w:val="right"/>
              <w:rPr/>
            </w:pPr>
            <w:r>
              <w:rPr/>
              <w:t>(3,025</w:t>
            </w:r>
          </w:p>
        </w:tc>
        <w:tc>
          <w:tcPr>
            <w:tcW w:w="157" w:type="dxa"/>
            <w:tcBorders/>
            <w:shd w:fill="CCEEFF" w:val="clear"/>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283"/>
              <w:jc w:val="left"/>
              <w:rPr>
                <w:sz w:val="4"/>
                <w:szCs w:val="4"/>
              </w:rPr>
            </w:pPr>
            <w:r>
              <w:rPr>
                <w:sz w:val="4"/>
                <w:szCs w:val="4"/>
              </w:rPr>
            </w:r>
          </w:p>
        </w:tc>
        <w:tc>
          <w:tcPr>
            <w:tcW w:w="71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7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40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Purchase Price (b)</w:t>
            </w:r>
          </w:p>
        </w:tc>
        <w:tc>
          <w:tcPr>
            <w:tcW w:w="71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79" w:type="dxa"/>
            <w:tcBorders/>
            <w:vAlign w:val="bottom"/>
          </w:tcPr>
          <w:p>
            <w:pPr>
              <w:pStyle w:val="TableContents"/>
              <w:bidi w:val="0"/>
              <w:spacing w:before="0" w:after="283"/>
              <w:jc w:val="right"/>
              <w:rPr>
                <w:b/>
              </w:rPr>
            </w:pPr>
            <w:r>
              <w:rPr>
                <w:b/>
              </w:rPr>
              <w:t>14,600,000</w:t>
            </w:r>
          </w:p>
        </w:tc>
        <w:tc>
          <w:tcPr>
            <w:tcW w:w="157" w:type="dxa"/>
            <w:tcBorders/>
            <w:vAlign w:val="bottom"/>
          </w:tcPr>
          <w:p>
            <w:pPr>
              <w:pStyle w:val="TableContents"/>
              <w:bidi w:val="0"/>
              <w:spacing w:before="0" w:after="283"/>
              <w:jc w:val="left"/>
              <w:rPr/>
            </w:pPr>
            <w:r>
              <w:rPr/>
              <w:t> </w:t>
            </w:r>
          </w:p>
        </w:tc>
      </w:tr>
      <w:tr>
        <w:trPr/>
        <w:tc>
          <w:tcPr>
            <w:tcW w:w="4405" w:type="dxa"/>
            <w:tcBorders/>
            <w:vAlign w:val="bottom"/>
          </w:tcPr>
          <w:p>
            <w:pPr>
              <w:pStyle w:val="TableContents"/>
              <w:bidi w:val="0"/>
              <w:spacing w:before="0" w:after="283"/>
              <w:jc w:val="left"/>
              <w:rPr>
                <w:sz w:val="4"/>
                <w:szCs w:val="4"/>
              </w:rPr>
            </w:pPr>
            <w:r>
              <w:rPr>
                <w:sz w:val="4"/>
                <w:szCs w:val="4"/>
              </w:rPr>
            </w:r>
          </w:p>
        </w:tc>
        <w:tc>
          <w:tcPr>
            <w:tcW w:w="71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79"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Goodwill is the excess of the consideration transferred over the net assets recognized and represents the expected future economic benefits as a result of other assets acquired that could not be individually identified and separately recognized. Goodwill is not amortized.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direct acquisition costs of $0.08 million incurred during 2021, which are included in General and Administrative Expenses, in our consolidated statement of operations.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Acquisition of Jaymax International Service Inc. (the Jaymax Acquisition)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2021, the Company acquired Jaymax International Service Inc. (Jaymax), an on demand human resource Company based in Taipei, Taiwan for cash consideration of $NTD 40,000 ($1,415). The acquisition of Jaymax was done so to provide an established sales team in Taiwan to market the use of the Companys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part of the acquisition of Jaymax, the Company were to issue $1,400,000 in Rezolve ordinary shares to Jaymaxs former owner for completion of a 3-year noncompete period which began on the October 7, 2021 (Note 8.4).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accounted for the Jaymax Acquisition using the acquisition method of accounting, whereby the total purchase price was allocated to the acquired identifiable net assets of Jaymax based on assessments of their respective fair values, and the excess of the purchase price over the fair values of these identifiable net assets was allocated to goodwill. A summary of the purchase price and the balance sheet of Jaymax at the October 7th, 2021 acquisition date is presented in the following table. The balance sheet presented below reflects the Companys final purchase price allocation: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88"/>
        <w:gridCol w:w="630"/>
        <w:gridCol w:w="191"/>
        <w:gridCol w:w="1472"/>
        <w:gridCol w:w="158"/>
      </w:tblGrid>
      <w:tr>
        <w:trPr/>
        <w:tc>
          <w:tcPr>
            <w:tcW w:w="4488" w:type="dxa"/>
            <w:tcBorders/>
            <w:vAlign w:val="center"/>
          </w:tcPr>
          <w:p>
            <w:pPr>
              <w:pStyle w:val="TableContents"/>
              <w:bidi w:val="0"/>
              <w:spacing w:before="0" w:after="283"/>
              <w:jc w:val="left"/>
              <w:rPr>
                <w:sz w:val="4"/>
                <w:szCs w:val="4"/>
              </w:rPr>
            </w:pPr>
            <w:r>
              <w:rPr>
                <w:sz w:val="4"/>
                <w:szCs w:val="4"/>
              </w:rPr>
            </w:r>
          </w:p>
        </w:tc>
        <w:tc>
          <w:tcPr>
            <w:tcW w:w="630"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88"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left"/>
              <w:rPr/>
            </w:pPr>
            <w:r>
              <w:rPr/>
              <w:t>  </w:t>
            </w:r>
          </w:p>
        </w:tc>
        <w:tc>
          <w:tcPr>
            <w:tcW w:w="16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October 7, 2021</w:t>
            </w:r>
          </w:p>
        </w:tc>
        <w:tc>
          <w:tcPr>
            <w:tcW w:w="158" w:type="dxa"/>
            <w:tcBorders/>
            <w:vAlign w:val="bottom"/>
          </w:tcPr>
          <w:p>
            <w:pPr>
              <w:pStyle w:val="TableContents"/>
              <w:bidi w:val="0"/>
              <w:spacing w:before="0" w:after="283"/>
              <w:jc w:val="left"/>
              <w:rPr/>
            </w:pPr>
            <w:r>
              <w:rPr/>
              <w:t> </w:t>
            </w:r>
          </w:p>
        </w:tc>
      </w:tr>
      <w:tr>
        <w:trPr/>
        <w:tc>
          <w:tcPr>
            <w:tcW w:w="4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63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72" w:type="dxa"/>
            <w:tcBorders/>
            <w:shd w:fill="CCEEFF" w:val="clear"/>
            <w:vAlign w:val="bottom"/>
          </w:tcPr>
          <w:p>
            <w:pPr>
              <w:pStyle w:val="TableContents"/>
              <w:bidi w:val="0"/>
              <w:spacing w:before="0" w:after="283"/>
              <w:jc w:val="right"/>
              <w:rPr/>
            </w:pPr>
            <w:r>
              <w:rPr/>
              <w:t>450,775</w:t>
            </w:r>
          </w:p>
        </w:tc>
        <w:tc>
          <w:tcPr>
            <w:tcW w:w="158" w:type="dxa"/>
            <w:tcBorders/>
            <w:shd w:fill="CCEEFF" w:val="clear"/>
            <w:vAlign w:val="bottom"/>
          </w:tcPr>
          <w:p>
            <w:pPr>
              <w:pStyle w:val="TableContents"/>
              <w:bidi w:val="0"/>
              <w:spacing w:before="0" w:after="283"/>
              <w:jc w:val="left"/>
              <w:rPr/>
            </w:pPr>
            <w:r>
              <w:rPr/>
              <w:t> </w:t>
            </w:r>
          </w:p>
        </w:tc>
      </w:tr>
      <w:tr>
        <w:trPr/>
        <w:tc>
          <w:tcPr>
            <w:tcW w:w="448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63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1,156,752</w:t>
            </w:r>
          </w:p>
        </w:tc>
        <w:tc>
          <w:tcPr>
            <w:tcW w:w="158" w:type="dxa"/>
            <w:tcBorders/>
            <w:vAlign w:val="bottom"/>
          </w:tcPr>
          <w:p>
            <w:pPr>
              <w:pStyle w:val="TableContents"/>
              <w:bidi w:val="0"/>
              <w:spacing w:before="0" w:after="283"/>
              <w:jc w:val="left"/>
              <w:rPr/>
            </w:pPr>
            <w:r>
              <w:rPr/>
              <w:t> </w:t>
            </w:r>
          </w:p>
        </w:tc>
      </w:tr>
      <w:tr>
        <w:trPr/>
        <w:tc>
          <w:tcPr>
            <w:tcW w:w="4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63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1,217,244</w:t>
            </w:r>
          </w:p>
        </w:tc>
        <w:tc>
          <w:tcPr>
            <w:tcW w:w="158" w:type="dxa"/>
            <w:tcBorders/>
            <w:shd w:fill="CCEEFF" w:val="clear"/>
            <w:vAlign w:val="bottom"/>
          </w:tcPr>
          <w:p>
            <w:pPr>
              <w:pStyle w:val="TableContents"/>
              <w:bidi w:val="0"/>
              <w:spacing w:before="0" w:after="283"/>
              <w:jc w:val="left"/>
              <w:rPr/>
            </w:pPr>
            <w:r>
              <w:rPr/>
              <w:t> </w:t>
            </w:r>
          </w:p>
        </w:tc>
      </w:tr>
      <w:tr>
        <w:trPr/>
        <w:tc>
          <w:tcPr>
            <w:tcW w:w="4488"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63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20,570</w:t>
            </w:r>
          </w:p>
        </w:tc>
        <w:tc>
          <w:tcPr>
            <w:tcW w:w="158" w:type="dxa"/>
            <w:tcBorders/>
            <w:vAlign w:val="bottom"/>
          </w:tcPr>
          <w:p>
            <w:pPr>
              <w:pStyle w:val="TableContents"/>
              <w:bidi w:val="0"/>
              <w:spacing w:before="0" w:after="283"/>
              <w:jc w:val="left"/>
              <w:rPr/>
            </w:pPr>
            <w:r>
              <w:rPr/>
              <w:t> </w:t>
            </w:r>
          </w:p>
        </w:tc>
      </w:tr>
      <w:tr>
        <w:trPr/>
        <w:tc>
          <w:tcPr>
            <w:tcW w:w="4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(a)</w:t>
            </w:r>
          </w:p>
        </w:tc>
        <w:tc>
          <w:tcPr>
            <w:tcW w:w="63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76,605</w:t>
            </w:r>
          </w:p>
        </w:tc>
        <w:tc>
          <w:tcPr>
            <w:tcW w:w="158" w:type="dxa"/>
            <w:tcBorders/>
            <w:shd w:fill="CCEEFF" w:val="clear"/>
            <w:vAlign w:val="bottom"/>
          </w:tcPr>
          <w:p>
            <w:pPr>
              <w:pStyle w:val="TableContents"/>
              <w:bidi w:val="0"/>
              <w:spacing w:before="0" w:after="283"/>
              <w:jc w:val="left"/>
              <w:rPr/>
            </w:pPr>
            <w:r>
              <w:rPr/>
              <w:t> </w:t>
            </w:r>
          </w:p>
        </w:tc>
      </w:tr>
      <w:tr>
        <w:trPr/>
        <w:tc>
          <w:tcPr>
            <w:tcW w:w="4488" w:type="dxa"/>
            <w:tcBorders/>
          </w:tcPr>
          <w:p>
            <w:pPr>
              <w:pStyle w:val="TableContents"/>
              <w:bidi w:val="0"/>
              <w:spacing w:before="0" w:after="0"/>
              <w:jc w:val="left"/>
              <w:rPr>
                <w:rFonts w:ascii="Times New Roman" w:hAnsi="Times New Roman"/>
                <w:sz w:val="20"/>
              </w:rPr>
            </w:pPr>
            <w:r>
              <w:rPr>
                <w:rFonts w:ascii="Times New Roman" w:hAnsi="Times New Roman"/>
                <w:sz w:val="20"/>
              </w:rPr>
              <w:t>Other payables and accrued liabilities</w:t>
            </w:r>
          </w:p>
        </w:tc>
        <w:tc>
          <w:tcPr>
            <w:tcW w:w="63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(1,519,937</w:t>
            </w:r>
          </w:p>
        </w:tc>
        <w:tc>
          <w:tcPr>
            <w:tcW w:w="158" w:type="dxa"/>
            <w:tcBorders/>
            <w:vAlign w:val="bottom"/>
          </w:tcPr>
          <w:p>
            <w:pPr>
              <w:pStyle w:val="TableContents"/>
              <w:bidi w:val="0"/>
              <w:spacing w:before="0" w:after="283"/>
              <w:jc w:val="left"/>
              <w:rPr/>
            </w:pPr>
            <w:r>
              <w:rPr/>
              <w:t>) </w:t>
            </w:r>
          </w:p>
        </w:tc>
      </w:tr>
      <w:tr>
        <w:trPr/>
        <w:tc>
          <w:tcPr>
            <w:tcW w:w="4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debt</w:t>
            </w:r>
          </w:p>
        </w:tc>
        <w:tc>
          <w:tcPr>
            <w:tcW w:w="63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(1,400,579</w:t>
            </w:r>
          </w:p>
        </w:tc>
        <w:tc>
          <w:tcPr>
            <w:tcW w:w="158" w:type="dxa"/>
            <w:tcBorders/>
            <w:shd w:fill="CCEEFF" w:val="clear"/>
            <w:vAlign w:val="bottom"/>
          </w:tcPr>
          <w:p>
            <w:pPr>
              <w:pStyle w:val="TableContents"/>
              <w:bidi w:val="0"/>
              <w:spacing w:before="0" w:after="283"/>
              <w:jc w:val="left"/>
              <w:rPr/>
            </w:pPr>
            <w:r>
              <w:rPr/>
              <w:t>) </w:t>
            </w:r>
          </w:p>
        </w:tc>
      </w:tr>
      <w:tr>
        <w:trPr/>
        <w:tc>
          <w:tcPr>
            <w:tcW w:w="4488" w:type="dxa"/>
            <w:tcBorders/>
            <w:vAlign w:val="bottom"/>
          </w:tcPr>
          <w:p>
            <w:pPr>
              <w:pStyle w:val="TableContents"/>
              <w:bidi w:val="0"/>
              <w:spacing w:before="0" w:after="283"/>
              <w:jc w:val="left"/>
              <w:rPr>
                <w:sz w:val="4"/>
                <w:szCs w:val="4"/>
              </w:rPr>
            </w:pPr>
            <w:r>
              <w:rPr>
                <w:sz w:val="4"/>
                <w:szCs w:val="4"/>
              </w:rPr>
            </w:r>
          </w:p>
        </w:tc>
        <w:tc>
          <w:tcPr>
            <w:tcW w:w="63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47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48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Purchase Price (b)</w:t>
            </w:r>
          </w:p>
        </w:tc>
        <w:tc>
          <w:tcPr>
            <w:tcW w:w="63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b/>
              </w:rPr>
            </w:pPr>
            <w:r>
              <w:rPr>
                <w:b/>
              </w:rPr>
              <w:t>1,430</w:t>
            </w:r>
          </w:p>
        </w:tc>
        <w:tc>
          <w:tcPr>
            <w:tcW w:w="158" w:type="dxa"/>
            <w:tcBorders/>
            <w:vAlign w:val="bottom"/>
          </w:tcPr>
          <w:p>
            <w:pPr>
              <w:pStyle w:val="TableContents"/>
              <w:bidi w:val="0"/>
              <w:spacing w:before="0" w:after="283"/>
              <w:jc w:val="left"/>
              <w:rPr/>
            </w:pPr>
            <w:r>
              <w:rPr/>
              <w:t> </w:t>
            </w:r>
          </w:p>
        </w:tc>
      </w:tr>
      <w:tr>
        <w:trPr/>
        <w:tc>
          <w:tcPr>
            <w:tcW w:w="4488" w:type="dxa"/>
            <w:tcBorders/>
            <w:vAlign w:val="bottom"/>
          </w:tcPr>
          <w:p>
            <w:pPr>
              <w:pStyle w:val="TableContents"/>
              <w:bidi w:val="0"/>
              <w:spacing w:before="0" w:after="283"/>
              <w:jc w:val="left"/>
              <w:rPr>
                <w:sz w:val="4"/>
                <w:szCs w:val="4"/>
              </w:rPr>
            </w:pPr>
            <w:r>
              <w:rPr>
                <w:sz w:val="4"/>
                <w:szCs w:val="4"/>
              </w:rPr>
            </w:r>
          </w:p>
        </w:tc>
        <w:tc>
          <w:tcPr>
            <w:tcW w:w="63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47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Goodwill is the excess of the consideration transferred over the net assets recognized and represents the expected future economic benefits as a result of other assets acquired that could not be individually identified and separately recognized. Goodwill is not amortized.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direct acquisition costs of $.48 million incurred during 2021, which are included in General and Administrative Expenses, in our consolidated statement of operations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Pro Forma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unaudited pro forma consolidated operating results give effect to the ANY Acquisition as if it had been completed as of January 1, 2021. No effect has been given to the Jaymax Acquisition since it would not have had a significant impact on our results of operations during 2021. These pro forma amounts are not necessarily indicative of the operating results that would have occurred if the ANY Acquisition had occurred on such date. The pro forma adjustments are based on certain assumptions that we believe are reasonable.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78"/>
        <w:gridCol w:w="542"/>
        <w:gridCol w:w="94"/>
        <w:gridCol w:w="1966"/>
        <w:gridCol w:w="159"/>
      </w:tblGrid>
      <w:tr>
        <w:trPr/>
        <w:tc>
          <w:tcPr>
            <w:tcW w:w="4178" w:type="dxa"/>
            <w:tcBorders/>
            <w:vAlign w:val="center"/>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78"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159" w:type="dxa"/>
            <w:tcBorders/>
            <w:vAlign w:val="bottom"/>
          </w:tcPr>
          <w:p>
            <w:pPr>
              <w:pStyle w:val="TableContents"/>
              <w:bidi w:val="0"/>
              <w:spacing w:before="0" w:after="283"/>
              <w:jc w:val="left"/>
              <w:rPr/>
            </w:pPr>
            <w:r>
              <w:rPr/>
              <w:t> </w:t>
            </w:r>
          </w:p>
        </w:tc>
      </w:tr>
      <w:tr>
        <w:trPr/>
        <w:tc>
          <w:tcPr>
            <w:tcW w:w="4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54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966" w:type="dxa"/>
            <w:tcBorders/>
            <w:shd w:fill="CCEEFF" w:val="clear"/>
            <w:vAlign w:val="bottom"/>
          </w:tcPr>
          <w:p>
            <w:pPr>
              <w:pStyle w:val="TableContents"/>
              <w:bidi w:val="0"/>
              <w:spacing w:before="0" w:after="283"/>
              <w:jc w:val="right"/>
              <w:rPr/>
            </w:pPr>
            <w:r>
              <w:rPr/>
              <w:t>6,069,872</w:t>
            </w:r>
          </w:p>
        </w:tc>
        <w:tc>
          <w:tcPr>
            <w:tcW w:w="159" w:type="dxa"/>
            <w:tcBorders/>
            <w:shd w:fill="CCEEFF" w:val="clear"/>
            <w:vAlign w:val="bottom"/>
          </w:tcPr>
          <w:p>
            <w:pPr>
              <w:pStyle w:val="TableContents"/>
              <w:bidi w:val="0"/>
              <w:spacing w:before="0" w:after="283"/>
              <w:jc w:val="left"/>
              <w:rPr/>
            </w:pPr>
            <w:r>
              <w:rPr/>
              <w:t> </w:t>
            </w:r>
          </w:p>
        </w:tc>
      </w:tr>
      <w:tr>
        <w:trPr/>
        <w:tc>
          <w:tcPr>
            <w:tcW w:w="4178"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Rezolve shareholders</w:t>
            </w:r>
          </w:p>
        </w:tc>
        <w:tc>
          <w:tcPr>
            <w:tcW w:w="54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966" w:type="dxa"/>
            <w:tcBorders/>
            <w:vAlign w:val="bottom"/>
          </w:tcPr>
          <w:p>
            <w:pPr>
              <w:pStyle w:val="TableContents"/>
              <w:bidi w:val="0"/>
              <w:spacing w:before="0" w:after="283"/>
              <w:jc w:val="right"/>
              <w:rPr/>
            </w:pPr>
            <w:r>
              <w:rPr/>
              <w:t>(37,459,485</w:t>
            </w:r>
          </w:p>
        </w:tc>
        <w:tc>
          <w:tcPr>
            <w:tcW w:w="159" w:type="dxa"/>
            <w:tcBorders/>
            <w:vAlign w:val="bottom"/>
          </w:tcPr>
          <w:p>
            <w:pPr>
              <w:pStyle w:val="TableContents"/>
              <w:bidi w:val="0"/>
              <w:spacing w:before="0" w:after="283"/>
              <w:jc w:val="left"/>
              <w:rPr/>
            </w:pPr>
            <w:r>
              <w:rPr/>
              <w:t>) </w:t>
            </w:r>
          </w:p>
        </w:tc>
      </w:tr>
      <w:tr>
        <w:trPr/>
        <w:tc>
          <w:tcPr>
            <w:tcW w:w="4178" w:type="dxa"/>
            <w:tcBorders/>
            <w:vAlign w:val="bottom"/>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96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loss per share for Rezolve shareholders</w:t>
            </w:r>
          </w:p>
        </w:tc>
        <w:tc>
          <w:tcPr>
            <w:tcW w:w="54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966" w:type="dxa"/>
            <w:tcBorders/>
            <w:shd w:fill="CCEEFF" w:val="clear"/>
            <w:vAlign w:val="bottom"/>
          </w:tcPr>
          <w:p>
            <w:pPr>
              <w:pStyle w:val="TableContents"/>
              <w:bidi w:val="0"/>
              <w:spacing w:before="0" w:after="283"/>
              <w:jc w:val="right"/>
              <w:rPr/>
            </w:pPr>
            <w:r>
              <w:rPr/>
              <w:t>(0.04</w:t>
            </w:r>
          </w:p>
        </w:tc>
        <w:tc>
          <w:tcPr>
            <w:tcW w:w="159" w:type="dxa"/>
            <w:tcBorders/>
            <w:shd w:fill="CCEEFF" w:val="clear"/>
            <w:vAlign w:val="bottom"/>
          </w:tcPr>
          <w:p>
            <w:pPr>
              <w:pStyle w:val="TableContents"/>
              <w:bidi w:val="0"/>
              <w:spacing w:before="0" w:after="283"/>
              <w:jc w:val="left"/>
              <w:rPr/>
            </w:pPr>
            <w:r>
              <w:rPr/>
              <w:t>) </w:t>
            </w:r>
          </w:p>
        </w:tc>
      </w:tr>
      <w:tr>
        <w:trPr/>
        <w:tc>
          <w:tcPr>
            <w:tcW w:w="4178" w:type="dxa"/>
            <w:tcBorders/>
            <w:vAlign w:val="bottom"/>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96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consolidated statement of operations for the year ended December 31, 2021 includes revenue and a net loss of $3,842,207 and $223,719, respectively, attributable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disclosures </w:t>
            </w:r>
          </w:p>
        </w:tc>
      </w:tr>
    </w:tbl>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Key managerial personnel (KMP) and Members of their immediate families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3453"/>
        <w:gridCol w:w="181"/>
        <w:gridCol w:w="6162"/>
      </w:tblGrid>
      <w:tr>
        <w:trPr/>
        <w:tc>
          <w:tcPr>
            <w:tcW w:w="3453"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6162" w:type="dxa"/>
            <w:tcBorders/>
            <w:vAlign w:val="center"/>
          </w:tcPr>
          <w:p>
            <w:pPr>
              <w:pStyle w:val="TableContents"/>
              <w:bidi w:val="0"/>
              <w:spacing w:before="0" w:after="283"/>
              <w:jc w:val="left"/>
              <w:rPr>
                <w:sz w:val="4"/>
                <w:szCs w:val="4"/>
              </w:rPr>
            </w:pPr>
            <w:r>
              <w:rPr>
                <w:sz w:val="4"/>
                <w:szCs w:val="4"/>
              </w:rPr>
            </w:r>
          </w:p>
        </w:tc>
      </w:tr>
      <w:tr>
        <w:trPr/>
        <w:tc>
          <w:tcPr>
            <w:tcW w:w="3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 Wagner</w:t>
            </w:r>
          </w:p>
        </w:tc>
        <w:tc>
          <w:tcPr>
            <w:tcW w:w="181" w:type="dxa"/>
            <w:tcBorders/>
            <w:shd w:fill="CCEEFF" w:val="clear"/>
            <w:vAlign w:val="bottom"/>
          </w:tcPr>
          <w:p>
            <w:pPr>
              <w:pStyle w:val="TableContents"/>
              <w:bidi w:val="0"/>
              <w:spacing w:before="0" w:after="283"/>
              <w:jc w:val="left"/>
              <w:rPr/>
            </w:pPr>
            <w:r>
              <w:rPr/>
              <w:t>  </w:t>
            </w:r>
          </w:p>
        </w:tc>
        <w:tc>
          <w:tcPr>
            <w:tcW w:w="6162" w:type="dxa"/>
            <w:tcBorders/>
            <w:shd w:fill="CCEEFF" w:val="clear"/>
            <w:vAlign w:val="bottom"/>
          </w:tcPr>
          <w:p>
            <w:pPr>
              <w:pStyle w:val="TableContents"/>
              <w:bidi w:val="0"/>
              <w:spacing w:before="0" w:after="283"/>
              <w:jc w:val="left"/>
              <w:rPr/>
            </w:pPr>
            <w:r>
              <w:rPr/>
              <w:t>Director and chief executive officer</w:t>
            </w:r>
          </w:p>
        </w:tc>
      </w:tr>
      <w:tr>
        <w:trPr/>
        <w:tc>
          <w:tcPr>
            <w:tcW w:w="3453" w:type="dxa"/>
            <w:tcBorders/>
          </w:tcPr>
          <w:p>
            <w:pPr>
              <w:pStyle w:val="TableContents"/>
              <w:bidi w:val="0"/>
              <w:spacing w:before="0" w:after="0"/>
              <w:jc w:val="left"/>
              <w:rPr>
                <w:rFonts w:ascii="Times New Roman" w:hAnsi="Times New Roman"/>
                <w:sz w:val="20"/>
              </w:rPr>
            </w:pPr>
            <w:r>
              <w:rPr>
                <w:rFonts w:ascii="Times New Roman" w:hAnsi="Times New Roman"/>
                <w:sz w:val="20"/>
              </w:rPr>
              <w:t>Richard Burchill</w:t>
            </w:r>
          </w:p>
        </w:tc>
        <w:tc>
          <w:tcPr>
            <w:tcW w:w="181" w:type="dxa"/>
            <w:tcBorders/>
            <w:vAlign w:val="bottom"/>
          </w:tcPr>
          <w:p>
            <w:pPr>
              <w:pStyle w:val="TableContents"/>
              <w:bidi w:val="0"/>
              <w:spacing w:before="0" w:after="283"/>
              <w:jc w:val="left"/>
              <w:rPr/>
            </w:pPr>
            <w:r>
              <w:rPr/>
              <w:t>  </w:t>
            </w:r>
          </w:p>
        </w:tc>
        <w:tc>
          <w:tcPr>
            <w:tcW w:w="6162" w:type="dxa"/>
            <w:tcBorders/>
            <w:vAlign w:val="bottom"/>
          </w:tcPr>
          <w:p>
            <w:pPr>
              <w:pStyle w:val="TableContents"/>
              <w:bidi w:val="0"/>
              <w:spacing w:before="0" w:after="283"/>
              <w:jc w:val="left"/>
              <w:rPr/>
            </w:pPr>
            <w:r>
              <w:rPr/>
              <w:t>Chief financial officer</w:t>
            </w:r>
          </w:p>
        </w:tc>
      </w:tr>
      <w:tr>
        <w:trPr/>
        <w:tc>
          <w:tcPr>
            <w:tcW w:w="3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Sauvik Banerjjee</w:t>
            </w:r>
          </w:p>
        </w:tc>
        <w:tc>
          <w:tcPr>
            <w:tcW w:w="181" w:type="dxa"/>
            <w:tcBorders/>
            <w:shd w:fill="CCEEFF" w:val="clear"/>
            <w:vAlign w:val="bottom"/>
          </w:tcPr>
          <w:p>
            <w:pPr>
              <w:pStyle w:val="TableContents"/>
              <w:bidi w:val="0"/>
              <w:spacing w:before="0" w:after="283"/>
              <w:jc w:val="left"/>
              <w:rPr/>
            </w:pPr>
            <w:r>
              <w:rPr/>
              <w:t>  </w:t>
            </w:r>
          </w:p>
        </w:tc>
        <w:tc>
          <w:tcPr>
            <w:tcW w:w="6162" w:type="dxa"/>
            <w:tcBorders/>
            <w:shd w:fill="CCEEFF" w:val="clear"/>
            <w:vAlign w:val="bottom"/>
          </w:tcPr>
          <w:p>
            <w:pPr>
              <w:pStyle w:val="TableContents"/>
              <w:bidi w:val="0"/>
              <w:spacing w:before="0" w:after="283"/>
              <w:jc w:val="left"/>
              <w:rPr/>
            </w:pPr>
            <w:r>
              <w:rPr/>
              <w:t>Chief executive officer, products, technology and digital services</w:t>
            </w:r>
          </w:p>
        </w:tc>
      </w:tr>
      <w:tr>
        <w:trPr/>
        <w:tc>
          <w:tcPr>
            <w:tcW w:w="3453" w:type="dxa"/>
            <w:tcBorders/>
          </w:tcPr>
          <w:p>
            <w:pPr>
              <w:pStyle w:val="TableContents"/>
              <w:bidi w:val="0"/>
              <w:spacing w:before="0" w:after="0"/>
              <w:jc w:val="left"/>
              <w:rPr>
                <w:rFonts w:ascii="Times New Roman" w:hAnsi="Times New Roman"/>
                <w:sz w:val="20"/>
              </w:rPr>
            </w:pPr>
            <w:r>
              <w:rPr>
                <w:rFonts w:ascii="Times New Roman" w:hAnsi="Times New Roman"/>
                <w:sz w:val="20"/>
              </w:rPr>
              <w:t>Salman Ahmad</w:t>
            </w:r>
          </w:p>
        </w:tc>
        <w:tc>
          <w:tcPr>
            <w:tcW w:w="181" w:type="dxa"/>
            <w:tcBorders/>
            <w:vAlign w:val="bottom"/>
          </w:tcPr>
          <w:p>
            <w:pPr>
              <w:pStyle w:val="TableContents"/>
              <w:bidi w:val="0"/>
              <w:spacing w:before="0" w:after="283"/>
              <w:jc w:val="left"/>
              <w:rPr/>
            </w:pPr>
            <w:r>
              <w:rPr/>
              <w:t>  </w:t>
            </w:r>
          </w:p>
        </w:tc>
        <w:tc>
          <w:tcPr>
            <w:tcW w:w="6162" w:type="dxa"/>
            <w:tcBorders/>
            <w:vAlign w:val="bottom"/>
          </w:tcPr>
          <w:p>
            <w:pPr>
              <w:pStyle w:val="TableContents"/>
              <w:bidi w:val="0"/>
              <w:spacing w:before="0" w:after="283"/>
              <w:jc w:val="left"/>
              <w:rPr/>
            </w:pPr>
            <w:r>
              <w:rPr/>
              <w:t>Chief technical officer</w:t>
            </w:r>
          </w:p>
        </w:tc>
      </w:tr>
      <w:tr>
        <w:trPr/>
        <w:tc>
          <w:tcPr>
            <w:tcW w:w="3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Vesco</w:t>
            </w:r>
          </w:p>
        </w:tc>
        <w:tc>
          <w:tcPr>
            <w:tcW w:w="181" w:type="dxa"/>
            <w:tcBorders/>
            <w:shd w:fill="CCEEFF" w:val="clear"/>
            <w:vAlign w:val="bottom"/>
          </w:tcPr>
          <w:p>
            <w:pPr>
              <w:pStyle w:val="TableContents"/>
              <w:bidi w:val="0"/>
              <w:spacing w:before="0" w:after="283"/>
              <w:jc w:val="left"/>
              <w:rPr/>
            </w:pPr>
            <w:r>
              <w:rPr/>
              <w:t>  </w:t>
            </w:r>
          </w:p>
        </w:tc>
        <w:tc>
          <w:tcPr>
            <w:tcW w:w="6162" w:type="dxa"/>
            <w:tcBorders/>
            <w:shd w:fill="CCEEFF" w:val="clear"/>
            <w:vAlign w:val="bottom"/>
          </w:tcPr>
          <w:p>
            <w:pPr>
              <w:pStyle w:val="TableContents"/>
              <w:bidi w:val="0"/>
              <w:spacing w:before="0" w:after="283"/>
              <w:jc w:val="left"/>
              <w:rPr/>
            </w:pPr>
            <w:r>
              <w:rPr/>
              <w:t>Chief commercial officer</w:t>
            </w:r>
          </w:p>
        </w:tc>
      </w:tr>
      <w:tr>
        <w:trPr/>
        <w:tc>
          <w:tcPr>
            <w:tcW w:w="3453" w:type="dxa"/>
            <w:tcBorders/>
          </w:tcPr>
          <w:p>
            <w:pPr>
              <w:pStyle w:val="TableContents"/>
              <w:bidi w:val="0"/>
              <w:spacing w:before="0" w:after="0"/>
              <w:jc w:val="left"/>
              <w:rPr>
                <w:rFonts w:ascii="Times New Roman" w:hAnsi="Times New Roman"/>
                <w:sz w:val="20"/>
              </w:rPr>
            </w:pPr>
            <w:r>
              <w:rPr>
                <w:rFonts w:ascii="Times New Roman" w:hAnsi="Times New Roman"/>
                <w:sz w:val="20"/>
              </w:rPr>
              <w:t>Sunder Madakshira</w:t>
            </w:r>
          </w:p>
        </w:tc>
        <w:tc>
          <w:tcPr>
            <w:tcW w:w="181" w:type="dxa"/>
            <w:tcBorders/>
            <w:vAlign w:val="bottom"/>
          </w:tcPr>
          <w:p>
            <w:pPr>
              <w:pStyle w:val="TableContents"/>
              <w:bidi w:val="0"/>
              <w:spacing w:before="0" w:after="283"/>
              <w:jc w:val="left"/>
              <w:rPr/>
            </w:pPr>
            <w:r>
              <w:rPr/>
              <w:t>  </w:t>
            </w:r>
          </w:p>
        </w:tc>
        <w:tc>
          <w:tcPr>
            <w:tcW w:w="6162" w:type="dxa"/>
            <w:tcBorders/>
            <w:vAlign w:val="bottom"/>
          </w:tcPr>
          <w:p>
            <w:pPr>
              <w:pStyle w:val="TableContents"/>
              <w:bidi w:val="0"/>
              <w:spacing w:before="0" w:after="283"/>
              <w:jc w:val="left"/>
              <w:rPr/>
            </w:pPr>
            <w:r>
              <w:rPr/>
              <w:t>Chief executive officer, India</w:t>
            </w:r>
          </w:p>
        </w:tc>
      </w:tr>
      <w:tr>
        <w:trPr/>
        <w:tc>
          <w:tcPr>
            <w:tcW w:w="3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Arthur Yao (1)</w:t>
            </w:r>
          </w:p>
        </w:tc>
        <w:tc>
          <w:tcPr>
            <w:tcW w:w="181" w:type="dxa"/>
            <w:tcBorders/>
            <w:shd w:fill="CCEEFF" w:val="clear"/>
            <w:vAlign w:val="bottom"/>
          </w:tcPr>
          <w:p>
            <w:pPr>
              <w:pStyle w:val="TableContents"/>
              <w:bidi w:val="0"/>
              <w:spacing w:before="0" w:after="283"/>
              <w:jc w:val="left"/>
              <w:rPr/>
            </w:pPr>
            <w:r>
              <w:rPr/>
              <w:t>  </w:t>
            </w:r>
          </w:p>
        </w:tc>
        <w:tc>
          <w:tcPr>
            <w:tcW w:w="6162" w:type="dxa"/>
            <w:tcBorders/>
            <w:shd w:fill="CCEEFF" w:val="clear"/>
            <w:vAlign w:val="bottom"/>
          </w:tcPr>
          <w:p>
            <w:pPr>
              <w:pStyle w:val="TableContents"/>
              <w:bidi w:val="0"/>
              <w:spacing w:before="0" w:after="283"/>
              <w:jc w:val="left"/>
              <w:rPr/>
            </w:pPr>
            <w:r>
              <w:rPr/>
              <w:t>Chief executive officer, Rezolve China</w:t>
            </w:r>
          </w:p>
        </w:tc>
      </w:tr>
      <w:tr>
        <w:trPr/>
        <w:tc>
          <w:tcPr>
            <w:tcW w:w="3453" w:type="dxa"/>
            <w:tcBorders/>
          </w:tcPr>
          <w:p>
            <w:pPr>
              <w:pStyle w:val="TableContents"/>
              <w:bidi w:val="0"/>
              <w:spacing w:before="0" w:after="0"/>
              <w:jc w:val="left"/>
              <w:rPr>
                <w:rFonts w:ascii="Times New Roman" w:hAnsi="Times New Roman"/>
                <w:sz w:val="20"/>
              </w:rPr>
            </w:pPr>
            <w:r>
              <w:rPr>
                <w:rFonts w:ascii="Times New Roman" w:hAnsi="Times New Roman"/>
                <w:sz w:val="20"/>
              </w:rPr>
              <w:t>Anthony Sharp</w:t>
            </w:r>
          </w:p>
        </w:tc>
        <w:tc>
          <w:tcPr>
            <w:tcW w:w="181" w:type="dxa"/>
            <w:tcBorders/>
            <w:vAlign w:val="bottom"/>
          </w:tcPr>
          <w:p>
            <w:pPr>
              <w:pStyle w:val="TableContents"/>
              <w:bidi w:val="0"/>
              <w:spacing w:before="0" w:after="283"/>
              <w:jc w:val="left"/>
              <w:rPr/>
            </w:pPr>
            <w:r>
              <w:rPr/>
              <w:t>  </w:t>
            </w:r>
          </w:p>
        </w:tc>
        <w:tc>
          <w:tcPr>
            <w:tcW w:w="6162" w:type="dxa"/>
            <w:tcBorders/>
            <w:vAlign w:val="bottom"/>
          </w:tcPr>
          <w:p>
            <w:pPr>
              <w:pStyle w:val="TableContents"/>
              <w:bidi w:val="0"/>
              <w:spacing w:before="0" w:after="283"/>
              <w:jc w:val="left"/>
              <w:rPr/>
            </w:pPr>
            <w:r>
              <w:rPr/>
              <w:t>Non-executive deputy chairman</w:t>
            </w:r>
          </w:p>
        </w:tc>
      </w:tr>
      <w:tr>
        <w:trPr/>
        <w:tc>
          <w:tcPr>
            <w:tcW w:w="3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Sir David Wright</w:t>
            </w:r>
          </w:p>
        </w:tc>
        <w:tc>
          <w:tcPr>
            <w:tcW w:w="181" w:type="dxa"/>
            <w:tcBorders/>
            <w:shd w:fill="CCEEFF" w:val="clear"/>
            <w:vAlign w:val="bottom"/>
          </w:tcPr>
          <w:p>
            <w:pPr>
              <w:pStyle w:val="TableContents"/>
              <w:bidi w:val="0"/>
              <w:spacing w:before="0" w:after="283"/>
              <w:jc w:val="left"/>
              <w:rPr/>
            </w:pPr>
            <w:r>
              <w:rPr/>
              <w:t>  </w:t>
            </w:r>
          </w:p>
        </w:tc>
        <w:tc>
          <w:tcPr>
            <w:tcW w:w="6162" w:type="dxa"/>
            <w:tcBorders/>
            <w:shd w:fill="CCEEFF" w:val="clear"/>
            <w:vAlign w:val="bottom"/>
          </w:tcPr>
          <w:p>
            <w:pPr>
              <w:pStyle w:val="TableContents"/>
              <w:bidi w:val="0"/>
              <w:spacing w:before="0" w:after="283"/>
              <w:jc w:val="left"/>
              <w:rPr/>
            </w:pPr>
            <w:r>
              <w:rPr/>
              <w:t>Non-executive director</w:t>
            </w:r>
          </w:p>
        </w:tc>
      </w:tr>
      <w:tr>
        <w:trPr/>
        <w:tc>
          <w:tcPr>
            <w:tcW w:w="3453" w:type="dxa"/>
            <w:tcBorders/>
          </w:tcPr>
          <w:p>
            <w:pPr>
              <w:pStyle w:val="TableContents"/>
              <w:bidi w:val="0"/>
              <w:spacing w:before="0" w:after="0"/>
              <w:jc w:val="left"/>
              <w:rPr>
                <w:rFonts w:ascii="Times New Roman" w:hAnsi="Times New Roman"/>
                <w:sz w:val="20"/>
              </w:rPr>
            </w:pPr>
            <w:r>
              <w:rPr>
                <w:rFonts w:ascii="Times New Roman" w:hAnsi="Times New Roman"/>
                <w:sz w:val="20"/>
              </w:rPr>
              <w:t>Steve Perry</w:t>
            </w:r>
          </w:p>
        </w:tc>
        <w:tc>
          <w:tcPr>
            <w:tcW w:w="181" w:type="dxa"/>
            <w:tcBorders/>
            <w:vAlign w:val="bottom"/>
          </w:tcPr>
          <w:p>
            <w:pPr>
              <w:pStyle w:val="TableContents"/>
              <w:bidi w:val="0"/>
              <w:spacing w:before="0" w:after="283"/>
              <w:jc w:val="left"/>
              <w:rPr/>
            </w:pPr>
            <w:r>
              <w:rPr/>
              <w:t>  </w:t>
            </w:r>
          </w:p>
        </w:tc>
        <w:tc>
          <w:tcPr>
            <w:tcW w:w="6162" w:type="dxa"/>
            <w:tcBorders/>
            <w:vAlign w:val="bottom"/>
          </w:tcPr>
          <w:p>
            <w:pPr>
              <w:pStyle w:val="TableContents"/>
              <w:bidi w:val="0"/>
              <w:spacing w:before="0" w:after="283"/>
              <w:jc w:val="left"/>
              <w:rPr/>
            </w:pPr>
            <w:r>
              <w:rPr/>
              <w:t>Non-executive director</w:t>
            </w:r>
          </w:p>
        </w:tc>
      </w:tr>
      <w:tr>
        <w:trPr/>
        <w:tc>
          <w:tcPr>
            <w:tcW w:w="3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Derek Smith</w:t>
            </w:r>
          </w:p>
        </w:tc>
        <w:tc>
          <w:tcPr>
            <w:tcW w:w="181" w:type="dxa"/>
            <w:tcBorders/>
            <w:shd w:fill="CCEEFF" w:val="clear"/>
            <w:vAlign w:val="bottom"/>
          </w:tcPr>
          <w:p>
            <w:pPr>
              <w:pStyle w:val="TableContents"/>
              <w:bidi w:val="0"/>
              <w:spacing w:before="0" w:after="283"/>
              <w:jc w:val="left"/>
              <w:rPr/>
            </w:pPr>
            <w:r>
              <w:rPr/>
              <w:t>  </w:t>
            </w:r>
          </w:p>
        </w:tc>
        <w:tc>
          <w:tcPr>
            <w:tcW w:w="6162" w:type="dxa"/>
            <w:tcBorders/>
            <w:shd w:fill="CCEEFF" w:val="clear"/>
            <w:vAlign w:val="bottom"/>
          </w:tcPr>
          <w:p>
            <w:pPr>
              <w:pStyle w:val="TableContents"/>
              <w:bidi w:val="0"/>
              <w:spacing w:before="0" w:after="283"/>
              <w:jc w:val="left"/>
              <w:rPr/>
            </w:pPr>
            <w:r>
              <w:rPr/>
              <w:t>Non-executive director</w:t>
            </w:r>
          </w:p>
        </w:tc>
      </w:tr>
      <w:tr>
        <w:trPr/>
        <w:tc>
          <w:tcPr>
            <w:tcW w:w="3453" w:type="dxa"/>
            <w:tcBorders/>
          </w:tcPr>
          <w:p>
            <w:pPr>
              <w:pStyle w:val="TableContents"/>
              <w:bidi w:val="0"/>
              <w:spacing w:before="0" w:after="0"/>
              <w:jc w:val="left"/>
              <w:rPr>
                <w:rFonts w:ascii="Times New Roman" w:hAnsi="Times New Roman"/>
                <w:sz w:val="20"/>
              </w:rPr>
            </w:pPr>
            <w:r>
              <w:rPr>
                <w:rFonts w:ascii="Times New Roman" w:hAnsi="Times New Roman"/>
                <w:sz w:val="20"/>
              </w:rPr>
              <w:t>Susan Wagner</w:t>
            </w:r>
          </w:p>
        </w:tc>
        <w:tc>
          <w:tcPr>
            <w:tcW w:w="181" w:type="dxa"/>
            <w:tcBorders/>
            <w:vAlign w:val="bottom"/>
          </w:tcPr>
          <w:p>
            <w:pPr>
              <w:pStyle w:val="TableContents"/>
              <w:bidi w:val="0"/>
              <w:spacing w:before="0" w:after="283"/>
              <w:jc w:val="left"/>
              <w:rPr/>
            </w:pPr>
            <w:r>
              <w:rPr/>
              <w:t>  </w:t>
            </w:r>
          </w:p>
        </w:tc>
        <w:tc>
          <w:tcPr>
            <w:tcW w:w="6162" w:type="dxa"/>
            <w:tcBorders/>
            <w:vAlign w:val="bottom"/>
          </w:tcPr>
          <w:p>
            <w:pPr>
              <w:pStyle w:val="TableContents"/>
              <w:bidi w:val="0"/>
              <w:spacing w:before="0" w:after="283"/>
              <w:jc w:val="left"/>
              <w:rPr/>
            </w:pPr>
            <w:r>
              <w:rPr/>
              <w:t>Member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paid to Arthur Yao were paid out of Rezolve Limited in the UK. The Companys operations in China have since been approved for a planned liquidation through the Demerger (Refer to Note 2.1  Basis of presentation).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Transactions and outstanding balances of related parties were as follows: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Transactions during the year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04"/>
        <w:gridCol w:w="595"/>
        <w:gridCol w:w="159"/>
        <w:gridCol w:w="1260"/>
        <w:gridCol w:w="60"/>
        <w:gridCol w:w="595"/>
        <w:gridCol w:w="159"/>
        <w:gridCol w:w="1260"/>
        <w:gridCol w:w="63"/>
      </w:tblGrid>
      <w:tr>
        <w:trPr/>
        <w:tc>
          <w:tcPr>
            <w:tcW w:w="3604" w:type="dxa"/>
            <w:tcBorders/>
            <w:vAlign w:val="center"/>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604"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2021</w:t>
            </w:r>
          </w:p>
        </w:tc>
        <w:tc>
          <w:tcPr>
            <w:tcW w:w="63" w:type="dxa"/>
            <w:tcBorders/>
            <w:vAlign w:val="bottom"/>
          </w:tcPr>
          <w:p>
            <w:pPr>
              <w:pStyle w:val="TableContents"/>
              <w:bidi w:val="0"/>
              <w:spacing w:before="0" w:after="283"/>
              <w:jc w:val="left"/>
              <w:rPr/>
            </w:pPr>
            <w:r>
              <w:rPr/>
              <w:t> </w:t>
            </w:r>
          </w:p>
        </w:tc>
      </w:tr>
      <w:tr>
        <w:trPr/>
        <w:tc>
          <w:tcPr>
            <w:tcW w:w="36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 Capital Issued at nominal value</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Dan Wagner (number of ordinary shares issued in 2022  nil and 2021 20,037,059)</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1260" w:type="dxa"/>
            <w:tcBorders/>
            <w:vAlign w:val="bottom"/>
          </w:tcPr>
          <w:p>
            <w:pPr>
              <w:pStyle w:val="TableContents"/>
              <w:bidi w:val="0"/>
              <w:spacing w:before="0" w:after="283"/>
              <w:jc w:val="right"/>
              <w:rPr/>
            </w:pPr>
            <w:r>
              <w:rPr/>
              <w:t>2,763</w:t>
            </w:r>
          </w:p>
        </w:tc>
        <w:tc>
          <w:tcPr>
            <w:tcW w:w="63" w:type="dxa"/>
            <w:tcBorders/>
            <w:vAlign w:val="bottom"/>
          </w:tcPr>
          <w:p>
            <w:pPr>
              <w:pStyle w:val="TableContents"/>
              <w:bidi w:val="0"/>
              <w:spacing w:before="0" w:after="283"/>
              <w:jc w:val="left"/>
              <w:rPr/>
            </w:pPr>
            <w:r>
              <w:rPr/>
              <w:t> </w:t>
            </w:r>
          </w:p>
        </w:tc>
      </w:tr>
      <w:tr>
        <w:trPr/>
        <w:tc>
          <w:tcPr>
            <w:tcW w:w="3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DBLP Sea Cow (1) (number of ordinary shares issued in 2022  27,246,461 and 2021  nil)</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3,225</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Igor Lychagov (number of Series A shares Issued in 2022  nil and 2021  11,685,761)</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1,622</w:t>
            </w:r>
          </w:p>
        </w:tc>
        <w:tc>
          <w:tcPr>
            <w:tcW w:w="63" w:type="dxa"/>
            <w:tcBorders/>
            <w:vAlign w:val="bottom"/>
          </w:tcPr>
          <w:p>
            <w:pPr>
              <w:pStyle w:val="TableContents"/>
              <w:bidi w:val="0"/>
              <w:spacing w:before="0" w:after="283"/>
              <w:jc w:val="left"/>
              <w:rPr/>
            </w:pPr>
            <w:r>
              <w:rPr/>
              <w:t> </w:t>
            </w:r>
          </w:p>
        </w:tc>
      </w:tr>
      <w:tr>
        <w:trPr>
          <w:trHeight w:val="120" w:hRule="atLeast"/>
        </w:trPr>
        <w:tc>
          <w:tcPr>
            <w:tcW w:w="3604" w:type="dxa"/>
            <w:tcBorders/>
            <w:vAlign w:val="center"/>
          </w:tcPr>
          <w:p>
            <w:pPr>
              <w:pStyle w:val="TableContents"/>
              <w:bidi w:val="0"/>
              <w:spacing w:before="0" w:after="283"/>
              <w:jc w:val="left"/>
              <w:rPr>
                <w:sz w:val="4"/>
                <w:szCs w:val="4"/>
              </w:rPr>
            </w:pPr>
            <w:r>
              <w:rPr>
                <w:sz w:val="4"/>
                <w:szCs w:val="4"/>
              </w:rPr>
            </w:r>
          </w:p>
        </w:tc>
        <w:tc>
          <w:tcPr>
            <w:tcW w:w="2074" w:type="dxa"/>
            <w:gridSpan w:val="4"/>
            <w:tcBorders/>
            <w:vAlign w:val="center"/>
          </w:tcPr>
          <w:p>
            <w:pPr>
              <w:pStyle w:val="TableContents"/>
              <w:bidi w:val="0"/>
              <w:spacing w:before="0" w:after="283"/>
              <w:jc w:val="left"/>
              <w:rPr>
                <w:sz w:val="4"/>
                <w:szCs w:val="4"/>
              </w:rPr>
            </w:pPr>
            <w:r>
              <w:rPr>
                <w:sz w:val="4"/>
                <w:szCs w:val="4"/>
              </w:rPr>
            </w:r>
          </w:p>
        </w:tc>
        <w:tc>
          <w:tcPr>
            <w:tcW w:w="2077" w:type="dxa"/>
            <w:gridSpan w:val="4"/>
            <w:tcBorders/>
            <w:vAlign w:val="center"/>
          </w:tcPr>
          <w:p>
            <w:pPr>
              <w:pStyle w:val="TableContents"/>
              <w:bidi w:val="0"/>
              <w:spacing w:before="0" w:after="283"/>
              <w:jc w:val="left"/>
              <w:rPr>
                <w:sz w:val="4"/>
                <w:szCs w:val="4"/>
              </w:rPr>
            </w:pPr>
            <w:r>
              <w:rPr>
                <w:sz w:val="4"/>
                <w:szCs w:val="4"/>
              </w:rPr>
            </w:r>
          </w:p>
        </w:tc>
      </w:tr>
      <w:tr>
        <w:trPr/>
        <w:tc>
          <w:tcPr>
            <w:tcW w:w="36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Loans Repaid</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DBLP Sea Cow</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560,000</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1,000,000</w:t>
            </w:r>
          </w:p>
        </w:tc>
        <w:tc>
          <w:tcPr>
            <w:tcW w:w="63" w:type="dxa"/>
            <w:tcBorders/>
            <w:vAlign w:val="bottom"/>
          </w:tcPr>
          <w:p>
            <w:pPr>
              <w:pStyle w:val="TableContents"/>
              <w:bidi w:val="0"/>
              <w:spacing w:before="0" w:after="283"/>
              <w:jc w:val="left"/>
              <w:rPr/>
            </w:pPr>
            <w:r>
              <w:rPr/>
              <w:t> </w:t>
            </w:r>
          </w:p>
        </w:tc>
      </w:tr>
      <w:tr>
        <w:trPr>
          <w:trHeight w:val="120" w:hRule="atLeast"/>
        </w:trPr>
        <w:tc>
          <w:tcPr>
            <w:tcW w:w="3604" w:type="dxa"/>
            <w:tcBorders/>
            <w:vAlign w:val="center"/>
          </w:tcPr>
          <w:p>
            <w:pPr>
              <w:pStyle w:val="TableContents"/>
              <w:bidi w:val="0"/>
              <w:spacing w:before="0" w:after="283"/>
              <w:jc w:val="left"/>
              <w:rPr>
                <w:sz w:val="4"/>
                <w:szCs w:val="4"/>
              </w:rPr>
            </w:pPr>
            <w:r>
              <w:rPr>
                <w:sz w:val="4"/>
                <w:szCs w:val="4"/>
              </w:rPr>
            </w:r>
          </w:p>
        </w:tc>
        <w:tc>
          <w:tcPr>
            <w:tcW w:w="2074" w:type="dxa"/>
            <w:gridSpan w:val="4"/>
            <w:tcBorders/>
            <w:vAlign w:val="center"/>
          </w:tcPr>
          <w:p>
            <w:pPr>
              <w:pStyle w:val="TableContents"/>
              <w:bidi w:val="0"/>
              <w:spacing w:before="0" w:after="283"/>
              <w:jc w:val="left"/>
              <w:rPr>
                <w:sz w:val="4"/>
                <w:szCs w:val="4"/>
              </w:rPr>
            </w:pPr>
            <w:r>
              <w:rPr>
                <w:sz w:val="4"/>
                <w:szCs w:val="4"/>
              </w:rPr>
            </w:r>
          </w:p>
        </w:tc>
        <w:tc>
          <w:tcPr>
            <w:tcW w:w="2077" w:type="dxa"/>
            <w:gridSpan w:val="4"/>
            <w:tcBorders/>
            <w:vAlign w:val="center"/>
          </w:tcPr>
          <w:p>
            <w:pPr>
              <w:pStyle w:val="TableContents"/>
              <w:bidi w:val="0"/>
              <w:spacing w:before="0" w:after="283"/>
              <w:jc w:val="left"/>
              <w:rPr>
                <w:sz w:val="4"/>
                <w:szCs w:val="4"/>
              </w:rPr>
            </w:pPr>
            <w:r>
              <w:rPr>
                <w:sz w:val="4"/>
                <w:szCs w:val="4"/>
              </w:rPr>
            </w:r>
          </w:p>
        </w:tc>
      </w:tr>
      <w:tr>
        <w:trPr/>
        <w:tc>
          <w:tcPr>
            <w:tcW w:w="36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Loan taken</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Dan Wagner</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20,000</w:t>
            </w:r>
          </w:p>
        </w:tc>
        <w:tc>
          <w:tcPr>
            <w:tcW w:w="63" w:type="dxa"/>
            <w:tcBorders/>
            <w:vAlign w:val="bottom"/>
          </w:tcPr>
          <w:p>
            <w:pPr>
              <w:pStyle w:val="TableContents"/>
              <w:bidi w:val="0"/>
              <w:spacing w:before="0" w:after="283"/>
              <w:jc w:val="left"/>
              <w:rPr/>
            </w:pPr>
            <w:r>
              <w:rPr/>
              <w:t> </w:t>
            </w:r>
          </w:p>
        </w:tc>
      </w:tr>
      <w:tr>
        <w:trPr>
          <w:trHeight w:val="120" w:hRule="atLeast"/>
        </w:trPr>
        <w:tc>
          <w:tcPr>
            <w:tcW w:w="3604" w:type="dxa"/>
            <w:tcBorders/>
            <w:vAlign w:val="center"/>
          </w:tcPr>
          <w:p>
            <w:pPr>
              <w:pStyle w:val="TableContents"/>
              <w:bidi w:val="0"/>
              <w:spacing w:before="0" w:after="283"/>
              <w:jc w:val="left"/>
              <w:rPr>
                <w:sz w:val="4"/>
                <w:szCs w:val="4"/>
              </w:rPr>
            </w:pPr>
            <w:r>
              <w:rPr>
                <w:sz w:val="4"/>
                <w:szCs w:val="4"/>
              </w:rPr>
            </w:r>
          </w:p>
        </w:tc>
        <w:tc>
          <w:tcPr>
            <w:tcW w:w="2074" w:type="dxa"/>
            <w:gridSpan w:val="4"/>
            <w:tcBorders/>
            <w:vAlign w:val="center"/>
          </w:tcPr>
          <w:p>
            <w:pPr>
              <w:pStyle w:val="TableContents"/>
              <w:bidi w:val="0"/>
              <w:spacing w:before="0" w:after="283"/>
              <w:jc w:val="left"/>
              <w:rPr>
                <w:sz w:val="4"/>
                <w:szCs w:val="4"/>
              </w:rPr>
            </w:pPr>
            <w:r>
              <w:rPr>
                <w:sz w:val="4"/>
                <w:szCs w:val="4"/>
              </w:rPr>
            </w:r>
          </w:p>
        </w:tc>
        <w:tc>
          <w:tcPr>
            <w:tcW w:w="2077" w:type="dxa"/>
            <w:gridSpan w:val="4"/>
            <w:tcBorders/>
            <w:vAlign w:val="center"/>
          </w:tcPr>
          <w:p>
            <w:pPr>
              <w:pStyle w:val="TableContents"/>
              <w:bidi w:val="0"/>
              <w:spacing w:before="0" w:after="283"/>
              <w:jc w:val="left"/>
              <w:rPr>
                <w:sz w:val="4"/>
                <w:szCs w:val="4"/>
              </w:rPr>
            </w:pPr>
            <w:r>
              <w:rPr>
                <w:sz w:val="4"/>
                <w:szCs w:val="4"/>
              </w:rPr>
            </w:r>
          </w:p>
        </w:tc>
      </w:tr>
      <w:tr>
        <w:trPr/>
        <w:tc>
          <w:tcPr>
            <w:tcW w:w="36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Reimbursement of expenses</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Dan Wagner</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297,566</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112,609</w:t>
            </w:r>
          </w:p>
        </w:tc>
        <w:tc>
          <w:tcPr>
            <w:tcW w:w="63" w:type="dxa"/>
            <w:tcBorders/>
            <w:vAlign w:val="bottom"/>
          </w:tcPr>
          <w:p>
            <w:pPr>
              <w:pStyle w:val="TableContents"/>
              <w:bidi w:val="0"/>
              <w:spacing w:before="0" w:after="283"/>
              <w:jc w:val="left"/>
              <w:rPr/>
            </w:pPr>
            <w:r>
              <w:rPr/>
              <w:t> </w:t>
            </w:r>
          </w:p>
        </w:tc>
      </w:tr>
      <w:tr>
        <w:trPr/>
        <w:tc>
          <w:tcPr>
            <w:tcW w:w="3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Salman Ahmed</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3,724</w:t>
            </w:r>
          </w:p>
        </w:tc>
        <w:tc>
          <w:tcPr>
            <w:tcW w:w="63" w:type="dxa"/>
            <w:tcBorders/>
            <w:shd w:fill="CCEEFF" w:val="clear"/>
            <w:vAlign w:val="bottom"/>
          </w:tcPr>
          <w:p>
            <w:pPr>
              <w:pStyle w:val="TableContents"/>
              <w:bidi w:val="0"/>
              <w:spacing w:before="0" w:after="283"/>
              <w:jc w:val="left"/>
              <w:rPr/>
            </w:pPr>
            <w:r>
              <w:rPr/>
              <w:t> </w:t>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Peter Vesco</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19,226</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2,437</w:t>
            </w:r>
          </w:p>
        </w:tc>
        <w:tc>
          <w:tcPr>
            <w:tcW w:w="63" w:type="dxa"/>
            <w:tcBorders/>
            <w:vAlign w:val="bottom"/>
          </w:tcPr>
          <w:p>
            <w:pPr>
              <w:pStyle w:val="TableContents"/>
              <w:bidi w:val="0"/>
              <w:spacing w:before="0" w:after="283"/>
              <w:jc w:val="left"/>
              <w:rPr/>
            </w:pPr>
            <w:r>
              <w:rPr/>
              <w:t> </w:t>
            </w:r>
          </w:p>
        </w:tc>
      </w:tr>
      <w:tr>
        <w:trPr/>
        <w:tc>
          <w:tcPr>
            <w:tcW w:w="3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Arthur Yao</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28,561</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92,715</w:t>
            </w:r>
          </w:p>
        </w:tc>
        <w:tc>
          <w:tcPr>
            <w:tcW w:w="63" w:type="dxa"/>
            <w:tcBorders/>
            <w:shd w:fill="CCEEFF" w:val="clear"/>
            <w:vAlign w:val="bottom"/>
          </w:tcPr>
          <w:p>
            <w:pPr>
              <w:pStyle w:val="TableContents"/>
              <w:bidi w:val="0"/>
              <w:spacing w:before="0" w:after="283"/>
              <w:jc w:val="left"/>
              <w:rPr/>
            </w:pPr>
            <w:r>
              <w:rPr/>
              <w:t> </w:t>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DBLP Sea Cow</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42,176</w:t>
            </w:r>
          </w:p>
        </w:tc>
        <w:tc>
          <w:tcPr>
            <w:tcW w:w="63" w:type="dxa"/>
            <w:tcBorders/>
            <w:vAlign w:val="bottom"/>
          </w:tcPr>
          <w:p>
            <w:pPr>
              <w:pStyle w:val="TableContents"/>
              <w:bidi w:val="0"/>
              <w:spacing w:before="0" w:after="283"/>
              <w:jc w:val="left"/>
              <w:rPr/>
            </w:pPr>
            <w:r>
              <w:rPr/>
              <w:t> </w:t>
            </w:r>
          </w:p>
        </w:tc>
      </w:tr>
      <w:tr>
        <w:trPr>
          <w:trHeight w:val="120" w:hRule="atLeast"/>
        </w:trPr>
        <w:tc>
          <w:tcPr>
            <w:tcW w:w="3604" w:type="dxa"/>
            <w:tcBorders/>
            <w:vAlign w:val="center"/>
          </w:tcPr>
          <w:p>
            <w:pPr>
              <w:pStyle w:val="TableContents"/>
              <w:bidi w:val="0"/>
              <w:spacing w:before="0" w:after="283"/>
              <w:jc w:val="left"/>
              <w:rPr>
                <w:sz w:val="4"/>
                <w:szCs w:val="4"/>
              </w:rPr>
            </w:pPr>
            <w:r>
              <w:rPr>
                <w:sz w:val="4"/>
                <w:szCs w:val="4"/>
              </w:rPr>
            </w:r>
          </w:p>
        </w:tc>
        <w:tc>
          <w:tcPr>
            <w:tcW w:w="2074" w:type="dxa"/>
            <w:gridSpan w:val="4"/>
            <w:tcBorders/>
            <w:vAlign w:val="center"/>
          </w:tcPr>
          <w:p>
            <w:pPr>
              <w:pStyle w:val="TableContents"/>
              <w:bidi w:val="0"/>
              <w:spacing w:before="0" w:after="283"/>
              <w:jc w:val="left"/>
              <w:rPr>
                <w:sz w:val="4"/>
                <w:szCs w:val="4"/>
              </w:rPr>
            </w:pPr>
            <w:r>
              <w:rPr>
                <w:sz w:val="4"/>
                <w:szCs w:val="4"/>
              </w:rPr>
            </w:r>
          </w:p>
        </w:tc>
        <w:tc>
          <w:tcPr>
            <w:tcW w:w="2077" w:type="dxa"/>
            <w:gridSpan w:val="4"/>
            <w:tcBorders/>
            <w:vAlign w:val="center"/>
          </w:tcPr>
          <w:p>
            <w:pPr>
              <w:pStyle w:val="TableContents"/>
              <w:bidi w:val="0"/>
              <w:spacing w:before="0" w:after="283"/>
              <w:jc w:val="left"/>
              <w:rPr>
                <w:sz w:val="4"/>
                <w:szCs w:val="4"/>
              </w:rPr>
            </w:pPr>
            <w:r>
              <w:rPr>
                <w:sz w:val="4"/>
                <w:szCs w:val="4"/>
              </w:rPr>
            </w:r>
          </w:p>
        </w:tc>
      </w:tr>
      <w:tr>
        <w:trPr/>
        <w:tc>
          <w:tcPr>
            <w:tcW w:w="36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Managerial remuneration</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604" w:type="dxa"/>
            <w:tcBorders/>
          </w:tcPr>
          <w:p>
            <w:pPr>
              <w:pStyle w:val="TableContents"/>
              <w:bidi w:val="0"/>
              <w:spacing w:before="0" w:after="0"/>
              <w:jc w:val="left"/>
              <w:rPr>
                <w:rFonts w:ascii="Times New Roman" w:hAnsi="Times New Roman"/>
                <w:b/>
                <w:sz w:val="20"/>
              </w:rPr>
            </w:pPr>
            <w:r>
              <w:rPr>
                <w:rFonts w:ascii="Times New Roman" w:hAnsi="Times New Roman"/>
                <w:b/>
                <w:sz w:val="20"/>
              </w:rPr>
              <w:t>Key Management Personnel</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 Wagner</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298,654</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330,673</w:t>
            </w:r>
          </w:p>
        </w:tc>
        <w:tc>
          <w:tcPr>
            <w:tcW w:w="63" w:type="dxa"/>
            <w:tcBorders/>
            <w:shd w:fill="CCEEFF" w:val="clear"/>
            <w:vAlign w:val="bottom"/>
          </w:tcPr>
          <w:p>
            <w:pPr>
              <w:pStyle w:val="TableContents"/>
              <w:bidi w:val="0"/>
              <w:spacing w:before="0" w:after="283"/>
              <w:jc w:val="left"/>
              <w:rPr/>
            </w:pPr>
            <w:r>
              <w:rPr/>
              <w:t> </w:t>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Salman Ahmad</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207,395</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220,449</w:t>
            </w:r>
          </w:p>
        </w:tc>
        <w:tc>
          <w:tcPr>
            <w:tcW w:w="63" w:type="dxa"/>
            <w:tcBorders/>
            <w:vAlign w:val="bottom"/>
          </w:tcPr>
          <w:p>
            <w:pPr>
              <w:pStyle w:val="TableContents"/>
              <w:bidi w:val="0"/>
              <w:spacing w:before="0" w:after="283"/>
              <w:jc w:val="left"/>
              <w:rPr/>
            </w:pPr>
            <w:r>
              <w:rPr/>
              <w:t> </w:t>
            </w:r>
          </w:p>
        </w:tc>
      </w:tr>
      <w:tr>
        <w:trPr/>
        <w:tc>
          <w:tcPr>
            <w:tcW w:w="3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Richard Burchill</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273,761</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Sauvik Banerjjee</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188,972</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Sunder Madakshira</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226,497</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rHeight w:val="120" w:hRule="atLeast"/>
        </w:trPr>
        <w:tc>
          <w:tcPr>
            <w:tcW w:w="3604" w:type="dxa"/>
            <w:tcBorders/>
            <w:vAlign w:val="center"/>
          </w:tcPr>
          <w:p>
            <w:pPr>
              <w:pStyle w:val="TableContents"/>
              <w:bidi w:val="0"/>
              <w:spacing w:before="0" w:after="283"/>
              <w:jc w:val="left"/>
              <w:rPr>
                <w:sz w:val="4"/>
                <w:szCs w:val="4"/>
              </w:rPr>
            </w:pPr>
            <w:r>
              <w:rPr>
                <w:sz w:val="4"/>
                <w:szCs w:val="4"/>
              </w:rPr>
            </w:r>
          </w:p>
        </w:tc>
        <w:tc>
          <w:tcPr>
            <w:tcW w:w="2074" w:type="dxa"/>
            <w:gridSpan w:val="4"/>
            <w:tcBorders/>
            <w:vAlign w:val="center"/>
          </w:tcPr>
          <w:p>
            <w:pPr>
              <w:pStyle w:val="TableContents"/>
              <w:bidi w:val="0"/>
              <w:spacing w:before="0" w:after="283"/>
              <w:jc w:val="left"/>
              <w:rPr>
                <w:sz w:val="4"/>
                <w:szCs w:val="4"/>
              </w:rPr>
            </w:pPr>
            <w:r>
              <w:rPr>
                <w:sz w:val="4"/>
                <w:szCs w:val="4"/>
              </w:rPr>
            </w:r>
          </w:p>
        </w:tc>
        <w:tc>
          <w:tcPr>
            <w:tcW w:w="2077" w:type="dxa"/>
            <w:gridSpan w:val="4"/>
            <w:tcBorders/>
            <w:vAlign w:val="center"/>
          </w:tcPr>
          <w:p>
            <w:pPr>
              <w:pStyle w:val="TableContents"/>
              <w:bidi w:val="0"/>
              <w:spacing w:before="0" w:after="283"/>
              <w:jc w:val="left"/>
              <w:rPr>
                <w:sz w:val="4"/>
                <w:szCs w:val="4"/>
              </w:rPr>
            </w:pPr>
            <w:r>
              <w:rPr>
                <w:sz w:val="4"/>
                <w:szCs w:val="4"/>
              </w:rPr>
            </w:r>
          </w:p>
        </w:tc>
      </w:tr>
      <w:tr>
        <w:trPr/>
        <w:tc>
          <w:tcPr>
            <w:tcW w:w="3604" w:type="dxa"/>
            <w:tcBorders/>
          </w:tcPr>
          <w:p>
            <w:pPr>
              <w:pStyle w:val="TableContents"/>
              <w:bidi w:val="0"/>
              <w:spacing w:before="0" w:after="0"/>
              <w:jc w:val="left"/>
              <w:rPr>
                <w:rFonts w:ascii="Times New Roman" w:hAnsi="Times New Roman"/>
                <w:b/>
                <w:sz w:val="20"/>
              </w:rPr>
            </w:pPr>
            <w:r>
              <w:rPr>
                <w:rFonts w:ascii="Times New Roman" w:hAnsi="Times New Roman"/>
                <w:b/>
                <w:sz w:val="20"/>
              </w:rPr>
              <w:t>Share-based compensation</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3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DBLP Sea Cow</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33,374,018</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Dan Wagner</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13,224,459</w:t>
            </w:r>
          </w:p>
        </w:tc>
        <w:tc>
          <w:tcPr>
            <w:tcW w:w="63" w:type="dxa"/>
            <w:tcBorders/>
            <w:vAlign w:val="bottom"/>
          </w:tcPr>
          <w:p>
            <w:pPr>
              <w:pStyle w:val="TableContents"/>
              <w:bidi w:val="0"/>
              <w:spacing w:before="0" w:after="283"/>
              <w:jc w:val="left"/>
              <w:rPr/>
            </w:pPr>
            <w:r>
              <w:rPr/>
              <w:t> </w:t>
            </w:r>
          </w:p>
        </w:tc>
      </w:tr>
      <w:tr>
        <w:trPr/>
        <w:tc>
          <w:tcPr>
            <w:tcW w:w="3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 Perry</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2,449,787</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Derek Smith</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3,674,681</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rHeight w:val="120" w:hRule="atLeast"/>
        </w:trPr>
        <w:tc>
          <w:tcPr>
            <w:tcW w:w="3604" w:type="dxa"/>
            <w:tcBorders/>
            <w:vAlign w:val="center"/>
          </w:tcPr>
          <w:p>
            <w:pPr>
              <w:pStyle w:val="TableContents"/>
              <w:bidi w:val="0"/>
              <w:spacing w:before="0" w:after="283"/>
              <w:jc w:val="left"/>
              <w:rPr>
                <w:sz w:val="4"/>
                <w:szCs w:val="4"/>
              </w:rPr>
            </w:pPr>
            <w:r>
              <w:rPr>
                <w:sz w:val="4"/>
                <w:szCs w:val="4"/>
              </w:rPr>
            </w:r>
          </w:p>
        </w:tc>
        <w:tc>
          <w:tcPr>
            <w:tcW w:w="2074" w:type="dxa"/>
            <w:gridSpan w:val="4"/>
            <w:tcBorders/>
            <w:vAlign w:val="center"/>
          </w:tcPr>
          <w:p>
            <w:pPr>
              <w:pStyle w:val="TableContents"/>
              <w:bidi w:val="0"/>
              <w:spacing w:before="0" w:after="283"/>
              <w:jc w:val="left"/>
              <w:rPr>
                <w:sz w:val="4"/>
                <w:szCs w:val="4"/>
              </w:rPr>
            </w:pPr>
            <w:r>
              <w:rPr>
                <w:sz w:val="4"/>
                <w:szCs w:val="4"/>
              </w:rPr>
            </w:r>
          </w:p>
        </w:tc>
        <w:tc>
          <w:tcPr>
            <w:tcW w:w="2077" w:type="dxa"/>
            <w:gridSpan w:val="4"/>
            <w:tcBorders/>
            <w:vAlign w:val="center"/>
          </w:tcPr>
          <w:p>
            <w:pPr>
              <w:pStyle w:val="TableContents"/>
              <w:bidi w:val="0"/>
              <w:spacing w:before="0" w:after="283"/>
              <w:jc w:val="left"/>
              <w:rPr>
                <w:sz w:val="4"/>
                <w:szCs w:val="4"/>
              </w:rPr>
            </w:pPr>
            <w:r>
              <w:rPr>
                <w:sz w:val="4"/>
                <w:szCs w:val="4"/>
              </w:rPr>
            </w:r>
          </w:p>
        </w:tc>
      </w:tr>
      <w:tr>
        <w:trPr/>
        <w:tc>
          <w:tcPr>
            <w:tcW w:w="36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Consulting fees</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DBLP Sea Cow</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300,000</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300,000</w:t>
            </w:r>
          </w:p>
        </w:tc>
        <w:tc>
          <w:tcPr>
            <w:tcW w:w="63" w:type="dxa"/>
            <w:tcBorders/>
            <w:vAlign w:val="bottom"/>
          </w:tcPr>
          <w:p>
            <w:pPr>
              <w:pStyle w:val="TableContents"/>
              <w:bidi w:val="0"/>
              <w:spacing w:before="0" w:after="283"/>
              <w:jc w:val="left"/>
              <w:rPr/>
            </w:pPr>
            <w:r>
              <w:rPr/>
              <w:t> </w:t>
            </w:r>
          </w:p>
        </w:tc>
      </w:tr>
      <w:tr>
        <w:trPr/>
        <w:tc>
          <w:tcPr>
            <w:tcW w:w="3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Vesco</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380,805</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430,666</w:t>
            </w:r>
          </w:p>
        </w:tc>
        <w:tc>
          <w:tcPr>
            <w:tcW w:w="63" w:type="dxa"/>
            <w:tcBorders/>
            <w:shd w:fill="CCEEFF" w:val="clear"/>
            <w:vAlign w:val="bottom"/>
          </w:tcPr>
          <w:p>
            <w:pPr>
              <w:pStyle w:val="TableContents"/>
              <w:bidi w:val="0"/>
              <w:spacing w:before="0" w:after="283"/>
              <w:jc w:val="left"/>
              <w:rPr/>
            </w:pPr>
            <w:r>
              <w:rPr/>
              <w:t> </w:t>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Arthur Yao</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300,000</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270,000</w:t>
            </w:r>
          </w:p>
        </w:tc>
        <w:tc>
          <w:tcPr>
            <w:tcW w:w="63" w:type="dxa"/>
            <w:tcBorders/>
            <w:vAlign w:val="bottom"/>
          </w:tcPr>
          <w:p>
            <w:pPr>
              <w:pStyle w:val="TableContents"/>
              <w:bidi w:val="0"/>
              <w:spacing w:before="0" w:after="283"/>
              <w:jc w:val="left"/>
              <w:rPr/>
            </w:pPr>
            <w:r>
              <w:rPr/>
              <w:t> </w:t>
            </w:r>
          </w:p>
        </w:tc>
      </w:tr>
      <w:tr>
        <w:trPr>
          <w:trHeight w:val="120" w:hRule="atLeast"/>
        </w:trPr>
        <w:tc>
          <w:tcPr>
            <w:tcW w:w="3604" w:type="dxa"/>
            <w:tcBorders/>
            <w:vAlign w:val="center"/>
          </w:tcPr>
          <w:p>
            <w:pPr>
              <w:pStyle w:val="TableContents"/>
              <w:bidi w:val="0"/>
              <w:spacing w:before="0" w:after="283"/>
              <w:jc w:val="left"/>
              <w:rPr>
                <w:sz w:val="4"/>
                <w:szCs w:val="4"/>
              </w:rPr>
            </w:pPr>
            <w:r>
              <w:rPr>
                <w:sz w:val="4"/>
                <w:szCs w:val="4"/>
              </w:rPr>
            </w:r>
          </w:p>
        </w:tc>
        <w:tc>
          <w:tcPr>
            <w:tcW w:w="2074" w:type="dxa"/>
            <w:gridSpan w:val="4"/>
            <w:tcBorders/>
            <w:vAlign w:val="center"/>
          </w:tcPr>
          <w:p>
            <w:pPr>
              <w:pStyle w:val="TableContents"/>
              <w:bidi w:val="0"/>
              <w:spacing w:before="0" w:after="283"/>
              <w:jc w:val="left"/>
              <w:rPr>
                <w:sz w:val="4"/>
                <w:szCs w:val="4"/>
              </w:rPr>
            </w:pPr>
            <w:r>
              <w:rPr>
                <w:sz w:val="4"/>
                <w:szCs w:val="4"/>
              </w:rPr>
            </w:r>
          </w:p>
        </w:tc>
        <w:tc>
          <w:tcPr>
            <w:tcW w:w="2077" w:type="dxa"/>
            <w:gridSpan w:val="4"/>
            <w:tcBorders/>
            <w:vAlign w:val="center"/>
          </w:tcPr>
          <w:p>
            <w:pPr>
              <w:pStyle w:val="TableContents"/>
              <w:bidi w:val="0"/>
              <w:spacing w:before="0" w:after="283"/>
              <w:jc w:val="left"/>
              <w:rPr>
                <w:sz w:val="4"/>
                <w:szCs w:val="4"/>
              </w:rPr>
            </w:pPr>
            <w:r>
              <w:rPr>
                <w:sz w:val="4"/>
                <w:szCs w:val="4"/>
              </w:rPr>
            </w:r>
          </w:p>
        </w:tc>
      </w:tr>
      <w:tr>
        <w:trPr/>
        <w:tc>
          <w:tcPr>
            <w:tcW w:w="36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 remuneration</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Sir David Wright</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87,107</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70,000</w:t>
            </w:r>
          </w:p>
        </w:tc>
        <w:tc>
          <w:tcPr>
            <w:tcW w:w="63" w:type="dxa"/>
            <w:tcBorders/>
            <w:vAlign w:val="bottom"/>
          </w:tcPr>
          <w:p>
            <w:pPr>
              <w:pStyle w:val="TableContents"/>
              <w:bidi w:val="0"/>
              <w:spacing w:before="0" w:after="283"/>
              <w:jc w:val="left"/>
              <w:rPr/>
            </w:pPr>
            <w:r>
              <w:rPr/>
              <w:t> </w:t>
            </w:r>
          </w:p>
        </w:tc>
      </w:tr>
      <w:tr>
        <w:trPr/>
        <w:tc>
          <w:tcPr>
            <w:tcW w:w="3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Sharp</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376,428</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165,336</w:t>
            </w:r>
          </w:p>
        </w:tc>
        <w:tc>
          <w:tcPr>
            <w:tcW w:w="63" w:type="dxa"/>
            <w:tcBorders/>
            <w:shd w:fill="CCEEFF" w:val="clear"/>
            <w:vAlign w:val="bottom"/>
          </w:tcPr>
          <w:p>
            <w:pPr>
              <w:pStyle w:val="TableContents"/>
              <w:bidi w:val="0"/>
              <w:spacing w:before="0" w:after="283"/>
              <w:jc w:val="left"/>
              <w:rPr/>
            </w:pPr>
            <w:r>
              <w:rPr/>
              <w:t> </w:t>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Steve Perry</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93,329</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Derek Smith</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93,329</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DBLP Sea Cow Ltd. (a company incorporated in the Seychelles) (DBLP Sea Cow) is wholly legally owned by Dan Wagner, Chief Executive Officer of Rezolve.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Outstanding balances as at reporting date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31"/>
        <w:gridCol w:w="490"/>
        <w:gridCol w:w="136"/>
        <w:gridCol w:w="1824"/>
        <w:gridCol w:w="60"/>
        <w:gridCol w:w="490"/>
        <w:gridCol w:w="136"/>
        <w:gridCol w:w="1824"/>
        <w:gridCol w:w="64"/>
      </w:tblGrid>
      <w:tr>
        <w:trPr/>
        <w:tc>
          <w:tcPr>
            <w:tcW w:w="2731"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731"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 2022</w:t>
            </w:r>
            <w:r>
              <w:rPr/>
              <w:br/>
            </w:r>
            <w:r>
              <w:rPr>
                <w:b/>
              </w:rPr>
              <w:t>$</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 2021</w:t>
            </w:r>
            <w:r>
              <w:rPr/>
              <w:br/>
            </w:r>
            <w:r>
              <w:rPr>
                <w:b/>
              </w:rPr>
              <w:t>$</w:t>
            </w:r>
          </w:p>
        </w:tc>
        <w:tc>
          <w:tcPr>
            <w:tcW w:w="64" w:type="dxa"/>
            <w:tcBorders/>
            <w:vAlign w:val="bottom"/>
          </w:tcPr>
          <w:p>
            <w:pPr>
              <w:pStyle w:val="TableContents"/>
              <w:bidi w:val="0"/>
              <w:spacing w:before="0" w:after="283"/>
              <w:jc w:val="left"/>
              <w:rPr/>
            </w:pPr>
            <w:r>
              <w:rPr/>
              <w:t> </w:t>
            </w:r>
          </w:p>
        </w:tc>
      </w:tr>
      <w:tr>
        <w:trPr/>
        <w:tc>
          <w:tcPr>
            <w:tcW w:w="27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Unsecured Loans payable</w:t>
            </w:r>
          </w:p>
        </w:tc>
        <w:tc>
          <w:tcPr>
            <w:tcW w:w="49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8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82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731" w:type="dxa"/>
            <w:tcBorders/>
          </w:tcPr>
          <w:p>
            <w:pPr>
              <w:pStyle w:val="TableContents"/>
              <w:bidi w:val="0"/>
              <w:spacing w:before="0" w:after="0"/>
              <w:jc w:val="left"/>
              <w:rPr>
                <w:rFonts w:ascii="Times New Roman" w:hAnsi="Times New Roman"/>
                <w:sz w:val="20"/>
              </w:rPr>
            </w:pPr>
            <w:r>
              <w:rPr>
                <w:rFonts w:ascii="Times New Roman" w:hAnsi="Times New Roman"/>
                <w:sz w:val="20"/>
              </w:rPr>
              <w:t>DBLP Sea Cow</w:t>
            </w:r>
          </w:p>
        </w:tc>
        <w:tc>
          <w:tcPr>
            <w:tcW w:w="49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697,067</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697,067</w:t>
            </w:r>
          </w:p>
        </w:tc>
        <w:tc>
          <w:tcPr>
            <w:tcW w:w="64" w:type="dxa"/>
            <w:tcBorders/>
            <w:vAlign w:val="bottom"/>
          </w:tcPr>
          <w:p>
            <w:pPr>
              <w:pStyle w:val="TableContents"/>
              <w:bidi w:val="0"/>
              <w:spacing w:before="0" w:after="283"/>
              <w:jc w:val="left"/>
              <w:rPr/>
            </w:pPr>
            <w:r>
              <w:rPr/>
              <w:t> </w:t>
            </w:r>
          </w:p>
        </w:tc>
      </w:tr>
      <w:tr>
        <w:trPr>
          <w:trHeight w:val="120" w:hRule="atLeast"/>
        </w:trPr>
        <w:tc>
          <w:tcPr>
            <w:tcW w:w="2731" w:type="dxa"/>
            <w:tcBorders/>
            <w:vAlign w:val="center"/>
          </w:tcPr>
          <w:p>
            <w:pPr>
              <w:pStyle w:val="TableContents"/>
              <w:bidi w:val="0"/>
              <w:spacing w:before="0" w:after="283"/>
              <w:jc w:val="left"/>
              <w:rPr>
                <w:sz w:val="4"/>
                <w:szCs w:val="4"/>
              </w:rPr>
            </w:pPr>
            <w:r>
              <w:rPr>
                <w:sz w:val="4"/>
                <w:szCs w:val="4"/>
              </w:rPr>
            </w:r>
          </w:p>
        </w:tc>
        <w:tc>
          <w:tcPr>
            <w:tcW w:w="2510" w:type="dxa"/>
            <w:gridSpan w:val="4"/>
            <w:tcBorders/>
            <w:vAlign w:val="center"/>
          </w:tcPr>
          <w:p>
            <w:pPr>
              <w:pStyle w:val="TableContents"/>
              <w:bidi w:val="0"/>
              <w:spacing w:before="0" w:after="283"/>
              <w:jc w:val="left"/>
              <w:rPr>
                <w:sz w:val="4"/>
                <w:szCs w:val="4"/>
              </w:rPr>
            </w:pPr>
            <w:r>
              <w:rPr>
                <w:sz w:val="4"/>
                <w:szCs w:val="4"/>
              </w:rPr>
            </w:r>
          </w:p>
        </w:tc>
        <w:tc>
          <w:tcPr>
            <w:tcW w:w="2514" w:type="dxa"/>
            <w:gridSpan w:val="4"/>
            <w:tcBorders/>
            <w:vAlign w:val="center"/>
          </w:tcPr>
          <w:p>
            <w:pPr>
              <w:pStyle w:val="TableContents"/>
              <w:bidi w:val="0"/>
              <w:spacing w:before="0" w:after="283"/>
              <w:jc w:val="left"/>
              <w:rPr>
                <w:sz w:val="4"/>
                <w:szCs w:val="4"/>
              </w:rPr>
            </w:pPr>
            <w:r>
              <w:rPr>
                <w:sz w:val="4"/>
                <w:szCs w:val="4"/>
              </w:rPr>
            </w:r>
          </w:p>
        </w:tc>
      </w:tr>
      <w:tr>
        <w:trPr/>
        <w:tc>
          <w:tcPr>
            <w:tcW w:w="27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receivables</w:t>
            </w:r>
          </w:p>
        </w:tc>
        <w:tc>
          <w:tcPr>
            <w:tcW w:w="49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8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82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731" w:type="dxa"/>
            <w:tcBorders/>
          </w:tcPr>
          <w:p>
            <w:pPr>
              <w:pStyle w:val="TableContents"/>
              <w:bidi w:val="0"/>
              <w:spacing w:before="0" w:after="0"/>
              <w:jc w:val="left"/>
              <w:rPr>
                <w:rFonts w:ascii="Times New Roman" w:hAnsi="Times New Roman"/>
                <w:sz w:val="20"/>
              </w:rPr>
            </w:pPr>
            <w:r>
              <w:rPr>
                <w:rFonts w:ascii="Times New Roman" w:hAnsi="Times New Roman"/>
                <w:sz w:val="20"/>
              </w:rPr>
              <w:t>Dan Wagner</w:t>
            </w:r>
          </w:p>
        </w:tc>
        <w:tc>
          <w:tcPr>
            <w:tcW w:w="49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147,125</w:t>
            </w:r>
          </w:p>
        </w:tc>
        <w:tc>
          <w:tcPr>
            <w:tcW w:w="64" w:type="dxa"/>
            <w:tcBorders/>
            <w:vAlign w:val="bottom"/>
          </w:tcPr>
          <w:p>
            <w:pPr>
              <w:pStyle w:val="TableContents"/>
              <w:bidi w:val="0"/>
              <w:spacing w:before="0" w:after="283"/>
              <w:jc w:val="left"/>
              <w:rPr/>
            </w:pPr>
            <w:r>
              <w:rPr/>
              <w:t> </w:t>
            </w:r>
          </w:p>
        </w:tc>
      </w:tr>
      <w:tr>
        <w:trPr>
          <w:trHeight w:val="120" w:hRule="atLeast"/>
        </w:trPr>
        <w:tc>
          <w:tcPr>
            <w:tcW w:w="2731" w:type="dxa"/>
            <w:tcBorders/>
            <w:vAlign w:val="center"/>
          </w:tcPr>
          <w:p>
            <w:pPr>
              <w:pStyle w:val="TableContents"/>
              <w:bidi w:val="0"/>
              <w:spacing w:before="0" w:after="283"/>
              <w:jc w:val="left"/>
              <w:rPr>
                <w:sz w:val="4"/>
                <w:szCs w:val="4"/>
              </w:rPr>
            </w:pPr>
            <w:r>
              <w:rPr>
                <w:sz w:val="4"/>
                <w:szCs w:val="4"/>
              </w:rPr>
            </w:r>
          </w:p>
        </w:tc>
        <w:tc>
          <w:tcPr>
            <w:tcW w:w="2510" w:type="dxa"/>
            <w:gridSpan w:val="4"/>
            <w:tcBorders/>
            <w:vAlign w:val="center"/>
          </w:tcPr>
          <w:p>
            <w:pPr>
              <w:pStyle w:val="TableContents"/>
              <w:bidi w:val="0"/>
              <w:spacing w:before="0" w:after="283"/>
              <w:jc w:val="left"/>
              <w:rPr>
                <w:sz w:val="4"/>
                <w:szCs w:val="4"/>
              </w:rPr>
            </w:pPr>
            <w:r>
              <w:rPr>
                <w:sz w:val="4"/>
                <w:szCs w:val="4"/>
              </w:rPr>
            </w:r>
          </w:p>
        </w:tc>
        <w:tc>
          <w:tcPr>
            <w:tcW w:w="2514" w:type="dxa"/>
            <w:gridSpan w:val="4"/>
            <w:tcBorders/>
            <w:vAlign w:val="center"/>
          </w:tcPr>
          <w:p>
            <w:pPr>
              <w:pStyle w:val="TableContents"/>
              <w:bidi w:val="0"/>
              <w:spacing w:before="0" w:after="283"/>
              <w:jc w:val="left"/>
              <w:rPr>
                <w:sz w:val="4"/>
                <w:szCs w:val="4"/>
              </w:rPr>
            </w:pPr>
            <w:r>
              <w:rPr>
                <w:sz w:val="4"/>
                <w:szCs w:val="4"/>
              </w:rPr>
            </w:r>
          </w:p>
        </w:tc>
      </w:tr>
      <w:tr>
        <w:trPr/>
        <w:tc>
          <w:tcPr>
            <w:tcW w:w="27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Trade and other payables</w:t>
            </w:r>
          </w:p>
        </w:tc>
        <w:tc>
          <w:tcPr>
            <w:tcW w:w="49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8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82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731" w:type="dxa"/>
            <w:tcBorders/>
          </w:tcPr>
          <w:p>
            <w:pPr>
              <w:pStyle w:val="TableContents"/>
              <w:bidi w:val="0"/>
              <w:spacing w:before="0" w:after="0"/>
              <w:jc w:val="left"/>
              <w:rPr>
                <w:rFonts w:ascii="Times New Roman" w:hAnsi="Times New Roman"/>
                <w:sz w:val="20"/>
              </w:rPr>
            </w:pPr>
            <w:r>
              <w:rPr>
                <w:rFonts w:ascii="Times New Roman" w:hAnsi="Times New Roman"/>
                <w:sz w:val="20"/>
              </w:rPr>
              <w:t>DBLP Sea Cow</w:t>
            </w:r>
          </w:p>
        </w:tc>
        <w:tc>
          <w:tcPr>
            <w:tcW w:w="49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225,000</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485,000</w:t>
            </w:r>
          </w:p>
        </w:tc>
        <w:tc>
          <w:tcPr>
            <w:tcW w:w="64" w:type="dxa"/>
            <w:tcBorders/>
            <w:vAlign w:val="bottom"/>
          </w:tcPr>
          <w:p>
            <w:pPr>
              <w:pStyle w:val="TableContents"/>
              <w:bidi w:val="0"/>
              <w:spacing w:before="0" w:after="283"/>
              <w:jc w:val="left"/>
              <w:rPr/>
            </w:pPr>
            <w:r>
              <w:rPr/>
              <w:t> </w:t>
            </w:r>
          </w:p>
        </w:tc>
      </w:tr>
      <w:tr>
        <w:trPr/>
        <w:tc>
          <w:tcPr>
            <w:tcW w:w="2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 Wagner</w:t>
            </w:r>
          </w:p>
        </w:tc>
        <w:tc>
          <w:tcPr>
            <w:tcW w:w="49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24" w:type="dxa"/>
            <w:tcBorders/>
            <w:shd w:fill="CCEEFF" w:val="clear"/>
            <w:vAlign w:val="bottom"/>
          </w:tcPr>
          <w:p>
            <w:pPr>
              <w:pStyle w:val="TableContents"/>
              <w:bidi w:val="0"/>
              <w:spacing w:before="0" w:after="283"/>
              <w:jc w:val="right"/>
              <w:rPr/>
            </w:pPr>
            <w:r>
              <w:rPr/>
              <w:t>172,356</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82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731" w:type="dxa"/>
            <w:tcBorders/>
          </w:tcPr>
          <w:p>
            <w:pPr>
              <w:pStyle w:val="TableContents"/>
              <w:bidi w:val="0"/>
              <w:spacing w:before="0" w:after="0"/>
              <w:jc w:val="left"/>
              <w:rPr>
                <w:rFonts w:ascii="Times New Roman" w:hAnsi="Times New Roman"/>
                <w:sz w:val="20"/>
              </w:rPr>
            </w:pPr>
            <w:r>
              <w:rPr>
                <w:rFonts w:ascii="Times New Roman" w:hAnsi="Times New Roman"/>
                <w:sz w:val="20"/>
              </w:rPr>
              <w:t>Richard Burchill</w:t>
            </w:r>
          </w:p>
        </w:tc>
        <w:tc>
          <w:tcPr>
            <w:tcW w:w="49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535</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Arthur Yao</w:t>
            </w:r>
          </w:p>
        </w:tc>
        <w:tc>
          <w:tcPr>
            <w:tcW w:w="49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24" w:type="dxa"/>
            <w:tcBorders/>
            <w:shd w:fill="CCEEFF" w:val="clear"/>
            <w:vAlign w:val="bottom"/>
          </w:tcPr>
          <w:p>
            <w:pPr>
              <w:pStyle w:val="TableContents"/>
              <w:bidi w:val="0"/>
              <w:spacing w:before="0" w:after="283"/>
              <w:jc w:val="right"/>
              <w:rPr/>
            </w:pPr>
            <w:r>
              <w:rPr/>
              <w:t>51,414</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24" w:type="dxa"/>
            <w:tcBorders/>
            <w:shd w:fill="CCEEFF" w:val="clear"/>
            <w:vAlign w:val="bottom"/>
          </w:tcPr>
          <w:p>
            <w:pPr>
              <w:pStyle w:val="TableContents"/>
              <w:bidi w:val="0"/>
              <w:spacing w:before="0" w:after="283"/>
              <w:jc w:val="right"/>
              <w:rPr/>
            </w:pPr>
            <w:r>
              <w:rPr/>
              <w:t>34,813</w:t>
            </w:r>
          </w:p>
        </w:tc>
        <w:tc>
          <w:tcPr>
            <w:tcW w:w="64" w:type="dxa"/>
            <w:tcBorders/>
            <w:shd w:fill="CCEEFF" w:val="clear"/>
            <w:vAlign w:val="bottom"/>
          </w:tcPr>
          <w:p>
            <w:pPr>
              <w:pStyle w:val="TableContents"/>
              <w:bidi w:val="0"/>
              <w:spacing w:before="0" w:after="283"/>
              <w:jc w:val="left"/>
              <w:rPr/>
            </w:pPr>
            <w:r>
              <w:rPr/>
              <w:t> </w:t>
            </w:r>
          </w:p>
        </w:tc>
      </w:tr>
      <w:tr>
        <w:trPr/>
        <w:tc>
          <w:tcPr>
            <w:tcW w:w="2731" w:type="dxa"/>
            <w:tcBorders/>
          </w:tcPr>
          <w:p>
            <w:pPr>
              <w:pStyle w:val="TableContents"/>
              <w:bidi w:val="0"/>
              <w:spacing w:before="0" w:after="0"/>
              <w:jc w:val="left"/>
              <w:rPr>
                <w:rFonts w:ascii="Times New Roman" w:hAnsi="Times New Roman"/>
                <w:sz w:val="20"/>
              </w:rPr>
            </w:pPr>
            <w:r>
              <w:rPr>
                <w:rFonts w:ascii="Times New Roman" w:hAnsi="Times New Roman"/>
                <w:sz w:val="20"/>
              </w:rPr>
              <w:t>Peter Vesco</w:t>
            </w:r>
          </w:p>
        </w:tc>
        <w:tc>
          <w:tcPr>
            <w:tcW w:w="49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42,906</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Sharp</w:t>
            </w:r>
          </w:p>
        </w:tc>
        <w:tc>
          <w:tcPr>
            <w:tcW w:w="49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24" w:type="dxa"/>
            <w:tcBorders/>
            <w:shd w:fill="CCEEFF" w:val="clear"/>
            <w:vAlign w:val="bottom"/>
          </w:tcPr>
          <w:p>
            <w:pPr>
              <w:pStyle w:val="TableContents"/>
              <w:bidi w:val="0"/>
              <w:spacing w:before="0" w:after="283"/>
              <w:jc w:val="right"/>
              <w:rPr/>
            </w:pPr>
            <w:r>
              <w:rPr/>
              <w:t>129,460</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2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rHeight w:val="120" w:hRule="atLeast"/>
        </w:trPr>
        <w:tc>
          <w:tcPr>
            <w:tcW w:w="2731" w:type="dxa"/>
            <w:tcBorders/>
            <w:vAlign w:val="center"/>
          </w:tcPr>
          <w:p>
            <w:pPr>
              <w:pStyle w:val="TableContents"/>
              <w:bidi w:val="0"/>
              <w:spacing w:before="0" w:after="283"/>
              <w:jc w:val="left"/>
              <w:rPr>
                <w:sz w:val="4"/>
                <w:szCs w:val="4"/>
              </w:rPr>
            </w:pPr>
            <w:r>
              <w:rPr>
                <w:sz w:val="4"/>
                <w:szCs w:val="4"/>
              </w:rPr>
            </w:r>
          </w:p>
        </w:tc>
        <w:tc>
          <w:tcPr>
            <w:tcW w:w="2510" w:type="dxa"/>
            <w:gridSpan w:val="4"/>
            <w:tcBorders/>
            <w:vAlign w:val="center"/>
          </w:tcPr>
          <w:p>
            <w:pPr>
              <w:pStyle w:val="TableContents"/>
              <w:bidi w:val="0"/>
              <w:spacing w:before="0" w:after="283"/>
              <w:jc w:val="left"/>
              <w:rPr>
                <w:sz w:val="4"/>
                <w:szCs w:val="4"/>
              </w:rPr>
            </w:pPr>
            <w:r>
              <w:rPr>
                <w:sz w:val="4"/>
                <w:szCs w:val="4"/>
              </w:rPr>
            </w:r>
          </w:p>
        </w:tc>
        <w:tc>
          <w:tcPr>
            <w:tcW w:w="2514" w:type="dxa"/>
            <w:gridSpan w:val="4"/>
            <w:tcBorders/>
            <w:vAlign w:val="center"/>
          </w:tcPr>
          <w:p>
            <w:pPr>
              <w:pStyle w:val="TableContents"/>
              <w:bidi w:val="0"/>
              <w:spacing w:before="0" w:after="283"/>
              <w:jc w:val="left"/>
              <w:rPr>
                <w:sz w:val="4"/>
                <w:szCs w:val="4"/>
              </w:rPr>
            </w:pPr>
            <w:r>
              <w:rPr>
                <w:sz w:val="4"/>
                <w:szCs w:val="4"/>
              </w:rPr>
            </w:r>
          </w:p>
        </w:tc>
      </w:tr>
      <w:tr>
        <w:trPr/>
        <w:tc>
          <w:tcPr>
            <w:tcW w:w="2731" w:type="dxa"/>
            <w:tcBorders/>
          </w:tcPr>
          <w:p>
            <w:pPr>
              <w:pStyle w:val="TableContents"/>
              <w:bidi w:val="0"/>
              <w:spacing w:before="0" w:after="0"/>
              <w:jc w:val="left"/>
              <w:rPr>
                <w:rFonts w:ascii="Times New Roman" w:hAnsi="Times New Roman"/>
                <w:b/>
                <w:sz w:val="20"/>
              </w:rPr>
            </w:pPr>
            <w:r>
              <w:rPr>
                <w:rFonts w:ascii="Times New Roman" w:hAnsi="Times New Roman"/>
                <w:b/>
                <w:sz w:val="20"/>
              </w:rPr>
              <w:t>Share Subscription Receivables</w:t>
            </w:r>
          </w:p>
        </w:tc>
        <w:tc>
          <w:tcPr>
            <w:tcW w:w="49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8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82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 Wagner</w:t>
            </w:r>
          </w:p>
        </w:tc>
        <w:tc>
          <w:tcPr>
            <w:tcW w:w="49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24" w:type="dxa"/>
            <w:tcBorders/>
            <w:shd w:fill="CCEEFF" w:val="clear"/>
            <w:vAlign w:val="bottom"/>
          </w:tcPr>
          <w:p>
            <w:pPr>
              <w:pStyle w:val="TableContents"/>
              <w:bidi w:val="0"/>
              <w:spacing w:before="0" w:after="283"/>
              <w:jc w:val="right"/>
              <w:rPr/>
            </w:pPr>
            <w:r>
              <w:rPr/>
              <w:t>111,845</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24" w:type="dxa"/>
            <w:tcBorders/>
            <w:shd w:fill="CCEEFF" w:val="clear"/>
            <w:vAlign w:val="bottom"/>
          </w:tcPr>
          <w:p>
            <w:pPr>
              <w:pStyle w:val="TableContents"/>
              <w:bidi w:val="0"/>
              <w:spacing w:before="0" w:after="283"/>
              <w:jc w:val="right"/>
              <w:rPr/>
            </w:pPr>
            <w:r>
              <w:rPr/>
              <w:t>111,845</w:t>
            </w:r>
          </w:p>
        </w:tc>
        <w:tc>
          <w:tcPr>
            <w:tcW w:w="64" w:type="dxa"/>
            <w:tcBorders/>
            <w:shd w:fill="CCEEFF" w:val="clear"/>
            <w:vAlign w:val="bottom"/>
          </w:tcPr>
          <w:p>
            <w:pPr>
              <w:pStyle w:val="TableContents"/>
              <w:bidi w:val="0"/>
              <w:spacing w:before="0" w:after="283"/>
              <w:jc w:val="left"/>
              <w:rPr/>
            </w:pPr>
            <w:r>
              <w:rPr/>
              <w:t> </w:t>
            </w:r>
          </w:p>
        </w:tc>
      </w:tr>
      <w:tr>
        <w:trPr/>
        <w:tc>
          <w:tcPr>
            <w:tcW w:w="2731" w:type="dxa"/>
            <w:tcBorders/>
          </w:tcPr>
          <w:p>
            <w:pPr>
              <w:pStyle w:val="TableContents"/>
              <w:bidi w:val="0"/>
              <w:spacing w:before="0" w:after="0"/>
              <w:jc w:val="left"/>
              <w:rPr>
                <w:rFonts w:ascii="Times New Roman" w:hAnsi="Times New Roman"/>
                <w:sz w:val="20"/>
              </w:rPr>
            </w:pPr>
            <w:r>
              <w:rPr>
                <w:rFonts w:ascii="Times New Roman" w:hAnsi="Times New Roman"/>
                <w:sz w:val="20"/>
              </w:rPr>
              <w:t>DBLP Sea Cow</w:t>
            </w:r>
          </w:p>
        </w:tc>
        <w:tc>
          <w:tcPr>
            <w:tcW w:w="49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7,999</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4,774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leases as lessee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leased its head office space under a short-term lease which expired in the financial year 2021. The only other lease arrangement in place during the years ended December 31, 2022 and 2021 was for the Companys Taiwanese subsidiary, Jaymax, which had a two-year lease in place since October 1, 2021. This lease was terminated in December 2022 to which an immaterial termination fee was incurred.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from Contracts with Customers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per the disclosure requirement of ASC 606 Revenue from Contracts with Customers, an entity will have to disaggregate revenue from contracts with customers into categories that depict how the nature, amount, timing, and uncertainty of revenue and cash flows are affected by economic factors.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47"/>
        <w:gridCol w:w="394"/>
        <w:gridCol w:w="223"/>
        <w:gridCol w:w="1824"/>
        <w:gridCol w:w="60"/>
        <w:gridCol w:w="394"/>
        <w:gridCol w:w="244"/>
        <w:gridCol w:w="1803"/>
        <w:gridCol w:w="66"/>
      </w:tblGrid>
      <w:tr>
        <w:trPr/>
        <w:tc>
          <w:tcPr>
            <w:tcW w:w="2747"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747"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0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0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66" w:type="dxa"/>
            <w:tcBorders/>
            <w:vAlign w:val="bottom"/>
          </w:tcPr>
          <w:p>
            <w:pPr>
              <w:pStyle w:val="TableContents"/>
              <w:bidi w:val="0"/>
              <w:spacing w:before="0" w:after="283"/>
              <w:jc w:val="left"/>
              <w:rPr/>
            </w:pPr>
            <w:r>
              <w:rPr/>
              <w:t> </w:t>
            </w:r>
          </w:p>
        </w:tc>
      </w:tr>
      <w:tr>
        <w:trPr/>
        <w:tc>
          <w:tcPr>
            <w:tcW w:w="2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Radio Advertisements</w:t>
            </w:r>
          </w:p>
        </w:tc>
        <w:tc>
          <w:tcPr>
            <w:tcW w:w="39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b/>
              </w:rPr>
            </w:pPr>
            <w:r>
              <w:rPr>
                <w:b/>
              </w:rPr>
              <w:t>$</w:t>
            </w:r>
          </w:p>
        </w:tc>
        <w:tc>
          <w:tcPr>
            <w:tcW w:w="1824" w:type="dxa"/>
            <w:tcBorders/>
            <w:shd w:fill="CCEEFF" w:val="clear"/>
            <w:vAlign w:val="bottom"/>
          </w:tcPr>
          <w:p>
            <w:pPr>
              <w:pStyle w:val="TableContents"/>
              <w:bidi w:val="0"/>
              <w:spacing w:before="0" w:after="283"/>
              <w:jc w:val="right"/>
              <w:rPr/>
            </w:pPr>
            <w:r>
              <w:rPr/>
              <w:t>12,210,593</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b/>
              </w:rPr>
            </w:pPr>
            <w:r>
              <w:rPr>
                <w:b/>
              </w:rPr>
              <w:t>$</w:t>
            </w:r>
          </w:p>
        </w:tc>
        <w:tc>
          <w:tcPr>
            <w:tcW w:w="1803" w:type="dxa"/>
            <w:tcBorders/>
            <w:shd w:fill="CCEEFF" w:val="clear"/>
            <w:vAlign w:val="bottom"/>
          </w:tcPr>
          <w:p>
            <w:pPr>
              <w:pStyle w:val="TableContents"/>
              <w:bidi w:val="0"/>
              <w:spacing w:before="0" w:after="283"/>
              <w:jc w:val="right"/>
              <w:rPr/>
            </w:pPr>
            <w:r>
              <w:rPr/>
              <w:t>3,842,207</w:t>
            </w:r>
          </w:p>
        </w:tc>
        <w:tc>
          <w:tcPr>
            <w:tcW w:w="66" w:type="dxa"/>
            <w:tcBorders/>
            <w:shd w:fill="CCEEFF" w:val="clear"/>
            <w:vAlign w:val="bottom"/>
          </w:tcPr>
          <w:p>
            <w:pPr>
              <w:pStyle w:val="TableContents"/>
              <w:bidi w:val="0"/>
              <w:spacing w:before="0" w:after="283"/>
              <w:jc w:val="left"/>
              <w:rPr/>
            </w:pPr>
            <w:r>
              <w:rPr/>
              <w:t> </w:t>
            </w:r>
          </w:p>
        </w:tc>
      </w:tr>
      <w:tr>
        <w:trPr/>
        <w:tc>
          <w:tcPr>
            <w:tcW w:w="2747"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9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115,160</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803" w:type="dxa"/>
            <w:tcBorders/>
            <w:vAlign w:val="bottom"/>
          </w:tcPr>
          <w:p>
            <w:pPr>
              <w:pStyle w:val="TableContents"/>
              <w:bidi w:val="0"/>
              <w:spacing w:before="0" w:after="283"/>
              <w:jc w:val="right"/>
              <w:rPr/>
            </w:pPr>
            <w:r>
              <w:rPr/>
              <w:t>62,367</w:t>
            </w:r>
          </w:p>
        </w:tc>
        <w:tc>
          <w:tcPr>
            <w:tcW w:w="66" w:type="dxa"/>
            <w:tcBorders/>
            <w:vAlign w:val="bottom"/>
          </w:tcPr>
          <w:p>
            <w:pPr>
              <w:pStyle w:val="TableContents"/>
              <w:bidi w:val="0"/>
              <w:spacing w:before="0" w:after="283"/>
              <w:jc w:val="left"/>
              <w:rPr/>
            </w:pPr>
            <w:r>
              <w:rPr/>
              <w:t> </w:t>
            </w:r>
          </w:p>
        </w:tc>
      </w:tr>
      <w:tr>
        <w:trPr/>
        <w:tc>
          <w:tcPr>
            <w:tcW w:w="2747"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80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74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9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824" w:type="dxa"/>
            <w:tcBorders/>
            <w:shd w:fill="CCEEFF" w:val="clear"/>
            <w:vAlign w:val="bottom"/>
          </w:tcPr>
          <w:p>
            <w:pPr>
              <w:pStyle w:val="TableContents"/>
              <w:bidi w:val="0"/>
              <w:spacing w:before="0" w:after="283"/>
              <w:jc w:val="right"/>
              <w:rPr>
                <w:b/>
              </w:rPr>
            </w:pPr>
            <w:r>
              <w:rPr>
                <w:b/>
              </w:rPr>
              <w:t>12,325,753</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803" w:type="dxa"/>
            <w:tcBorders/>
            <w:shd w:fill="CCEEFF" w:val="clear"/>
            <w:vAlign w:val="bottom"/>
          </w:tcPr>
          <w:p>
            <w:pPr>
              <w:pStyle w:val="TableContents"/>
              <w:bidi w:val="0"/>
              <w:spacing w:before="0" w:after="283"/>
              <w:jc w:val="right"/>
              <w:rPr>
                <w:b/>
              </w:rPr>
            </w:pPr>
            <w:r>
              <w:rPr>
                <w:b/>
              </w:rPr>
              <w:t>3,904,574</w:t>
            </w:r>
          </w:p>
        </w:tc>
        <w:tc>
          <w:tcPr>
            <w:tcW w:w="66" w:type="dxa"/>
            <w:tcBorders/>
            <w:shd w:fill="CCEEFF" w:val="clear"/>
            <w:vAlign w:val="bottom"/>
          </w:tcPr>
          <w:p>
            <w:pPr>
              <w:pStyle w:val="TableContents"/>
              <w:bidi w:val="0"/>
              <w:spacing w:before="0" w:after="283"/>
              <w:jc w:val="left"/>
              <w:rPr/>
            </w:pPr>
            <w:r>
              <w:rPr/>
              <w:t> </w:t>
            </w:r>
          </w:p>
        </w:tc>
      </w:tr>
      <w:tr>
        <w:trPr/>
        <w:tc>
          <w:tcPr>
            <w:tcW w:w="2747"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8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803"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revenues reflect services transferred to customers at a point in time.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15"/>
        <w:gridCol w:w="411"/>
        <w:gridCol w:w="223"/>
        <w:gridCol w:w="1825"/>
        <w:gridCol w:w="60"/>
        <w:gridCol w:w="411"/>
        <w:gridCol w:w="244"/>
        <w:gridCol w:w="1804"/>
        <w:gridCol w:w="62"/>
      </w:tblGrid>
      <w:tr>
        <w:trPr/>
        <w:tc>
          <w:tcPr>
            <w:tcW w:w="2715"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2715" w:type="dxa"/>
            <w:tcBorders/>
            <w:vAlign w:val="bottom"/>
          </w:tcPr>
          <w:p>
            <w:pPr>
              <w:pStyle w:val="TableContents"/>
              <w:bidi w:val="0"/>
              <w:spacing w:before="0" w:after="283"/>
              <w:jc w:val="left"/>
              <w:rPr>
                <w:b/>
              </w:rPr>
            </w:pPr>
            <w:r>
              <w:rPr>
                <w:b/>
              </w:rPr>
              <w:t>Particulars</w:t>
            </w:r>
          </w:p>
        </w:tc>
        <w:tc>
          <w:tcPr>
            <w:tcW w:w="411" w:type="dxa"/>
            <w:tcBorders/>
            <w:vAlign w:val="bottom"/>
          </w:tcPr>
          <w:p>
            <w:pPr>
              <w:pStyle w:val="TableContents"/>
              <w:bidi w:val="0"/>
              <w:spacing w:before="0" w:after="283"/>
              <w:jc w:val="left"/>
              <w:rPr/>
            </w:pPr>
            <w:r>
              <w:rPr/>
              <w:t>  </w:t>
            </w:r>
          </w:p>
        </w:tc>
        <w:tc>
          <w:tcPr>
            <w:tcW w:w="2048" w:type="dxa"/>
            <w:gridSpan w:val="2"/>
            <w:tcBorders/>
            <w:vAlign w:val="bottom"/>
          </w:tcPr>
          <w:p>
            <w:pPr>
              <w:pStyle w:val="TableContents"/>
              <w:bidi w:val="0"/>
              <w:spacing w:before="0" w:after="283"/>
              <w:jc w:val="center"/>
              <w:rPr>
                <w:b/>
              </w:rPr>
            </w:pPr>
            <w:r>
              <w:rPr>
                <w:b/>
              </w:rPr>
              <w:t>December 31, 2022</w:t>
            </w:r>
          </w:p>
        </w:tc>
        <w:tc>
          <w:tcPr>
            <w:tcW w:w="6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2048" w:type="dxa"/>
            <w:gridSpan w:val="2"/>
            <w:tcBorders/>
            <w:vAlign w:val="bottom"/>
          </w:tcPr>
          <w:p>
            <w:pPr>
              <w:pStyle w:val="TableContents"/>
              <w:bidi w:val="0"/>
              <w:spacing w:before="0" w:after="283"/>
              <w:jc w:val="center"/>
              <w:rPr>
                <w:b/>
              </w:rPr>
            </w:pPr>
            <w:r>
              <w:rPr>
                <w:b/>
              </w:rPr>
              <w:t>December 31, 2021</w:t>
            </w:r>
          </w:p>
        </w:tc>
        <w:tc>
          <w:tcPr>
            <w:tcW w:w="62" w:type="dxa"/>
            <w:tcBorders/>
            <w:vAlign w:val="bottom"/>
          </w:tcPr>
          <w:p>
            <w:pPr>
              <w:pStyle w:val="TableContents"/>
              <w:bidi w:val="0"/>
              <w:spacing w:before="0" w:after="283"/>
              <w:jc w:val="left"/>
              <w:rPr/>
            </w:pPr>
            <w:r>
              <w:rPr/>
              <w:t> </w:t>
            </w:r>
          </w:p>
        </w:tc>
      </w:tr>
      <w:tr>
        <w:trPr/>
        <w:tc>
          <w:tcPr>
            <w:tcW w:w="2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Services transferred to customers at a point in time</w:t>
            </w:r>
          </w:p>
        </w:tc>
        <w:tc>
          <w:tcPr>
            <w:tcW w:w="41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b/>
              </w:rPr>
            </w:pPr>
            <w:r>
              <w:rPr>
                <w:b/>
              </w:rPr>
              <w:t>$</w:t>
            </w:r>
          </w:p>
        </w:tc>
        <w:tc>
          <w:tcPr>
            <w:tcW w:w="1825" w:type="dxa"/>
            <w:tcBorders/>
            <w:shd w:fill="CCEEFF" w:val="clear"/>
            <w:vAlign w:val="bottom"/>
          </w:tcPr>
          <w:p>
            <w:pPr>
              <w:pStyle w:val="TableContents"/>
              <w:bidi w:val="0"/>
              <w:spacing w:before="0" w:after="283"/>
              <w:jc w:val="right"/>
              <w:rPr/>
            </w:pPr>
            <w:r>
              <w:rPr/>
              <w:t>12,325,753</w:t>
            </w:r>
          </w:p>
        </w:tc>
        <w:tc>
          <w:tcPr>
            <w:tcW w:w="60"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b/>
              </w:rPr>
            </w:pPr>
            <w:r>
              <w:rPr>
                <w:b/>
              </w:rPr>
              <w:t>$</w:t>
            </w:r>
          </w:p>
        </w:tc>
        <w:tc>
          <w:tcPr>
            <w:tcW w:w="1804" w:type="dxa"/>
            <w:tcBorders/>
            <w:shd w:fill="CCEEFF" w:val="clear"/>
            <w:vAlign w:val="bottom"/>
          </w:tcPr>
          <w:p>
            <w:pPr>
              <w:pStyle w:val="TableContents"/>
              <w:bidi w:val="0"/>
              <w:spacing w:before="0" w:after="283"/>
              <w:jc w:val="right"/>
              <w:rPr/>
            </w:pPr>
            <w:r>
              <w:rPr/>
              <w:t>3,904,574</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Significant customers are those which represent more than 10% of the Companys total revenue or gross accounts receivable balance at each balance sheet date. The Company does not have any customers which account for more than 10% of total revenue. However, as of December 31, 2022 and 2021, the Company has a marketing agreement with the Radio Group in Germany through which it sells radio advertisements to its customers and which accounted for 10% or more of accounts receivable, and as well, accounted for 99.06% and 98.40% of revenue in the years ending December 31, 2022 and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files its primary tax return in the United Kingdom (the UK). Its subsidiaries file income tax returns in the US, Spain, Germany, India and Taiwan. The income taxes of the Company are presented on a separate return basis for each tax-paying entity. </w:t>
      </w:r>
    </w:p>
    <w:p>
      <w:pPr>
        <w:pStyle w:val="TextBody"/>
        <w:bidi w:val="0"/>
        <w:spacing w:before="120" w:after="0"/>
        <w:jc w:val="left"/>
        <w:rPr>
          <w:rFonts w:ascii="Times New Roman" w:hAnsi="Times New Roman"/>
          <w:sz w:val="20"/>
        </w:rPr>
      </w:pPr>
      <w:r>
        <w:rPr>
          <w:rFonts w:ascii="Times New Roman" w:hAnsi="Times New Roman"/>
          <w:sz w:val="20"/>
        </w:rPr>
        <w:t xml:space="preserve">The components of our loss (income) before income taxes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53"/>
        <w:gridCol w:w="409"/>
        <w:gridCol w:w="204"/>
        <w:gridCol w:w="1831"/>
        <w:gridCol w:w="155"/>
        <w:gridCol w:w="409"/>
        <w:gridCol w:w="220"/>
        <w:gridCol w:w="1815"/>
        <w:gridCol w:w="159"/>
      </w:tblGrid>
      <w:tr>
        <w:trPr/>
        <w:tc>
          <w:tcPr>
            <w:tcW w:w="2553"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53"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0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0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159" w:type="dxa"/>
            <w:tcBorders/>
            <w:vAlign w:val="bottom"/>
          </w:tcPr>
          <w:p>
            <w:pPr>
              <w:pStyle w:val="TableContents"/>
              <w:bidi w:val="0"/>
              <w:spacing w:before="0" w:after="283"/>
              <w:jc w:val="left"/>
              <w:rPr/>
            </w:pPr>
            <w:r>
              <w:rPr/>
              <w:t> </w:t>
            </w:r>
          </w:p>
        </w:tc>
      </w:tr>
      <w:tr>
        <w:trPr/>
        <w:tc>
          <w:tcPr>
            <w:tcW w:w="2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UK</w:t>
            </w:r>
          </w:p>
        </w:tc>
        <w:tc>
          <w:tcPr>
            <w:tcW w:w="4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831" w:type="dxa"/>
            <w:tcBorders/>
            <w:shd w:fill="CCEEFF" w:val="clear"/>
            <w:vAlign w:val="bottom"/>
          </w:tcPr>
          <w:p>
            <w:pPr>
              <w:pStyle w:val="TableContents"/>
              <w:bidi w:val="0"/>
              <w:spacing w:before="0" w:after="283"/>
              <w:jc w:val="right"/>
              <w:rPr/>
            </w:pPr>
            <w:r>
              <w:rPr/>
              <w:t>93,218,490</w:t>
            </w:r>
          </w:p>
        </w:tc>
        <w:tc>
          <w:tcPr>
            <w:tcW w:w="15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815" w:type="dxa"/>
            <w:tcBorders/>
            <w:shd w:fill="CCEEFF" w:val="clear"/>
            <w:vAlign w:val="bottom"/>
          </w:tcPr>
          <w:p>
            <w:pPr>
              <w:pStyle w:val="TableContents"/>
              <w:bidi w:val="0"/>
              <w:spacing w:before="0" w:after="283"/>
              <w:jc w:val="right"/>
              <w:rPr/>
            </w:pPr>
            <w:r>
              <w:rPr/>
              <w:t>36,661,866</w:t>
            </w:r>
          </w:p>
        </w:tc>
        <w:tc>
          <w:tcPr>
            <w:tcW w:w="159" w:type="dxa"/>
            <w:tcBorders/>
            <w:shd w:fill="CCEEFF" w:val="clear"/>
            <w:vAlign w:val="bottom"/>
          </w:tcPr>
          <w:p>
            <w:pPr>
              <w:pStyle w:val="TableContents"/>
              <w:bidi w:val="0"/>
              <w:spacing w:before="0" w:after="283"/>
              <w:jc w:val="left"/>
              <w:rPr/>
            </w:pPr>
            <w:r>
              <w:rPr/>
              <w:t> </w:t>
            </w:r>
          </w:p>
        </w:tc>
      </w:tr>
      <w:tr>
        <w:trPr/>
        <w:tc>
          <w:tcPr>
            <w:tcW w:w="2553" w:type="dxa"/>
            <w:tcBorders/>
          </w:tcPr>
          <w:p>
            <w:pPr>
              <w:pStyle w:val="TableContents"/>
              <w:bidi w:val="0"/>
              <w:spacing w:before="0" w:after="0"/>
              <w:jc w:val="left"/>
              <w:rPr>
                <w:rFonts w:ascii="Times New Roman" w:hAnsi="Times New Roman"/>
                <w:sz w:val="20"/>
              </w:rPr>
            </w:pPr>
            <w:r>
              <w:rPr>
                <w:rFonts w:ascii="Times New Roman" w:hAnsi="Times New Roman"/>
                <w:sz w:val="20"/>
              </w:rPr>
              <w:t>US</w:t>
            </w:r>
          </w:p>
        </w:tc>
        <w:tc>
          <w:tcPr>
            <w:tcW w:w="4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right"/>
              <w:rPr/>
            </w:pPr>
            <w:r>
              <w:rPr/>
              <w:t>634,526</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412,651</w:t>
            </w:r>
          </w:p>
        </w:tc>
        <w:tc>
          <w:tcPr>
            <w:tcW w:w="159" w:type="dxa"/>
            <w:tcBorders/>
            <w:vAlign w:val="bottom"/>
          </w:tcPr>
          <w:p>
            <w:pPr>
              <w:pStyle w:val="TableContents"/>
              <w:bidi w:val="0"/>
              <w:spacing w:before="0" w:after="283"/>
              <w:jc w:val="left"/>
              <w:rPr/>
            </w:pPr>
            <w:r>
              <w:rPr/>
              <w:t> </w:t>
            </w:r>
          </w:p>
        </w:tc>
      </w:tr>
      <w:tr>
        <w:trPr/>
        <w:tc>
          <w:tcPr>
            <w:tcW w:w="2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Spain</w:t>
            </w:r>
          </w:p>
        </w:tc>
        <w:tc>
          <w:tcPr>
            <w:tcW w:w="4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right"/>
              <w:rPr/>
            </w:pPr>
            <w:r>
              <w:rPr/>
              <w:t>381,321</w:t>
            </w:r>
          </w:p>
        </w:tc>
        <w:tc>
          <w:tcPr>
            <w:tcW w:w="15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815" w:type="dxa"/>
            <w:tcBorders/>
            <w:shd w:fill="CCEEFF" w:val="clear"/>
            <w:vAlign w:val="bottom"/>
          </w:tcPr>
          <w:p>
            <w:pPr>
              <w:pStyle w:val="TableContents"/>
              <w:bidi w:val="0"/>
              <w:spacing w:before="0" w:after="283"/>
              <w:jc w:val="right"/>
              <w:rPr/>
            </w:pPr>
            <w:r>
              <w:rPr/>
              <w:t>137,802</w:t>
            </w:r>
          </w:p>
        </w:tc>
        <w:tc>
          <w:tcPr>
            <w:tcW w:w="159" w:type="dxa"/>
            <w:tcBorders/>
            <w:shd w:fill="CCEEFF" w:val="clear"/>
            <w:vAlign w:val="bottom"/>
          </w:tcPr>
          <w:p>
            <w:pPr>
              <w:pStyle w:val="TableContents"/>
              <w:bidi w:val="0"/>
              <w:spacing w:before="0" w:after="283"/>
              <w:jc w:val="left"/>
              <w:rPr/>
            </w:pPr>
            <w:r>
              <w:rPr/>
              <w:t> </w:t>
            </w:r>
          </w:p>
        </w:tc>
      </w:tr>
      <w:tr>
        <w:trPr/>
        <w:tc>
          <w:tcPr>
            <w:tcW w:w="2553" w:type="dxa"/>
            <w:tcBorders/>
          </w:tcPr>
          <w:p>
            <w:pPr>
              <w:pStyle w:val="TableContents"/>
              <w:bidi w:val="0"/>
              <w:spacing w:before="0" w:after="0"/>
              <w:jc w:val="left"/>
              <w:rPr>
                <w:rFonts w:ascii="Times New Roman" w:hAnsi="Times New Roman"/>
                <w:sz w:val="20"/>
              </w:rPr>
            </w:pPr>
            <w:r>
              <w:rPr>
                <w:rFonts w:ascii="Times New Roman" w:hAnsi="Times New Roman"/>
                <w:sz w:val="20"/>
              </w:rPr>
              <w:t>India</w:t>
            </w:r>
          </w:p>
        </w:tc>
        <w:tc>
          <w:tcPr>
            <w:tcW w:w="4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right"/>
              <w:rPr/>
            </w:pPr>
            <w:r>
              <w:rPr/>
              <w:t>(300,433</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(13,407</w:t>
            </w:r>
          </w:p>
        </w:tc>
        <w:tc>
          <w:tcPr>
            <w:tcW w:w="159" w:type="dxa"/>
            <w:tcBorders/>
            <w:vAlign w:val="bottom"/>
          </w:tcPr>
          <w:p>
            <w:pPr>
              <w:pStyle w:val="TableContents"/>
              <w:bidi w:val="0"/>
              <w:spacing w:before="0" w:after="283"/>
              <w:jc w:val="left"/>
              <w:rPr/>
            </w:pPr>
            <w:r>
              <w:rPr/>
              <w:t>) </w:t>
            </w:r>
          </w:p>
        </w:tc>
      </w:tr>
      <w:tr>
        <w:trPr/>
        <w:tc>
          <w:tcPr>
            <w:tcW w:w="2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4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right"/>
              <w:rPr/>
            </w:pPr>
            <w:r>
              <w:rPr/>
              <w:t>8,235,187</w:t>
            </w:r>
          </w:p>
        </w:tc>
        <w:tc>
          <w:tcPr>
            <w:tcW w:w="15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815" w:type="dxa"/>
            <w:tcBorders/>
            <w:shd w:fill="CCEEFF" w:val="clear"/>
            <w:vAlign w:val="bottom"/>
          </w:tcPr>
          <w:p>
            <w:pPr>
              <w:pStyle w:val="TableContents"/>
              <w:bidi w:val="0"/>
              <w:spacing w:before="0" w:after="283"/>
              <w:jc w:val="right"/>
              <w:rPr/>
            </w:pPr>
            <w:r>
              <w:rPr/>
              <w:t>250,474</w:t>
            </w:r>
          </w:p>
        </w:tc>
        <w:tc>
          <w:tcPr>
            <w:tcW w:w="159" w:type="dxa"/>
            <w:tcBorders/>
            <w:shd w:fill="CCEEFF" w:val="clear"/>
            <w:vAlign w:val="bottom"/>
          </w:tcPr>
          <w:p>
            <w:pPr>
              <w:pStyle w:val="TableContents"/>
              <w:bidi w:val="0"/>
              <w:spacing w:before="0" w:after="283"/>
              <w:jc w:val="left"/>
              <w:rPr/>
            </w:pPr>
            <w:r>
              <w:rPr/>
              <w:t> </w:t>
            </w:r>
          </w:p>
        </w:tc>
      </w:tr>
      <w:tr>
        <w:trPr/>
        <w:tc>
          <w:tcPr>
            <w:tcW w:w="2553" w:type="dxa"/>
            <w:tcBorders/>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4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right"/>
              <w:rPr/>
            </w:pPr>
            <w:r>
              <w:rPr/>
              <w:t>2,051,794</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815" w:type="dxa"/>
            <w:tcBorders/>
            <w:vAlign w:val="bottom"/>
          </w:tcPr>
          <w:p>
            <w:pPr>
              <w:pStyle w:val="TableContents"/>
              <w:bidi w:val="0"/>
              <w:spacing w:before="0" w:after="283"/>
              <w:jc w:val="right"/>
              <w:rPr/>
            </w:pPr>
            <w:r>
              <w:rPr/>
              <w:t>296,844</w:t>
            </w:r>
          </w:p>
        </w:tc>
        <w:tc>
          <w:tcPr>
            <w:tcW w:w="159" w:type="dxa"/>
            <w:tcBorders/>
            <w:vAlign w:val="bottom"/>
          </w:tcPr>
          <w:p>
            <w:pPr>
              <w:pStyle w:val="TableContents"/>
              <w:bidi w:val="0"/>
              <w:spacing w:before="0" w:after="283"/>
              <w:jc w:val="left"/>
              <w:rPr/>
            </w:pPr>
            <w:r>
              <w:rPr/>
              <w:t> </w:t>
            </w:r>
          </w:p>
        </w:tc>
      </w:tr>
      <w:tr>
        <w:trPr/>
        <w:tc>
          <w:tcPr>
            <w:tcW w:w="2553"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8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8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55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right"/>
              <w:rPr>
                <w:b/>
              </w:rPr>
            </w:pPr>
            <w:r>
              <w:rPr>
                <w:b/>
              </w:rPr>
              <w:t>104,220,885</w:t>
            </w:r>
          </w:p>
        </w:tc>
        <w:tc>
          <w:tcPr>
            <w:tcW w:w="15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815" w:type="dxa"/>
            <w:tcBorders/>
            <w:shd w:fill="CCEEFF" w:val="clear"/>
            <w:vAlign w:val="bottom"/>
          </w:tcPr>
          <w:p>
            <w:pPr>
              <w:pStyle w:val="TableContents"/>
              <w:bidi w:val="0"/>
              <w:spacing w:before="0" w:after="283"/>
              <w:jc w:val="right"/>
              <w:rPr>
                <w:b/>
              </w:rPr>
            </w:pPr>
            <w:r>
              <w:rPr>
                <w:b/>
              </w:rPr>
              <w:t>37,746,230</w:t>
            </w:r>
          </w:p>
        </w:tc>
        <w:tc>
          <w:tcPr>
            <w:tcW w:w="159" w:type="dxa"/>
            <w:tcBorders/>
            <w:shd w:fill="CCEEFF" w:val="clear"/>
            <w:vAlign w:val="bottom"/>
          </w:tcPr>
          <w:p>
            <w:pPr>
              <w:pStyle w:val="TableContents"/>
              <w:bidi w:val="0"/>
              <w:spacing w:before="0" w:after="283"/>
              <w:jc w:val="left"/>
              <w:rPr/>
            </w:pPr>
            <w:r>
              <w:rPr/>
              <w:t> </w:t>
            </w:r>
          </w:p>
        </w:tc>
      </w:tr>
      <w:tr>
        <w:trPr/>
        <w:tc>
          <w:tcPr>
            <w:tcW w:w="2553"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8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81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Current Income tax expense (benefit) consists of: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37"/>
        <w:gridCol w:w="555"/>
        <w:gridCol w:w="308"/>
        <w:gridCol w:w="1687"/>
        <w:gridCol w:w="155"/>
        <w:gridCol w:w="555"/>
        <w:gridCol w:w="333"/>
        <w:gridCol w:w="1661"/>
        <w:gridCol w:w="64"/>
      </w:tblGrid>
      <w:tr>
        <w:trPr/>
        <w:tc>
          <w:tcPr>
            <w:tcW w:w="2437" w:type="dxa"/>
            <w:tcBorders/>
            <w:vAlign w:val="center"/>
          </w:tcPr>
          <w:p>
            <w:pPr>
              <w:pStyle w:val="TableContents"/>
              <w:bidi w:val="0"/>
              <w:spacing w:before="0" w:after="283"/>
              <w:jc w:val="left"/>
              <w:rPr>
                <w:sz w:val="4"/>
                <w:szCs w:val="4"/>
              </w:rPr>
            </w:pPr>
            <w:r>
              <w:rPr>
                <w:sz w:val="4"/>
                <w:szCs w:val="4"/>
              </w:rPr>
            </w:r>
          </w:p>
        </w:tc>
        <w:tc>
          <w:tcPr>
            <w:tcW w:w="555"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55" w:type="dxa"/>
            <w:tcBorders/>
            <w:vAlign w:val="bottom"/>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437"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1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155"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1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64" w:type="dxa"/>
            <w:tcBorders/>
            <w:vAlign w:val="bottom"/>
          </w:tcPr>
          <w:p>
            <w:pPr>
              <w:pStyle w:val="TableContents"/>
              <w:bidi w:val="0"/>
              <w:spacing w:before="0" w:after="283"/>
              <w:jc w:val="left"/>
              <w:rPr/>
            </w:pPr>
            <w:r>
              <w:rPr/>
              <w:t> </w:t>
            </w:r>
          </w:p>
        </w:tc>
      </w:tr>
      <w:tr>
        <w:trPr/>
        <w:tc>
          <w:tcPr>
            <w:tcW w:w="24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5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b/>
              </w:rPr>
            </w:pPr>
            <w:r>
              <w:rPr>
                <w:b/>
              </w:rPr>
              <w:t>$</w:t>
            </w:r>
          </w:p>
        </w:tc>
        <w:tc>
          <w:tcPr>
            <w:tcW w:w="1687" w:type="dxa"/>
            <w:tcBorders/>
            <w:shd w:fill="CCEEFF" w:val="clear"/>
            <w:vAlign w:val="bottom"/>
          </w:tcPr>
          <w:p>
            <w:pPr>
              <w:pStyle w:val="TableContents"/>
              <w:bidi w:val="0"/>
              <w:spacing w:before="0" w:after="283"/>
              <w:jc w:val="right"/>
              <w:rPr/>
            </w:pPr>
            <w:r>
              <w:rPr/>
              <w:t>(20,674</w:t>
            </w:r>
          </w:p>
        </w:tc>
        <w:tc>
          <w:tcPr>
            <w:tcW w:w="155"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b/>
              </w:rPr>
            </w:pPr>
            <w:r>
              <w:rPr>
                <w:b/>
              </w:rPr>
              <w:t>$</w:t>
            </w:r>
          </w:p>
        </w:tc>
        <w:tc>
          <w:tcPr>
            <w:tcW w:w="1661" w:type="dxa"/>
            <w:tcBorders/>
            <w:shd w:fill="CCEEFF" w:val="clear"/>
            <w:vAlign w:val="bottom"/>
          </w:tcPr>
          <w:p>
            <w:pPr>
              <w:pStyle w:val="TableContents"/>
              <w:bidi w:val="0"/>
              <w:spacing w:before="0" w:after="283"/>
              <w:jc w:val="right"/>
              <w:rPr/>
            </w:pPr>
            <w:r>
              <w:rPr/>
              <w:t>23,201</w:t>
            </w:r>
          </w:p>
        </w:tc>
        <w:tc>
          <w:tcPr>
            <w:tcW w:w="64" w:type="dxa"/>
            <w:tcBorders/>
            <w:shd w:fill="CCEEFF" w:val="clear"/>
            <w:vAlign w:val="bottom"/>
          </w:tcPr>
          <w:p>
            <w:pPr>
              <w:pStyle w:val="TableContents"/>
              <w:bidi w:val="0"/>
              <w:spacing w:before="0" w:after="283"/>
              <w:jc w:val="left"/>
              <w:rPr/>
            </w:pPr>
            <w:r>
              <w:rPr/>
              <w:t> </w:t>
            </w:r>
          </w:p>
        </w:tc>
      </w:tr>
      <w:tr>
        <w:trPr/>
        <w:tc>
          <w:tcPr>
            <w:tcW w:w="2437" w:type="dxa"/>
            <w:tcBorders/>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5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687" w:type="dxa"/>
            <w:tcBorders/>
            <w:vAlign w:val="bottom"/>
          </w:tcPr>
          <w:p>
            <w:pPr>
              <w:pStyle w:val="TableContents"/>
              <w:bidi w:val="0"/>
              <w:spacing w:before="0" w:after="283"/>
              <w:jc w:val="right"/>
              <w:rPr/>
            </w:pPr>
            <w:r>
              <w:rPr/>
              <w:t>10,639</w:t>
            </w:r>
          </w:p>
        </w:tc>
        <w:tc>
          <w:tcPr>
            <w:tcW w:w="155"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661"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4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India</w:t>
            </w:r>
          </w:p>
        </w:tc>
        <w:tc>
          <w:tcPr>
            <w:tcW w:w="5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687" w:type="dxa"/>
            <w:tcBorders/>
            <w:shd w:fill="CCEEFF" w:val="clear"/>
            <w:vAlign w:val="bottom"/>
          </w:tcPr>
          <w:p>
            <w:pPr>
              <w:pStyle w:val="TableContents"/>
              <w:bidi w:val="0"/>
              <w:spacing w:before="0" w:after="283"/>
              <w:jc w:val="right"/>
              <w:rPr/>
            </w:pPr>
            <w:r>
              <w:rPr/>
              <w:t>28,126</w:t>
            </w:r>
          </w:p>
        </w:tc>
        <w:tc>
          <w:tcPr>
            <w:tcW w:w="155"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66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437" w:type="dxa"/>
            <w:tcBorders/>
            <w:vAlign w:val="bottom"/>
          </w:tcPr>
          <w:p>
            <w:pPr>
              <w:pStyle w:val="TableContents"/>
              <w:bidi w:val="0"/>
              <w:spacing w:before="0" w:after="283"/>
              <w:jc w:val="left"/>
              <w:rPr>
                <w:sz w:val="4"/>
                <w:szCs w:val="4"/>
              </w:rPr>
            </w:pPr>
            <w:r>
              <w:rPr>
                <w:sz w:val="4"/>
                <w:szCs w:val="4"/>
              </w:rPr>
            </w:r>
          </w:p>
        </w:tc>
        <w:tc>
          <w:tcPr>
            <w:tcW w:w="555"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6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single" w:sz="2" w:space="1" w:color="000000"/>
              </w:pBdr>
              <w:bidi w:val="0"/>
              <w:spacing w:before="0" w:after="0"/>
              <w:jc w:val="left"/>
              <w:rPr/>
            </w:pPr>
            <w:r>
              <w:rPr/>
              <w:t> </w:t>
            </w:r>
          </w:p>
        </w:tc>
        <w:tc>
          <w:tcPr>
            <w:tcW w:w="166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43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687" w:type="dxa"/>
            <w:tcBorders/>
            <w:vAlign w:val="bottom"/>
          </w:tcPr>
          <w:p>
            <w:pPr>
              <w:pStyle w:val="TableContents"/>
              <w:bidi w:val="0"/>
              <w:spacing w:before="0" w:after="283"/>
              <w:jc w:val="right"/>
              <w:rPr>
                <w:b/>
              </w:rPr>
            </w:pPr>
            <w:r>
              <w:rPr>
                <w:b/>
              </w:rPr>
              <w:t>18,091</w:t>
            </w:r>
          </w:p>
        </w:tc>
        <w:tc>
          <w:tcPr>
            <w:tcW w:w="155"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661" w:type="dxa"/>
            <w:tcBorders/>
            <w:vAlign w:val="bottom"/>
          </w:tcPr>
          <w:p>
            <w:pPr>
              <w:pStyle w:val="TableContents"/>
              <w:bidi w:val="0"/>
              <w:spacing w:before="0" w:after="283"/>
              <w:jc w:val="right"/>
              <w:rPr>
                <w:b/>
              </w:rPr>
            </w:pPr>
            <w:r>
              <w:rPr>
                <w:b/>
              </w:rPr>
              <w:t>23,201</w:t>
            </w:r>
          </w:p>
        </w:tc>
        <w:tc>
          <w:tcPr>
            <w:tcW w:w="64" w:type="dxa"/>
            <w:tcBorders/>
            <w:vAlign w:val="bottom"/>
          </w:tcPr>
          <w:p>
            <w:pPr>
              <w:pStyle w:val="TableContents"/>
              <w:bidi w:val="0"/>
              <w:spacing w:before="0" w:after="283"/>
              <w:jc w:val="left"/>
              <w:rPr/>
            </w:pPr>
            <w:r>
              <w:rPr/>
              <w:t> </w:t>
            </w:r>
          </w:p>
        </w:tc>
      </w:tr>
      <w:tr>
        <w:trPr/>
        <w:tc>
          <w:tcPr>
            <w:tcW w:w="2437" w:type="dxa"/>
            <w:tcBorders/>
            <w:vAlign w:val="bottom"/>
          </w:tcPr>
          <w:p>
            <w:pPr>
              <w:pStyle w:val="TableContents"/>
              <w:bidi w:val="0"/>
              <w:spacing w:before="0" w:after="283"/>
              <w:jc w:val="left"/>
              <w:rPr>
                <w:sz w:val="4"/>
                <w:szCs w:val="4"/>
              </w:rPr>
            </w:pPr>
            <w:r>
              <w:rPr>
                <w:sz w:val="4"/>
                <w:szCs w:val="4"/>
              </w:rPr>
            </w:r>
          </w:p>
        </w:tc>
        <w:tc>
          <w:tcPr>
            <w:tcW w:w="555"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double" w:sz="6" w:space="1" w:color="000000"/>
              </w:pBdr>
              <w:bidi w:val="0"/>
              <w:spacing w:before="0" w:after="0"/>
              <w:jc w:val="left"/>
              <w:rPr/>
            </w:pPr>
            <w:r>
              <w:rPr/>
              <w:t> </w:t>
            </w:r>
          </w:p>
        </w:tc>
        <w:tc>
          <w:tcPr>
            <w:tcW w:w="16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double" w:sz="6" w:space="1" w:color="000000"/>
              </w:pBdr>
              <w:bidi w:val="0"/>
              <w:spacing w:before="0" w:after="0"/>
              <w:jc w:val="left"/>
              <w:rPr/>
            </w:pPr>
            <w:r>
              <w:rPr/>
              <w:t> </w:t>
            </w:r>
          </w:p>
        </w:tc>
        <w:tc>
          <w:tcPr>
            <w:tcW w:w="166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Deferred income tax (benefit) consists of: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01"/>
        <w:gridCol w:w="515"/>
        <w:gridCol w:w="272"/>
        <w:gridCol w:w="1733"/>
        <w:gridCol w:w="155"/>
        <w:gridCol w:w="515"/>
        <w:gridCol w:w="305"/>
        <w:gridCol w:w="1700"/>
        <w:gridCol w:w="159"/>
      </w:tblGrid>
      <w:tr>
        <w:trPr/>
        <w:tc>
          <w:tcPr>
            <w:tcW w:w="2401" w:type="dxa"/>
            <w:tcBorders/>
            <w:vAlign w:val="center"/>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01"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2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155"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2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159" w:type="dxa"/>
            <w:tcBorders/>
            <w:vAlign w:val="bottom"/>
          </w:tcPr>
          <w:p>
            <w:pPr>
              <w:pStyle w:val="TableContents"/>
              <w:bidi w:val="0"/>
              <w:spacing w:before="0" w:after="283"/>
              <w:jc w:val="left"/>
              <w:rPr/>
            </w:pPr>
            <w:r>
              <w:rPr/>
              <w:t> </w:t>
            </w:r>
          </w:p>
        </w:tc>
      </w:tr>
      <w:tr>
        <w:trPr/>
        <w:tc>
          <w:tcPr>
            <w:tcW w:w="24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51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b/>
              </w:rPr>
            </w:pPr>
            <w:r>
              <w:rPr>
                <w:b/>
              </w:rPr>
              <w:t>$</w:t>
            </w:r>
          </w:p>
        </w:tc>
        <w:tc>
          <w:tcPr>
            <w:tcW w:w="1733" w:type="dxa"/>
            <w:tcBorders/>
            <w:shd w:fill="CCEEFF" w:val="clear"/>
            <w:vAlign w:val="bottom"/>
          </w:tcPr>
          <w:p>
            <w:pPr>
              <w:pStyle w:val="TableContents"/>
              <w:bidi w:val="0"/>
              <w:spacing w:before="0" w:after="283"/>
              <w:jc w:val="right"/>
              <w:rPr/>
            </w:pPr>
            <w:r>
              <w:rPr/>
              <w:t>(133,538</w:t>
            </w:r>
          </w:p>
        </w:tc>
        <w:tc>
          <w:tcPr>
            <w:tcW w:w="155"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b/>
              </w:rPr>
            </w:pPr>
            <w:r>
              <w:rPr>
                <w:b/>
              </w:rPr>
              <w:t>$</w:t>
            </w:r>
          </w:p>
        </w:tc>
        <w:tc>
          <w:tcPr>
            <w:tcW w:w="1700" w:type="dxa"/>
            <w:tcBorders/>
            <w:shd w:fill="CCEEFF" w:val="clear"/>
            <w:vAlign w:val="bottom"/>
          </w:tcPr>
          <w:p>
            <w:pPr>
              <w:pStyle w:val="TableContents"/>
              <w:bidi w:val="0"/>
              <w:spacing w:before="0" w:after="283"/>
              <w:jc w:val="right"/>
              <w:rPr/>
            </w:pPr>
            <w:r>
              <w:rPr/>
              <w:t>(49,956</w:t>
            </w:r>
          </w:p>
        </w:tc>
        <w:tc>
          <w:tcPr>
            <w:tcW w:w="159" w:type="dxa"/>
            <w:tcBorders/>
            <w:shd w:fill="CCEEFF" w:val="clear"/>
            <w:vAlign w:val="bottom"/>
          </w:tcPr>
          <w:p>
            <w:pPr>
              <w:pStyle w:val="TableContents"/>
              <w:bidi w:val="0"/>
              <w:spacing w:before="0" w:after="283"/>
              <w:jc w:val="left"/>
              <w:rPr/>
            </w:pPr>
            <w:r>
              <w:rPr/>
              <w:t>) </w:t>
            </w:r>
          </w:p>
        </w:tc>
      </w:tr>
      <w:tr>
        <w:trPr/>
        <w:tc>
          <w:tcPr>
            <w:tcW w:w="2401"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7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40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1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733" w:type="dxa"/>
            <w:tcBorders/>
            <w:vAlign w:val="bottom"/>
          </w:tcPr>
          <w:p>
            <w:pPr>
              <w:pStyle w:val="TableContents"/>
              <w:bidi w:val="0"/>
              <w:spacing w:before="0" w:after="283"/>
              <w:jc w:val="right"/>
              <w:rPr>
                <w:b/>
              </w:rPr>
            </w:pPr>
            <w:r>
              <w:rPr>
                <w:b/>
              </w:rPr>
              <w:t>(133,538</w:t>
            </w:r>
          </w:p>
        </w:tc>
        <w:tc>
          <w:tcPr>
            <w:tcW w:w="155" w:type="dxa"/>
            <w:tcBorders/>
            <w:vAlign w:val="bottom"/>
          </w:tcPr>
          <w:p>
            <w:pPr>
              <w:pStyle w:val="TableContents"/>
              <w:bidi w:val="0"/>
              <w:spacing w:before="0" w:after="283"/>
              <w:jc w:val="left"/>
              <w:rPr>
                <w:b/>
              </w:rPr>
            </w:pPr>
            <w:r>
              <w:rPr>
                <w:b/>
              </w:rPr>
              <w:t>) </w:t>
            </w:r>
          </w:p>
        </w:tc>
        <w:tc>
          <w:tcPr>
            <w:tcW w:w="515"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b/>
              </w:rPr>
            </w:pPr>
            <w:r>
              <w:rPr>
                <w:b/>
              </w:rPr>
              <w:t>(49,956</w:t>
            </w:r>
          </w:p>
        </w:tc>
        <w:tc>
          <w:tcPr>
            <w:tcW w:w="159" w:type="dxa"/>
            <w:tcBorders/>
            <w:vAlign w:val="bottom"/>
          </w:tcPr>
          <w:p>
            <w:pPr>
              <w:pStyle w:val="TableContents"/>
              <w:bidi w:val="0"/>
              <w:spacing w:before="0" w:after="283"/>
              <w:jc w:val="left"/>
              <w:rPr>
                <w:b/>
              </w:rPr>
            </w:pPr>
            <w:r>
              <w:rPr>
                <w:b/>
              </w:rPr>
              <w:t>) </w:t>
            </w:r>
          </w:p>
        </w:tc>
      </w:tr>
      <w:tr>
        <w:trPr/>
        <w:tc>
          <w:tcPr>
            <w:tcW w:w="2401"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double" w:sz="6" w:space="1" w:color="000000"/>
              </w:pBdr>
              <w:bidi w:val="0"/>
              <w:spacing w:before="0" w:after="0"/>
              <w:jc w:val="left"/>
              <w:rPr/>
            </w:pPr>
            <w:r>
              <w:rPr/>
              <w:t> </w:t>
            </w:r>
          </w:p>
        </w:tc>
        <w:tc>
          <w:tcPr>
            <w:tcW w:w="17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Total income tax benefit: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385"/>
        <w:gridCol w:w="544"/>
        <w:gridCol w:w="274"/>
        <w:gridCol w:w="1710"/>
        <w:gridCol w:w="155"/>
        <w:gridCol w:w="544"/>
        <w:gridCol w:w="306"/>
        <w:gridCol w:w="1677"/>
        <w:gridCol w:w="160"/>
      </w:tblGrid>
      <w:tr>
        <w:trPr/>
        <w:tc>
          <w:tcPr>
            <w:tcW w:w="2385" w:type="dxa"/>
            <w:tcBorders/>
            <w:vAlign w:val="center"/>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5"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1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155"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1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160" w:type="dxa"/>
            <w:tcBorders/>
            <w:vAlign w:val="bottom"/>
          </w:tcPr>
          <w:p>
            <w:pPr>
              <w:pStyle w:val="TableContents"/>
              <w:bidi w:val="0"/>
              <w:spacing w:before="0" w:after="283"/>
              <w:jc w:val="left"/>
              <w:rPr/>
            </w:pPr>
            <w:r>
              <w:rPr/>
              <w:t> </w:t>
            </w:r>
          </w:p>
        </w:tc>
      </w:tr>
      <w:tr>
        <w:trPr/>
        <w:tc>
          <w:tcPr>
            <w:tcW w:w="2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54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b/>
              </w:rPr>
            </w:pPr>
            <w:r>
              <w:rPr>
                <w:b/>
              </w:rPr>
              <w:t>$</w:t>
            </w:r>
          </w:p>
        </w:tc>
        <w:tc>
          <w:tcPr>
            <w:tcW w:w="1710" w:type="dxa"/>
            <w:tcBorders/>
            <w:shd w:fill="CCEEFF" w:val="clear"/>
            <w:vAlign w:val="bottom"/>
          </w:tcPr>
          <w:p>
            <w:pPr>
              <w:pStyle w:val="TableContents"/>
              <w:bidi w:val="0"/>
              <w:spacing w:before="0" w:after="283"/>
              <w:jc w:val="right"/>
              <w:rPr/>
            </w:pPr>
            <w:r>
              <w:rPr/>
              <w:t>18,091</w:t>
            </w:r>
          </w:p>
        </w:tc>
        <w:tc>
          <w:tcPr>
            <w:tcW w:w="155"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b/>
              </w:rPr>
            </w:pPr>
            <w:r>
              <w:rPr>
                <w:b/>
              </w:rPr>
              <w:t>$</w:t>
            </w:r>
          </w:p>
        </w:tc>
        <w:tc>
          <w:tcPr>
            <w:tcW w:w="1677" w:type="dxa"/>
            <w:tcBorders/>
            <w:shd w:fill="CCEEFF" w:val="clear"/>
            <w:vAlign w:val="bottom"/>
          </w:tcPr>
          <w:p>
            <w:pPr>
              <w:pStyle w:val="TableContents"/>
              <w:bidi w:val="0"/>
              <w:spacing w:before="0" w:after="283"/>
              <w:jc w:val="right"/>
              <w:rPr/>
            </w:pPr>
            <w:r>
              <w:rPr/>
              <w:t>23,201</w:t>
            </w:r>
          </w:p>
        </w:tc>
        <w:tc>
          <w:tcPr>
            <w:tcW w:w="160" w:type="dxa"/>
            <w:tcBorders/>
            <w:shd w:fill="CCEEFF" w:val="clear"/>
            <w:vAlign w:val="bottom"/>
          </w:tcPr>
          <w:p>
            <w:pPr>
              <w:pStyle w:val="TableContents"/>
              <w:bidi w:val="0"/>
              <w:spacing w:before="0" w:after="283"/>
              <w:jc w:val="left"/>
              <w:rPr/>
            </w:pPr>
            <w:r>
              <w:rPr/>
              <w:t> </w:t>
            </w:r>
          </w:p>
        </w:tc>
      </w:tr>
      <w:tr>
        <w:trPr/>
        <w:tc>
          <w:tcPr>
            <w:tcW w:w="2385" w:type="dxa"/>
            <w:tcBorders/>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54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10" w:type="dxa"/>
            <w:tcBorders/>
            <w:vAlign w:val="bottom"/>
          </w:tcPr>
          <w:p>
            <w:pPr>
              <w:pStyle w:val="TableContents"/>
              <w:bidi w:val="0"/>
              <w:spacing w:before="0" w:after="283"/>
              <w:jc w:val="right"/>
              <w:rPr/>
            </w:pPr>
            <w:r>
              <w:rPr/>
              <w:t>(133,538</w:t>
            </w:r>
          </w:p>
        </w:tc>
        <w:tc>
          <w:tcPr>
            <w:tcW w:w="155"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(49,956</w:t>
            </w:r>
          </w:p>
        </w:tc>
        <w:tc>
          <w:tcPr>
            <w:tcW w:w="160" w:type="dxa"/>
            <w:tcBorders/>
            <w:vAlign w:val="bottom"/>
          </w:tcPr>
          <w:p>
            <w:pPr>
              <w:pStyle w:val="TableContents"/>
              <w:bidi w:val="0"/>
              <w:spacing w:before="0" w:after="283"/>
              <w:jc w:val="left"/>
              <w:rPr/>
            </w:pPr>
            <w:r>
              <w:rPr/>
              <w:t>) </w:t>
            </w:r>
          </w:p>
        </w:tc>
      </w:tr>
      <w:tr>
        <w:trPr/>
        <w:tc>
          <w:tcPr>
            <w:tcW w:w="2385"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17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67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38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4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bidi w:val="0"/>
              <w:spacing w:before="0" w:after="283"/>
              <w:jc w:val="right"/>
              <w:rPr>
                <w:b/>
              </w:rPr>
            </w:pPr>
            <w:r>
              <w:rPr>
                <w:b/>
              </w:rPr>
              <w:t>(115,447</w:t>
            </w:r>
          </w:p>
        </w:tc>
        <w:tc>
          <w:tcPr>
            <w:tcW w:w="155" w:type="dxa"/>
            <w:tcBorders/>
            <w:shd w:fill="CCEEFF" w:val="clear"/>
            <w:vAlign w:val="bottom"/>
          </w:tcPr>
          <w:p>
            <w:pPr>
              <w:pStyle w:val="TableContents"/>
              <w:bidi w:val="0"/>
              <w:spacing w:before="0" w:after="283"/>
              <w:jc w:val="left"/>
              <w:rPr>
                <w:b/>
              </w:rPr>
            </w:pPr>
            <w:r>
              <w:rPr>
                <w:b/>
              </w:rPr>
              <w:t>) </w:t>
            </w:r>
          </w:p>
        </w:tc>
        <w:tc>
          <w:tcPr>
            <w:tcW w:w="544"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b/>
              </w:rPr>
            </w:pPr>
            <w:r>
              <w:rPr>
                <w:b/>
              </w:rPr>
              <w:t>(26,755</w:t>
            </w:r>
          </w:p>
        </w:tc>
        <w:tc>
          <w:tcPr>
            <w:tcW w:w="160" w:type="dxa"/>
            <w:tcBorders/>
            <w:shd w:fill="CCEEFF" w:val="clear"/>
            <w:vAlign w:val="bottom"/>
          </w:tcPr>
          <w:p>
            <w:pPr>
              <w:pStyle w:val="TableContents"/>
              <w:bidi w:val="0"/>
              <w:spacing w:before="0" w:after="283"/>
              <w:jc w:val="left"/>
              <w:rPr>
                <w:b/>
              </w:rPr>
            </w:pPr>
            <w:r>
              <w:rPr>
                <w:b/>
              </w:rPr>
              <w:t>) </w:t>
            </w:r>
          </w:p>
        </w:tc>
      </w:tr>
      <w:tr>
        <w:trPr/>
        <w:tc>
          <w:tcPr>
            <w:tcW w:w="2385"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double" w:sz="6" w:space="1" w:color="000000"/>
              </w:pBdr>
              <w:bidi w:val="0"/>
              <w:spacing w:before="0" w:after="0"/>
              <w:jc w:val="left"/>
              <w:rPr/>
            </w:pPr>
            <w:r>
              <w:rPr/>
              <w:t> </w:t>
            </w:r>
          </w:p>
        </w:tc>
        <w:tc>
          <w:tcPr>
            <w:tcW w:w="17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double" w:sz="6" w:space="1" w:color="000000"/>
              </w:pBdr>
              <w:bidi w:val="0"/>
              <w:spacing w:before="0" w:after="0"/>
              <w:jc w:val="left"/>
              <w:rPr/>
            </w:pPr>
            <w:r>
              <w:rPr/>
              <w:t> </w:t>
            </w:r>
          </w:p>
        </w:tc>
        <w:tc>
          <w:tcPr>
            <w:tcW w:w="167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Income tax benefit attributable to our loss before income taxes differs from the amounts computed using the applicable income tax rate as a result of the following factors: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02"/>
        <w:gridCol w:w="313"/>
        <w:gridCol w:w="144"/>
        <w:gridCol w:w="1419"/>
        <w:gridCol w:w="155"/>
        <w:gridCol w:w="313"/>
        <w:gridCol w:w="151"/>
        <w:gridCol w:w="1398"/>
        <w:gridCol w:w="160"/>
      </w:tblGrid>
      <w:tr>
        <w:trPr/>
        <w:tc>
          <w:tcPr>
            <w:tcW w:w="3702"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0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2021</w:t>
            </w:r>
          </w:p>
        </w:tc>
        <w:tc>
          <w:tcPr>
            <w:tcW w:w="160"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31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b/>
              </w:rPr>
            </w:pPr>
            <w:r>
              <w:rPr>
                <w:b/>
              </w:rPr>
              <w:t>$</w:t>
            </w:r>
          </w:p>
        </w:tc>
        <w:tc>
          <w:tcPr>
            <w:tcW w:w="1419" w:type="dxa"/>
            <w:tcBorders/>
            <w:shd w:fill="CCEEFF" w:val="clear"/>
            <w:vAlign w:val="bottom"/>
          </w:tcPr>
          <w:p>
            <w:pPr>
              <w:pStyle w:val="TableContents"/>
              <w:bidi w:val="0"/>
              <w:spacing w:before="0" w:after="283"/>
              <w:jc w:val="right"/>
              <w:rPr/>
            </w:pPr>
            <w:r>
              <w:rPr/>
              <w:t>(104,220,885</w:t>
            </w:r>
          </w:p>
        </w:tc>
        <w:tc>
          <w:tcPr>
            <w:tcW w:w="15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b/>
              </w:rPr>
            </w:pPr>
            <w:r>
              <w:rPr>
                <w:b/>
              </w:rPr>
              <w:t>$</w:t>
            </w:r>
          </w:p>
        </w:tc>
        <w:tc>
          <w:tcPr>
            <w:tcW w:w="1398" w:type="dxa"/>
            <w:tcBorders/>
            <w:shd w:fill="CCEEFF" w:val="clear"/>
            <w:vAlign w:val="bottom"/>
          </w:tcPr>
          <w:p>
            <w:pPr>
              <w:pStyle w:val="TableContents"/>
              <w:bidi w:val="0"/>
              <w:spacing w:before="0" w:after="283"/>
              <w:jc w:val="right"/>
              <w:rPr/>
            </w:pPr>
            <w:r>
              <w:rPr/>
              <w:t>(37,746,230</w:t>
            </w:r>
          </w:p>
        </w:tc>
        <w:tc>
          <w:tcPr>
            <w:tcW w:w="160"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at statutory tax rates (a)</w:t>
            </w:r>
          </w:p>
        </w:tc>
        <w:tc>
          <w:tcPr>
            <w:tcW w:w="31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right"/>
              <w:rPr/>
            </w:pPr>
            <w:r>
              <w:rPr/>
              <w:t>19,801,968</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7,171,784</w:t>
            </w:r>
          </w:p>
        </w:tc>
        <w:tc>
          <w:tcPr>
            <w:tcW w:w="160"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w:t>
            </w:r>
          </w:p>
        </w:tc>
        <w:tc>
          <w:tcPr>
            <w:tcW w:w="31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4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9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Non-deductible or non-taxable foreign currency exchange results</w:t>
            </w:r>
          </w:p>
        </w:tc>
        <w:tc>
          <w:tcPr>
            <w:tcW w:w="31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right"/>
              <w:rPr/>
            </w:pPr>
            <w:r>
              <w:rPr/>
              <w:t>(214,299</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(137,765</w:t>
            </w:r>
          </w:p>
        </w:tc>
        <w:tc>
          <w:tcPr>
            <w:tcW w:w="160"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 rate differences (b)</w:t>
            </w:r>
          </w:p>
        </w:tc>
        <w:tc>
          <w:tcPr>
            <w:tcW w:w="31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right"/>
              <w:rPr/>
            </w:pPr>
            <w:r>
              <w:rPr/>
              <w:t>1,347,282</w:t>
            </w:r>
          </w:p>
        </w:tc>
        <w:tc>
          <w:tcPr>
            <w:tcW w:w="15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50,228</w:t>
            </w:r>
          </w:p>
        </w:tc>
        <w:tc>
          <w:tcPr>
            <w:tcW w:w="160"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Non-deductible expenses</w:t>
            </w:r>
          </w:p>
        </w:tc>
        <w:tc>
          <w:tcPr>
            <w:tcW w:w="31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right"/>
              <w:rPr/>
            </w:pPr>
            <w:r>
              <w:rPr/>
              <w:t>(13,496,313</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(2,765,608</w:t>
            </w:r>
          </w:p>
        </w:tc>
        <w:tc>
          <w:tcPr>
            <w:tcW w:w="160"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Enacted tax law and rate changes (c)</w:t>
            </w:r>
          </w:p>
        </w:tc>
        <w:tc>
          <w:tcPr>
            <w:tcW w:w="31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3,476,426</w:t>
            </w:r>
          </w:p>
        </w:tc>
        <w:tc>
          <w:tcPr>
            <w:tcW w:w="160"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31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right"/>
              <w:rPr/>
            </w:pPr>
            <w:r>
              <w:rPr/>
              <w:t>(7,554,085</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(7,821,820</w:t>
            </w:r>
          </w:p>
        </w:tc>
        <w:tc>
          <w:tcPr>
            <w:tcW w:w="160"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w:t>
            </w:r>
          </w:p>
        </w:tc>
        <w:tc>
          <w:tcPr>
            <w:tcW w:w="31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right"/>
              <w:rPr/>
            </w:pPr>
            <w:r>
              <w:rPr/>
              <w:t>(115,447</w:t>
            </w:r>
          </w:p>
        </w:tc>
        <w:tc>
          <w:tcPr>
            <w:tcW w:w="15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(26,755</w:t>
            </w:r>
          </w:p>
        </w:tc>
        <w:tc>
          <w:tcPr>
            <w:tcW w:w="160"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statutory or expected tax rate is the UK rate of 19.0%.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adjustments (either a benefit or expense) to the expected tax benefit (expense) for statutory rates in jurisdictions in which we operate outside of the UK. </w:t>
            </w:r>
          </w:p>
        </w:tc>
      </w:tr>
    </w:tbl>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June 10, 2021, legislation was enacted in the UK to increase the UK corporate income rate to 25.0% from April 1, 2023.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and its subsidiaries are liable to income taxes in their respective jurisdiction. The Company has unused tax losses as follows as at December 31, 2022: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53"/>
        <w:gridCol w:w="333"/>
        <w:gridCol w:w="118"/>
        <w:gridCol w:w="2187"/>
        <w:gridCol w:w="60"/>
        <w:gridCol w:w="333"/>
        <w:gridCol w:w="98"/>
        <w:gridCol w:w="1515"/>
        <w:gridCol w:w="158"/>
      </w:tblGrid>
      <w:tr>
        <w:trPr/>
        <w:tc>
          <w:tcPr>
            <w:tcW w:w="2953"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5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Subsidiaries in Jurisdiction</w:t>
            </w:r>
          </w:p>
        </w:tc>
        <w:tc>
          <w:tcPr>
            <w:tcW w:w="333" w:type="dxa"/>
            <w:tcBorders/>
            <w:vAlign w:val="bottom"/>
          </w:tcPr>
          <w:p>
            <w:pPr>
              <w:pStyle w:val="TableContents"/>
              <w:bidi w:val="0"/>
              <w:spacing w:before="0" w:after="283"/>
              <w:jc w:val="left"/>
              <w:rPr/>
            </w:pPr>
            <w:r>
              <w:rPr/>
              <w:t>  </w:t>
            </w:r>
          </w:p>
        </w:tc>
        <w:tc>
          <w:tcPr>
            <w:tcW w:w="23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 loss carryforward</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6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Expiration date</w:t>
            </w:r>
          </w:p>
        </w:tc>
        <w:tc>
          <w:tcPr>
            <w:tcW w:w="158" w:type="dxa"/>
            <w:tcBorders/>
            <w:vAlign w:val="bottom"/>
          </w:tcPr>
          <w:p>
            <w:pPr>
              <w:pStyle w:val="TableContents"/>
              <w:bidi w:val="0"/>
              <w:spacing w:before="0" w:after="283"/>
              <w:jc w:val="left"/>
              <w:rPr/>
            </w:pPr>
            <w:r>
              <w:rPr/>
              <w:t> </w:t>
            </w:r>
          </w:p>
        </w:tc>
      </w:tr>
      <w:tr>
        <w:trPr/>
        <w:tc>
          <w:tcPr>
            <w:tcW w:w="2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UK (1)</w:t>
            </w:r>
          </w:p>
        </w:tc>
        <w:tc>
          <w:tcPr>
            <w:tcW w:w="333"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187" w:type="dxa"/>
            <w:tcBorders/>
            <w:shd w:fill="CCEEFF" w:val="clear"/>
            <w:vAlign w:val="bottom"/>
          </w:tcPr>
          <w:p>
            <w:pPr>
              <w:pStyle w:val="TableContents"/>
              <w:bidi w:val="0"/>
              <w:spacing w:before="0" w:after="283"/>
              <w:jc w:val="right"/>
              <w:rPr/>
            </w:pPr>
            <w:r>
              <w:rPr/>
              <w:t>70,117,780</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2953" w:type="dxa"/>
            <w:tcBorders/>
          </w:tcPr>
          <w:p>
            <w:pPr>
              <w:pStyle w:val="TableContents"/>
              <w:bidi w:val="0"/>
              <w:spacing w:before="0" w:after="0"/>
              <w:jc w:val="left"/>
              <w:rPr>
                <w:rFonts w:ascii="Times New Roman" w:hAnsi="Times New Roman"/>
                <w:sz w:val="20"/>
              </w:rPr>
            </w:pPr>
            <w:r>
              <w:rPr>
                <w:rFonts w:ascii="Times New Roman" w:hAnsi="Times New Roman"/>
                <w:sz w:val="20"/>
              </w:rPr>
              <w:t>US</w:t>
            </w:r>
          </w:p>
        </w:tc>
        <w:tc>
          <w:tcPr>
            <w:tcW w:w="333"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187" w:type="dxa"/>
            <w:tcBorders/>
            <w:vAlign w:val="bottom"/>
          </w:tcPr>
          <w:p>
            <w:pPr>
              <w:pStyle w:val="TableContents"/>
              <w:bidi w:val="0"/>
              <w:spacing w:before="0" w:after="283"/>
              <w:jc w:val="right"/>
              <w:rPr/>
            </w:pPr>
            <w:r>
              <w:rPr/>
              <w:t>4,433,259</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Indefinite</w:t>
            </w:r>
          </w:p>
        </w:tc>
        <w:tc>
          <w:tcPr>
            <w:tcW w:w="158" w:type="dxa"/>
            <w:tcBorders/>
            <w:vAlign w:val="bottom"/>
          </w:tcPr>
          <w:p>
            <w:pPr>
              <w:pStyle w:val="TableContents"/>
              <w:bidi w:val="0"/>
              <w:spacing w:before="0" w:after="283"/>
              <w:jc w:val="left"/>
              <w:rPr/>
            </w:pPr>
            <w:r>
              <w:rPr/>
              <w:t> </w:t>
            </w:r>
          </w:p>
        </w:tc>
      </w:tr>
      <w:tr>
        <w:trPr/>
        <w:tc>
          <w:tcPr>
            <w:tcW w:w="2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Spain</w:t>
            </w:r>
          </w:p>
        </w:tc>
        <w:tc>
          <w:tcPr>
            <w:tcW w:w="333"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187" w:type="dxa"/>
            <w:tcBorders/>
            <w:shd w:fill="CCEEFF" w:val="clear"/>
            <w:vAlign w:val="bottom"/>
          </w:tcPr>
          <w:p>
            <w:pPr>
              <w:pStyle w:val="TableContents"/>
              <w:bidi w:val="0"/>
              <w:spacing w:before="0" w:after="283"/>
              <w:jc w:val="right"/>
              <w:rPr/>
            </w:pPr>
            <w:r>
              <w:rPr/>
              <w:t>535,933</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Indefinite</w:t>
            </w:r>
          </w:p>
        </w:tc>
        <w:tc>
          <w:tcPr>
            <w:tcW w:w="158" w:type="dxa"/>
            <w:tcBorders/>
            <w:shd w:fill="CCEEFF" w:val="clear"/>
            <w:vAlign w:val="bottom"/>
          </w:tcPr>
          <w:p>
            <w:pPr>
              <w:pStyle w:val="TableContents"/>
              <w:bidi w:val="0"/>
              <w:spacing w:before="0" w:after="283"/>
              <w:jc w:val="left"/>
              <w:rPr/>
            </w:pPr>
            <w:r>
              <w:rPr/>
              <w:t> </w:t>
            </w:r>
          </w:p>
        </w:tc>
      </w:tr>
      <w:tr>
        <w:trPr/>
        <w:tc>
          <w:tcPr>
            <w:tcW w:w="2953" w:type="dxa"/>
            <w:tcBorders/>
          </w:tcPr>
          <w:p>
            <w:pPr>
              <w:pStyle w:val="TableContents"/>
              <w:bidi w:val="0"/>
              <w:spacing w:before="0" w:after="0"/>
              <w:jc w:val="left"/>
              <w:rPr>
                <w:rFonts w:ascii="Times New Roman" w:hAnsi="Times New Roman"/>
                <w:sz w:val="20"/>
              </w:rPr>
            </w:pPr>
            <w:r>
              <w:rPr>
                <w:rFonts w:ascii="Times New Roman" w:hAnsi="Times New Roman"/>
                <w:sz w:val="20"/>
              </w:rPr>
              <w:t>India</w:t>
            </w:r>
          </w:p>
        </w:tc>
        <w:tc>
          <w:tcPr>
            <w:tcW w:w="333"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187" w:type="dxa"/>
            <w:tcBorders/>
            <w:vAlign w:val="bottom"/>
          </w:tcPr>
          <w:p>
            <w:pPr>
              <w:pStyle w:val="TableContents"/>
              <w:bidi w:val="0"/>
              <w:spacing w:before="0" w:after="283"/>
              <w:jc w:val="right"/>
              <w:rPr/>
            </w:pPr>
            <w:r>
              <w:rPr/>
              <w:t>8,192</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8 years</w:t>
            </w:r>
          </w:p>
        </w:tc>
        <w:tc>
          <w:tcPr>
            <w:tcW w:w="158" w:type="dxa"/>
            <w:tcBorders/>
            <w:vAlign w:val="bottom"/>
          </w:tcPr>
          <w:p>
            <w:pPr>
              <w:pStyle w:val="TableContents"/>
              <w:bidi w:val="0"/>
              <w:spacing w:before="0" w:after="283"/>
              <w:jc w:val="left"/>
              <w:rPr/>
            </w:pPr>
            <w:r>
              <w:rPr/>
              <w:t> </w:t>
            </w:r>
          </w:p>
        </w:tc>
      </w:tr>
      <w:tr>
        <w:trPr/>
        <w:tc>
          <w:tcPr>
            <w:tcW w:w="29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333"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187" w:type="dxa"/>
            <w:tcBorders/>
            <w:shd w:fill="CCEEFF" w:val="clear"/>
            <w:vAlign w:val="bottom"/>
          </w:tcPr>
          <w:p>
            <w:pPr>
              <w:pStyle w:val="TableContents"/>
              <w:bidi w:val="0"/>
              <w:spacing w:before="0" w:after="283"/>
              <w:jc w:val="right"/>
              <w:rPr/>
            </w:pPr>
            <w:r>
              <w:rPr/>
              <w:t>617,729</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right"/>
              <w:rPr/>
            </w:pPr>
            <w:r>
              <w:rPr/>
              <w:t>Indefinite</w:t>
            </w:r>
          </w:p>
        </w:tc>
        <w:tc>
          <w:tcPr>
            <w:tcW w:w="158" w:type="dxa"/>
            <w:tcBorders/>
            <w:shd w:fill="CCEEFF" w:val="clear"/>
            <w:vAlign w:val="bottom"/>
          </w:tcPr>
          <w:p>
            <w:pPr>
              <w:pStyle w:val="TableContents"/>
              <w:bidi w:val="0"/>
              <w:spacing w:before="0" w:after="283"/>
              <w:jc w:val="left"/>
              <w:rPr/>
            </w:pPr>
            <w:r>
              <w:rPr/>
              <w:t> </w:t>
            </w:r>
          </w:p>
        </w:tc>
      </w:tr>
      <w:tr>
        <w:trPr/>
        <w:tc>
          <w:tcPr>
            <w:tcW w:w="2953" w:type="dxa"/>
            <w:tcBorders/>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333"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187" w:type="dxa"/>
            <w:tcBorders/>
            <w:vAlign w:val="bottom"/>
          </w:tcPr>
          <w:p>
            <w:pPr>
              <w:pStyle w:val="TableContents"/>
              <w:bidi w:val="0"/>
              <w:spacing w:before="0" w:after="283"/>
              <w:jc w:val="right"/>
              <w:rPr/>
            </w:pPr>
            <w:r>
              <w:rPr/>
              <w:t>2,268,654</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right"/>
              <w:rPr/>
            </w:pPr>
            <w:r>
              <w:rPr/>
              <w:t>10 years</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losses carried forward in Rezolve Limited will not be transferred to Rezolve AI Limited in the Demerger. As a result, all tax losses previously created in the UK will be lost upon completion of the Demerger.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changes in our unrecognized tax benefits for the indicated periods are summarized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73"/>
        <w:gridCol w:w="384"/>
        <w:gridCol w:w="145"/>
        <w:gridCol w:w="1203"/>
        <w:gridCol w:w="155"/>
        <w:gridCol w:w="384"/>
        <w:gridCol w:w="145"/>
        <w:gridCol w:w="1203"/>
        <w:gridCol w:w="163"/>
      </w:tblGrid>
      <w:tr>
        <w:trPr/>
        <w:tc>
          <w:tcPr>
            <w:tcW w:w="3973"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73"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3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3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3" w:type="dxa"/>
            <w:tcBorders/>
            <w:vAlign w:val="bottom"/>
          </w:tcPr>
          <w:p>
            <w:pPr>
              <w:pStyle w:val="TableContents"/>
              <w:bidi w:val="0"/>
              <w:spacing w:before="0" w:after="283"/>
              <w:jc w:val="left"/>
              <w:rPr/>
            </w:pPr>
            <w:r>
              <w:rPr/>
              <w:t> </w:t>
            </w:r>
          </w:p>
        </w:tc>
      </w:tr>
      <w:tr>
        <w:trPr/>
        <w:tc>
          <w:tcPr>
            <w:tcW w:w="39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w:t>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03" w:type="dxa"/>
            <w:tcBorders/>
            <w:shd w:fill="CCEEFF" w:val="clear"/>
            <w:vAlign w:val="bottom"/>
          </w:tcPr>
          <w:p>
            <w:pPr>
              <w:pStyle w:val="TableContents"/>
              <w:bidi w:val="0"/>
              <w:spacing w:before="0" w:after="283"/>
              <w:jc w:val="right"/>
              <w:rPr/>
            </w:pPr>
            <w:r>
              <w:rPr/>
              <w:t>11,811,695</w:t>
            </w:r>
          </w:p>
        </w:tc>
        <w:tc>
          <w:tcPr>
            <w:tcW w:w="155"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03" w:type="dxa"/>
            <w:tcBorders/>
            <w:shd w:fill="CCEEFF" w:val="clear"/>
            <w:vAlign w:val="bottom"/>
          </w:tcPr>
          <w:p>
            <w:pPr>
              <w:pStyle w:val="TableContents"/>
              <w:bidi w:val="0"/>
              <w:spacing w:before="0" w:after="283"/>
              <w:jc w:val="right"/>
              <w:rPr/>
            </w:pPr>
            <w:r>
              <w:rPr/>
              <w:t>5,056,334</w:t>
            </w:r>
          </w:p>
        </w:tc>
        <w:tc>
          <w:tcPr>
            <w:tcW w:w="163" w:type="dxa"/>
            <w:tcBorders/>
            <w:shd w:fill="CCEEFF" w:val="clear"/>
            <w:vAlign w:val="bottom"/>
          </w:tcPr>
          <w:p>
            <w:pPr>
              <w:pStyle w:val="TableContents"/>
              <w:bidi w:val="0"/>
              <w:spacing w:before="0" w:after="283"/>
              <w:jc w:val="left"/>
              <w:rPr/>
            </w:pPr>
            <w:r>
              <w:rPr/>
              <w:t> </w:t>
            </w:r>
          </w:p>
        </w:tc>
      </w:tr>
      <w:tr>
        <w:trPr/>
        <w:tc>
          <w:tcPr>
            <w:tcW w:w="3973" w:type="dxa"/>
            <w:tcBorders/>
          </w:tcPr>
          <w:p>
            <w:pPr>
              <w:pStyle w:val="TableContents"/>
              <w:bidi w:val="0"/>
              <w:spacing w:before="0" w:after="0"/>
              <w:jc w:val="left"/>
              <w:rPr>
                <w:rFonts w:ascii="Times New Roman" w:hAnsi="Times New Roman"/>
                <w:sz w:val="20"/>
              </w:rPr>
            </w:pPr>
            <w:r>
              <w:rPr>
                <w:rFonts w:ascii="Times New Roman" w:hAnsi="Times New Roman"/>
                <w:sz w:val="20"/>
              </w:rPr>
              <w:t>Effect of rate changes</w:t>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1,628,142</w:t>
            </w:r>
          </w:p>
        </w:tc>
        <w:tc>
          <w:tcPr>
            <w:tcW w:w="163" w:type="dxa"/>
            <w:tcBorders/>
            <w:vAlign w:val="bottom"/>
          </w:tcPr>
          <w:p>
            <w:pPr>
              <w:pStyle w:val="TableContents"/>
              <w:bidi w:val="0"/>
              <w:spacing w:before="0" w:after="283"/>
              <w:jc w:val="left"/>
              <w:rPr/>
            </w:pPr>
            <w:r>
              <w:rPr/>
              <w:t> </w:t>
            </w:r>
          </w:p>
        </w:tc>
      </w:tr>
      <w:tr>
        <w:trPr/>
        <w:tc>
          <w:tcPr>
            <w:tcW w:w="39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based on tax positions related to current year</w:t>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7,868,552</w:t>
            </w:r>
          </w:p>
        </w:tc>
        <w:tc>
          <w:tcPr>
            <w:tcW w:w="155"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5,192,678</w:t>
            </w:r>
          </w:p>
        </w:tc>
        <w:tc>
          <w:tcPr>
            <w:tcW w:w="163" w:type="dxa"/>
            <w:tcBorders/>
            <w:shd w:fill="CCEEFF" w:val="clear"/>
            <w:vAlign w:val="bottom"/>
          </w:tcPr>
          <w:p>
            <w:pPr>
              <w:pStyle w:val="TableContents"/>
              <w:bidi w:val="0"/>
              <w:spacing w:before="0" w:after="283"/>
              <w:jc w:val="left"/>
              <w:rPr/>
            </w:pPr>
            <w:r>
              <w:rPr/>
              <w:t> </w:t>
            </w:r>
          </w:p>
        </w:tc>
      </w:tr>
      <w:tr>
        <w:trPr/>
        <w:tc>
          <w:tcPr>
            <w:tcW w:w="3973"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(1,281,022</w:t>
            </w:r>
          </w:p>
        </w:tc>
        <w:tc>
          <w:tcPr>
            <w:tcW w:w="155"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(65,459</w:t>
            </w:r>
          </w:p>
        </w:tc>
        <w:tc>
          <w:tcPr>
            <w:tcW w:w="163" w:type="dxa"/>
            <w:tcBorders/>
            <w:vAlign w:val="bottom"/>
          </w:tcPr>
          <w:p>
            <w:pPr>
              <w:pStyle w:val="TableContents"/>
              <w:bidi w:val="0"/>
              <w:spacing w:before="0" w:after="283"/>
              <w:jc w:val="left"/>
              <w:rPr/>
            </w:pPr>
            <w:r>
              <w:rPr/>
              <w:t>) </w:t>
            </w:r>
          </w:p>
        </w:tc>
      </w:tr>
      <w:tr>
        <w:trPr/>
        <w:tc>
          <w:tcPr>
            <w:tcW w:w="3973"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9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w:t>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18,399,225</w:t>
            </w:r>
          </w:p>
        </w:tc>
        <w:tc>
          <w:tcPr>
            <w:tcW w:w="155"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11,811,695</w:t>
            </w:r>
          </w:p>
        </w:tc>
        <w:tc>
          <w:tcPr>
            <w:tcW w:w="163" w:type="dxa"/>
            <w:tcBorders/>
            <w:shd w:fill="CCEEFF" w:val="clear"/>
            <w:vAlign w:val="bottom"/>
          </w:tcPr>
          <w:p>
            <w:pPr>
              <w:pStyle w:val="TableContents"/>
              <w:bidi w:val="0"/>
              <w:spacing w:before="0" w:after="283"/>
              <w:jc w:val="left"/>
              <w:rPr/>
            </w:pPr>
            <w:r>
              <w:rPr/>
              <w:t> </w:t>
            </w:r>
          </w:p>
        </w:tc>
      </w:tr>
      <w:tr>
        <w:trPr/>
        <w:tc>
          <w:tcPr>
            <w:tcW w:w="3973"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bidi w:val="0"/>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 assurance can be given that any of these tax benefits will be recognized or realized. </w:t>
      </w:r>
    </w:p>
    <w:p>
      <w:pPr>
        <w:pStyle w:val="TextBody"/>
        <w:bidi w:val="0"/>
        <w:spacing w:before="120" w:after="0"/>
        <w:jc w:val="left"/>
        <w:rPr>
          <w:rFonts w:ascii="Times New Roman" w:hAnsi="Times New Roman"/>
          <w:sz w:val="20"/>
        </w:rPr>
      </w:pPr>
      <w:r>
        <w:rPr>
          <w:rFonts w:ascii="Times New Roman" w:hAnsi="Times New Roman"/>
          <w:sz w:val="20"/>
        </w:rPr>
        <w:t xml:space="preserve">During 2023, we do not expect any material reductions to our unrecognized tax benefits related to tax positions taken as of December 31, 2022. No assurance can be given as to the nature or impact of any changes in our unrecognized tax positions during 2022. </w:t>
      </w:r>
    </w:p>
    <w:p>
      <w:pPr>
        <w:pStyle w:val="TextBody"/>
        <w:bidi w:val="0"/>
        <w:spacing w:before="120" w:after="0"/>
        <w:jc w:val="left"/>
        <w:rPr>
          <w:rFonts w:ascii="Times New Roman" w:hAnsi="Times New Roman"/>
          <w:sz w:val="20"/>
        </w:rPr>
      </w:pPr>
      <w:r>
        <w:rPr>
          <w:rFonts w:ascii="Times New Roman" w:hAnsi="Times New Roman"/>
          <w:sz w:val="20"/>
        </w:rPr>
        <w:t xml:space="preserve">The tax effects of temporary differences that give rise to the significant portions of our deferred tax assets and liabilities are presented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05"/>
        <w:gridCol w:w="323"/>
        <w:gridCol w:w="151"/>
        <w:gridCol w:w="1343"/>
        <w:gridCol w:w="155"/>
        <w:gridCol w:w="323"/>
        <w:gridCol w:w="151"/>
        <w:gridCol w:w="1343"/>
        <w:gridCol w:w="161"/>
      </w:tblGrid>
      <w:tr>
        <w:trPr/>
        <w:tc>
          <w:tcPr>
            <w:tcW w:w="3805"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05"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155"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2021</w:t>
            </w:r>
          </w:p>
        </w:tc>
        <w:tc>
          <w:tcPr>
            <w:tcW w:w="161" w:type="dxa"/>
            <w:tcBorders/>
            <w:vAlign w:val="bottom"/>
          </w:tcPr>
          <w:p>
            <w:pPr>
              <w:pStyle w:val="TableContents"/>
              <w:bidi w:val="0"/>
              <w:spacing w:before="0" w:after="283"/>
              <w:jc w:val="left"/>
              <w:rPr/>
            </w:pPr>
            <w:r>
              <w:rPr/>
              <w:t> </w:t>
            </w:r>
          </w:p>
        </w:tc>
      </w:tr>
      <w:tr>
        <w:trPr/>
        <w:tc>
          <w:tcPr>
            <w:tcW w:w="38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32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4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805"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and other carryforwards</w:t>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b/>
              </w:rPr>
            </w:pPr>
            <w:r>
              <w:rPr>
                <w:b/>
              </w:rPr>
              <w:t>$</w:t>
            </w:r>
          </w:p>
        </w:tc>
        <w:tc>
          <w:tcPr>
            <w:tcW w:w="1343" w:type="dxa"/>
            <w:tcBorders/>
            <w:vAlign w:val="bottom"/>
          </w:tcPr>
          <w:p>
            <w:pPr>
              <w:pStyle w:val="TableContents"/>
              <w:bidi w:val="0"/>
              <w:spacing w:before="0" w:after="283"/>
              <w:jc w:val="right"/>
              <w:rPr/>
            </w:pPr>
            <w:r>
              <w:rPr/>
              <w:t>18,399,225</w:t>
            </w:r>
          </w:p>
        </w:tc>
        <w:tc>
          <w:tcPr>
            <w:tcW w:w="155"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b/>
              </w:rPr>
            </w:pPr>
            <w:r>
              <w:rPr>
                <w:b/>
              </w:rPr>
              <w:t>$</w:t>
            </w:r>
          </w:p>
        </w:tc>
        <w:tc>
          <w:tcPr>
            <w:tcW w:w="1343" w:type="dxa"/>
            <w:tcBorders/>
            <w:vAlign w:val="bottom"/>
          </w:tcPr>
          <w:p>
            <w:pPr>
              <w:pStyle w:val="TableContents"/>
              <w:bidi w:val="0"/>
              <w:spacing w:before="0" w:after="283"/>
              <w:jc w:val="right"/>
              <w:rPr/>
            </w:pPr>
            <w:r>
              <w:rPr/>
              <w:t>11,811,695</w:t>
            </w:r>
          </w:p>
        </w:tc>
        <w:tc>
          <w:tcPr>
            <w:tcW w:w="161" w:type="dxa"/>
            <w:tcBorders/>
            <w:vAlign w:val="bottom"/>
          </w:tcPr>
          <w:p>
            <w:pPr>
              <w:pStyle w:val="TableContents"/>
              <w:bidi w:val="0"/>
              <w:spacing w:before="0" w:after="283"/>
              <w:jc w:val="left"/>
              <w:rPr/>
            </w:pPr>
            <w:r>
              <w:rPr/>
              <w:t> </w:t>
            </w:r>
          </w:p>
        </w:tc>
      </w:tr>
      <w:tr>
        <w:trPr/>
        <w:tc>
          <w:tcPr>
            <w:tcW w:w="38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&amp; Equipment</w:t>
            </w:r>
          </w:p>
        </w:tc>
        <w:tc>
          <w:tcPr>
            <w:tcW w:w="32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2,661</w:t>
            </w:r>
          </w:p>
        </w:tc>
        <w:tc>
          <w:tcPr>
            <w:tcW w:w="155"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805" w:type="dxa"/>
            <w:tcBorders/>
          </w:tcPr>
          <w:p>
            <w:pPr>
              <w:pStyle w:val="TableContents"/>
              <w:bidi w:val="0"/>
              <w:spacing w:before="0" w:after="0"/>
              <w:jc w:val="left"/>
              <w:rPr>
                <w:rFonts w:ascii="Times New Roman" w:hAnsi="Times New Roman"/>
                <w:sz w:val="20"/>
              </w:rPr>
            </w:pPr>
            <w:r>
              <w:rPr>
                <w:rFonts w:ascii="Times New Roman" w:hAnsi="Times New Roman"/>
                <w:sz w:val="20"/>
              </w:rPr>
              <w:t>Short-term debt</w:t>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174,267</w:t>
            </w:r>
          </w:p>
        </w:tc>
        <w:tc>
          <w:tcPr>
            <w:tcW w:w="155"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132,443</w:t>
            </w:r>
          </w:p>
        </w:tc>
        <w:tc>
          <w:tcPr>
            <w:tcW w:w="161" w:type="dxa"/>
            <w:tcBorders/>
            <w:vAlign w:val="bottom"/>
          </w:tcPr>
          <w:p>
            <w:pPr>
              <w:pStyle w:val="TableContents"/>
              <w:bidi w:val="0"/>
              <w:spacing w:before="0" w:after="283"/>
              <w:jc w:val="left"/>
              <w:rPr/>
            </w:pPr>
            <w:r>
              <w:rPr/>
              <w:t> </w:t>
            </w:r>
          </w:p>
        </w:tc>
      </w:tr>
      <w:tr>
        <w:trPr/>
        <w:tc>
          <w:tcPr>
            <w:tcW w:w="38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payment liability</w:t>
            </w:r>
          </w:p>
        </w:tc>
        <w:tc>
          <w:tcPr>
            <w:tcW w:w="32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294,404</w:t>
            </w:r>
          </w:p>
        </w:tc>
        <w:tc>
          <w:tcPr>
            <w:tcW w:w="155"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265,180</w:t>
            </w:r>
          </w:p>
        </w:tc>
        <w:tc>
          <w:tcPr>
            <w:tcW w:w="161" w:type="dxa"/>
            <w:tcBorders/>
            <w:shd w:fill="CCEEFF" w:val="clear"/>
            <w:vAlign w:val="bottom"/>
          </w:tcPr>
          <w:p>
            <w:pPr>
              <w:pStyle w:val="TableContents"/>
              <w:bidi w:val="0"/>
              <w:spacing w:before="0" w:after="283"/>
              <w:jc w:val="left"/>
              <w:rPr/>
            </w:pPr>
            <w:r>
              <w:rPr/>
              <w:t> </w:t>
            </w:r>
          </w:p>
        </w:tc>
      </w:tr>
      <w:tr>
        <w:trPr/>
        <w:tc>
          <w:tcPr>
            <w:tcW w:w="3805"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debt</w:t>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6,325,677</w:t>
            </w:r>
          </w:p>
        </w:tc>
        <w:tc>
          <w:tcPr>
            <w:tcW w:w="155"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627,397</w:t>
            </w:r>
          </w:p>
        </w:tc>
        <w:tc>
          <w:tcPr>
            <w:tcW w:w="161" w:type="dxa"/>
            <w:tcBorders/>
            <w:vAlign w:val="bottom"/>
          </w:tcPr>
          <w:p>
            <w:pPr>
              <w:pStyle w:val="TableContents"/>
              <w:bidi w:val="0"/>
              <w:spacing w:before="0" w:after="283"/>
              <w:jc w:val="left"/>
              <w:rPr/>
            </w:pPr>
            <w:r>
              <w:rPr/>
              <w:t> </w:t>
            </w:r>
          </w:p>
        </w:tc>
      </w:tr>
      <w:tr>
        <w:trPr/>
        <w:tc>
          <w:tcPr>
            <w:tcW w:w="3805"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8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32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25,196,234</w:t>
            </w:r>
          </w:p>
        </w:tc>
        <w:tc>
          <w:tcPr>
            <w:tcW w:w="155"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12,836,715</w:t>
            </w:r>
          </w:p>
        </w:tc>
        <w:tc>
          <w:tcPr>
            <w:tcW w:w="161" w:type="dxa"/>
            <w:tcBorders/>
            <w:shd w:fill="CCEEFF" w:val="clear"/>
            <w:vAlign w:val="bottom"/>
          </w:tcPr>
          <w:p>
            <w:pPr>
              <w:pStyle w:val="TableContents"/>
              <w:bidi w:val="0"/>
              <w:spacing w:before="0" w:after="283"/>
              <w:jc w:val="left"/>
              <w:rPr/>
            </w:pPr>
            <w:r>
              <w:rPr/>
              <w:t> </w:t>
            </w:r>
          </w:p>
        </w:tc>
      </w:tr>
      <w:tr>
        <w:trPr/>
        <w:tc>
          <w:tcPr>
            <w:tcW w:w="3805"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(25,196,234</w:t>
            </w:r>
          </w:p>
        </w:tc>
        <w:tc>
          <w:tcPr>
            <w:tcW w:w="155"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(12,836,715</w:t>
            </w:r>
          </w:p>
        </w:tc>
        <w:tc>
          <w:tcPr>
            <w:tcW w:w="161" w:type="dxa"/>
            <w:tcBorders/>
            <w:vAlign w:val="bottom"/>
          </w:tcPr>
          <w:p>
            <w:pPr>
              <w:pStyle w:val="TableContents"/>
              <w:bidi w:val="0"/>
              <w:spacing w:before="0" w:after="283"/>
              <w:jc w:val="left"/>
              <w:rPr/>
            </w:pPr>
            <w:r>
              <w:rPr/>
              <w:t>) </w:t>
            </w:r>
          </w:p>
        </w:tc>
      </w:tr>
      <w:tr>
        <w:trPr/>
        <w:tc>
          <w:tcPr>
            <w:tcW w:w="3805"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8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 net of valuation allowance</w:t>
            </w:r>
          </w:p>
        </w:tc>
        <w:tc>
          <w:tcPr>
            <w:tcW w:w="32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805"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3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3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8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list</w:t>
            </w:r>
          </w:p>
        </w:tc>
        <w:tc>
          <w:tcPr>
            <w:tcW w:w="32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b/>
              </w:rPr>
            </w:pPr>
            <w:r>
              <w:rPr>
                <w:b/>
              </w:rPr>
              <w:t>$</w:t>
            </w:r>
          </w:p>
        </w:tc>
        <w:tc>
          <w:tcPr>
            <w:tcW w:w="1343" w:type="dxa"/>
            <w:tcBorders/>
            <w:shd w:fill="CCEEFF" w:val="clear"/>
            <w:vAlign w:val="bottom"/>
          </w:tcPr>
          <w:p>
            <w:pPr>
              <w:pStyle w:val="TableContents"/>
              <w:bidi w:val="0"/>
              <w:spacing w:before="0" w:after="283"/>
              <w:jc w:val="right"/>
              <w:rPr/>
            </w:pPr>
            <w:r>
              <w:rPr/>
              <w:t>1,526,622</w:t>
            </w:r>
          </w:p>
        </w:tc>
        <w:tc>
          <w:tcPr>
            <w:tcW w:w="155"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b/>
              </w:rPr>
            </w:pPr>
            <w:r>
              <w:rPr>
                <w:b/>
              </w:rPr>
              <w:t>$</w:t>
            </w:r>
          </w:p>
        </w:tc>
        <w:tc>
          <w:tcPr>
            <w:tcW w:w="1343" w:type="dxa"/>
            <w:tcBorders/>
            <w:shd w:fill="CCEEFF" w:val="clear"/>
            <w:vAlign w:val="bottom"/>
          </w:tcPr>
          <w:p>
            <w:pPr>
              <w:pStyle w:val="TableContents"/>
              <w:bidi w:val="0"/>
              <w:spacing w:before="0" w:after="283"/>
              <w:jc w:val="right"/>
              <w:rPr/>
            </w:pPr>
            <w:r>
              <w:rPr/>
              <w:t>1,770,457</w:t>
            </w:r>
          </w:p>
        </w:tc>
        <w:tc>
          <w:tcPr>
            <w:tcW w:w="161" w:type="dxa"/>
            <w:tcBorders/>
            <w:shd w:fill="CCEEFF" w:val="clear"/>
            <w:vAlign w:val="bottom"/>
          </w:tcPr>
          <w:p>
            <w:pPr>
              <w:pStyle w:val="TableContents"/>
              <w:bidi w:val="0"/>
              <w:spacing w:before="0" w:after="283"/>
              <w:jc w:val="left"/>
              <w:rPr/>
            </w:pPr>
            <w:r>
              <w:rPr/>
              <w:t> </w:t>
            </w:r>
          </w:p>
        </w:tc>
      </w:tr>
      <w:tr>
        <w:trPr/>
        <w:tc>
          <w:tcPr>
            <w:tcW w:w="3805"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8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Deferred tax liability</w:t>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b/>
              </w:rPr>
            </w:pPr>
            <w:r>
              <w:rPr>
                <w:b/>
              </w:rPr>
              <w:t>1,526,622</w:t>
            </w:r>
          </w:p>
        </w:tc>
        <w:tc>
          <w:tcPr>
            <w:tcW w:w="155"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b/>
              </w:rPr>
            </w:pPr>
            <w:r>
              <w:rPr>
                <w:b/>
              </w:rPr>
              <w:t>1,770,457</w:t>
            </w:r>
          </w:p>
        </w:tc>
        <w:tc>
          <w:tcPr>
            <w:tcW w:w="161" w:type="dxa"/>
            <w:tcBorders/>
            <w:vAlign w:val="bottom"/>
          </w:tcPr>
          <w:p>
            <w:pPr>
              <w:pStyle w:val="TableContents"/>
              <w:bidi w:val="0"/>
              <w:spacing w:before="0" w:after="283"/>
              <w:jc w:val="left"/>
              <w:rPr/>
            </w:pPr>
            <w:r>
              <w:rPr/>
              <w:t> </w:t>
            </w:r>
          </w:p>
        </w:tc>
      </w:tr>
      <w:tr>
        <w:trPr/>
        <w:tc>
          <w:tcPr>
            <w:tcW w:w="3805"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4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not recognized any uncertain tax position for the year ended December 31, 2022 and December 31, 2021,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financial statements as of December 31, 2022, we have evaluated subsequent events through June 13, 2023, which is the date such financial statements are available to be issued. </w:t>
      </w:r>
    </w:p>
    <w:p>
      <w:pPr>
        <w:pStyle w:val="TextBody"/>
        <w:bidi w:val="0"/>
        <w:spacing w:before="360" w:after="0"/>
        <w:jc w:val="left"/>
        <w:rPr>
          <w:rFonts w:ascii="Times New Roman" w:hAnsi="Times New Roman"/>
          <w:i/>
          <w:sz w:val="20"/>
        </w:rPr>
      </w:pPr>
      <w:r>
        <w:rPr>
          <w:rFonts w:ascii="Times New Roman" w:hAnsi="Times New Roman"/>
          <w:i/>
          <w:sz w:val="20"/>
        </w:rPr>
        <w:t xml:space="preserve">Execution of ordinary share subscription arrangement </w:t>
      </w:r>
    </w:p>
    <w:p>
      <w:pPr>
        <w:pStyle w:val="TextBody"/>
        <w:bidi w:val="0"/>
        <w:spacing w:before="120" w:after="0"/>
        <w:jc w:val="left"/>
        <w:rPr>
          <w:rFonts w:ascii="Times New Roman" w:hAnsi="Times New Roman"/>
          <w:sz w:val="20"/>
        </w:rPr>
      </w:pPr>
      <w:r>
        <w:rPr>
          <w:rFonts w:ascii="Times New Roman" w:hAnsi="Times New Roman"/>
          <w:sz w:val="20"/>
        </w:rPr>
        <w:t xml:space="preserve">On February 23, 2023, Rezolve Limited executed a $250 million capital commitment from Yorkville Advisors, a New Jersey based private alternative investment group, in the form of a share subscription facility. Under the agreement, Yorkville will provide Rezolve with up to $250 million in equity capital for a 36-month term following a public listing of the Companys ordinary share. Rezolve will not be obligated to draw the full $250 million but can do so in part or in whole at its discretion. Rezolve will control both the timing and amount of all drawdowns and will issue share to Yorkville on each drawn down from the facility. Proceeds from the Yorkville facility will be used for working capital and general corporate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7" w:name="fin309194_8"/>
      <w:bookmarkEnd w:id="47"/>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Board of Directors of </w:t>
      </w:r>
    </w:p>
    <w:p>
      <w:pPr>
        <w:pStyle w:val="TextBody"/>
        <w:bidi w:val="0"/>
        <w:spacing w:before="0" w:after="0"/>
        <w:jc w:val="left"/>
        <w:rPr>
          <w:rFonts w:ascii="Times New Roman" w:hAnsi="Times New Roman"/>
          <w:sz w:val="20"/>
        </w:rPr>
      </w:pPr>
      <w:r>
        <w:rPr>
          <w:rFonts w:ascii="Times New Roman" w:hAnsi="Times New Roman"/>
          <w:sz w:val="20"/>
        </w:rPr>
        <w:t xml:space="preserve">Armada Acquisition Corp. I </w:t>
      </w:r>
    </w:p>
    <w:p>
      <w:pPr>
        <w:pStyle w:val="TextBody"/>
        <w:bidi w:val="0"/>
        <w:spacing w:before="360" w:after="0"/>
        <w:jc w:val="left"/>
        <w:rPr>
          <w:rFonts w:ascii="Times New Roman" w:hAnsi="Times New Roman"/>
          <w:sz w:val="20"/>
        </w:rPr>
      </w:pPr>
      <w:r>
        <w:rPr>
          <w:rFonts w:ascii="Times New Roman" w:hAnsi="Times New Roman"/>
          <w:b/>
          <w:sz w:val="20"/>
        </w:rPr>
        <w:t>Opinion on the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balance sheets of Armada Acquisition Corp. I (the Company) as of September 30, 2022 and 2021, the related statements of operations, stockholders (deficit) equity and cash flows for the year ended September 30, 2022 and for the period from November 5, 2020 (inception) through September 30, 2021, and the related notes (collectively referred to as the financial statements). In our opinion, the financial statements present fairly, in all material respects, the financial position of the Company as of September 30, 2022 and 2021, and the results of its operations and its cash flows for the period from November 5, 2020 (inception) through September 30, 2021, in conformity with accounting principles generally accepted in the United States of America. </w:t>
      </w:r>
    </w:p>
    <w:p>
      <w:pPr>
        <w:pStyle w:val="TextBody"/>
        <w:bidi w:val="0"/>
        <w:spacing w:before="360" w:after="0"/>
        <w:jc w:val="left"/>
        <w:rPr>
          <w:rFonts w:ascii="Times New Roman" w:hAnsi="Times New Roman"/>
          <w:sz w:val="20"/>
        </w:rPr>
      </w:pPr>
      <w:r>
        <w:rPr>
          <w:rFonts w:ascii="Times New Roman" w:hAnsi="Times New Roman"/>
          <w:b/>
          <w:sz w:val="20"/>
        </w:rPr>
        <w:t>Explanatory Paragraph  Going Concern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more fully described in Note 1, the Companys business plan is dependent on the completion of a business combination and the Companys cash and working capital as of September 30, 2022 are not sufficient to complete its planned activities for a reasonable period of time, which is considered to be one year from the issuance date of the financial statements.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 </w:t>
      </w:r>
    </w:p>
    <w:p>
      <w:pPr>
        <w:pStyle w:val="TextBody"/>
        <w:bidi w:val="0"/>
        <w:spacing w:before="360" w:after="0"/>
        <w:jc w:val="left"/>
        <w:rPr>
          <w:rFonts w:ascii="Times New Roman" w:hAnsi="Times New Roman"/>
          <w:sz w:val="20"/>
        </w:rPr>
      </w:pPr>
      <w:r>
        <w:rPr>
          <w:rFonts w:ascii="Times New Roman" w:hAnsi="Times New Roman"/>
          <w:b/>
          <w:sz w:val="20"/>
        </w:rPr>
        <w:t>Basis for Opinion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Marcum LLP </w:t>
      </w:r>
    </w:p>
    <w:p>
      <w:pPr>
        <w:pStyle w:val="TextBody"/>
        <w:bidi w:val="0"/>
        <w:spacing w:before="0" w:after="0"/>
        <w:jc w:val="left"/>
        <w:rPr>
          <w:rFonts w:ascii="Times New Roman" w:hAnsi="Times New Roman"/>
          <w:sz w:val="20"/>
        </w:rPr>
      </w:pPr>
      <w:r>
        <w:rPr>
          <w:rFonts w:ascii="Times New Roman" w:hAnsi="Times New Roman"/>
          <w:sz w:val="20"/>
        </w:rPr>
        <w:t xml:space="preserve">Marcum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2021. </w:t>
      </w:r>
    </w:p>
    <w:p>
      <w:pPr>
        <w:pStyle w:val="TextBody"/>
        <w:bidi w:val="0"/>
        <w:spacing w:before="240" w:after="0"/>
        <w:jc w:val="left"/>
        <w:rPr>
          <w:rFonts w:ascii="Times New Roman" w:hAnsi="Times New Roman"/>
          <w:sz w:val="20"/>
        </w:rPr>
      </w:pPr>
      <w:r>
        <w:rPr>
          <w:rFonts w:ascii="Times New Roman" w:hAnsi="Times New Roman"/>
          <w:sz w:val="20"/>
        </w:rPr>
        <w:t xml:space="preserve">New York, NY </w:t>
      </w:r>
    </w:p>
    <w:p>
      <w:pPr>
        <w:pStyle w:val="TextBody"/>
        <w:bidi w:val="0"/>
        <w:spacing w:before="0" w:after="0"/>
        <w:jc w:val="left"/>
        <w:rPr>
          <w:rFonts w:ascii="Times New Roman" w:hAnsi="Times New Roman"/>
          <w:sz w:val="20"/>
        </w:rPr>
      </w:pPr>
      <w:r>
        <w:rPr>
          <w:rFonts w:ascii="Times New Roman" w:hAnsi="Times New Roman"/>
          <w:sz w:val="20"/>
        </w:rPr>
        <w:t xml:space="preserve">December 21,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bidi w:val="0"/>
        <w:spacing w:before="0" w:after="0"/>
        <w:jc w:val="center"/>
        <w:rPr>
          <w:rFonts w:ascii="Times New Roman" w:hAnsi="Times New Roman"/>
          <w:b/>
          <w:sz w:val="20"/>
        </w:rPr>
      </w:pPr>
      <w:bookmarkStart w:id="48" w:name="fin309194_9"/>
      <w:bookmarkEnd w:id="48"/>
      <w:r>
        <w:rPr>
          <w:rFonts w:ascii="Times New Roman" w:hAnsi="Times New Roman"/>
          <w:b/>
          <w:sz w:val="20"/>
        </w:rPr>
        <w:t xml:space="preserve">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28"/>
        <w:gridCol w:w="206"/>
        <w:gridCol w:w="151"/>
        <w:gridCol w:w="1350"/>
        <w:gridCol w:w="95"/>
        <w:gridCol w:w="174"/>
        <w:gridCol w:w="151"/>
        <w:gridCol w:w="1350"/>
        <w:gridCol w:w="100"/>
      </w:tblGrid>
      <w:tr>
        <w:trPr/>
        <w:tc>
          <w:tcPr>
            <w:tcW w:w="6628"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r>
      <w:tr>
        <w:trPr/>
        <w:tc>
          <w:tcPr>
            <w:tcW w:w="662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 30,</w:t>
            </w:r>
            <w:r>
              <w:rPr/>
              <w:br/>
            </w:r>
            <w:r>
              <w:rPr>
                <w:b/>
              </w:rPr>
              <w:t>2022</w:t>
            </w:r>
          </w:p>
        </w:tc>
        <w:tc>
          <w:tcPr>
            <w:tcW w:w="9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 30,</w:t>
            </w:r>
            <w:r>
              <w:rPr/>
              <w:br/>
            </w:r>
            <w:r>
              <w:rPr>
                <w:b/>
              </w:rPr>
              <w:t>2021</w:t>
            </w:r>
          </w:p>
        </w:tc>
        <w:tc>
          <w:tcPr>
            <w:tcW w:w="100" w:type="dxa"/>
            <w:tcBorders/>
            <w:vAlign w:val="bottom"/>
          </w:tcPr>
          <w:p>
            <w:pPr>
              <w:pStyle w:val="TableContents"/>
              <w:bidi w:val="0"/>
              <w:spacing w:before="0" w:after="283"/>
              <w:jc w:val="left"/>
              <w:rPr/>
            </w:pPr>
            <w:r>
              <w:rPr/>
              <w:t> </w:t>
            </w:r>
          </w:p>
        </w:tc>
      </w:tr>
      <w:tr>
        <w:trPr/>
        <w:tc>
          <w:tcPr>
            <w:tcW w:w="66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06"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r>
      <w:tr>
        <w:trPr/>
        <w:tc>
          <w:tcPr>
            <w:tcW w:w="6628"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50" w:type="dxa"/>
            <w:tcBorders/>
            <w:vAlign w:val="bottom"/>
          </w:tcPr>
          <w:p>
            <w:pPr>
              <w:pStyle w:val="TableContents"/>
              <w:bidi w:val="0"/>
              <w:spacing w:before="0" w:after="283"/>
              <w:jc w:val="right"/>
              <w:rPr/>
            </w:pPr>
            <w:r>
              <w:rPr/>
              <w:t>177,578</w:t>
            </w:r>
          </w:p>
        </w:tc>
        <w:tc>
          <w:tcPr>
            <w:tcW w:w="9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50" w:type="dxa"/>
            <w:tcBorders/>
            <w:vAlign w:val="bottom"/>
          </w:tcPr>
          <w:p>
            <w:pPr>
              <w:pStyle w:val="TableContents"/>
              <w:bidi w:val="0"/>
              <w:spacing w:before="0" w:after="283"/>
              <w:jc w:val="right"/>
              <w:rPr/>
            </w:pPr>
            <w:r>
              <w:rPr/>
              <w:t>657,590</w:t>
            </w:r>
          </w:p>
        </w:tc>
        <w:tc>
          <w:tcPr>
            <w:tcW w:w="100" w:type="dxa"/>
            <w:tcBorders/>
            <w:vAlign w:val="bottom"/>
          </w:tcPr>
          <w:p>
            <w:pPr>
              <w:pStyle w:val="TableContents"/>
              <w:bidi w:val="0"/>
              <w:spacing w:before="0" w:after="283"/>
              <w:jc w:val="left"/>
              <w:rPr/>
            </w:pPr>
            <w:r>
              <w:rPr/>
              <w:t> </w:t>
            </w:r>
          </w:p>
        </w:tc>
      </w:tr>
      <w:tr>
        <w:trPr/>
        <w:tc>
          <w:tcPr>
            <w:tcW w:w="6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06"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61,942</w:t>
            </w:r>
          </w:p>
        </w:tc>
        <w:tc>
          <w:tcPr>
            <w:tcW w:w="9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259,580</w:t>
            </w:r>
          </w:p>
        </w:tc>
        <w:tc>
          <w:tcPr>
            <w:tcW w:w="100" w:type="dxa"/>
            <w:tcBorders/>
            <w:shd w:fill="CCEEFF" w:val="clear"/>
            <w:vAlign w:val="bottom"/>
          </w:tcPr>
          <w:p>
            <w:pPr>
              <w:pStyle w:val="TableContents"/>
              <w:bidi w:val="0"/>
              <w:spacing w:before="0" w:after="283"/>
              <w:jc w:val="left"/>
              <w:rPr/>
            </w:pPr>
            <w:r>
              <w:rPr/>
              <w:t> </w:t>
            </w:r>
          </w:p>
        </w:tc>
      </w:tr>
      <w:tr>
        <w:trPr/>
        <w:tc>
          <w:tcPr>
            <w:tcW w:w="662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r>
      <w:tr>
        <w:trPr/>
        <w:tc>
          <w:tcPr>
            <w:tcW w:w="662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239,520</w:t>
            </w:r>
          </w:p>
        </w:tc>
        <w:tc>
          <w:tcPr>
            <w:tcW w:w="9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917,170</w:t>
            </w:r>
          </w:p>
        </w:tc>
        <w:tc>
          <w:tcPr>
            <w:tcW w:w="100" w:type="dxa"/>
            <w:tcBorders/>
            <w:vAlign w:val="bottom"/>
          </w:tcPr>
          <w:p>
            <w:pPr>
              <w:pStyle w:val="TableContents"/>
              <w:bidi w:val="0"/>
              <w:spacing w:before="0" w:after="283"/>
              <w:jc w:val="left"/>
              <w:rPr/>
            </w:pPr>
            <w:r>
              <w:rPr/>
              <w:t> </w:t>
            </w:r>
          </w:p>
        </w:tc>
      </w:tr>
      <w:tr>
        <w:trPr/>
        <w:tc>
          <w:tcPr>
            <w:tcW w:w="6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06"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201,282</w:t>
            </w:r>
          </w:p>
        </w:tc>
        <w:tc>
          <w:tcPr>
            <w:tcW w:w="100" w:type="dxa"/>
            <w:tcBorders/>
            <w:shd w:fill="CCEEFF" w:val="clear"/>
            <w:vAlign w:val="bottom"/>
          </w:tcPr>
          <w:p>
            <w:pPr>
              <w:pStyle w:val="TableContents"/>
              <w:bidi w:val="0"/>
              <w:spacing w:before="0" w:after="283"/>
              <w:jc w:val="left"/>
              <w:rPr/>
            </w:pPr>
            <w:r>
              <w:rPr/>
              <w:t> </w:t>
            </w:r>
          </w:p>
        </w:tc>
      </w:tr>
      <w:tr>
        <w:trPr/>
        <w:tc>
          <w:tcPr>
            <w:tcW w:w="6628" w:type="dxa"/>
            <w:tcBorders/>
          </w:tcPr>
          <w:p>
            <w:pPr>
              <w:pStyle w:val="TableContents"/>
              <w:bidi w:val="0"/>
              <w:spacing w:before="0" w:after="0"/>
              <w:jc w:val="left"/>
              <w:rPr>
                <w:rFonts w:ascii="Times New Roman" w:hAnsi="Times New Roman"/>
                <w:sz w:val="20"/>
              </w:rPr>
            </w:pPr>
            <w:r>
              <w:rPr>
                <w:rFonts w:ascii="Times New Roman" w:hAnsi="Times New Roman"/>
                <w:sz w:val="20"/>
              </w:rPr>
              <w:t>Investment held in Trust Account</w:t>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150,844,925</w:t>
            </w:r>
          </w:p>
        </w:tc>
        <w:tc>
          <w:tcPr>
            <w:tcW w:w="9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150,001,052</w:t>
            </w:r>
          </w:p>
        </w:tc>
        <w:tc>
          <w:tcPr>
            <w:tcW w:w="100" w:type="dxa"/>
            <w:tcBorders/>
            <w:vAlign w:val="bottom"/>
          </w:tcPr>
          <w:p>
            <w:pPr>
              <w:pStyle w:val="TableContents"/>
              <w:bidi w:val="0"/>
              <w:spacing w:before="0" w:after="283"/>
              <w:jc w:val="left"/>
              <w:rPr/>
            </w:pPr>
            <w:r>
              <w:rPr/>
              <w:t> </w:t>
            </w:r>
          </w:p>
        </w:tc>
      </w:tr>
      <w:tr>
        <w:trPr/>
        <w:tc>
          <w:tcPr>
            <w:tcW w:w="662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r>
      <w:tr>
        <w:trPr/>
        <w:tc>
          <w:tcPr>
            <w:tcW w:w="66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06"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50" w:type="dxa"/>
            <w:tcBorders/>
            <w:shd w:fill="CCEEFF" w:val="clear"/>
            <w:vAlign w:val="bottom"/>
          </w:tcPr>
          <w:p>
            <w:pPr>
              <w:pStyle w:val="TableContents"/>
              <w:bidi w:val="0"/>
              <w:spacing w:before="0" w:after="283"/>
              <w:jc w:val="right"/>
              <w:rPr/>
            </w:pPr>
            <w:r>
              <w:rPr/>
              <w:t>151,084,445</w:t>
            </w:r>
          </w:p>
        </w:tc>
        <w:tc>
          <w:tcPr>
            <w:tcW w:w="9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50" w:type="dxa"/>
            <w:tcBorders/>
            <w:shd w:fill="CCEEFF" w:val="clear"/>
            <w:vAlign w:val="bottom"/>
          </w:tcPr>
          <w:p>
            <w:pPr>
              <w:pStyle w:val="TableContents"/>
              <w:bidi w:val="0"/>
              <w:spacing w:before="0" w:after="283"/>
              <w:jc w:val="right"/>
              <w:rPr/>
            </w:pPr>
            <w:r>
              <w:rPr/>
              <w:t>151,119,504</w:t>
            </w:r>
          </w:p>
        </w:tc>
        <w:tc>
          <w:tcPr>
            <w:tcW w:w="100" w:type="dxa"/>
            <w:tcBorders/>
            <w:shd w:fill="CCEEFF" w:val="clear"/>
            <w:vAlign w:val="bottom"/>
          </w:tcPr>
          <w:p>
            <w:pPr>
              <w:pStyle w:val="TableContents"/>
              <w:bidi w:val="0"/>
              <w:spacing w:before="0" w:after="283"/>
              <w:jc w:val="left"/>
              <w:rPr/>
            </w:pPr>
            <w:r>
              <w:rPr/>
              <w:t> </w:t>
            </w:r>
          </w:p>
        </w:tc>
      </w:tr>
      <w:tr>
        <w:trPr/>
        <w:tc>
          <w:tcPr>
            <w:tcW w:w="662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r>
      <w:tr>
        <w:trPr/>
        <w:tc>
          <w:tcPr>
            <w:tcW w:w="662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Common Stock Subject to Possible Redemption and Stockholders (Deficit) Equity</w:t>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r>
      <w:tr>
        <w:trPr/>
        <w:tc>
          <w:tcPr>
            <w:tcW w:w="6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06"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r>
      <w:tr>
        <w:trPr/>
        <w:tc>
          <w:tcPr>
            <w:tcW w:w="662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50" w:type="dxa"/>
            <w:tcBorders/>
            <w:vAlign w:val="bottom"/>
          </w:tcPr>
          <w:p>
            <w:pPr>
              <w:pStyle w:val="TableContents"/>
              <w:bidi w:val="0"/>
              <w:spacing w:before="0" w:after="283"/>
              <w:jc w:val="right"/>
              <w:rPr/>
            </w:pPr>
            <w:r>
              <w:rPr/>
              <w:t>3,137,535</w:t>
            </w:r>
          </w:p>
        </w:tc>
        <w:tc>
          <w:tcPr>
            <w:tcW w:w="9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50" w:type="dxa"/>
            <w:tcBorders/>
            <w:vAlign w:val="bottom"/>
          </w:tcPr>
          <w:p>
            <w:pPr>
              <w:pStyle w:val="TableContents"/>
              <w:bidi w:val="0"/>
              <w:spacing w:before="0" w:after="283"/>
              <w:jc w:val="right"/>
              <w:rPr/>
            </w:pPr>
            <w:r>
              <w:rPr/>
              <w:t>93,467</w:t>
            </w:r>
          </w:p>
        </w:tc>
        <w:tc>
          <w:tcPr>
            <w:tcW w:w="100" w:type="dxa"/>
            <w:tcBorders/>
            <w:vAlign w:val="bottom"/>
          </w:tcPr>
          <w:p>
            <w:pPr>
              <w:pStyle w:val="TableContents"/>
              <w:bidi w:val="0"/>
              <w:spacing w:before="0" w:after="283"/>
              <w:jc w:val="left"/>
              <w:rPr/>
            </w:pPr>
            <w:r>
              <w:rPr/>
              <w:t> </w:t>
            </w:r>
          </w:p>
        </w:tc>
      </w:tr>
      <w:tr>
        <w:trPr/>
        <w:tc>
          <w:tcPr>
            <w:tcW w:w="6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Franchise tax payable</w:t>
            </w:r>
          </w:p>
        </w:tc>
        <w:tc>
          <w:tcPr>
            <w:tcW w:w="206"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150,000</w:t>
            </w:r>
          </w:p>
        </w:tc>
        <w:tc>
          <w:tcPr>
            <w:tcW w:w="9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25,671</w:t>
            </w:r>
          </w:p>
        </w:tc>
        <w:tc>
          <w:tcPr>
            <w:tcW w:w="100" w:type="dxa"/>
            <w:tcBorders/>
            <w:shd w:fill="CCEEFF" w:val="clear"/>
            <w:vAlign w:val="bottom"/>
          </w:tcPr>
          <w:p>
            <w:pPr>
              <w:pStyle w:val="TableContents"/>
              <w:bidi w:val="0"/>
              <w:spacing w:before="0" w:after="283"/>
              <w:jc w:val="left"/>
              <w:rPr/>
            </w:pPr>
            <w:r>
              <w:rPr/>
              <w:t> </w:t>
            </w:r>
          </w:p>
        </w:tc>
      </w:tr>
      <w:tr>
        <w:trPr/>
        <w:tc>
          <w:tcPr>
            <w:tcW w:w="662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145,621</w:t>
            </w:r>
          </w:p>
        </w:tc>
        <w:tc>
          <w:tcPr>
            <w:tcW w:w="9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r>
      <w:tr>
        <w:trPr/>
        <w:tc>
          <w:tcPr>
            <w:tcW w:w="6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Promissory Notes-Related Party</w:t>
            </w:r>
          </w:p>
        </w:tc>
        <w:tc>
          <w:tcPr>
            <w:tcW w:w="206"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251,754</w:t>
            </w:r>
          </w:p>
        </w:tc>
        <w:tc>
          <w:tcPr>
            <w:tcW w:w="9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r>
      <w:tr>
        <w:trPr/>
        <w:tc>
          <w:tcPr>
            <w:tcW w:w="6628" w:type="dxa"/>
            <w:tcBorders/>
          </w:tcPr>
          <w:p>
            <w:pPr>
              <w:pStyle w:val="TableContents"/>
              <w:bidi w:val="0"/>
              <w:spacing w:before="0" w:after="0"/>
              <w:jc w:val="left"/>
              <w:rPr>
                <w:rFonts w:ascii="Times New Roman" w:hAnsi="Times New Roman"/>
                <w:sz w:val="20"/>
              </w:rPr>
            </w:pPr>
            <w:r>
              <w:rPr>
                <w:rFonts w:ascii="Times New Roman" w:hAnsi="Times New Roman"/>
                <w:sz w:val="20"/>
              </w:rPr>
              <w:t>Accrued offering costs</w:t>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89,889</w:t>
            </w:r>
          </w:p>
        </w:tc>
        <w:tc>
          <w:tcPr>
            <w:tcW w:w="100" w:type="dxa"/>
            <w:tcBorders/>
            <w:vAlign w:val="bottom"/>
          </w:tcPr>
          <w:p>
            <w:pPr>
              <w:pStyle w:val="TableContents"/>
              <w:bidi w:val="0"/>
              <w:spacing w:before="0" w:after="283"/>
              <w:jc w:val="left"/>
              <w:rPr/>
            </w:pPr>
            <w:r>
              <w:rPr/>
              <w:t> </w:t>
            </w:r>
          </w:p>
        </w:tc>
      </w:tr>
      <w:tr>
        <w:trPr/>
        <w:tc>
          <w:tcPr>
            <w:tcW w:w="662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r>
      <w:tr>
        <w:trPr/>
        <w:tc>
          <w:tcPr>
            <w:tcW w:w="66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06"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3,684,910</w:t>
            </w:r>
          </w:p>
        </w:tc>
        <w:tc>
          <w:tcPr>
            <w:tcW w:w="9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209,027</w:t>
            </w:r>
          </w:p>
        </w:tc>
        <w:tc>
          <w:tcPr>
            <w:tcW w:w="100" w:type="dxa"/>
            <w:tcBorders/>
            <w:shd w:fill="CCEEFF" w:val="clear"/>
            <w:vAlign w:val="bottom"/>
          </w:tcPr>
          <w:p>
            <w:pPr>
              <w:pStyle w:val="TableContents"/>
              <w:bidi w:val="0"/>
              <w:spacing w:before="0" w:after="283"/>
              <w:jc w:val="left"/>
              <w:rPr/>
            </w:pPr>
            <w:r>
              <w:rPr/>
              <w:t> </w:t>
            </w:r>
          </w:p>
        </w:tc>
      </w:tr>
      <w:tr>
        <w:trPr/>
        <w:tc>
          <w:tcPr>
            <w:tcW w:w="6628" w:type="dxa"/>
            <w:tcBorders/>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6)</w:t>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r>
      <w:tr>
        <w:trPr/>
        <w:tc>
          <w:tcPr>
            <w:tcW w:w="6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subject to possible redemption, 15,000,000 shares at redemption value of approximately $10.04 and $10.00 per share at September 30, 2022 and 2021, respectively</w:t>
            </w:r>
          </w:p>
        </w:tc>
        <w:tc>
          <w:tcPr>
            <w:tcW w:w="206"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150,548,862</w:t>
            </w:r>
          </w:p>
        </w:tc>
        <w:tc>
          <w:tcPr>
            <w:tcW w:w="9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150,000,000</w:t>
            </w:r>
          </w:p>
        </w:tc>
        <w:tc>
          <w:tcPr>
            <w:tcW w:w="100" w:type="dxa"/>
            <w:tcBorders/>
            <w:shd w:fill="CCEEFF" w:val="clear"/>
            <w:vAlign w:val="bottom"/>
          </w:tcPr>
          <w:p>
            <w:pPr>
              <w:pStyle w:val="TableContents"/>
              <w:bidi w:val="0"/>
              <w:spacing w:before="0" w:after="283"/>
              <w:jc w:val="left"/>
              <w:rPr/>
            </w:pPr>
            <w:r>
              <w:rPr/>
              <w:t> </w:t>
            </w:r>
          </w:p>
        </w:tc>
      </w:tr>
      <w:tr>
        <w:trPr/>
        <w:tc>
          <w:tcPr>
            <w:tcW w:w="6628"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Stockholders (Deficit) Equity:</w:t>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r>
      <w:tr>
        <w:trPr/>
        <w:tc>
          <w:tcPr>
            <w:tcW w:w="6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1,000,000 shares authorized; none issued or outstanding</w:t>
            </w:r>
          </w:p>
        </w:tc>
        <w:tc>
          <w:tcPr>
            <w:tcW w:w="206"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r>
      <w:tr>
        <w:trPr/>
        <w:tc>
          <w:tcPr>
            <w:tcW w:w="662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$0.0001 par value; 100,000,000 shares authorized, 5,709,500 and 6,834,500 shares issued and outstanding (excluding 15,000,000 shares subject to possible redemption) at September 30, 2022 and 2021, respectively</w:t>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570</w:t>
            </w:r>
          </w:p>
        </w:tc>
        <w:tc>
          <w:tcPr>
            <w:tcW w:w="9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683</w:t>
            </w:r>
          </w:p>
        </w:tc>
        <w:tc>
          <w:tcPr>
            <w:tcW w:w="100" w:type="dxa"/>
            <w:tcBorders/>
            <w:vAlign w:val="bottom"/>
          </w:tcPr>
          <w:p>
            <w:pPr>
              <w:pStyle w:val="TableContents"/>
              <w:bidi w:val="0"/>
              <w:spacing w:before="0" w:after="283"/>
              <w:jc w:val="left"/>
              <w:rPr/>
            </w:pPr>
            <w:r>
              <w:rPr/>
              <w:t> </w:t>
            </w:r>
          </w:p>
        </w:tc>
      </w:tr>
      <w:tr>
        <w:trPr/>
        <w:tc>
          <w:tcPr>
            <w:tcW w:w="6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06"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941,796</w:t>
            </w:r>
          </w:p>
        </w:tc>
        <w:tc>
          <w:tcPr>
            <w:tcW w:w="9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1,378,693</w:t>
            </w:r>
          </w:p>
        </w:tc>
        <w:tc>
          <w:tcPr>
            <w:tcW w:w="100" w:type="dxa"/>
            <w:tcBorders/>
            <w:shd w:fill="CCEEFF" w:val="clear"/>
            <w:vAlign w:val="bottom"/>
          </w:tcPr>
          <w:p>
            <w:pPr>
              <w:pStyle w:val="TableContents"/>
              <w:bidi w:val="0"/>
              <w:spacing w:before="0" w:after="283"/>
              <w:jc w:val="left"/>
              <w:rPr/>
            </w:pPr>
            <w:r>
              <w:rPr/>
              <w:t> </w:t>
            </w:r>
          </w:p>
        </w:tc>
      </w:tr>
      <w:tr>
        <w:trPr/>
        <w:tc>
          <w:tcPr>
            <w:tcW w:w="662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(4,091,693</w:t>
            </w:r>
          </w:p>
        </w:tc>
        <w:tc>
          <w:tcPr>
            <w:tcW w:w="95" w:type="dxa"/>
            <w:tcBorders/>
            <w:vAlign w:val="bottom"/>
          </w:tcPr>
          <w:p>
            <w:pPr>
              <w:pStyle w:val="TableContents"/>
              <w:bidi w:val="0"/>
              <w:spacing w:before="0" w:after="283"/>
              <w:jc w:val="left"/>
              <w:rPr/>
            </w:pPr>
            <w:r>
              <w:rPr/>
              <w:t>)</w:t>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(468,899</w:t>
            </w:r>
          </w:p>
        </w:tc>
        <w:tc>
          <w:tcPr>
            <w:tcW w:w="100" w:type="dxa"/>
            <w:tcBorders/>
            <w:vAlign w:val="bottom"/>
          </w:tcPr>
          <w:p>
            <w:pPr>
              <w:pStyle w:val="TableContents"/>
              <w:bidi w:val="0"/>
              <w:spacing w:before="0" w:after="283"/>
              <w:jc w:val="left"/>
              <w:rPr/>
            </w:pPr>
            <w:r>
              <w:rPr/>
              <w:t>)</w:t>
            </w:r>
          </w:p>
        </w:tc>
      </w:tr>
      <w:tr>
        <w:trPr/>
        <w:tc>
          <w:tcPr>
            <w:tcW w:w="662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r>
      <w:tr>
        <w:trPr/>
        <w:tc>
          <w:tcPr>
            <w:tcW w:w="66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Stockholders (Deficit) Equity</w:t>
            </w:r>
          </w:p>
        </w:tc>
        <w:tc>
          <w:tcPr>
            <w:tcW w:w="206"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(3,149,327</w:t>
            </w:r>
          </w:p>
        </w:tc>
        <w:tc>
          <w:tcPr>
            <w:tcW w:w="95" w:type="dxa"/>
            <w:tcBorders/>
            <w:shd w:fill="CCEEFF" w:val="clear"/>
            <w:vAlign w:val="bottom"/>
          </w:tcPr>
          <w:p>
            <w:pPr>
              <w:pStyle w:val="TableContents"/>
              <w:bidi w:val="0"/>
              <w:spacing w:before="0" w:after="283"/>
              <w:jc w:val="left"/>
              <w:rPr/>
            </w:pPr>
            <w:r>
              <w:rPr/>
              <w:t>)</w:t>
            </w:r>
          </w:p>
        </w:tc>
        <w:tc>
          <w:tcPr>
            <w:tcW w:w="1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910,477</w:t>
            </w:r>
          </w:p>
        </w:tc>
        <w:tc>
          <w:tcPr>
            <w:tcW w:w="100" w:type="dxa"/>
            <w:tcBorders/>
            <w:shd w:fill="CCEEFF" w:val="clear"/>
            <w:vAlign w:val="bottom"/>
          </w:tcPr>
          <w:p>
            <w:pPr>
              <w:pStyle w:val="TableContents"/>
              <w:bidi w:val="0"/>
              <w:spacing w:before="0" w:after="283"/>
              <w:jc w:val="left"/>
              <w:rPr/>
            </w:pPr>
            <w:r>
              <w:rPr/>
              <w:t> </w:t>
            </w:r>
          </w:p>
        </w:tc>
      </w:tr>
      <w:tr>
        <w:trPr/>
        <w:tc>
          <w:tcPr>
            <w:tcW w:w="662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r>
      <w:tr>
        <w:trPr/>
        <w:tc>
          <w:tcPr>
            <w:tcW w:w="662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Common Stock Subject to Possible Redemption and Stockholders (Deficit) Equity</w:t>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50" w:type="dxa"/>
            <w:tcBorders/>
            <w:vAlign w:val="bottom"/>
          </w:tcPr>
          <w:p>
            <w:pPr>
              <w:pStyle w:val="TableContents"/>
              <w:bidi w:val="0"/>
              <w:spacing w:before="0" w:after="283"/>
              <w:jc w:val="right"/>
              <w:rPr/>
            </w:pPr>
            <w:r>
              <w:rPr/>
              <w:t>151,084,445</w:t>
            </w:r>
          </w:p>
        </w:tc>
        <w:tc>
          <w:tcPr>
            <w:tcW w:w="9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50" w:type="dxa"/>
            <w:tcBorders/>
            <w:vAlign w:val="bottom"/>
          </w:tcPr>
          <w:p>
            <w:pPr>
              <w:pStyle w:val="TableContents"/>
              <w:bidi w:val="0"/>
              <w:spacing w:before="0" w:after="283"/>
              <w:jc w:val="right"/>
              <w:rPr/>
            </w:pPr>
            <w:r>
              <w:rPr/>
              <w:t>151,119,504</w:t>
            </w:r>
          </w:p>
        </w:tc>
        <w:tc>
          <w:tcPr>
            <w:tcW w:w="100" w:type="dxa"/>
            <w:tcBorders/>
            <w:vAlign w:val="bottom"/>
          </w:tcPr>
          <w:p>
            <w:pPr>
              <w:pStyle w:val="TableContents"/>
              <w:bidi w:val="0"/>
              <w:spacing w:before="0" w:after="283"/>
              <w:jc w:val="left"/>
              <w:rPr/>
            </w:pPr>
            <w:r>
              <w:rPr/>
              <w:t> </w:t>
            </w:r>
          </w:p>
        </w:tc>
      </w:tr>
      <w:tr>
        <w:trPr/>
        <w:tc>
          <w:tcPr>
            <w:tcW w:w="662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bidi w:val="0"/>
        <w:spacing w:before="0" w:after="0"/>
        <w:jc w:val="center"/>
        <w:rPr>
          <w:rFonts w:ascii="Times New Roman" w:hAnsi="Times New Roman"/>
          <w:b/>
          <w:sz w:val="20"/>
        </w:rPr>
      </w:pPr>
      <w:bookmarkStart w:id="49" w:name="fin309194_10"/>
      <w:bookmarkEnd w:id="49"/>
      <w:r>
        <w:rPr>
          <w:rFonts w:ascii="Times New Roman" w:hAnsi="Times New Roman"/>
          <w:b/>
          <w:sz w:val="20"/>
        </w:rPr>
        <w:t xml:space="preserve">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5"/>
        <w:gridCol w:w="501"/>
        <w:gridCol w:w="227"/>
        <w:gridCol w:w="1794"/>
        <w:gridCol w:w="155"/>
        <w:gridCol w:w="454"/>
        <w:gridCol w:w="255"/>
        <w:gridCol w:w="1795"/>
        <w:gridCol w:w="159"/>
      </w:tblGrid>
      <w:tr>
        <w:trPr/>
        <w:tc>
          <w:tcPr>
            <w:tcW w:w="4865"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5"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20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September 30, 2022</w:t>
            </w:r>
          </w:p>
        </w:tc>
        <w:tc>
          <w:tcPr>
            <w:tcW w:w="155"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0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November 5, 2020</w:t>
              <w:br/>
              <w:t>(inception) through</w:t>
              <w:br/>
              <w:t>September 30, 2021</w:t>
            </w:r>
          </w:p>
        </w:tc>
        <w:tc>
          <w:tcPr>
            <w:tcW w:w="159" w:type="dxa"/>
            <w:tcBorders/>
            <w:vAlign w:val="bottom"/>
          </w:tcPr>
          <w:p>
            <w:pPr>
              <w:pStyle w:val="TableContents"/>
              <w:bidi w:val="0"/>
              <w:spacing w:before="0" w:after="283"/>
              <w:jc w:val="left"/>
              <w:rPr/>
            </w:pPr>
            <w:r>
              <w:rPr/>
              <w:t> </w:t>
            </w:r>
          </w:p>
        </w:tc>
      </w:tr>
      <w:tr>
        <w:trPr/>
        <w:tc>
          <w:tcPr>
            <w:tcW w:w="4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Formation and operating costs</w:t>
            </w:r>
          </w:p>
        </w:tc>
        <w:tc>
          <w:tcPr>
            <w:tcW w:w="501"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794" w:type="dxa"/>
            <w:tcBorders/>
            <w:shd w:fill="CCEEFF" w:val="clear"/>
            <w:vAlign w:val="bottom"/>
          </w:tcPr>
          <w:p>
            <w:pPr>
              <w:pStyle w:val="TableContents"/>
              <w:bidi w:val="0"/>
              <w:spacing w:before="0" w:after="283"/>
              <w:jc w:val="right"/>
              <w:rPr/>
            </w:pPr>
            <w:r>
              <w:rPr/>
              <w:t>4,391,263</w:t>
            </w:r>
          </w:p>
        </w:tc>
        <w:tc>
          <w:tcPr>
            <w:tcW w:w="155"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795" w:type="dxa"/>
            <w:tcBorders/>
            <w:shd w:fill="CCEEFF" w:val="clear"/>
            <w:vAlign w:val="bottom"/>
          </w:tcPr>
          <w:p>
            <w:pPr>
              <w:pStyle w:val="TableContents"/>
              <w:bidi w:val="0"/>
              <w:spacing w:before="0" w:after="283"/>
              <w:jc w:val="right"/>
              <w:rPr/>
            </w:pPr>
            <w:r>
              <w:rPr/>
              <w:t>184,105</w:t>
            </w:r>
          </w:p>
        </w:tc>
        <w:tc>
          <w:tcPr>
            <w:tcW w:w="159" w:type="dxa"/>
            <w:tcBorders/>
            <w:shd w:fill="CCEEFF" w:val="clear"/>
            <w:vAlign w:val="bottom"/>
          </w:tcPr>
          <w:p>
            <w:pPr>
              <w:pStyle w:val="TableContents"/>
              <w:bidi w:val="0"/>
              <w:spacing w:before="0" w:after="283"/>
              <w:jc w:val="left"/>
              <w:rPr/>
            </w:pPr>
            <w:r>
              <w:rPr/>
              <w:t> </w:t>
            </w:r>
          </w:p>
        </w:tc>
      </w:tr>
      <w:tr>
        <w:trPr/>
        <w:tc>
          <w:tcPr>
            <w:tcW w:w="486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50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794" w:type="dxa"/>
            <w:tcBorders/>
            <w:vAlign w:val="bottom"/>
          </w:tcPr>
          <w:p>
            <w:pPr>
              <w:pStyle w:val="TableContents"/>
              <w:bidi w:val="0"/>
              <w:spacing w:before="0" w:after="283"/>
              <w:jc w:val="right"/>
              <w:rPr/>
            </w:pPr>
            <w:r>
              <w:rPr/>
              <w:t>111,852</w:t>
            </w:r>
          </w:p>
        </w:tc>
        <w:tc>
          <w:tcPr>
            <w:tcW w:w="155"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285,846</w:t>
            </w:r>
          </w:p>
        </w:tc>
        <w:tc>
          <w:tcPr>
            <w:tcW w:w="159" w:type="dxa"/>
            <w:tcBorders/>
            <w:vAlign w:val="bottom"/>
          </w:tcPr>
          <w:p>
            <w:pPr>
              <w:pStyle w:val="TableContents"/>
              <w:bidi w:val="0"/>
              <w:spacing w:before="0" w:after="283"/>
              <w:jc w:val="left"/>
              <w:rPr/>
            </w:pPr>
            <w:r>
              <w:rPr/>
              <w:t> </w:t>
            </w:r>
          </w:p>
        </w:tc>
      </w:tr>
      <w:tr>
        <w:trPr/>
        <w:tc>
          <w:tcPr>
            <w:tcW w:w="4865"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7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501"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794" w:type="dxa"/>
            <w:tcBorders/>
            <w:shd w:fill="CCEEFF" w:val="clear"/>
            <w:vAlign w:val="bottom"/>
          </w:tcPr>
          <w:p>
            <w:pPr>
              <w:pStyle w:val="TableContents"/>
              <w:bidi w:val="0"/>
              <w:spacing w:before="0" w:after="283"/>
              <w:jc w:val="right"/>
              <w:rPr/>
            </w:pPr>
            <w:r>
              <w:rPr/>
              <w:t>(4,503,115</w:t>
            </w:r>
          </w:p>
        </w:tc>
        <w:tc>
          <w:tcPr>
            <w:tcW w:w="155"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(469,951</w:t>
            </w:r>
          </w:p>
        </w:tc>
        <w:tc>
          <w:tcPr>
            <w:tcW w:w="159" w:type="dxa"/>
            <w:tcBorders/>
            <w:shd w:fill="CCEEFF" w:val="clear"/>
            <w:vAlign w:val="bottom"/>
          </w:tcPr>
          <w:p>
            <w:pPr>
              <w:pStyle w:val="TableContents"/>
              <w:bidi w:val="0"/>
              <w:spacing w:before="0" w:after="283"/>
              <w:jc w:val="left"/>
              <w:rPr/>
            </w:pPr>
            <w:r>
              <w:rPr/>
              <w:t>)</w:t>
            </w:r>
          </w:p>
        </w:tc>
      </w:tr>
      <w:tr>
        <w:trPr/>
        <w:tc>
          <w:tcPr>
            <w:tcW w:w="4865"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7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65"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income</w:t>
            </w:r>
          </w:p>
        </w:tc>
        <w:tc>
          <w:tcPr>
            <w:tcW w:w="50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sz w:val="4"/>
                <w:szCs w:val="4"/>
              </w:rPr>
            </w:pPr>
            <w:r>
              <w:rPr>
                <w:sz w:val="4"/>
                <w:szCs w:val="4"/>
              </w:rPr>
            </w:r>
          </w:p>
        </w:tc>
        <w:tc>
          <w:tcPr>
            <w:tcW w:w="17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79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Trust interest income</w:t>
            </w:r>
          </w:p>
        </w:tc>
        <w:tc>
          <w:tcPr>
            <w:tcW w:w="501"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794" w:type="dxa"/>
            <w:tcBorders/>
            <w:shd w:fill="CCEEFF" w:val="clear"/>
            <w:vAlign w:val="bottom"/>
          </w:tcPr>
          <w:p>
            <w:pPr>
              <w:pStyle w:val="TableContents"/>
              <w:bidi w:val="0"/>
              <w:spacing w:before="0" w:after="283"/>
              <w:jc w:val="right"/>
              <w:rPr/>
            </w:pPr>
            <w:r>
              <w:rPr/>
              <w:t>1,025,942</w:t>
            </w:r>
          </w:p>
        </w:tc>
        <w:tc>
          <w:tcPr>
            <w:tcW w:w="155"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1,052</w:t>
            </w:r>
          </w:p>
        </w:tc>
        <w:tc>
          <w:tcPr>
            <w:tcW w:w="159" w:type="dxa"/>
            <w:tcBorders/>
            <w:shd w:fill="CCEEFF" w:val="clear"/>
            <w:vAlign w:val="bottom"/>
          </w:tcPr>
          <w:p>
            <w:pPr>
              <w:pStyle w:val="TableContents"/>
              <w:bidi w:val="0"/>
              <w:spacing w:before="0" w:after="283"/>
              <w:jc w:val="left"/>
              <w:rPr/>
            </w:pPr>
            <w:r>
              <w:rPr/>
              <w:t> </w:t>
            </w:r>
          </w:p>
        </w:tc>
      </w:tr>
      <w:tr>
        <w:trPr/>
        <w:tc>
          <w:tcPr>
            <w:tcW w:w="4865"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7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6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other income</w:t>
            </w:r>
          </w:p>
        </w:tc>
        <w:tc>
          <w:tcPr>
            <w:tcW w:w="50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794" w:type="dxa"/>
            <w:tcBorders/>
            <w:vAlign w:val="bottom"/>
          </w:tcPr>
          <w:p>
            <w:pPr>
              <w:pStyle w:val="TableContents"/>
              <w:bidi w:val="0"/>
              <w:spacing w:before="0" w:after="283"/>
              <w:jc w:val="right"/>
              <w:rPr/>
            </w:pPr>
            <w:r>
              <w:rPr/>
              <w:t>1,025,942</w:t>
            </w:r>
          </w:p>
        </w:tc>
        <w:tc>
          <w:tcPr>
            <w:tcW w:w="155"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1,052</w:t>
            </w:r>
          </w:p>
        </w:tc>
        <w:tc>
          <w:tcPr>
            <w:tcW w:w="159" w:type="dxa"/>
            <w:tcBorders/>
            <w:vAlign w:val="bottom"/>
          </w:tcPr>
          <w:p>
            <w:pPr>
              <w:pStyle w:val="TableContents"/>
              <w:bidi w:val="0"/>
              <w:spacing w:before="0" w:after="283"/>
              <w:jc w:val="left"/>
              <w:rPr/>
            </w:pPr>
            <w:r>
              <w:rPr/>
              <w:t> </w:t>
            </w:r>
          </w:p>
        </w:tc>
      </w:tr>
      <w:tr>
        <w:trPr/>
        <w:tc>
          <w:tcPr>
            <w:tcW w:w="4865"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7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before income tax provision</w:t>
            </w:r>
          </w:p>
        </w:tc>
        <w:tc>
          <w:tcPr>
            <w:tcW w:w="501"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794" w:type="dxa"/>
            <w:tcBorders/>
            <w:shd w:fill="CCEEFF" w:val="clear"/>
            <w:vAlign w:val="bottom"/>
          </w:tcPr>
          <w:p>
            <w:pPr>
              <w:pStyle w:val="TableContents"/>
              <w:bidi w:val="0"/>
              <w:spacing w:before="0" w:after="283"/>
              <w:jc w:val="right"/>
              <w:rPr/>
            </w:pPr>
            <w:r>
              <w:rPr/>
              <w:t>(3,477,173</w:t>
            </w:r>
          </w:p>
        </w:tc>
        <w:tc>
          <w:tcPr>
            <w:tcW w:w="155"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(468,899</w:t>
            </w:r>
          </w:p>
        </w:tc>
        <w:tc>
          <w:tcPr>
            <w:tcW w:w="159" w:type="dxa"/>
            <w:tcBorders/>
            <w:shd w:fill="CCEEFF" w:val="clear"/>
            <w:vAlign w:val="bottom"/>
          </w:tcPr>
          <w:p>
            <w:pPr>
              <w:pStyle w:val="TableContents"/>
              <w:bidi w:val="0"/>
              <w:spacing w:before="0" w:after="283"/>
              <w:jc w:val="left"/>
              <w:rPr/>
            </w:pPr>
            <w:r>
              <w:rPr/>
              <w:t>) </w:t>
            </w:r>
          </w:p>
        </w:tc>
      </w:tr>
      <w:tr>
        <w:trPr/>
        <w:tc>
          <w:tcPr>
            <w:tcW w:w="486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50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794" w:type="dxa"/>
            <w:tcBorders/>
            <w:vAlign w:val="bottom"/>
          </w:tcPr>
          <w:p>
            <w:pPr>
              <w:pStyle w:val="TableContents"/>
              <w:bidi w:val="0"/>
              <w:spacing w:before="0" w:after="283"/>
              <w:jc w:val="right"/>
              <w:rPr/>
            </w:pPr>
            <w:r>
              <w:rPr/>
              <w:t>(145,621</w:t>
            </w:r>
          </w:p>
        </w:tc>
        <w:tc>
          <w:tcPr>
            <w:tcW w:w="155"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865"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7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501"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794" w:type="dxa"/>
            <w:tcBorders/>
            <w:shd w:fill="CCEEFF" w:val="clear"/>
            <w:vAlign w:val="bottom"/>
          </w:tcPr>
          <w:p>
            <w:pPr>
              <w:pStyle w:val="TableContents"/>
              <w:bidi w:val="0"/>
              <w:spacing w:before="0" w:after="283"/>
              <w:jc w:val="right"/>
              <w:rPr/>
            </w:pPr>
            <w:r>
              <w:rPr/>
              <w:t>(3,622,794</w:t>
            </w:r>
          </w:p>
        </w:tc>
        <w:tc>
          <w:tcPr>
            <w:tcW w:w="155"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795" w:type="dxa"/>
            <w:tcBorders/>
            <w:shd w:fill="CCEEFF" w:val="clear"/>
            <w:vAlign w:val="bottom"/>
          </w:tcPr>
          <w:p>
            <w:pPr>
              <w:pStyle w:val="TableContents"/>
              <w:bidi w:val="0"/>
              <w:spacing w:before="0" w:after="283"/>
              <w:jc w:val="right"/>
              <w:rPr/>
            </w:pPr>
            <w:r>
              <w:rPr/>
              <w:t>(468,899</w:t>
            </w:r>
          </w:p>
        </w:tc>
        <w:tc>
          <w:tcPr>
            <w:tcW w:w="159" w:type="dxa"/>
            <w:tcBorders/>
            <w:shd w:fill="CCEEFF" w:val="clear"/>
            <w:vAlign w:val="bottom"/>
          </w:tcPr>
          <w:p>
            <w:pPr>
              <w:pStyle w:val="TableContents"/>
              <w:bidi w:val="0"/>
              <w:spacing w:before="0" w:after="283"/>
              <w:jc w:val="left"/>
              <w:rPr/>
            </w:pPr>
            <w:r>
              <w:rPr/>
              <w:t>)</w:t>
            </w:r>
          </w:p>
        </w:tc>
      </w:tr>
      <w:tr>
        <w:trPr/>
        <w:tc>
          <w:tcPr>
            <w:tcW w:w="4865"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7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79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65"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weighted average shares outstanding, common stock subject to possible redemption</w:t>
            </w:r>
          </w:p>
        </w:tc>
        <w:tc>
          <w:tcPr>
            <w:tcW w:w="50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794" w:type="dxa"/>
            <w:tcBorders/>
            <w:vAlign w:val="bottom"/>
          </w:tcPr>
          <w:p>
            <w:pPr>
              <w:pStyle w:val="TableContents"/>
              <w:bidi w:val="0"/>
              <w:spacing w:before="0" w:after="283"/>
              <w:jc w:val="right"/>
              <w:rPr/>
            </w:pPr>
            <w:r>
              <w:rPr/>
              <w:t>15,000,000</w:t>
            </w:r>
          </w:p>
        </w:tc>
        <w:tc>
          <w:tcPr>
            <w:tcW w:w="155"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2,045,455</w:t>
            </w:r>
          </w:p>
        </w:tc>
        <w:tc>
          <w:tcPr>
            <w:tcW w:w="159" w:type="dxa"/>
            <w:tcBorders/>
            <w:vAlign w:val="bottom"/>
          </w:tcPr>
          <w:p>
            <w:pPr>
              <w:pStyle w:val="TableContents"/>
              <w:bidi w:val="0"/>
              <w:spacing w:before="0" w:after="283"/>
              <w:jc w:val="left"/>
              <w:rPr/>
            </w:pPr>
            <w:r>
              <w:rPr/>
              <w:t> </w:t>
            </w:r>
          </w:p>
        </w:tc>
      </w:tr>
      <w:tr>
        <w:trPr/>
        <w:tc>
          <w:tcPr>
            <w:tcW w:w="4865"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7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79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net loss per share</w:t>
            </w:r>
          </w:p>
        </w:tc>
        <w:tc>
          <w:tcPr>
            <w:tcW w:w="501"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794" w:type="dxa"/>
            <w:tcBorders/>
            <w:shd w:fill="CCEEFF" w:val="clear"/>
            <w:vAlign w:val="bottom"/>
          </w:tcPr>
          <w:p>
            <w:pPr>
              <w:pStyle w:val="TableContents"/>
              <w:bidi w:val="0"/>
              <w:spacing w:before="0" w:after="283"/>
              <w:jc w:val="right"/>
              <w:rPr/>
            </w:pPr>
            <w:r>
              <w:rPr/>
              <w:t>(0.17</w:t>
            </w:r>
          </w:p>
        </w:tc>
        <w:tc>
          <w:tcPr>
            <w:tcW w:w="155"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795" w:type="dxa"/>
            <w:tcBorders/>
            <w:shd w:fill="CCEEFF" w:val="clear"/>
            <w:vAlign w:val="bottom"/>
          </w:tcPr>
          <w:p>
            <w:pPr>
              <w:pStyle w:val="TableContents"/>
              <w:bidi w:val="0"/>
              <w:spacing w:before="0" w:after="283"/>
              <w:jc w:val="right"/>
              <w:rPr/>
            </w:pPr>
            <w:r>
              <w:rPr/>
              <w:t>(0.08</w:t>
            </w:r>
          </w:p>
        </w:tc>
        <w:tc>
          <w:tcPr>
            <w:tcW w:w="159" w:type="dxa"/>
            <w:tcBorders/>
            <w:shd w:fill="CCEEFF" w:val="clear"/>
            <w:vAlign w:val="bottom"/>
          </w:tcPr>
          <w:p>
            <w:pPr>
              <w:pStyle w:val="TableContents"/>
              <w:bidi w:val="0"/>
              <w:spacing w:before="0" w:after="283"/>
              <w:jc w:val="left"/>
              <w:rPr/>
            </w:pPr>
            <w:r>
              <w:rPr/>
              <w:t>)</w:t>
            </w:r>
          </w:p>
        </w:tc>
      </w:tr>
      <w:tr>
        <w:trPr/>
        <w:tc>
          <w:tcPr>
            <w:tcW w:w="4865"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7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79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65"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weighted average shares outstanding, non-redeemable common stock</w:t>
            </w:r>
          </w:p>
        </w:tc>
        <w:tc>
          <w:tcPr>
            <w:tcW w:w="50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794" w:type="dxa"/>
            <w:tcBorders/>
            <w:vAlign w:val="bottom"/>
          </w:tcPr>
          <w:p>
            <w:pPr>
              <w:pStyle w:val="TableContents"/>
              <w:bidi w:val="0"/>
              <w:spacing w:before="0" w:after="283"/>
              <w:jc w:val="right"/>
              <w:rPr/>
            </w:pPr>
            <w:r>
              <w:rPr/>
              <w:t>5,709,500</w:t>
            </w:r>
          </w:p>
        </w:tc>
        <w:tc>
          <w:tcPr>
            <w:tcW w:w="155"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3,948,530</w:t>
            </w:r>
          </w:p>
        </w:tc>
        <w:tc>
          <w:tcPr>
            <w:tcW w:w="159" w:type="dxa"/>
            <w:tcBorders/>
            <w:vAlign w:val="bottom"/>
          </w:tcPr>
          <w:p>
            <w:pPr>
              <w:pStyle w:val="TableContents"/>
              <w:bidi w:val="0"/>
              <w:spacing w:before="0" w:after="283"/>
              <w:jc w:val="left"/>
              <w:rPr/>
            </w:pPr>
            <w:r>
              <w:rPr/>
              <w:t> </w:t>
            </w:r>
          </w:p>
        </w:tc>
      </w:tr>
      <w:tr>
        <w:trPr/>
        <w:tc>
          <w:tcPr>
            <w:tcW w:w="4865"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7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79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net loss per share</w:t>
            </w:r>
          </w:p>
        </w:tc>
        <w:tc>
          <w:tcPr>
            <w:tcW w:w="501"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794" w:type="dxa"/>
            <w:tcBorders/>
            <w:shd w:fill="CCEEFF" w:val="clear"/>
            <w:vAlign w:val="bottom"/>
          </w:tcPr>
          <w:p>
            <w:pPr>
              <w:pStyle w:val="TableContents"/>
              <w:bidi w:val="0"/>
              <w:spacing w:before="0" w:after="283"/>
              <w:jc w:val="right"/>
              <w:rPr/>
            </w:pPr>
            <w:r>
              <w:rPr/>
              <w:t>(0.17</w:t>
            </w:r>
          </w:p>
        </w:tc>
        <w:tc>
          <w:tcPr>
            <w:tcW w:w="155"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795" w:type="dxa"/>
            <w:tcBorders/>
            <w:shd w:fill="CCEEFF" w:val="clear"/>
            <w:vAlign w:val="bottom"/>
          </w:tcPr>
          <w:p>
            <w:pPr>
              <w:pStyle w:val="TableContents"/>
              <w:bidi w:val="0"/>
              <w:spacing w:before="0" w:after="283"/>
              <w:jc w:val="right"/>
              <w:rPr/>
            </w:pPr>
            <w:r>
              <w:rPr/>
              <w:t>(0.08</w:t>
            </w:r>
          </w:p>
        </w:tc>
        <w:tc>
          <w:tcPr>
            <w:tcW w:w="159" w:type="dxa"/>
            <w:tcBorders/>
            <w:shd w:fill="CCEEFF" w:val="clear"/>
            <w:vAlign w:val="bottom"/>
          </w:tcPr>
          <w:p>
            <w:pPr>
              <w:pStyle w:val="TableContents"/>
              <w:bidi w:val="0"/>
              <w:spacing w:before="0" w:after="283"/>
              <w:jc w:val="left"/>
              <w:rPr/>
            </w:pPr>
            <w:r>
              <w:rPr/>
              <w:t>)</w:t>
            </w:r>
          </w:p>
        </w:tc>
      </w:tr>
      <w:tr>
        <w:trPr/>
        <w:tc>
          <w:tcPr>
            <w:tcW w:w="4865"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7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79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bidi w:val="0"/>
        <w:spacing w:before="0" w:after="0"/>
        <w:jc w:val="center"/>
        <w:rPr>
          <w:rFonts w:ascii="Times New Roman" w:hAnsi="Times New Roman"/>
          <w:b/>
          <w:sz w:val="20"/>
        </w:rPr>
      </w:pPr>
      <w:bookmarkStart w:id="50" w:name="fin309194_11"/>
      <w:bookmarkEnd w:id="50"/>
      <w:r>
        <w:rPr>
          <w:rFonts w:ascii="Times New Roman" w:hAnsi="Times New Roman"/>
          <w:b/>
          <w:sz w:val="20"/>
        </w:rPr>
        <w:t xml:space="preserve">STATEMENTS OF CHANGES IN STOCKHOLDERS (DEFICIT) EQUITY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80"/>
        <w:gridCol w:w="166"/>
        <w:gridCol w:w="60"/>
        <w:gridCol w:w="1093"/>
        <w:gridCol w:w="155"/>
        <w:gridCol w:w="114"/>
        <w:gridCol w:w="204"/>
        <w:gridCol w:w="658"/>
        <w:gridCol w:w="155"/>
        <w:gridCol w:w="114"/>
        <w:gridCol w:w="140"/>
        <w:gridCol w:w="1259"/>
        <w:gridCol w:w="155"/>
        <w:gridCol w:w="114"/>
        <w:gridCol w:w="160"/>
        <w:gridCol w:w="1226"/>
        <w:gridCol w:w="155"/>
        <w:gridCol w:w="114"/>
        <w:gridCol w:w="142"/>
        <w:gridCol w:w="1279"/>
        <w:gridCol w:w="162"/>
      </w:tblGrid>
      <w:tr>
        <w:trPr/>
        <w:tc>
          <w:tcPr>
            <w:tcW w:w="258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8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2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r>
          </w:p>
        </w:tc>
        <w:tc>
          <w:tcPr>
            <w:tcW w:w="162" w:type="dxa"/>
            <w:tcBorders/>
            <w:vAlign w:val="bottom"/>
          </w:tcPr>
          <w:p>
            <w:pPr>
              <w:pStyle w:val="TableContents"/>
              <w:bidi w:val="0"/>
              <w:spacing w:before="0" w:after="283"/>
              <w:jc w:val="left"/>
              <w:rPr/>
            </w:pPr>
            <w:r>
              <w:rPr/>
              <w:t> </w:t>
            </w:r>
          </w:p>
        </w:tc>
      </w:tr>
      <w:tr>
        <w:trPr/>
        <w:tc>
          <w:tcPr>
            <w:tcW w:w="258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Paid-in Capital</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 Equity</w:t>
            </w:r>
          </w:p>
        </w:tc>
        <w:tc>
          <w:tcPr>
            <w:tcW w:w="162" w:type="dxa"/>
            <w:tcBorders/>
            <w:vAlign w:val="bottom"/>
          </w:tcPr>
          <w:p>
            <w:pPr>
              <w:pStyle w:val="TableContents"/>
              <w:bidi w:val="0"/>
              <w:spacing w:before="0" w:after="283"/>
              <w:jc w:val="left"/>
              <w:rPr/>
            </w:pPr>
            <w:r>
              <w:rPr/>
              <w:t> </w:t>
            </w:r>
          </w:p>
        </w:tc>
      </w:tr>
      <w:tr>
        <w:trPr/>
        <w:tc>
          <w:tcPr>
            <w:tcW w:w="25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November 5, 2020 (inception)</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27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580"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issued to Sponsor</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6,212,500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621</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35,424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36,045</w:t>
            </w:r>
          </w:p>
        </w:tc>
        <w:tc>
          <w:tcPr>
            <w:tcW w:w="162" w:type="dxa"/>
            <w:tcBorders/>
            <w:vAlign w:val="bottom"/>
          </w:tcPr>
          <w:p>
            <w:pPr>
              <w:pStyle w:val="TableContents"/>
              <w:bidi w:val="0"/>
              <w:spacing w:before="0" w:after="283"/>
              <w:jc w:val="left"/>
              <w:rPr/>
            </w:pPr>
            <w:r>
              <w:rPr/>
              <w:t> </w:t>
            </w:r>
          </w:p>
        </w:tc>
      </w:tr>
      <w:tr>
        <w:trPr/>
        <w:tc>
          <w:tcPr>
            <w:tcW w:w="2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Representative shares</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250,000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580"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Representative shares returned to the Company</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(87,500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 of 459,500 Private Placement Shares</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459,500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4,594,954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4,595,000</w:t>
            </w:r>
          </w:p>
        </w:tc>
        <w:tc>
          <w:tcPr>
            <w:tcW w:w="162" w:type="dxa"/>
            <w:tcBorders/>
            <w:shd w:fill="CCEEFF" w:val="clear"/>
            <w:vAlign w:val="bottom"/>
          </w:tcPr>
          <w:p>
            <w:pPr>
              <w:pStyle w:val="TableContents"/>
              <w:bidi w:val="0"/>
              <w:spacing w:before="0" w:after="283"/>
              <w:jc w:val="left"/>
              <w:rPr/>
            </w:pPr>
            <w:r>
              <w:rPr/>
              <w:t> </w:t>
            </w:r>
          </w:p>
        </w:tc>
      </w:tr>
      <w:tr>
        <w:trPr/>
        <w:tc>
          <w:tcPr>
            <w:tcW w:w="2580"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warrants included in the 15,000,000 Units sold through public offering, net of offering costs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11,424,074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11,424,074</w:t>
            </w:r>
          </w:p>
        </w:tc>
        <w:tc>
          <w:tcPr>
            <w:tcW w:w="162" w:type="dxa"/>
            <w:tcBorders/>
            <w:vAlign w:val="bottom"/>
          </w:tcPr>
          <w:p>
            <w:pPr>
              <w:pStyle w:val="TableContents"/>
              <w:bidi w:val="0"/>
              <w:spacing w:before="0" w:after="283"/>
              <w:jc w:val="left"/>
              <w:rPr/>
            </w:pPr>
            <w:r>
              <w:rPr/>
              <w:t> </w:t>
            </w:r>
          </w:p>
        </w:tc>
      </w:tr>
      <w:tr>
        <w:trPr/>
        <w:tc>
          <w:tcPr>
            <w:tcW w:w="2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285,846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285,846</w:t>
            </w:r>
          </w:p>
        </w:tc>
        <w:tc>
          <w:tcPr>
            <w:tcW w:w="162" w:type="dxa"/>
            <w:tcBorders/>
            <w:shd w:fill="CCEEFF" w:val="clear"/>
            <w:vAlign w:val="bottom"/>
          </w:tcPr>
          <w:p>
            <w:pPr>
              <w:pStyle w:val="TableContents"/>
              <w:bidi w:val="0"/>
              <w:spacing w:before="0" w:after="283"/>
              <w:jc w:val="left"/>
              <w:rPr/>
            </w:pPr>
            <w:r>
              <w:rPr/>
              <w:t> </w:t>
            </w:r>
          </w:p>
        </w:tc>
      </w:tr>
      <w:tr>
        <w:trPr/>
        <w:tc>
          <w:tcPr>
            <w:tcW w:w="2580" w:type="dxa"/>
            <w:tcBorders/>
          </w:tcPr>
          <w:p>
            <w:pPr>
              <w:pStyle w:val="TableContents"/>
              <w:bidi w:val="0"/>
              <w:spacing w:before="0" w:after="0"/>
              <w:jc w:val="left"/>
              <w:rPr>
                <w:rFonts w:ascii="Times New Roman" w:hAnsi="Times New Roman"/>
                <w:sz w:val="20"/>
              </w:rPr>
            </w:pPr>
            <w:r>
              <w:rPr>
                <w:rFonts w:ascii="Times New Roman" w:hAnsi="Times New Roman"/>
                <w:sz w:val="20"/>
              </w:rPr>
              <w:t>Subsequent remeasurement of common stock subject to possible redemption</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(14,961,589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(14,961,589</w:t>
            </w:r>
          </w:p>
        </w:tc>
        <w:tc>
          <w:tcPr>
            <w:tcW w:w="162" w:type="dxa"/>
            <w:tcBorders/>
            <w:vAlign w:val="bottom"/>
          </w:tcPr>
          <w:p>
            <w:pPr>
              <w:pStyle w:val="TableContents"/>
              <w:bidi w:val="0"/>
              <w:spacing w:before="0" w:after="283"/>
              <w:jc w:val="left"/>
              <w:rPr/>
            </w:pPr>
            <w:r>
              <w:rPr/>
              <w:t>) </w:t>
            </w:r>
          </w:p>
        </w:tc>
      </w:tr>
      <w:tr>
        <w:trPr/>
        <w:tc>
          <w:tcPr>
            <w:tcW w:w="2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(468,899</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(468,899</w:t>
            </w:r>
          </w:p>
        </w:tc>
        <w:tc>
          <w:tcPr>
            <w:tcW w:w="162" w:type="dxa"/>
            <w:tcBorders/>
            <w:shd w:fill="CCEEFF" w:val="clear"/>
            <w:vAlign w:val="bottom"/>
          </w:tcPr>
          <w:p>
            <w:pPr>
              <w:pStyle w:val="TableContents"/>
              <w:bidi w:val="0"/>
              <w:spacing w:before="0" w:after="283"/>
              <w:jc w:val="left"/>
              <w:rPr/>
            </w:pPr>
            <w:r>
              <w:rPr/>
              <w:t>) </w:t>
            </w:r>
          </w:p>
        </w:tc>
      </w:tr>
      <w:tr>
        <w:trPr/>
        <w:tc>
          <w:tcPr>
            <w:tcW w:w="2580"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580"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September 30, 2021</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6,834,500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658" w:type="dxa"/>
            <w:tcBorders/>
            <w:vAlign w:val="bottom"/>
          </w:tcPr>
          <w:p>
            <w:pPr>
              <w:pStyle w:val="TableContents"/>
              <w:bidi w:val="0"/>
              <w:spacing w:before="0" w:after="283"/>
              <w:jc w:val="right"/>
              <w:rPr/>
            </w:pPr>
            <w:r>
              <w:rPr/>
              <w:t>683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9" w:type="dxa"/>
            <w:tcBorders/>
            <w:vAlign w:val="bottom"/>
          </w:tcPr>
          <w:p>
            <w:pPr>
              <w:pStyle w:val="TableContents"/>
              <w:bidi w:val="0"/>
              <w:spacing w:before="0" w:after="283"/>
              <w:jc w:val="right"/>
              <w:rPr/>
            </w:pPr>
            <w:r>
              <w:rPr/>
              <w:t>1,378,693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(468,899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279" w:type="dxa"/>
            <w:tcBorders/>
            <w:vAlign w:val="bottom"/>
          </w:tcPr>
          <w:p>
            <w:pPr>
              <w:pStyle w:val="TableContents"/>
              <w:bidi w:val="0"/>
              <w:spacing w:before="0" w:after="283"/>
              <w:jc w:val="right"/>
              <w:rPr/>
            </w:pPr>
            <w:r>
              <w:rPr/>
              <w:t>910,477</w:t>
            </w:r>
          </w:p>
        </w:tc>
        <w:tc>
          <w:tcPr>
            <w:tcW w:w="162" w:type="dxa"/>
            <w:tcBorders/>
            <w:vAlign w:val="bottom"/>
          </w:tcPr>
          <w:p>
            <w:pPr>
              <w:pStyle w:val="TableContents"/>
              <w:bidi w:val="0"/>
              <w:spacing w:before="0" w:after="283"/>
              <w:jc w:val="left"/>
              <w:rPr/>
            </w:pPr>
            <w:r>
              <w:rPr/>
              <w:t> </w:t>
            </w:r>
          </w:p>
        </w:tc>
      </w:tr>
      <w:tr>
        <w:trPr/>
        <w:tc>
          <w:tcPr>
            <w:tcW w:w="2580"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Forfeiture of founder shares</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(1,125,000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(113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113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58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111,852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111,852</w:t>
            </w:r>
          </w:p>
        </w:tc>
        <w:tc>
          <w:tcPr>
            <w:tcW w:w="162" w:type="dxa"/>
            <w:tcBorders/>
            <w:vAlign w:val="bottom"/>
          </w:tcPr>
          <w:p>
            <w:pPr>
              <w:pStyle w:val="TableContents"/>
              <w:bidi w:val="0"/>
              <w:spacing w:before="0" w:after="283"/>
              <w:jc w:val="left"/>
              <w:rPr/>
            </w:pPr>
            <w:r>
              <w:rPr/>
              <w:t> </w:t>
            </w:r>
          </w:p>
        </w:tc>
      </w:tr>
      <w:tr>
        <w:trPr/>
        <w:tc>
          <w:tcPr>
            <w:tcW w:w="2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Subsequent remeasurement of common stock subject to possible redemption</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(548,862</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(548,862</w:t>
            </w:r>
          </w:p>
        </w:tc>
        <w:tc>
          <w:tcPr>
            <w:tcW w:w="162" w:type="dxa"/>
            <w:tcBorders/>
            <w:shd w:fill="CCEEFF" w:val="clear"/>
            <w:vAlign w:val="bottom"/>
          </w:tcPr>
          <w:p>
            <w:pPr>
              <w:pStyle w:val="TableContents"/>
              <w:bidi w:val="0"/>
              <w:spacing w:before="0" w:after="283"/>
              <w:jc w:val="left"/>
              <w:rPr/>
            </w:pPr>
            <w:r>
              <w:rPr/>
              <w:t>) </w:t>
            </w:r>
          </w:p>
        </w:tc>
      </w:tr>
      <w:tr>
        <w:trPr/>
        <w:tc>
          <w:tcPr>
            <w:tcW w:w="258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(3,622,794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(3,622,794</w:t>
            </w:r>
          </w:p>
        </w:tc>
        <w:tc>
          <w:tcPr>
            <w:tcW w:w="162" w:type="dxa"/>
            <w:tcBorders/>
            <w:vAlign w:val="bottom"/>
          </w:tcPr>
          <w:p>
            <w:pPr>
              <w:pStyle w:val="TableContents"/>
              <w:bidi w:val="0"/>
              <w:spacing w:before="0" w:after="283"/>
              <w:jc w:val="left"/>
              <w:rPr/>
            </w:pPr>
            <w:r>
              <w:rPr/>
              <w:t>) </w:t>
            </w:r>
          </w:p>
        </w:tc>
      </w:tr>
      <w:tr>
        <w:trPr/>
        <w:tc>
          <w:tcPr>
            <w:tcW w:w="2580"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5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September 30, 2022</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5,709,500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570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941,796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(4,091,693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279" w:type="dxa"/>
            <w:tcBorders/>
            <w:shd w:fill="CCEEFF" w:val="clear"/>
            <w:vAlign w:val="bottom"/>
          </w:tcPr>
          <w:p>
            <w:pPr>
              <w:pStyle w:val="TableContents"/>
              <w:bidi w:val="0"/>
              <w:spacing w:before="0" w:after="283"/>
              <w:jc w:val="right"/>
              <w:rPr/>
            </w:pPr>
            <w:r>
              <w:rPr/>
              <w:t>(3,149,327</w:t>
            </w:r>
          </w:p>
        </w:tc>
        <w:tc>
          <w:tcPr>
            <w:tcW w:w="162" w:type="dxa"/>
            <w:tcBorders/>
            <w:shd w:fill="CCEEFF" w:val="clear"/>
            <w:vAlign w:val="bottom"/>
          </w:tcPr>
          <w:p>
            <w:pPr>
              <w:pStyle w:val="TableContents"/>
              <w:bidi w:val="0"/>
              <w:spacing w:before="0" w:after="283"/>
              <w:jc w:val="left"/>
              <w:rPr/>
            </w:pPr>
            <w:r>
              <w:rPr/>
              <w:t>) </w:t>
            </w:r>
          </w:p>
        </w:tc>
      </w:tr>
      <w:tr>
        <w:trPr/>
        <w:tc>
          <w:tcPr>
            <w:tcW w:w="2580"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6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27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bidi w:val="0"/>
        <w:spacing w:before="0" w:after="0"/>
        <w:jc w:val="center"/>
        <w:rPr>
          <w:rFonts w:ascii="Times New Roman" w:hAnsi="Times New Roman"/>
          <w:b/>
          <w:sz w:val="20"/>
        </w:rPr>
      </w:pPr>
      <w:bookmarkStart w:id="51" w:name="fin309194_12"/>
      <w:bookmarkEnd w:id="51"/>
      <w:r>
        <w:rPr>
          <w:rFonts w:ascii="Times New Roman" w:hAnsi="Times New Roman"/>
          <w:b/>
          <w:sz w:val="20"/>
        </w:rPr>
        <w:t xml:space="preserve">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90"/>
        <w:gridCol w:w="283"/>
        <w:gridCol w:w="172"/>
        <w:gridCol w:w="1336"/>
        <w:gridCol w:w="155"/>
        <w:gridCol w:w="244"/>
        <w:gridCol w:w="196"/>
        <w:gridCol w:w="1871"/>
        <w:gridCol w:w="158"/>
      </w:tblGrid>
      <w:tr>
        <w:trPr/>
        <w:tc>
          <w:tcPr>
            <w:tcW w:w="5790"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9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5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September 30,</w:t>
              <w:br/>
              <w:t>2022</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067" w:type="dxa"/>
            <w:gridSpan w:val="2"/>
            <w:tcBorders>
              <w:bottom w:val="single" w:sz="8" w:space="0" w:color="000000"/>
            </w:tcBorders>
            <w:tcMar>
              <w:bottom w:w="28" w:type="dxa"/>
            </w:tcMar>
            <w:vAlign w:val="bottom"/>
          </w:tcPr>
          <w:p>
            <w:pPr>
              <w:pStyle w:val="TableContents"/>
              <w:bidi w:val="0"/>
              <w:spacing w:before="0" w:after="283"/>
              <w:jc w:val="center"/>
              <w:rPr/>
            </w:pPr>
            <w:r>
              <w:rPr>
                <w:b/>
              </w:rPr>
              <w:t>For the period</w:t>
              <w:br/>
              <w:t>from November 5,</w:t>
              <w:br/>
              <w:t>2020 (inception)</w:t>
              <w:br/>
              <w:t>through September</w:t>
            </w:r>
            <w:r>
              <w:rPr/>
              <w:br/>
            </w:r>
            <w:r>
              <w:rPr>
                <w:b/>
              </w:rPr>
              <w:t>30, 2021</w:t>
            </w:r>
          </w:p>
        </w:tc>
        <w:tc>
          <w:tcPr>
            <w:tcW w:w="158" w:type="dxa"/>
            <w:tcBorders/>
            <w:vAlign w:val="bottom"/>
          </w:tcPr>
          <w:p>
            <w:pPr>
              <w:pStyle w:val="TableContents"/>
              <w:bidi w:val="0"/>
              <w:spacing w:before="0" w:after="283"/>
              <w:jc w:val="left"/>
              <w:rPr/>
            </w:pPr>
            <w:r>
              <w:rPr/>
              <w:t> </w:t>
            </w:r>
          </w:p>
        </w:tc>
      </w:tr>
      <w:tr>
        <w:trPr/>
        <w:tc>
          <w:tcPr>
            <w:tcW w:w="57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3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87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9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336" w:type="dxa"/>
            <w:tcBorders/>
            <w:vAlign w:val="bottom"/>
          </w:tcPr>
          <w:p>
            <w:pPr>
              <w:pStyle w:val="TableContents"/>
              <w:bidi w:val="0"/>
              <w:spacing w:before="0" w:after="283"/>
              <w:jc w:val="right"/>
              <w:rPr/>
            </w:pPr>
            <w:r>
              <w:rPr/>
              <w:t>(3,622,794</w:t>
            </w:r>
          </w:p>
        </w:tc>
        <w:tc>
          <w:tcPr>
            <w:tcW w:w="155" w:type="dxa"/>
            <w:tcBorders/>
            <w:vAlign w:val="bottom"/>
          </w:tcPr>
          <w:p>
            <w:pPr>
              <w:pStyle w:val="TableContents"/>
              <w:bidi w:val="0"/>
              <w:spacing w:before="0" w:after="283"/>
              <w:jc w:val="left"/>
              <w:rPr/>
            </w:pPr>
            <w:r>
              <w:rPr/>
              <w:t>)</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1871" w:type="dxa"/>
            <w:tcBorders/>
            <w:vAlign w:val="bottom"/>
          </w:tcPr>
          <w:p>
            <w:pPr>
              <w:pStyle w:val="TableContents"/>
              <w:bidi w:val="0"/>
              <w:spacing w:before="0" w:after="283"/>
              <w:jc w:val="right"/>
              <w:rPr/>
            </w:pPr>
            <w:r>
              <w:rPr/>
              <w:t>(468,899</w:t>
            </w:r>
          </w:p>
        </w:tc>
        <w:tc>
          <w:tcPr>
            <w:tcW w:w="158" w:type="dxa"/>
            <w:tcBorders/>
            <w:vAlign w:val="bottom"/>
          </w:tcPr>
          <w:p>
            <w:pPr>
              <w:pStyle w:val="TableContents"/>
              <w:bidi w:val="0"/>
              <w:spacing w:before="0" w:after="283"/>
              <w:jc w:val="left"/>
              <w:rPr/>
            </w:pPr>
            <w:r>
              <w:rPr/>
              <w:t>)</w:t>
            </w:r>
          </w:p>
        </w:tc>
      </w:tr>
      <w:tr>
        <w:trPr/>
        <w:tc>
          <w:tcPr>
            <w:tcW w:w="5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3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87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90" w:type="dxa"/>
            <w:tcBorders/>
          </w:tcPr>
          <w:p>
            <w:pPr>
              <w:pStyle w:val="TableContents"/>
              <w:bidi w:val="0"/>
              <w:spacing w:before="0" w:after="0"/>
              <w:jc w:val="left"/>
              <w:rPr>
                <w:rFonts w:ascii="Times New Roman" w:hAnsi="Times New Roman"/>
                <w:sz w:val="20"/>
              </w:rPr>
            </w:pPr>
            <w:r>
              <w:rPr>
                <w:rFonts w:ascii="Times New Roman" w:hAnsi="Times New Roman"/>
                <w:sz w:val="20"/>
              </w:rPr>
              <w:t>Interest earned on cash and marketable securities held in Trust Account</w:t>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(1,025,942</w:t>
            </w:r>
          </w:p>
        </w:tc>
        <w:tc>
          <w:tcPr>
            <w:tcW w:w="155" w:type="dxa"/>
            <w:tcBorders/>
            <w:vAlign w:val="bottom"/>
          </w:tcPr>
          <w:p>
            <w:pPr>
              <w:pStyle w:val="TableContents"/>
              <w:bidi w:val="0"/>
              <w:spacing w:before="0" w:after="283"/>
              <w:jc w:val="left"/>
              <w:rPr/>
            </w:pPr>
            <w:r>
              <w:rPr/>
              <w:t>)</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right"/>
              <w:rPr/>
            </w:pPr>
            <w:r>
              <w:rPr/>
              <w:t>(1,052</w:t>
            </w:r>
          </w:p>
        </w:tc>
        <w:tc>
          <w:tcPr>
            <w:tcW w:w="158" w:type="dxa"/>
            <w:tcBorders/>
            <w:vAlign w:val="bottom"/>
          </w:tcPr>
          <w:p>
            <w:pPr>
              <w:pStyle w:val="TableContents"/>
              <w:bidi w:val="0"/>
              <w:spacing w:before="0" w:after="283"/>
              <w:jc w:val="left"/>
              <w:rPr/>
            </w:pPr>
            <w:r>
              <w:rPr/>
              <w:t>) </w:t>
            </w:r>
          </w:p>
        </w:tc>
      </w:tr>
      <w:tr>
        <w:trPr/>
        <w:tc>
          <w:tcPr>
            <w:tcW w:w="5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111,852</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pPr>
            <w:r>
              <w:rPr/>
              <w:t>285,846</w:t>
            </w:r>
          </w:p>
        </w:tc>
        <w:tc>
          <w:tcPr>
            <w:tcW w:w="158" w:type="dxa"/>
            <w:tcBorders/>
            <w:shd w:fill="CCEEFF" w:val="clear"/>
            <w:vAlign w:val="bottom"/>
          </w:tcPr>
          <w:p>
            <w:pPr>
              <w:pStyle w:val="TableContents"/>
              <w:bidi w:val="0"/>
              <w:spacing w:before="0" w:after="283"/>
              <w:jc w:val="left"/>
              <w:rPr/>
            </w:pPr>
            <w:r>
              <w:rPr/>
              <w:t> </w:t>
            </w:r>
          </w:p>
        </w:tc>
      </w:tr>
      <w:tr>
        <w:trPr/>
        <w:tc>
          <w:tcPr>
            <w:tcW w:w="579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current assets and liabilities:</w:t>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3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87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398,920</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pPr>
            <w:r>
              <w:rPr/>
              <w:t>(460,862</w:t>
            </w:r>
          </w:p>
        </w:tc>
        <w:tc>
          <w:tcPr>
            <w:tcW w:w="158" w:type="dxa"/>
            <w:tcBorders/>
            <w:shd w:fill="CCEEFF" w:val="clear"/>
            <w:vAlign w:val="bottom"/>
          </w:tcPr>
          <w:p>
            <w:pPr>
              <w:pStyle w:val="TableContents"/>
              <w:bidi w:val="0"/>
              <w:spacing w:before="0" w:after="283"/>
              <w:jc w:val="left"/>
              <w:rPr/>
            </w:pPr>
            <w:r>
              <w:rPr/>
              <w:t>) </w:t>
            </w:r>
          </w:p>
        </w:tc>
      </w:tr>
      <w:tr>
        <w:trPr/>
        <w:tc>
          <w:tcPr>
            <w:tcW w:w="579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2,954,179</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right"/>
              <w:rPr/>
            </w:pPr>
            <w:r>
              <w:rPr/>
              <w:t>93,467</w:t>
            </w:r>
          </w:p>
        </w:tc>
        <w:tc>
          <w:tcPr>
            <w:tcW w:w="158" w:type="dxa"/>
            <w:tcBorders/>
            <w:vAlign w:val="bottom"/>
          </w:tcPr>
          <w:p>
            <w:pPr>
              <w:pStyle w:val="TableContents"/>
              <w:bidi w:val="0"/>
              <w:spacing w:before="0" w:after="283"/>
              <w:jc w:val="left"/>
              <w:rPr/>
            </w:pPr>
            <w:r>
              <w:rPr/>
              <w:t> </w:t>
            </w:r>
          </w:p>
        </w:tc>
      </w:tr>
      <w:tr>
        <w:trPr/>
        <w:tc>
          <w:tcPr>
            <w:tcW w:w="5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Franchise tax payable</w:t>
            </w:r>
          </w:p>
        </w:tc>
        <w:tc>
          <w:tcPr>
            <w:tcW w:w="2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124,329</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pPr>
            <w:r>
              <w:rPr/>
              <w:t>25,671</w:t>
            </w:r>
          </w:p>
        </w:tc>
        <w:tc>
          <w:tcPr>
            <w:tcW w:w="158" w:type="dxa"/>
            <w:tcBorders/>
            <w:shd w:fill="CCEEFF" w:val="clear"/>
            <w:vAlign w:val="bottom"/>
          </w:tcPr>
          <w:p>
            <w:pPr>
              <w:pStyle w:val="TableContents"/>
              <w:bidi w:val="0"/>
              <w:spacing w:before="0" w:after="283"/>
              <w:jc w:val="left"/>
              <w:rPr/>
            </w:pPr>
            <w:r>
              <w:rPr/>
              <w:t> </w:t>
            </w:r>
          </w:p>
        </w:tc>
      </w:tr>
      <w:tr>
        <w:trPr/>
        <w:tc>
          <w:tcPr>
            <w:tcW w:w="579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145,621</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79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87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2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(913,835</w:t>
            </w:r>
          </w:p>
        </w:tc>
        <w:tc>
          <w:tcPr>
            <w:tcW w:w="155" w:type="dxa"/>
            <w:tcBorders/>
            <w:shd w:fill="CCEEFF" w:val="clear"/>
            <w:vAlign w:val="bottom"/>
          </w:tcPr>
          <w:p>
            <w:pPr>
              <w:pStyle w:val="TableContents"/>
              <w:bidi w:val="0"/>
              <w:spacing w:before="0" w:after="283"/>
              <w:jc w:val="left"/>
              <w:rPr/>
            </w:pPr>
            <w:r>
              <w:rPr/>
              <w:t>)</w:t>
            </w:r>
          </w:p>
        </w:tc>
        <w:tc>
          <w:tcPr>
            <w:tcW w:w="24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pPr>
            <w:r>
              <w:rPr/>
              <w:t>(525,829</w:t>
            </w:r>
          </w:p>
        </w:tc>
        <w:tc>
          <w:tcPr>
            <w:tcW w:w="158" w:type="dxa"/>
            <w:tcBorders/>
            <w:shd w:fill="CCEEFF" w:val="clear"/>
            <w:vAlign w:val="bottom"/>
          </w:tcPr>
          <w:p>
            <w:pPr>
              <w:pStyle w:val="TableContents"/>
              <w:bidi w:val="0"/>
              <w:spacing w:before="0" w:after="283"/>
              <w:jc w:val="left"/>
              <w:rPr/>
            </w:pPr>
            <w:r>
              <w:rPr/>
              <w:t>) </w:t>
            </w:r>
          </w:p>
        </w:tc>
      </w:tr>
      <w:tr>
        <w:trPr/>
        <w:tc>
          <w:tcPr>
            <w:tcW w:w="579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87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9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3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87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withdrawn from Trust Account</w:t>
            </w:r>
          </w:p>
        </w:tc>
        <w:tc>
          <w:tcPr>
            <w:tcW w:w="2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182,069</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790" w:type="dxa"/>
            <w:tcBorders/>
          </w:tcPr>
          <w:p>
            <w:pPr>
              <w:pStyle w:val="TableContents"/>
              <w:bidi w:val="0"/>
              <w:spacing w:before="0" w:after="0"/>
              <w:jc w:val="left"/>
              <w:rPr>
                <w:rFonts w:ascii="Times New Roman" w:hAnsi="Times New Roman"/>
                <w:sz w:val="20"/>
              </w:rPr>
            </w:pPr>
            <w:r>
              <w:rPr>
                <w:rFonts w:ascii="Times New Roman" w:hAnsi="Times New Roman"/>
                <w:sz w:val="20"/>
              </w:rPr>
              <w:t>Principal deposited in Trust Account</w:t>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right"/>
              <w:rPr/>
            </w:pPr>
            <w:r>
              <w:rPr/>
              <w:t>(150,000,000</w:t>
            </w:r>
          </w:p>
        </w:tc>
        <w:tc>
          <w:tcPr>
            <w:tcW w:w="158" w:type="dxa"/>
            <w:tcBorders/>
            <w:vAlign w:val="bottom"/>
          </w:tcPr>
          <w:p>
            <w:pPr>
              <w:pStyle w:val="TableContents"/>
              <w:bidi w:val="0"/>
              <w:spacing w:before="0" w:after="283"/>
              <w:jc w:val="left"/>
              <w:rPr/>
            </w:pPr>
            <w:r>
              <w:rPr/>
              <w:t>) </w:t>
            </w:r>
          </w:p>
        </w:tc>
      </w:tr>
      <w:tr>
        <w:trPr/>
        <w:tc>
          <w:tcPr>
            <w:tcW w:w="579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87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investing activities</w:t>
            </w:r>
          </w:p>
        </w:tc>
        <w:tc>
          <w:tcPr>
            <w:tcW w:w="2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182,069</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pPr>
            <w:r>
              <w:rPr/>
              <w:t>(150,000,000</w:t>
            </w:r>
          </w:p>
        </w:tc>
        <w:tc>
          <w:tcPr>
            <w:tcW w:w="158" w:type="dxa"/>
            <w:tcBorders/>
            <w:shd w:fill="CCEEFF" w:val="clear"/>
            <w:vAlign w:val="bottom"/>
          </w:tcPr>
          <w:p>
            <w:pPr>
              <w:pStyle w:val="TableContents"/>
              <w:bidi w:val="0"/>
              <w:spacing w:before="0" w:after="283"/>
              <w:jc w:val="left"/>
              <w:rPr/>
            </w:pPr>
            <w:r>
              <w:rPr/>
              <w:t>) </w:t>
            </w:r>
          </w:p>
        </w:tc>
      </w:tr>
      <w:tr>
        <w:trPr/>
        <w:tc>
          <w:tcPr>
            <w:tcW w:w="579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87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9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3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87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initial public offering, net of costs</w:t>
            </w:r>
          </w:p>
        </w:tc>
        <w:tc>
          <w:tcPr>
            <w:tcW w:w="2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pPr>
            <w:r>
              <w:rPr/>
              <w:t>148,500,000</w:t>
            </w:r>
          </w:p>
        </w:tc>
        <w:tc>
          <w:tcPr>
            <w:tcW w:w="158" w:type="dxa"/>
            <w:tcBorders/>
            <w:shd w:fill="CCEEFF" w:val="clear"/>
            <w:vAlign w:val="bottom"/>
          </w:tcPr>
          <w:p>
            <w:pPr>
              <w:pStyle w:val="TableContents"/>
              <w:bidi w:val="0"/>
              <w:spacing w:before="0" w:after="283"/>
              <w:jc w:val="left"/>
              <w:rPr/>
            </w:pPr>
            <w:r>
              <w:rPr/>
              <w:t> </w:t>
            </w:r>
          </w:p>
        </w:tc>
      </w:tr>
      <w:tr>
        <w:trPr/>
        <w:tc>
          <w:tcPr>
            <w:tcW w:w="579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private placement</w:t>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right"/>
              <w:rPr/>
            </w:pPr>
            <w:r>
              <w:rPr/>
              <w:t>4,595,000</w:t>
            </w:r>
          </w:p>
        </w:tc>
        <w:tc>
          <w:tcPr>
            <w:tcW w:w="158" w:type="dxa"/>
            <w:tcBorders/>
            <w:vAlign w:val="bottom"/>
          </w:tcPr>
          <w:p>
            <w:pPr>
              <w:pStyle w:val="TableContents"/>
              <w:bidi w:val="0"/>
              <w:spacing w:before="0" w:after="283"/>
              <w:jc w:val="left"/>
              <w:rPr/>
            </w:pPr>
            <w:r>
              <w:rPr/>
              <w:t> </w:t>
            </w:r>
          </w:p>
        </w:tc>
      </w:tr>
      <w:tr>
        <w:trPr/>
        <w:tc>
          <w:tcPr>
            <w:tcW w:w="5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common stock to initial shareholders</w:t>
            </w:r>
          </w:p>
        </w:tc>
        <w:tc>
          <w:tcPr>
            <w:tcW w:w="2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pPr>
            <w:r>
              <w:rPr/>
              <w:t>36,045</w:t>
            </w:r>
          </w:p>
        </w:tc>
        <w:tc>
          <w:tcPr>
            <w:tcW w:w="158" w:type="dxa"/>
            <w:tcBorders/>
            <w:shd w:fill="CCEEFF" w:val="clear"/>
            <w:vAlign w:val="bottom"/>
          </w:tcPr>
          <w:p>
            <w:pPr>
              <w:pStyle w:val="TableContents"/>
              <w:bidi w:val="0"/>
              <w:spacing w:before="0" w:after="283"/>
              <w:jc w:val="left"/>
              <w:rPr/>
            </w:pPr>
            <w:r>
              <w:rPr/>
              <w:t> </w:t>
            </w:r>
          </w:p>
        </w:tc>
      </w:tr>
      <w:tr>
        <w:trPr/>
        <w:tc>
          <w:tcPr>
            <w:tcW w:w="579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promissory notes to related party</w:t>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483,034</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right"/>
              <w:rPr/>
            </w:pPr>
            <w:r>
              <w:rPr/>
              <w:t>230,352</w:t>
            </w:r>
          </w:p>
        </w:tc>
        <w:tc>
          <w:tcPr>
            <w:tcW w:w="158" w:type="dxa"/>
            <w:tcBorders/>
            <w:vAlign w:val="bottom"/>
          </w:tcPr>
          <w:p>
            <w:pPr>
              <w:pStyle w:val="TableContents"/>
              <w:bidi w:val="0"/>
              <w:spacing w:before="0" w:after="283"/>
              <w:jc w:val="left"/>
              <w:rPr/>
            </w:pPr>
            <w:r>
              <w:rPr/>
              <w:t> </w:t>
            </w:r>
          </w:p>
        </w:tc>
      </w:tr>
      <w:tr>
        <w:trPr/>
        <w:tc>
          <w:tcPr>
            <w:tcW w:w="5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promissory notes to related party</w:t>
            </w:r>
          </w:p>
        </w:tc>
        <w:tc>
          <w:tcPr>
            <w:tcW w:w="2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(231,280</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pPr>
            <w:r>
              <w:rPr/>
              <w:t>(230,352</w:t>
            </w:r>
          </w:p>
        </w:tc>
        <w:tc>
          <w:tcPr>
            <w:tcW w:w="158" w:type="dxa"/>
            <w:tcBorders/>
            <w:shd w:fill="CCEEFF" w:val="clear"/>
            <w:vAlign w:val="bottom"/>
          </w:tcPr>
          <w:p>
            <w:pPr>
              <w:pStyle w:val="TableContents"/>
              <w:bidi w:val="0"/>
              <w:spacing w:before="0" w:after="283"/>
              <w:jc w:val="left"/>
              <w:rPr/>
            </w:pPr>
            <w:r>
              <w:rPr/>
              <w:t>) </w:t>
            </w:r>
          </w:p>
        </w:tc>
      </w:tr>
      <w:tr>
        <w:trPr/>
        <w:tc>
          <w:tcPr>
            <w:tcW w:w="5790" w:type="dxa"/>
            <w:tcBorders/>
          </w:tcPr>
          <w:p>
            <w:pPr>
              <w:pStyle w:val="TableContents"/>
              <w:bidi w:val="0"/>
              <w:spacing w:before="0" w:after="0"/>
              <w:jc w:val="left"/>
              <w:rPr>
                <w:rFonts w:ascii="Times New Roman" w:hAnsi="Times New Roman"/>
                <w:sz w:val="20"/>
              </w:rPr>
            </w:pPr>
            <w:r>
              <w:rPr>
                <w:rFonts w:ascii="Times New Roman" w:hAnsi="Times New Roman"/>
                <w:sz w:val="20"/>
              </w:rPr>
              <w:t>Payment of deferred offering costs</w:t>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right"/>
              <w:rPr/>
            </w:pPr>
            <w:r>
              <w:rPr/>
              <w:t>(1,947,626</w:t>
            </w:r>
          </w:p>
        </w:tc>
        <w:tc>
          <w:tcPr>
            <w:tcW w:w="158" w:type="dxa"/>
            <w:tcBorders/>
            <w:vAlign w:val="bottom"/>
          </w:tcPr>
          <w:p>
            <w:pPr>
              <w:pStyle w:val="TableContents"/>
              <w:bidi w:val="0"/>
              <w:spacing w:before="0" w:after="283"/>
              <w:jc w:val="left"/>
              <w:rPr/>
            </w:pPr>
            <w:r>
              <w:rPr/>
              <w:t>)</w:t>
            </w:r>
          </w:p>
        </w:tc>
      </w:tr>
      <w:tr>
        <w:trPr/>
        <w:tc>
          <w:tcPr>
            <w:tcW w:w="579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87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2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251,754</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pPr>
            <w:r>
              <w:rPr/>
              <w:t>151,183,419</w:t>
            </w:r>
          </w:p>
        </w:tc>
        <w:tc>
          <w:tcPr>
            <w:tcW w:w="158" w:type="dxa"/>
            <w:tcBorders/>
            <w:shd w:fill="CCEEFF" w:val="clear"/>
            <w:vAlign w:val="bottom"/>
          </w:tcPr>
          <w:p>
            <w:pPr>
              <w:pStyle w:val="TableContents"/>
              <w:bidi w:val="0"/>
              <w:spacing w:before="0" w:after="283"/>
              <w:jc w:val="left"/>
              <w:rPr/>
            </w:pPr>
            <w:r>
              <w:rPr/>
              <w:t> </w:t>
            </w:r>
          </w:p>
        </w:tc>
      </w:tr>
      <w:tr>
        <w:trPr/>
        <w:tc>
          <w:tcPr>
            <w:tcW w:w="579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87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90" w:type="dxa"/>
            <w:tcBorders/>
          </w:tcPr>
          <w:p>
            <w:pPr>
              <w:pStyle w:val="TableContents"/>
              <w:bidi w:val="0"/>
              <w:spacing w:before="0" w:after="0"/>
              <w:jc w:val="left"/>
              <w:rPr>
                <w:rFonts w:ascii="Times New Roman" w:hAnsi="Times New Roman"/>
                <w:b/>
                <w:sz w:val="20"/>
              </w:rPr>
            </w:pPr>
            <w:r>
              <w:rPr>
                <w:rFonts w:ascii="Times New Roman" w:hAnsi="Times New Roman"/>
                <w:b/>
                <w:sz w:val="20"/>
              </w:rPr>
              <w:t>Net change in cash</w:t>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(480,012</w:t>
            </w:r>
          </w:p>
        </w:tc>
        <w:tc>
          <w:tcPr>
            <w:tcW w:w="155" w:type="dxa"/>
            <w:tcBorders/>
            <w:vAlign w:val="bottom"/>
          </w:tcPr>
          <w:p>
            <w:pPr>
              <w:pStyle w:val="TableContents"/>
              <w:bidi w:val="0"/>
              <w:spacing w:before="0" w:after="283"/>
              <w:jc w:val="left"/>
              <w:rPr/>
            </w:pPr>
            <w:r>
              <w:rPr/>
              <w:t>)</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right"/>
              <w:rPr/>
            </w:pPr>
            <w:r>
              <w:rPr/>
              <w:t>657,590</w:t>
            </w:r>
          </w:p>
        </w:tc>
        <w:tc>
          <w:tcPr>
            <w:tcW w:w="158" w:type="dxa"/>
            <w:tcBorders/>
            <w:vAlign w:val="bottom"/>
          </w:tcPr>
          <w:p>
            <w:pPr>
              <w:pStyle w:val="TableContents"/>
              <w:bidi w:val="0"/>
              <w:spacing w:before="0" w:after="283"/>
              <w:jc w:val="left"/>
              <w:rPr/>
            </w:pPr>
            <w:r>
              <w:rPr/>
              <w:t> </w:t>
            </w:r>
          </w:p>
        </w:tc>
      </w:tr>
      <w:tr>
        <w:trPr/>
        <w:tc>
          <w:tcPr>
            <w:tcW w:w="57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beginning of the period</w:t>
            </w:r>
          </w:p>
        </w:tc>
        <w:tc>
          <w:tcPr>
            <w:tcW w:w="2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657,590</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79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87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9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end of the period</w:t>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336" w:type="dxa"/>
            <w:tcBorders/>
            <w:vAlign w:val="bottom"/>
          </w:tcPr>
          <w:p>
            <w:pPr>
              <w:pStyle w:val="TableContents"/>
              <w:bidi w:val="0"/>
              <w:spacing w:before="0" w:after="283"/>
              <w:jc w:val="right"/>
              <w:rPr/>
            </w:pPr>
            <w:r>
              <w:rPr/>
              <w:t>177,578</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1871" w:type="dxa"/>
            <w:tcBorders/>
            <w:vAlign w:val="bottom"/>
          </w:tcPr>
          <w:p>
            <w:pPr>
              <w:pStyle w:val="TableContents"/>
              <w:bidi w:val="0"/>
              <w:spacing w:before="0" w:after="283"/>
              <w:jc w:val="right"/>
              <w:rPr/>
            </w:pPr>
            <w:r>
              <w:rPr/>
              <w:t>657,590</w:t>
            </w:r>
          </w:p>
        </w:tc>
        <w:tc>
          <w:tcPr>
            <w:tcW w:w="158" w:type="dxa"/>
            <w:tcBorders/>
            <w:vAlign w:val="bottom"/>
          </w:tcPr>
          <w:p>
            <w:pPr>
              <w:pStyle w:val="TableContents"/>
              <w:bidi w:val="0"/>
              <w:spacing w:before="0" w:after="283"/>
              <w:jc w:val="left"/>
              <w:rPr/>
            </w:pPr>
            <w:r>
              <w:rPr/>
              <w:t> </w:t>
            </w:r>
          </w:p>
        </w:tc>
      </w:tr>
      <w:tr>
        <w:trPr/>
        <w:tc>
          <w:tcPr>
            <w:tcW w:w="579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3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87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 activities</w:t>
            </w:r>
          </w:p>
        </w:tc>
        <w:tc>
          <w:tcPr>
            <w:tcW w:w="2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3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87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90" w:type="dxa"/>
            <w:tcBorders/>
          </w:tcPr>
          <w:p>
            <w:pPr>
              <w:pStyle w:val="TableContents"/>
              <w:bidi w:val="0"/>
              <w:spacing w:before="0" w:after="0"/>
              <w:jc w:val="left"/>
              <w:rPr>
                <w:rFonts w:ascii="Times New Roman" w:hAnsi="Times New Roman"/>
                <w:sz w:val="20"/>
              </w:rPr>
            </w:pPr>
            <w:r>
              <w:rPr>
                <w:rFonts w:ascii="Times New Roman" w:hAnsi="Times New Roman"/>
                <w:sz w:val="20"/>
              </w:rPr>
              <w:t>Subsequent remeasurement of common stock subject to possible redemption</w:t>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336" w:type="dxa"/>
            <w:tcBorders/>
            <w:vAlign w:val="bottom"/>
          </w:tcPr>
          <w:p>
            <w:pPr>
              <w:pStyle w:val="TableContents"/>
              <w:bidi w:val="0"/>
              <w:spacing w:before="0" w:after="283"/>
              <w:jc w:val="right"/>
              <w:rPr/>
            </w:pPr>
            <w:r>
              <w:rPr/>
              <w:t>548,862</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1871"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79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3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87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value of common stock subject to possible redemption</w:t>
            </w:r>
          </w:p>
        </w:tc>
        <w:tc>
          <w:tcPr>
            <w:tcW w:w="28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3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871" w:type="dxa"/>
            <w:tcBorders/>
            <w:shd w:fill="CCEEFF" w:val="clear"/>
            <w:vAlign w:val="bottom"/>
          </w:tcPr>
          <w:p>
            <w:pPr>
              <w:pStyle w:val="TableContents"/>
              <w:bidi w:val="0"/>
              <w:spacing w:before="0" w:after="283"/>
              <w:jc w:val="right"/>
              <w:rPr/>
            </w:pPr>
            <w:r>
              <w:rPr/>
              <w:t>150,000,000</w:t>
            </w:r>
          </w:p>
        </w:tc>
        <w:tc>
          <w:tcPr>
            <w:tcW w:w="158" w:type="dxa"/>
            <w:tcBorders/>
            <w:shd w:fill="CCEEFF" w:val="clear"/>
            <w:vAlign w:val="bottom"/>
          </w:tcPr>
          <w:p>
            <w:pPr>
              <w:pStyle w:val="TableContents"/>
              <w:bidi w:val="0"/>
              <w:spacing w:before="0" w:after="283"/>
              <w:jc w:val="left"/>
              <w:rPr/>
            </w:pPr>
            <w:r>
              <w:rPr/>
              <w:t> </w:t>
            </w:r>
          </w:p>
        </w:tc>
      </w:tr>
      <w:tr>
        <w:trPr/>
        <w:tc>
          <w:tcPr>
            <w:tcW w:w="579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3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87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90" w:type="dxa"/>
            <w:tcBorders/>
          </w:tcPr>
          <w:p>
            <w:pPr>
              <w:pStyle w:val="TableContents"/>
              <w:bidi w:val="0"/>
              <w:spacing w:before="0" w:after="0"/>
              <w:jc w:val="left"/>
              <w:rPr>
                <w:rFonts w:ascii="Times New Roman" w:hAnsi="Times New Roman"/>
                <w:sz w:val="20"/>
              </w:rPr>
            </w:pPr>
            <w:r>
              <w:rPr>
                <w:rFonts w:ascii="Times New Roman" w:hAnsi="Times New Roman"/>
                <w:sz w:val="20"/>
              </w:rPr>
              <w:t>Accrued deferred offering costs</w:t>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3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1871" w:type="dxa"/>
            <w:tcBorders/>
            <w:vAlign w:val="bottom"/>
          </w:tcPr>
          <w:p>
            <w:pPr>
              <w:pStyle w:val="TableContents"/>
              <w:bidi w:val="0"/>
              <w:spacing w:before="0" w:after="283"/>
              <w:jc w:val="right"/>
              <w:rPr/>
            </w:pPr>
            <w:r>
              <w:rPr/>
              <w:t>89,889</w:t>
            </w:r>
          </w:p>
        </w:tc>
        <w:tc>
          <w:tcPr>
            <w:tcW w:w="158" w:type="dxa"/>
            <w:tcBorders/>
            <w:vAlign w:val="bottom"/>
          </w:tcPr>
          <w:p>
            <w:pPr>
              <w:pStyle w:val="TableContents"/>
              <w:bidi w:val="0"/>
              <w:spacing w:before="0" w:after="283"/>
              <w:jc w:val="left"/>
              <w:rPr/>
            </w:pPr>
            <w:r>
              <w:rPr/>
              <w:t> </w:t>
            </w:r>
          </w:p>
        </w:tc>
      </w:tr>
      <w:tr>
        <w:trPr/>
        <w:tc>
          <w:tcPr>
            <w:tcW w:w="579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3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87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bidi w:val="0"/>
        <w:spacing w:before="0" w:after="0"/>
        <w:jc w:val="center"/>
        <w:rPr>
          <w:rFonts w:ascii="Times New Roman" w:hAnsi="Times New Roman"/>
          <w:b/>
          <w:sz w:val="20"/>
        </w:rPr>
      </w:pPr>
      <w:bookmarkStart w:id="52" w:name="fin309194_13"/>
      <w:bookmarkEnd w:id="52"/>
      <w:r>
        <w:rPr>
          <w:rFonts w:ascii="Times New Roman" w:hAnsi="Times New Roman"/>
          <w:b/>
          <w:sz w:val="20"/>
        </w:rPr>
        <w:t xml:space="preserve">NOTES TO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 1 - Organization, Business Operations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The Company concentrated its efforts in identifying businesses in the financial services industry with particular emphasis on businesses that are providing or changing technology for traditional financial services.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2022, the Company had not commenced any operations. All activity for the period from November 5, 2020 (inception) through September 30, 2022,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w:t>
      </w:r>
    </w:p>
    <w:p>
      <w:pPr>
        <w:pStyle w:val="TextBody"/>
        <w:bidi w:val="0"/>
        <w:spacing w:before="240" w:after="0"/>
        <w:jc w:val="left"/>
        <w:rPr>
          <w:rFonts w:ascii="Times New Roman" w:hAnsi="Times New Roman"/>
          <w:sz w:val="20"/>
        </w:rPr>
      </w:pPr>
      <w:r>
        <w:rPr>
          <w:rFonts w:ascii="Times New Roman" w:hAnsi="Times New Roman"/>
          <w:sz w:val="20"/>
        </w:rPr>
        <w:t xml:space="preserve">The Companys sponsor is Armada Sponsor LLC (the Sponsor). The registration statement for the Companys IPO was declared effective on August 12, 2021 (the Effective Date). On August 17, 2021, the Company commenced the IPO of 15,000,000 units at $10.00 per unit (the Units).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consummation of the IPO, the Company consummated the private placement of 459,500 shares of common stock (Private Shares), at a price of $10.00 per share for an aggregate purchase price of $4,595,000.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amounted to $3,537,515 consisting of $1,500,000 of underwriting commissions, and $2,037,515 of other offering costs.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of the IPO on August 17, 2021, after releasing funds to the Company to be held outside of the Trust, $150,000,000 ($10.00 per Unit) from the net proceeds of the sale of the Units in the IPO was held in a Trust Account (Trust Account) and has been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Except with respect to interest earned on the funds held in the Trust Account that may be released to the Company to pay tax obligations,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As of September 30, 2022, the Trust Account has released $182,069 to the Company to pay tax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IPO and the sale of Private Shares, although substantially all of the net proceeds are intended to be applied generally toward consummating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must complete one or more initial Business Combinations having an aggregate fair market value of at least 80% of the value of the assets held in the trust account (as defined below) (excluding deferred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dont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(or less if the Charter Limitation Amendment Proposal is approved and implemented) and, if the Company seeks stockholder approval, a majority of the issued and outstanding shares voted are voted in favor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exercise of the automatic extension of the deadline for the Company to complete an initial business combination under our second amended and restated certificate of incorporation, the Company has until February 17, 2023 (or 18 months following our initial public offering) to consummate a business combination (unless we further extend the period of time to consummate a business combination) (the Combination Period).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 </w:t>
      </w:r>
    </w:p>
    <w:p>
      <w:pPr>
        <w:pStyle w:val="TextBody"/>
        <w:bidi w:val="0"/>
        <w:spacing w:before="240" w:after="0"/>
        <w:jc w:val="left"/>
        <w:rPr>
          <w:rFonts w:ascii="Times New Roman" w:hAnsi="Times New Roman"/>
          <w:sz w:val="20"/>
        </w:rPr>
      </w:pPr>
      <w:r>
        <w:rPr>
          <w:rFonts w:ascii="Times New Roman" w:hAnsi="Times New Roman"/>
          <w:sz w:val="20"/>
        </w:rPr>
        <w:t xml:space="preserve">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will specifically provide for two exceptions to the indemnity it has given: it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no liability (1) as to any claimed amounts owed to a target business or vendor or other entity who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 that the Sponsors only assets are securities of the Company. Therefore, the Company believes it is unlikely that the Sponsor will be able to satisfy its indemnification obligations if it is required to do so. </w:t>
      </w:r>
    </w:p>
    <w:p>
      <w:pPr>
        <w:pStyle w:val="TextBody"/>
        <w:bidi w:val="0"/>
        <w:spacing w:before="240" w:after="0"/>
        <w:jc w:val="left"/>
        <w:rPr>
          <w:rFonts w:ascii="Times New Roman" w:hAnsi="Times New Roman"/>
          <w:sz w:val="20"/>
        </w:rPr>
      </w:pPr>
      <w:r>
        <w:rPr>
          <w:rFonts w:ascii="Times New Roman" w:hAnsi="Times New Roman"/>
          <w:sz w:val="20"/>
        </w:rPr>
        <w:t>On December 17, 2021, the Company entered into a business combination agreement with Rezolve Limited, a private limited company incorporated under the laws of England and Wales (</w:t>
      </w:r>
      <w:r>
        <w:rPr>
          <w:rFonts w:ascii="Times New Roman" w:hAnsi="Times New Roman"/>
          <w:sz w:val="20"/>
          <w:u w:val="single"/>
        </w:rPr>
        <w:t>Rezolve</w:t>
      </w:r>
      <w:r>
        <w:rPr>
          <w:rFonts w:ascii="Times New Roman" w:hAnsi="Times New Roman"/>
          <w:sz w:val="20"/>
        </w:rPr>
        <w:t>), Rezolve Group Limited, a Cayman Islands exempted company (</w:t>
      </w:r>
      <w:r>
        <w:rPr>
          <w:rFonts w:ascii="Times New Roman" w:hAnsi="Times New Roman"/>
          <w:sz w:val="20"/>
          <w:u w:val="single"/>
        </w:rPr>
        <w:t>Cayman NewCo</w:t>
      </w:r>
      <w:r>
        <w:rPr>
          <w:rFonts w:ascii="Times New Roman" w:hAnsi="Times New Roman"/>
          <w:sz w:val="20"/>
        </w:rPr>
        <w:t>), and Rezolve Merger Sub, Inc., (</w:t>
      </w:r>
      <w:r>
        <w:rPr>
          <w:rFonts w:ascii="Times New Roman" w:hAnsi="Times New Roman"/>
          <w:sz w:val="20"/>
          <w:u w:val="single"/>
        </w:rPr>
        <w:t>Rezolve Merger Sub</w:t>
      </w:r>
      <w:r>
        <w:rPr>
          <w:rFonts w:ascii="Times New Roman" w:hAnsi="Times New Roman"/>
          <w:sz w:val="20"/>
        </w:rPr>
        <w:t>) (such business combination agreement, the </w:t>
      </w:r>
      <w:r>
        <w:rPr>
          <w:rFonts w:ascii="Times New Roman" w:hAnsi="Times New Roman"/>
          <w:sz w:val="20"/>
          <w:u w:val="single"/>
        </w:rPr>
        <w:t>Business Combination Agreement</w:t>
      </w:r>
      <w:r>
        <w:rPr>
          <w:rFonts w:ascii="Times New Roman" w:hAnsi="Times New Roman"/>
          <w:sz w:val="20"/>
        </w:rPr>
        <w:t>, and such business combination, the </w:t>
      </w:r>
      <w:r>
        <w:rPr>
          <w:rFonts w:ascii="Times New Roman" w:hAnsi="Times New Roman"/>
          <w:sz w:val="20"/>
          <w:u w:val="single"/>
        </w:rPr>
        <w:t>Business Combination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connection with the execution of the definitive Business Combination Agreement, certain investors have agreed to purchase an aggregate of 2,050,000 ordinary shares of Cayman NewCo for the purchase price of $10.00 per share, for an aggregate purchase price of $20.5 million pursuant to certain subscription agreements (the </w:t>
      </w:r>
      <w:r>
        <w:rPr>
          <w:rFonts w:ascii="Times New Roman" w:hAnsi="Times New Roman"/>
          <w:sz w:val="20"/>
          <w:u w:val="single"/>
        </w:rPr>
        <w:t>Subscription Agreements</w:t>
      </w:r>
      <w:r>
        <w:rPr>
          <w:rFonts w:ascii="Times New Roman" w:hAnsi="Times New Roman"/>
          <w:sz w:val="20"/>
        </w:rPr>
        <w:t xml:space="preserve">). The obligations of each party under the subscription agreements are conditioned upon customary closing conditions and the consummation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Concurrently with the execution and delivery of the Business Combination Agreement, Armada and the Key Company Shareholders (as defined in the Business Combination Agreement) have entered into the Transaction Support Agreement (the </w:t>
      </w:r>
      <w:r>
        <w:rPr>
          <w:rFonts w:ascii="Times New Roman" w:hAnsi="Times New Roman"/>
          <w:sz w:val="20"/>
          <w:u w:val="single"/>
        </w:rPr>
        <w:t>Transaction Support Agreement</w:t>
      </w:r>
      <w:r>
        <w:rPr>
          <w:rFonts w:ascii="Times New Roman" w:hAnsi="Times New Roman"/>
          <w:sz w:val="20"/>
        </w:rPr>
        <w:t xml:space="preserve">), pursuant to which, among other things, the Key Company Shareholders have agreed to (a) vote in favor of the Company Reorganization (b) vote in favor of the Business Combination Agreement and the agreements contemplated thereby and the transactions contemplated thereby, (c) enter into the Investor Rights Agreement (as described below) at Closing and (d) the termination of certain agreements effective as of Closing. </w:t>
      </w:r>
    </w:p>
    <w:p>
      <w:pPr>
        <w:pStyle w:val="TextBody"/>
        <w:bidi w:val="0"/>
        <w:spacing w:before="240" w:after="0"/>
        <w:jc w:val="left"/>
        <w:rPr>
          <w:rFonts w:ascii="Times New Roman" w:hAnsi="Times New Roman"/>
          <w:sz w:val="20"/>
        </w:rPr>
      </w:pPr>
      <w:r>
        <w:rPr>
          <w:rFonts w:ascii="Times New Roman" w:hAnsi="Times New Roman"/>
          <w:sz w:val="20"/>
        </w:rPr>
        <w:t xml:space="preserve">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the Company will continue as a going concern, which contemplates, among other things, the realization of assets and satisfaction of liabilities in the normal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2022, the Company had approximately $0.2 million in its operating account and working capital deficiency of approximately $3.1 million (excluding income tax payable and franchise tax payable). </w:t>
      </w:r>
    </w:p>
    <w:p>
      <w:pPr>
        <w:pStyle w:val="TextBody"/>
        <w:bidi w:val="0"/>
        <w:spacing w:before="240" w:after="0"/>
        <w:jc w:val="left"/>
        <w:rPr>
          <w:rFonts w:ascii="Times New Roman" w:hAnsi="Times New Roman"/>
          <w:sz w:val="20"/>
        </w:rPr>
      </w:pPr>
      <w:r>
        <w:rPr>
          <w:rFonts w:ascii="Times New Roman" w:hAnsi="Times New Roman"/>
          <w:sz w:val="20"/>
        </w:rPr>
        <w:t xml:space="preserve">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May 9, 2022, the Sponsor loaned the Company the aggregate amount of $483,034 in order to assist the Company to fund its working capital needs (see Note 5). The loan is evidenced by two promissory notes in the aggregate principal amount of $483,034 from the Company, as maker, to the Sponsor, as payee.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resulting in $251,754 balance outstanding under the second promissory note as of September 30, 2022. </w:t>
      </w:r>
    </w:p>
    <w:p>
      <w:pPr>
        <w:pStyle w:val="TextBody"/>
        <w:bidi w:val="0"/>
        <w:spacing w:before="240" w:after="0"/>
        <w:jc w:val="left"/>
        <w:rPr>
          <w:rFonts w:ascii="Times New Roman" w:hAnsi="Times New Roman"/>
          <w:sz w:val="20"/>
        </w:rPr>
      </w:pPr>
      <w:r>
        <w:rPr>
          <w:rFonts w:ascii="Times New Roman" w:hAnsi="Times New Roman"/>
          <w:sz w:val="20"/>
        </w:rPr>
        <w:t xml:space="preserve">In order to finance transaction costs in connection with a Business Combination, the Companys Sponsor or an affiliate of the Sponsor or certain of the Companys officers and directors may, but are not obligated to, provide the Company with Working Capital Loans, as defined below (see Note 5). As of September 30, 2022, there were no amounts outstanding under any Working Capital Loans. The Company has incurred and expects to continue to incur significant costs in pursuit of its acquisition plans.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February 17, 2023, the scheduled liquidation date of the Company if it does not complete a Business Combination prior to such date. These unaudited condensed financial statements do not include any adjustments relating to the recovery of the recorded assets or the classification of the liabilities that might be necessary should the Company be unable to continue as a going concern. </w:t>
      </w:r>
    </w:p>
    <w:p>
      <w:pPr>
        <w:pStyle w:val="TextBody"/>
        <w:bidi w:val="0"/>
        <w:spacing w:before="360" w:after="0"/>
        <w:jc w:val="left"/>
        <w:rPr>
          <w:rFonts w:ascii="Times New Roman" w:hAnsi="Times New Roman"/>
          <w:b/>
          <w:sz w:val="20"/>
        </w:rPr>
      </w:pPr>
      <w:r>
        <w:rPr>
          <w:rFonts w:ascii="Times New Roman" w:hAnsi="Times New Roman"/>
          <w:b/>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continuing to evaluate the impact of the COVID-19 pandemic on the industry, the geopolitical conditions resulting from the recent invasion of Ukraine by Russia and subsequent sanctions against Russia, Belarus and related individuals and entities and the status of debt and equity markets, as well as protectionist legislation in our target markets and has concluded that while it is reasonably possible that it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sz w:val="20"/>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pStyle w:val="TextBody"/>
        <w:bidi w:val="0"/>
        <w:spacing w:before="240" w:after="0"/>
        <w:jc w:val="left"/>
        <w:rPr>
          <w:rFonts w:ascii="Times New Roman" w:hAnsi="Times New Roman"/>
          <w:sz w:val="20"/>
        </w:rPr>
      </w:pPr>
      <w:r>
        <w:rPr>
          <w:rFonts w:ascii="Times New Roman" w:hAnsi="Times New Roman"/>
          <w:sz w:val="20"/>
        </w:rPr>
        <w:t xml:space="preserve">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2 - Significant Accounting Policies </w:t>
      </w:r>
    </w:p>
    <w:p>
      <w:pPr>
        <w:pStyle w:val="TextBody"/>
        <w:bidi w:val="0"/>
        <w:spacing w:before="12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of the Company are presented in U.S. dollars in conformity with accounting principles generally accepted in the United States of America (GAAP) and pursuant to the rules and regulations of the U.S. Securities and Exchange Commission (SEC). In the opinion of management, all adjustments (consisting of normal recurring adjustments) have been made that are necessary to present fairly the financial position, and the results of its operations and its cash flows.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sz w:val="20"/>
        </w:rPr>
      </w:pPr>
      <w:r>
        <w:rPr>
          <w:rFonts w:ascii="Times New Roman" w:hAnsi="Times New Roman"/>
          <w:b/>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equivalents. The Company had $177,578 and $657,590 in cash as of September 30, 2022 and 2021,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Investment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2022, the assets held in the Trust Account were held in U.S. Treasury Bills with a maturity of 185 days or less and in money market funds which invest in U.S. Treasury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 </w:t>
      </w:r>
    </w:p>
    <w:p>
      <w:pPr>
        <w:pStyle w:val="TextBody"/>
        <w:bidi w:val="0"/>
        <w:spacing w:before="240" w:after="0"/>
        <w:jc w:val="left"/>
        <w:rPr>
          <w:rFonts w:ascii="Times New Roman" w:hAnsi="Times New Roman"/>
          <w:sz w:val="20"/>
        </w:rPr>
      </w:pPr>
      <w:r>
        <w:rPr>
          <w:rFonts w:ascii="Times New Roman" w:hAnsi="Times New Roman"/>
          <w:sz w:val="20"/>
        </w:rPr>
        <w:t>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w:t>
      </w:r>
    </w:p>
    <w:p>
      <w:pPr>
        <w:pStyle w:val="TextBody"/>
        <w:bidi w:val="0"/>
        <w:spacing w:before="240" w:after="0"/>
        <w:jc w:val="left"/>
        <w:rPr>
          <w:rFonts w:ascii="Times New Roman" w:hAnsi="Times New Roman"/>
          <w:sz w:val="20"/>
        </w:rPr>
      </w:pPr>
      <w:r>
        <w:rPr>
          <w:rFonts w:ascii="Times New Roman" w:hAnsi="Times New Roman"/>
          <w:sz w:val="20"/>
        </w:rPr>
        <w:t xml:space="preserve">Premiums and discounts are amortized or accreted over the life of the related held-to-maturity security as an adjustment to yield using the effective-interest method. Such amortization and accretion are included in the interest income line item in the unaudited condensed statements of operations. Interest income is recognized when earned. </w:t>
      </w:r>
    </w:p>
    <w:p>
      <w:pPr>
        <w:pStyle w:val="TextBody"/>
        <w:bidi w:val="0"/>
        <w:spacing w:before="240" w:after="0"/>
        <w:jc w:val="left"/>
        <w:rPr>
          <w:rFonts w:ascii="Times New Roman" w:hAnsi="Times New Roman"/>
          <w:sz w:val="20"/>
        </w:rPr>
      </w:pPr>
      <w:r>
        <w:rPr>
          <w:rFonts w:ascii="Times New Roman" w:hAnsi="Times New Roman"/>
          <w:sz w:val="20"/>
        </w:rPr>
        <w:t xml:space="preserve">The carrying value, excluding gross unrealized holding loss, and fair value of held to maturity securities on September 30, 2022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07"/>
        <w:gridCol w:w="320"/>
        <w:gridCol w:w="140"/>
        <w:gridCol w:w="1299"/>
        <w:gridCol w:w="60"/>
        <w:gridCol w:w="320"/>
        <w:gridCol w:w="192"/>
        <w:gridCol w:w="946"/>
        <w:gridCol w:w="60"/>
        <w:gridCol w:w="320"/>
        <w:gridCol w:w="569"/>
        <w:gridCol w:w="569"/>
        <w:gridCol w:w="60"/>
        <w:gridCol w:w="319"/>
        <w:gridCol w:w="140"/>
        <w:gridCol w:w="1299"/>
        <w:gridCol w:w="68"/>
      </w:tblGrid>
      <w:tr>
        <w:trPr/>
        <w:tc>
          <w:tcPr>
            <w:tcW w:w="2707"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707"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Value as of</w:t>
              <w:br/>
              <w:t>September 30,</w:t>
              <w:br/>
              <w:t>2022</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Gains</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Losses</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as of</w:t>
              <w:br/>
              <w:t>September 30,</w:t>
              <w:br/>
              <w:t>2022</w:t>
            </w:r>
          </w:p>
        </w:tc>
        <w:tc>
          <w:tcPr>
            <w:tcW w:w="68" w:type="dxa"/>
            <w:tcBorders/>
            <w:vAlign w:val="bottom"/>
          </w:tcPr>
          <w:p>
            <w:pPr>
              <w:pStyle w:val="TableContents"/>
              <w:bidi w:val="0"/>
              <w:spacing w:before="0" w:after="283"/>
              <w:jc w:val="left"/>
              <w:rPr/>
            </w:pPr>
            <w:r>
              <w:rPr/>
              <w:t> </w:t>
            </w:r>
          </w:p>
        </w:tc>
      </w:tr>
      <w:tr>
        <w:trPr/>
        <w:tc>
          <w:tcPr>
            <w:tcW w:w="27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9" w:type="dxa"/>
            <w:tcBorders/>
            <w:shd w:fill="CCEEFF" w:val="clear"/>
            <w:vAlign w:val="bottom"/>
          </w:tcPr>
          <w:p>
            <w:pPr>
              <w:pStyle w:val="TableContents"/>
              <w:bidi w:val="0"/>
              <w:spacing w:before="0" w:after="283"/>
              <w:jc w:val="right"/>
              <w:rPr/>
            </w:pPr>
            <w:r>
              <w:rPr/>
              <w:t>320</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9" w:type="dxa"/>
            <w:tcBorders/>
            <w:shd w:fill="CCEEFF" w:val="clear"/>
            <w:vAlign w:val="bottom"/>
          </w:tcPr>
          <w:p>
            <w:pPr>
              <w:pStyle w:val="TableContents"/>
              <w:bidi w:val="0"/>
              <w:spacing w:before="0" w:after="283"/>
              <w:jc w:val="right"/>
              <w:rPr/>
            </w:pPr>
            <w:r>
              <w:rPr/>
              <w:t>320</w:t>
            </w:r>
          </w:p>
        </w:tc>
        <w:tc>
          <w:tcPr>
            <w:tcW w:w="68" w:type="dxa"/>
            <w:tcBorders/>
            <w:shd w:fill="CCEEFF" w:val="clear"/>
            <w:vAlign w:val="bottom"/>
          </w:tcPr>
          <w:p>
            <w:pPr>
              <w:pStyle w:val="TableContents"/>
              <w:bidi w:val="0"/>
              <w:spacing w:before="0" w:after="283"/>
              <w:jc w:val="left"/>
              <w:rPr/>
            </w:pPr>
            <w:r>
              <w:rPr/>
              <w:t> </w:t>
            </w:r>
          </w:p>
        </w:tc>
      </w:tr>
      <w:tr>
        <w:trPr/>
        <w:tc>
          <w:tcPr>
            <w:tcW w:w="2707"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Bills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150,844,605</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19,242</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150,863,847</w:t>
            </w:r>
          </w:p>
        </w:tc>
        <w:tc>
          <w:tcPr>
            <w:tcW w:w="68" w:type="dxa"/>
            <w:tcBorders/>
            <w:vAlign w:val="bottom"/>
          </w:tcPr>
          <w:p>
            <w:pPr>
              <w:pStyle w:val="TableContents"/>
              <w:bidi w:val="0"/>
              <w:spacing w:before="0" w:after="283"/>
              <w:jc w:val="left"/>
              <w:rPr/>
            </w:pPr>
            <w:r>
              <w:rPr/>
              <w:t> </w:t>
            </w:r>
          </w:p>
        </w:tc>
      </w:tr>
      <w:tr>
        <w:trPr/>
        <w:tc>
          <w:tcPr>
            <w:tcW w:w="2707"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707" w:type="dxa"/>
            <w:tcBorders/>
            <w:shd w:fill="CCEEFF" w:val="clear"/>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9" w:type="dxa"/>
            <w:tcBorders/>
            <w:shd w:fill="CCEEFF" w:val="clear"/>
            <w:vAlign w:val="bottom"/>
          </w:tcPr>
          <w:p>
            <w:pPr>
              <w:pStyle w:val="TableContents"/>
              <w:bidi w:val="0"/>
              <w:spacing w:before="0" w:after="283"/>
              <w:jc w:val="right"/>
              <w:rPr/>
            </w:pPr>
            <w:r>
              <w:rPr/>
              <w:t>150,844,925</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46" w:type="dxa"/>
            <w:tcBorders/>
            <w:shd w:fill="CCEEFF" w:val="clear"/>
            <w:vAlign w:val="bottom"/>
          </w:tcPr>
          <w:p>
            <w:pPr>
              <w:pStyle w:val="TableContents"/>
              <w:bidi w:val="0"/>
              <w:spacing w:before="0" w:after="283"/>
              <w:jc w:val="right"/>
              <w:rPr/>
            </w:pPr>
            <w:r>
              <w:rPr/>
              <w:t>19,242</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9" w:type="dxa"/>
            <w:tcBorders/>
            <w:shd w:fill="CCEEFF" w:val="clear"/>
            <w:vAlign w:val="bottom"/>
          </w:tcPr>
          <w:p>
            <w:pPr>
              <w:pStyle w:val="TableContents"/>
              <w:bidi w:val="0"/>
              <w:spacing w:before="0" w:after="283"/>
              <w:jc w:val="right"/>
              <w:rPr/>
            </w:pPr>
            <w:r>
              <w:rPr/>
              <w:t>150,864,167</w:t>
            </w:r>
          </w:p>
        </w:tc>
        <w:tc>
          <w:tcPr>
            <w:tcW w:w="68" w:type="dxa"/>
            <w:tcBorders/>
            <w:shd w:fill="CCEEFF" w:val="clear"/>
            <w:vAlign w:val="bottom"/>
          </w:tcPr>
          <w:p>
            <w:pPr>
              <w:pStyle w:val="TableContents"/>
              <w:bidi w:val="0"/>
              <w:spacing w:before="0" w:after="283"/>
              <w:jc w:val="left"/>
              <w:rPr/>
            </w:pPr>
            <w:r>
              <w:rPr/>
              <w:t> </w:t>
            </w:r>
          </w:p>
        </w:tc>
      </w:tr>
      <w:tr>
        <w:trPr/>
        <w:tc>
          <w:tcPr>
            <w:tcW w:w="2707"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9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September 30, 2021, the assets held in the Trust Account were held in a money market fund, which were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estimated fair values of investments held in the Trust Account are determined using available market information and are characterized as Level 1 investments within the fair value hierarchy under ASC 820 (as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for sale of an asset or paid for transfer of a liability, in an orderly transaction between market participants at the measurement date. GAAP establishes a three-tier fair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defined as observable inputs such as quoted prices (unadjusted) for identical instruments in active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defined as inputs other than quoted prices in active markets that are either directly or indirectly observable such as quoted prices for similar instruments in active markets or quoted prices for identical or similar instruments in markets that are not active;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defined as unobservable inputs in which little or no market data exists, therefore requiring an entity to develop its own assumptions, such as valuations derived from valuation techniques in which one or more significant inputs or significant value drivers are unobservable.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certain of the Companys assets and liabilities, which qualify as financial instruments under ASC 820, Fair Value Measurements and Disclosures, approximates the carrying amounts represented in the balance sheet. The fair values of cash, prepaid expenses, accrued offering costs and expenses, and promissory notes to related party are estimated to approximate the carrying values as of September 30, 2022 and 2021, due to the short maturities of such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of a cash account in a financial institution, which, at times, may exceed the Federal Depository Insurance Corporation limit of $250,000. At September 30, 2022 and 2021, the Company has not experienced losses on this account and management believes the Company is not exposed to significant risks on such account. </w:t>
      </w:r>
    </w:p>
    <w:p>
      <w:pPr>
        <w:pStyle w:val="TextBody"/>
        <w:bidi w:val="0"/>
        <w:spacing w:before="360" w:after="0"/>
        <w:jc w:val="left"/>
        <w:rPr>
          <w:rFonts w:ascii="Times New Roman" w:hAnsi="Times New Roman"/>
          <w:b/>
          <w:sz w:val="20"/>
        </w:rPr>
      </w:pPr>
      <w:r>
        <w:rPr>
          <w:rFonts w:ascii="Times New Roman" w:hAnsi="Times New Roman"/>
          <w:b/>
          <w:sz w:val="20"/>
        </w:rPr>
        <w:t xml:space="preserve">Offering Costs Associated with IPO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the requirements of ASC 340-10-S99-1 and SEC Staff Accounting Bulletin Topic 5AExpenses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subject to possible redemption are presented at redemption value as temporary equity, outside of the stockholders equity section of the Companys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At September 30, 2022, the common stock reflected in the balance sheets are reconciled in the following table: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370"/>
        <w:gridCol w:w="380"/>
        <w:gridCol w:w="149"/>
        <w:gridCol w:w="1328"/>
        <w:gridCol w:w="161"/>
      </w:tblGrid>
      <w:tr>
        <w:trPr/>
        <w:tc>
          <w:tcPr>
            <w:tcW w:w="737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Proceeds</w:t>
            </w:r>
          </w:p>
        </w:tc>
        <w:tc>
          <w:tcPr>
            <w:tcW w:w="38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28" w:type="dxa"/>
            <w:tcBorders/>
            <w:shd w:fill="CCEEFF" w:val="clear"/>
            <w:vAlign w:val="bottom"/>
          </w:tcPr>
          <w:p>
            <w:pPr>
              <w:pStyle w:val="TableContents"/>
              <w:bidi w:val="0"/>
              <w:spacing w:before="0" w:after="283"/>
              <w:jc w:val="right"/>
              <w:rPr/>
            </w:pPr>
            <w:r>
              <w:rPr/>
              <w:t>150,000,000</w:t>
            </w:r>
          </w:p>
        </w:tc>
        <w:tc>
          <w:tcPr>
            <w:tcW w:w="161" w:type="dxa"/>
            <w:tcBorders/>
            <w:shd w:fill="CCEEFF" w:val="clear"/>
            <w:vAlign w:val="bottom"/>
          </w:tcPr>
          <w:p>
            <w:pPr>
              <w:pStyle w:val="TableContents"/>
              <w:bidi w:val="0"/>
              <w:spacing w:before="0" w:after="283"/>
              <w:jc w:val="left"/>
              <w:rPr/>
            </w:pPr>
            <w:r>
              <w:rPr/>
              <w:t> </w:t>
            </w:r>
          </w:p>
        </w:tc>
      </w:tr>
      <w:tr>
        <w:trPr/>
        <w:tc>
          <w:tcPr>
            <w:tcW w:w="7370" w:type="dxa"/>
            <w:tcBorders/>
          </w:tcPr>
          <w:p>
            <w:pPr>
              <w:pStyle w:val="TableContents"/>
              <w:bidi w:val="0"/>
              <w:spacing w:before="0" w:after="0"/>
              <w:jc w:val="left"/>
              <w:rPr>
                <w:rFonts w:ascii="Times New Roman" w:hAnsi="Times New Roman"/>
                <w:sz w:val="20"/>
              </w:rPr>
            </w:pPr>
            <w:r>
              <w:rPr>
                <w:rFonts w:ascii="Times New Roman" w:hAnsi="Times New Roman"/>
                <w:sz w:val="20"/>
              </w:rPr>
              <w:t>Less: Proceeds allocated to Public Warrants</w:t>
            </w:r>
          </w:p>
        </w:tc>
        <w:tc>
          <w:tcPr>
            <w:tcW w:w="38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(11,700,000</w:t>
            </w:r>
          </w:p>
        </w:tc>
        <w:tc>
          <w:tcPr>
            <w:tcW w:w="161" w:type="dxa"/>
            <w:tcBorders/>
            <w:vAlign w:val="bottom"/>
          </w:tcPr>
          <w:p>
            <w:pPr>
              <w:pStyle w:val="TableContents"/>
              <w:bidi w:val="0"/>
              <w:spacing w:before="0" w:after="283"/>
              <w:jc w:val="left"/>
              <w:rPr/>
            </w:pPr>
            <w:r>
              <w:rPr/>
              <w:t>) </w:t>
            </w:r>
          </w:p>
        </w:tc>
      </w:tr>
      <w:tr>
        <w:trPr/>
        <w:tc>
          <w:tcPr>
            <w:tcW w:w="7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Issuance costs related to common stock</w:t>
            </w:r>
          </w:p>
        </w:tc>
        <w:tc>
          <w:tcPr>
            <w:tcW w:w="38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(3,261,589</w:t>
            </w:r>
          </w:p>
        </w:tc>
        <w:tc>
          <w:tcPr>
            <w:tcW w:w="161" w:type="dxa"/>
            <w:tcBorders/>
            <w:shd w:fill="CCEEFF" w:val="clear"/>
            <w:vAlign w:val="bottom"/>
          </w:tcPr>
          <w:p>
            <w:pPr>
              <w:pStyle w:val="TableContents"/>
              <w:bidi w:val="0"/>
              <w:spacing w:before="0" w:after="283"/>
              <w:jc w:val="left"/>
              <w:rPr/>
            </w:pPr>
            <w:r>
              <w:rPr/>
              <w:t>) </w:t>
            </w:r>
          </w:p>
        </w:tc>
      </w:tr>
      <w:tr>
        <w:trPr/>
        <w:tc>
          <w:tcPr>
            <w:tcW w:w="7370" w:type="dxa"/>
            <w:tcBorders/>
          </w:tcPr>
          <w:p>
            <w:pPr>
              <w:pStyle w:val="TableContents"/>
              <w:bidi w:val="0"/>
              <w:spacing w:before="0" w:after="0"/>
              <w:jc w:val="left"/>
              <w:rPr>
                <w:rFonts w:ascii="Times New Roman" w:hAnsi="Times New Roman"/>
                <w:sz w:val="20"/>
              </w:rPr>
            </w:pPr>
            <w:r>
              <w:rPr>
                <w:rFonts w:ascii="Times New Roman" w:hAnsi="Times New Roman"/>
                <w:sz w:val="20"/>
              </w:rPr>
              <w:t>Plus: Remeasurement of carrying value to redemption value</w:t>
            </w:r>
          </w:p>
        </w:tc>
        <w:tc>
          <w:tcPr>
            <w:tcW w:w="38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14,961,589</w:t>
            </w:r>
          </w:p>
        </w:tc>
        <w:tc>
          <w:tcPr>
            <w:tcW w:w="161" w:type="dxa"/>
            <w:tcBorders/>
            <w:vAlign w:val="bottom"/>
          </w:tcPr>
          <w:p>
            <w:pPr>
              <w:pStyle w:val="TableContents"/>
              <w:bidi w:val="0"/>
              <w:spacing w:before="0" w:after="283"/>
              <w:jc w:val="left"/>
              <w:rPr/>
            </w:pPr>
            <w:r>
              <w:rPr/>
              <w:t> </w:t>
            </w:r>
          </w:p>
        </w:tc>
      </w:tr>
      <w:tr>
        <w:trPr/>
        <w:tc>
          <w:tcPr>
            <w:tcW w:w="737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subject to possible redemption  September 30, 2021</w:t>
            </w:r>
          </w:p>
        </w:tc>
        <w:tc>
          <w:tcPr>
            <w:tcW w:w="38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28" w:type="dxa"/>
            <w:tcBorders/>
            <w:shd w:fill="CCEEFF" w:val="clear"/>
            <w:vAlign w:val="bottom"/>
          </w:tcPr>
          <w:p>
            <w:pPr>
              <w:pStyle w:val="TableContents"/>
              <w:bidi w:val="0"/>
              <w:spacing w:before="0" w:after="283"/>
              <w:jc w:val="right"/>
              <w:rPr/>
            </w:pPr>
            <w:r>
              <w:rPr/>
              <w:t>150,000,000</w:t>
            </w:r>
          </w:p>
        </w:tc>
        <w:tc>
          <w:tcPr>
            <w:tcW w:w="161" w:type="dxa"/>
            <w:tcBorders/>
            <w:shd w:fill="CCEEFF" w:val="clear"/>
            <w:vAlign w:val="bottom"/>
          </w:tcPr>
          <w:p>
            <w:pPr>
              <w:pStyle w:val="TableContents"/>
              <w:bidi w:val="0"/>
              <w:spacing w:before="0" w:after="283"/>
              <w:jc w:val="left"/>
              <w:rPr/>
            </w:pPr>
            <w:r>
              <w:rPr/>
              <w:t> </w:t>
            </w:r>
          </w:p>
        </w:tc>
      </w:tr>
      <w:tr>
        <w:trPr/>
        <w:tc>
          <w:tcPr>
            <w:tcW w:w="7370" w:type="dxa"/>
            <w:tcBorders/>
          </w:tcPr>
          <w:p>
            <w:pPr>
              <w:pStyle w:val="TableContents"/>
              <w:bidi w:val="0"/>
              <w:spacing w:before="0" w:after="0"/>
              <w:jc w:val="left"/>
              <w:rPr>
                <w:rFonts w:ascii="Times New Roman" w:hAnsi="Times New Roman"/>
                <w:sz w:val="20"/>
              </w:rPr>
            </w:pPr>
            <w:r>
              <w:rPr>
                <w:rFonts w:ascii="Times New Roman" w:hAnsi="Times New Roman"/>
                <w:sz w:val="20"/>
              </w:rPr>
              <w:t>Plus: Subsequent remeasurement of carrying value to redemption value  Trust interest income (excluding the amount that can be withdrawn from Trust Account)</w:t>
            </w:r>
          </w:p>
        </w:tc>
        <w:tc>
          <w:tcPr>
            <w:tcW w:w="38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548,862</w:t>
            </w:r>
          </w:p>
        </w:tc>
        <w:tc>
          <w:tcPr>
            <w:tcW w:w="161" w:type="dxa"/>
            <w:tcBorders/>
            <w:vAlign w:val="bottom"/>
          </w:tcPr>
          <w:p>
            <w:pPr>
              <w:pStyle w:val="TableContents"/>
              <w:bidi w:val="0"/>
              <w:spacing w:before="0" w:after="283"/>
              <w:jc w:val="left"/>
              <w:rPr/>
            </w:pPr>
            <w:r>
              <w:rPr/>
              <w:t> </w:t>
            </w:r>
          </w:p>
        </w:tc>
      </w:tr>
      <w:tr>
        <w:trPr/>
        <w:tc>
          <w:tcPr>
            <w:tcW w:w="737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subject to possible redemption  September 30, 2022</w:t>
            </w:r>
          </w:p>
        </w:tc>
        <w:tc>
          <w:tcPr>
            <w:tcW w:w="38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28" w:type="dxa"/>
            <w:tcBorders/>
            <w:shd w:fill="CCEEFF" w:val="clear"/>
            <w:vAlign w:val="bottom"/>
          </w:tcPr>
          <w:p>
            <w:pPr>
              <w:pStyle w:val="TableContents"/>
              <w:bidi w:val="0"/>
              <w:spacing w:before="0" w:after="283"/>
              <w:jc w:val="right"/>
              <w:rPr/>
            </w:pPr>
            <w:r>
              <w:rPr/>
              <w:t>150,548,862</w:t>
            </w:r>
          </w:p>
        </w:tc>
        <w:tc>
          <w:tcPr>
            <w:tcW w:w="161" w:type="dxa"/>
            <w:tcBorders/>
            <w:shd w:fill="CCEEFF" w:val="clear"/>
            <w:vAlign w:val="bottom"/>
          </w:tcPr>
          <w:p>
            <w:pPr>
              <w:pStyle w:val="TableContents"/>
              <w:bidi w:val="0"/>
              <w:spacing w:before="0" w:after="283"/>
              <w:jc w:val="left"/>
              <w:rPr/>
            </w:pPr>
            <w:r>
              <w:rPr/>
              <w:t> </w:t>
            </w:r>
          </w:p>
        </w:tc>
      </w:tr>
      <w:tr>
        <w:trPr/>
        <w:tc>
          <w:tcPr>
            <w:tcW w:w="737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32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Net Loss Per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accounting and disclosure requirements of FASB ASC Topic 260, Earnings Per Share. Net loss per common stock is computed by dividing net loss by the weighted average number of common stock outstanding for the period. Remeasurement adjustments associated with the redeemable shares of common stock is excluded from earnings per share as the redemption value approximates fair value.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September 30, 2022 and 2021, the Company did not have any dilutive securities or other contracts that could, potentially, be exercised or converted into common stock and then share in the earnings of the Company. As a result, diluted net loss per common stock is the same as basic net loss per common stock for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Accretion of the carrying value of common stock subject to redemption value is excluded from net loss per common stock because the redemption value approximates fair value.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995"/>
        <w:gridCol w:w="123"/>
        <w:gridCol w:w="175"/>
        <w:gridCol w:w="1389"/>
        <w:gridCol w:w="95"/>
        <w:gridCol w:w="123"/>
        <w:gridCol w:w="140"/>
        <w:gridCol w:w="990"/>
        <w:gridCol w:w="95"/>
        <w:gridCol w:w="123"/>
        <w:gridCol w:w="230"/>
        <w:gridCol w:w="1629"/>
        <w:gridCol w:w="155"/>
        <w:gridCol w:w="159"/>
        <w:gridCol w:w="230"/>
        <w:gridCol w:w="1633"/>
        <w:gridCol w:w="104"/>
      </w:tblGrid>
      <w:tr>
        <w:trPr/>
        <w:tc>
          <w:tcPr>
            <w:tcW w:w="199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r>
      <w:tr>
        <w:trPr/>
        <w:tc>
          <w:tcPr>
            <w:tcW w:w="199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9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September 30, 2022</w:t>
            </w:r>
          </w:p>
        </w:tc>
        <w:tc>
          <w:tcPr>
            <w:tcW w:w="9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036" w:type="dxa"/>
            <w:gridSpan w:val="6"/>
            <w:tcBorders>
              <w:bottom w:val="single" w:sz="8" w:space="0" w:color="000000"/>
            </w:tcBorders>
            <w:tcMar>
              <w:bottom w:w="28" w:type="dxa"/>
            </w:tcMar>
            <w:vAlign w:val="bottom"/>
          </w:tcPr>
          <w:p>
            <w:pPr>
              <w:pStyle w:val="TableContents"/>
              <w:bidi w:val="0"/>
              <w:spacing w:before="0" w:after="283"/>
              <w:jc w:val="center"/>
              <w:rPr/>
            </w:pPr>
            <w:r>
              <w:rPr>
                <w:b/>
              </w:rPr>
              <w:t>For the period from November 5, 2020</w:t>
              <w:br/>
              <w:t>(inception)</w:t>
            </w:r>
            <w:r>
              <w:rPr/>
              <w:br/>
            </w:r>
            <w:r>
              <w:rPr>
                <w:b/>
              </w:rPr>
              <w:t>through September 30, 2021</w:t>
            </w:r>
          </w:p>
        </w:tc>
        <w:tc>
          <w:tcPr>
            <w:tcW w:w="104" w:type="dxa"/>
            <w:tcBorders/>
            <w:vAlign w:val="bottom"/>
          </w:tcPr>
          <w:p>
            <w:pPr>
              <w:pStyle w:val="TableContents"/>
              <w:bidi w:val="0"/>
              <w:spacing w:before="0" w:after="283"/>
              <w:jc w:val="left"/>
              <w:rPr/>
            </w:pPr>
            <w:r>
              <w:rPr/>
              <w:t> </w:t>
            </w:r>
          </w:p>
        </w:tc>
      </w:tr>
      <w:tr>
        <w:trPr/>
        <w:tc>
          <w:tcPr>
            <w:tcW w:w="199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bottom"/>
          </w:tcPr>
          <w:p>
            <w:pPr>
              <w:pStyle w:val="TableContents"/>
              <w:bidi w:val="0"/>
              <w:spacing w:before="0" w:after="283"/>
              <w:jc w:val="center"/>
              <w:rPr/>
            </w:pPr>
            <w:r>
              <w:rPr>
                <w:b/>
              </w:rPr>
              <w:t>Common stock</w:t>
            </w:r>
            <w:r>
              <w:rPr/>
              <w:br/>
            </w:r>
            <w:r>
              <w:rPr>
                <w:b/>
              </w:rPr>
              <w:t>subject to</w:t>
            </w:r>
            <w:r>
              <w:rPr/>
              <w:br/>
            </w:r>
            <w:r>
              <w:rPr>
                <w:b/>
              </w:rPr>
              <w:t>redemption</w:t>
            </w:r>
          </w:p>
        </w:tc>
        <w:tc>
          <w:tcPr>
            <w:tcW w:w="9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pPr>
            <w:r>
              <w:rPr>
                <w:b/>
              </w:rPr>
              <w:t>Common</w:t>
            </w:r>
            <w:r>
              <w:rPr/>
              <w:br/>
            </w:r>
            <w:r>
              <w:rPr>
                <w:b/>
              </w:rPr>
              <w:t>stock</w:t>
            </w:r>
          </w:p>
        </w:tc>
        <w:tc>
          <w:tcPr>
            <w:tcW w:w="9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859" w:type="dxa"/>
            <w:gridSpan w:val="2"/>
            <w:tcBorders>
              <w:bottom w:val="single" w:sz="8" w:space="0" w:color="000000"/>
            </w:tcBorders>
            <w:tcMar>
              <w:bottom w:w="28" w:type="dxa"/>
            </w:tcMar>
            <w:vAlign w:val="bottom"/>
          </w:tcPr>
          <w:p>
            <w:pPr>
              <w:pStyle w:val="TableContents"/>
              <w:bidi w:val="0"/>
              <w:spacing w:before="0" w:after="283"/>
              <w:jc w:val="center"/>
              <w:rPr/>
            </w:pPr>
            <w:r>
              <w:rPr>
                <w:b/>
              </w:rPr>
              <w:t>Common stock</w:t>
              <w:br/>
              <w:t>subject to</w:t>
            </w:r>
            <w:r>
              <w:rPr/>
              <w:br/>
            </w:r>
            <w:r>
              <w:rPr>
                <w:b/>
              </w:rPr>
              <w:t>redemption</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04" w:type="dxa"/>
            <w:tcBorders/>
            <w:vAlign w:val="bottom"/>
          </w:tcPr>
          <w:p>
            <w:pPr>
              <w:pStyle w:val="TableContents"/>
              <w:bidi w:val="0"/>
              <w:spacing w:before="0" w:after="283"/>
              <w:jc w:val="left"/>
              <w:rPr/>
            </w:pPr>
            <w:r>
              <w:rPr/>
              <w:t> </w:t>
            </w:r>
          </w:p>
        </w:tc>
      </w:tr>
      <w:tr>
        <w:trPr/>
        <w:tc>
          <w:tcPr>
            <w:tcW w:w="1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net loss per share</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389"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633"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sz w:val="4"/>
                <w:szCs w:val="4"/>
              </w:rPr>
            </w:pPr>
            <w:r>
              <w:rPr>
                <w:sz w:val="4"/>
                <w:szCs w:val="4"/>
              </w:rPr>
            </w:r>
          </w:p>
        </w:tc>
      </w:tr>
      <w:tr>
        <w:trPr/>
        <w:tc>
          <w:tcPr>
            <w:tcW w:w="1995"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389"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633"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r>
      <w:tr>
        <w:trPr/>
        <w:tc>
          <w:tcPr>
            <w:tcW w:w="1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loss</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389" w:type="dxa"/>
            <w:tcBorders/>
            <w:shd w:fill="CCEEFF" w:val="clear"/>
            <w:vAlign w:val="bottom"/>
          </w:tcPr>
          <w:p>
            <w:pPr>
              <w:pStyle w:val="TableContents"/>
              <w:bidi w:val="0"/>
              <w:spacing w:before="0" w:after="283"/>
              <w:jc w:val="right"/>
              <w:rPr/>
            </w:pPr>
            <w:r>
              <w:rPr/>
              <w:t>(2,624,009</w:t>
            </w:r>
          </w:p>
        </w:tc>
        <w:tc>
          <w:tcPr>
            <w:tcW w:w="95" w:type="dxa"/>
            <w:tcBorders/>
            <w:shd w:fill="CCEEFF" w:val="clear"/>
            <w:vAlign w:val="bottom"/>
          </w:tcPr>
          <w:p>
            <w:pPr>
              <w:pStyle w:val="TableContents"/>
              <w:bidi w:val="0"/>
              <w:spacing w:before="0" w:after="283"/>
              <w:jc w:val="left"/>
              <w:rPr/>
            </w:pPr>
            <w:r>
              <w:rPr/>
              <w:t>)</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(998,785</w:t>
            </w:r>
          </w:p>
        </w:tc>
        <w:tc>
          <w:tcPr>
            <w:tcW w:w="95" w:type="dxa"/>
            <w:tcBorders/>
            <w:shd w:fill="CCEEFF" w:val="clear"/>
            <w:vAlign w:val="bottom"/>
          </w:tcPr>
          <w:p>
            <w:pPr>
              <w:pStyle w:val="TableContents"/>
              <w:bidi w:val="0"/>
              <w:spacing w:before="0" w:after="283"/>
              <w:jc w:val="left"/>
              <w:rPr/>
            </w:pPr>
            <w:r>
              <w:rPr/>
              <w:t>)</w:t>
            </w:r>
          </w:p>
        </w:tc>
        <w:tc>
          <w:tcPr>
            <w:tcW w:w="123"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629" w:type="dxa"/>
            <w:tcBorders/>
            <w:shd w:fill="CCEEFF" w:val="clear"/>
            <w:vAlign w:val="bottom"/>
          </w:tcPr>
          <w:p>
            <w:pPr>
              <w:pStyle w:val="TableContents"/>
              <w:bidi w:val="0"/>
              <w:spacing w:before="0" w:after="283"/>
              <w:jc w:val="right"/>
              <w:rPr/>
            </w:pPr>
            <w:r>
              <w:rPr/>
              <w:t>(160,012</w:t>
            </w:r>
          </w:p>
        </w:tc>
        <w:tc>
          <w:tcPr>
            <w:tcW w:w="155" w:type="dxa"/>
            <w:tcBorders/>
            <w:shd w:fill="CCEEFF" w:val="clear"/>
            <w:vAlign w:val="bottom"/>
          </w:tcPr>
          <w:p>
            <w:pPr>
              <w:pStyle w:val="TableContents"/>
              <w:bidi w:val="0"/>
              <w:spacing w:before="0" w:after="283"/>
              <w:jc w:val="left"/>
              <w:rPr/>
            </w:pPr>
            <w:r>
              <w:rPr/>
              <w:t>)</w:t>
            </w:r>
          </w:p>
        </w:tc>
        <w:tc>
          <w:tcPr>
            <w:tcW w:w="159"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633" w:type="dxa"/>
            <w:tcBorders/>
            <w:shd w:fill="CCEEFF" w:val="clear"/>
            <w:vAlign w:val="bottom"/>
          </w:tcPr>
          <w:p>
            <w:pPr>
              <w:pStyle w:val="TableContents"/>
              <w:bidi w:val="0"/>
              <w:spacing w:before="0" w:after="283"/>
              <w:jc w:val="right"/>
              <w:rPr/>
            </w:pPr>
            <w:r>
              <w:rPr/>
              <w:t>(308,887</w:t>
            </w:r>
          </w:p>
        </w:tc>
        <w:tc>
          <w:tcPr>
            <w:tcW w:w="104" w:type="dxa"/>
            <w:tcBorders/>
            <w:shd w:fill="CCEEFF" w:val="clear"/>
            <w:vAlign w:val="bottom"/>
          </w:tcPr>
          <w:p>
            <w:pPr>
              <w:pStyle w:val="TableContents"/>
              <w:bidi w:val="0"/>
              <w:spacing w:before="0" w:after="283"/>
              <w:jc w:val="left"/>
              <w:rPr/>
            </w:pPr>
            <w:r>
              <w:rPr/>
              <w:t>)</w:t>
            </w:r>
          </w:p>
        </w:tc>
      </w:tr>
      <w:tr>
        <w:trPr/>
        <w:tc>
          <w:tcPr>
            <w:tcW w:w="1995"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389"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633"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r>
      <w:tr>
        <w:trPr/>
        <w:tc>
          <w:tcPr>
            <w:tcW w:w="1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15,000,000</w:t>
            </w:r>
          </w:p>
        </w:tc>
        <w:tc>
          <w:tcPr>
            <w:tcW w:w="9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5,709,500</w:t>
            </w:r>
          </w:p>
        </w:tc>
        <w:tc>
          <w:tcPr>
            <w:tcW w:w="9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629" w:type="dxa"/>
            <w:tcBorders/>
            <w:shd w:fill="CCEEFF" w:val="clear"/>
            <w:vAlign w:val="bottom"/>
          </w:tcPr>
          <w:p>
            <w:pPr>
              <w:pStyle w:val="TableContents"/>
              <w:bidi w:val="0"/>
              <w:spacing w:before="0" w:after="283"/>
              <w:jc w:val="right"/>
              <w:rPr/>
            </w:pPr>
            <w:r>
              <w:rPr/>
              <w:t>2,045,455</w:t>
            </w:r>
          </w:p>
        </w:tc>
        <w:tc>
          <w:tcPr>
            <w:tcW w:w="15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bidi w:val="0"/>
              <w:spacing w:before="0" w:after="283"/>
              <w:jc w:val="right"/>
              <w:rPr/>
            </w:pPr>
            <w:r>
              <w:rPr/>
              <w:t>3,948,530</w:t>
            </w:r>
          </w:p>
        </w:tc>
        <w:tc>
          <w:tcPr>
            <w:tcW w:w="104" w:type="dxa"/>
            <w:tcBorders/>
            <w:shd w:fill="CCEEFF" w:val="clear"/>
            <w:vAlign w:val="bottom"/>
          </w:tcPr>
          <w:p>
            <w:pPr>
              <w:pStyle w:val="TableContents"/>
              <w:bidi w:val="0"/>
              <w:spacing w:before="0" w:after="283"/>
              <w:jc w:val="left"/>
              <w:rPr/>
            </w:pPr>
            <w:r>
              <w:rPr/>
              <w:t> </w:t>
            </w:r>
          </w:p>
        </w:tc>
      </w:tr>
      <w:tr>
        <w:trPr/>
        <w:tc>
          <w:tcPr>
            <w:tcW w:w="199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89"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633"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r>
      <w:tr>
        <w:trPr/>
        <w:tc>
          <w:tcPr>
            <w:tcW w:w="1995"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loss per share</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389" w:type="dxa"/>
            <w:tcBorders/>
            <w:vAlign w:val="bottom"/>
          </w:tcPr>
          <w:p>
            <w:pPr>
              <w:pStyle w:val="TableContents"/>
              <w:bidi w:val="0"/>
              <w:spacing w:before="0" w:after="283"/>
              <w:jc w:val="right"/>
              <w:rPr/>
            </w:pPr>
            <w:r>
              <w:rPr/>
              <w:t>(0.17</w:t>
            </w:r>
          </w:p>
        </w:tc>
        <w:tc>
          <w:tcPr>
            <w:tcW w:w="95"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(0.17</w:t>
            </w:r>
          </w:p>
        </w:tc>
        <w:tc>
          <w:tcPr>
            <w:tcW w:w="95"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629" w:type="dxa"/>
            <w:tcBorders/>
            <w:vAlign w:val="bottom"/>
          </w:tcPr>
          <w:p>
            <w:pPr>
              <w:pStyle w:val="TableContents"/>
              <w:bidi w:val="0"/>
              <w:spacing w:before="0" w:after="283"/>
              <w:jc w:val="right"/>
              <w:rPr/>
            </w:pPr>
            <w:r>
              <w:rPr/>
              <w:t>(0.08</w:t>
            </w:r>
          </w:p>
        </w:tc>
        <w:tc>
          <w:tcPr>
            <w:tcW w:w="155" w:type="dxa"/>
            <w:tcBorders/>
            <w:vAlign w:val="bottom"/>
          </w:tcPr>
          <w:p>
            <w:pPr>
              <w:pStyle w:val="TableContents"/>
              <w:bidi w:val="0"/>
              <w:spacing w:before="0" w:after="283"/>
              <w:jc w:val="left"/>
              <w:rPr/>
            </w:pPr>
            <w:r>
              <w:rPr/>
              <w:t>)</w:t>
            </w:r>
          </w:p>
        </w:tc>
        <w:tc>
          <w:tcPr>
            <w:tcW w:w="15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633" w:type="dxa"/>
            <w:tcBorders/>
            <w:vAlign w:val="bottom"/>
          </w:tcPr>
          <w:p>
            <w:pPr>
              <w:pStyle w:val="TableContents"/>
              <w:bidi w:val="0"/>
              <w:spacing w:before="0" w:after="283"/>
              <w:jc w:val="right"/>
              <w:rPr/>
            </w:pPr>
            <w:r>
              <w:rPr/>
              <w:t>(0.08</w:t>
            </w:r>
          </w:p>
        </w:tc>
        <w:tc>
          <w:tcPr>
            <w:tcW w:w="104" w:type="dxa"/>
            <w:tcBorders/>
            <w:vAlign w:val="bottom"/>
          </w:tcPr>
          <w:p>
            <w:pPr>
              <w:pStyle w:val="TableContents"/>
              <w:bidi w:val="0"/>
              <w:spacing w:before="0" w:after="283"/>
              <w:jc w:val="left"/>
              <w:rPr/>
            </w:pPr>
            <w:r>
              <w:rPr/>
              <w:t>)</w:t>
            </w:r>
          </w:p>
        </w:tc>
      </w:tr>
      <w:tr>
        <w:trPr/>
        <w:tc>
          <w:tcPr>
            <w:tcW w:w="199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389" w:type="dxa"/>
            <w:tcBorders/>
            <w:vAlign w:val="bottom"/>
          </w:tcPr>
          <w:p>
            <w:pPr>
              <w:pStyle w:val="TableContents"/>
              <w:pBdr>
                <w:top w:val="double" w:sz="6"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633"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Stock 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On June 16, 2021, the Sponsor transferred 50,000 shares to each of its Chief Executive Officer and to its President and 35,000 shares to each of its three independent directors. The aggregate fair value of these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was $509,552 at issuance. During the year ended September 30, 2022 and for the period from November 5, 2020 (inception) through September 30, 2021, the Company recognized $111,852 and $285,846 of stock-based compensation expense,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ASC 740, Income Taxes. ASC 740, Income Taxes,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w:t>
      </w:r>
    </w:p>
    <w:p>
      <w:pPr>
        <w:pStyle w:val="TextBody"/>
        <w:bidi w:val="0"/>
        <w:spacing w:before="240" w:after="0"/>
        <w:jc w:val="left"/>
        <w:rPr>
          <w:rFonts w:ascii="Times New Roman" w:hAnsi="Times New Roman"/>
          <w:sz w:val="20"/>
        </w:rPr>
      </w:pPr>
      <w:r>
        <w:rPr>
          <w:rFonts w:ascii="Times New Roman" w:hAnsi="Times New Roman"/>
          <w:sz w:val="20"/>
        </w:rPr>
        <w:t xml:space="preserve">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accrued interest and penalties related to unrecognized tax benefits as income tax expense. There were no unrecognized tax benefits and no amounts accrued for interest and penalties as of September 30, 2022 and 2021.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z w:val="20"/>
        </w:rPr>
      </w:pPr>
      <w:r>
        <w:rPr>
          <w:rFonts w:ascii="Times New Roman" w:hAnsi="Times New Roman"/>
          <w:sz w:val="20"/>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the FASB issued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for smaller reporting companies for fiscal years beginning after December 15, 2023, including interim periods within those fiscal years. The Company continues to evaluate the impact of ASU 2020-06 to its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Management does not believe that any other recently issued, but not effective, accounting standards, if currently adopted, would have a material effect on the Companys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3 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On August 17, 2021, the Company consummated its IPO of 15,000,000 Units, at a price of $10.00 per Unit. Each Unit consists of one share of common stock and one-half of one redeemable warrant. Each whole warrant entitles the holder to purchase one share of common stock at a price of $11.50 per share, subject to adjustment. Only whole warrants are exercisable. No fractional warrants will be issued upon separation of the units and only whole warrants will trade.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warrants will become exercisable 30 days after the completion of the initial Business Combination, and will expire five years after the completion of the initial Business Combination or earlier upon redemption or liquidation (see Note 8).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of the IPO and settlement of funds on August 17, 2021, $150,000,000 ($10.00 per Unit) from the net proceeds of the sale of the Units in the IPO and the sales of Private Shares was placed in the Trust Account and will be invested only in U.S. government treasury obligations with a maturity of 185 days or less or in money market funds meeting certain conditions under Rule 2a-7 under the Investment Company Act which invest only in direct U.S. government treasury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Note 4 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IPO, the Companys Sponsor purchased an aggregate of 459,500 Private Shares, at a price of $10.00 per Private Share, for an aggregate purchase price of $4,595,500 in a private placement. The proceeds from the sale of the Private Shares was added to the proceeds of the IPO and placed in a U.S.-based trust account. If the Company does not complete an initial Business Combination within 15 months (or 18 months if extended) from the closing of the IPO, the proceeds from the sale of the Private Shares will be included in the liquidating distribution to the public stockholders and the Private Shares will be worthless. </w:t>
      </w:r>
    </w:p>
    <w:p>
      <w:pPr>
        <w:pStyle w:val="TextBody"/>
        <w:bidi w:val="0"/>
        <w:spacing w:before="360" w:after="0"/>
        <w:jc w:val="left"/>
        <w:rPr>
          <w:rFonts w:ascii="Times New Roman" w:hAnsi="Times New Roman"/>
          <w:b/>
          <w:sz w:val="20"/>
        </w:rPr>
      </w:pPr>
      <w:r>
        <w:rPr>
          <w:rFonts w:ascii="Times New Roman" w:hAnsi="Times New Roman"/>
          <w:b/>
          <w:sz w:val="20"/>
        </w:rPr>
        <w:t xml:space="preserve">Note 5 - Related Party Transactions </w:t>
      </w:r>
    </w:p>
    <w:p>
      <w:pPr>
        <w:pStyle w:val="TextBody"/>
        <w:bidi w:val="0"/>
        <w:spacing w:before="120" w:after="0"/>
        <w:jc w:val="left"/>
        <w:rPr>
          <w:rFonts w:ascii="Times New Roman" w:hAnsi="Times New Roman"/>
          <w:b/>
          <w:sz w:val="20"/>
        </w:rPr>
      </w:pPr>
      <w:r>
        <w:rPr>
          <w:rFonts w:ascii="Times New Roman" w:hAnsi="Times New Roman"/>
          <w:b/>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The Sponsor, officers and directors have agreed not to transfer, assign or sell any Founder Shares held by them until the earliest of (A) 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w:t>
      </w:r>
    </w:p>
    <w:p>
      <w:pPr>
        <w:pStyle w:val="TextBody"/>
        <w:bidi w:val="0"/>
        <w:spacing w:before="240" w:after="0"/>
        <w:jc w:val="left"/>
        <w:rPr>
          <w:rFonts w:ascii="Times New Roman" w:hAnsi="Times New Roman"/>
          <w:sz w:val="20"/>
        </w:rPr>
      </w:pPr>
      <w:r>
        <w:rPr>
          <w:rFonts w:ascii="Times New Roman" w:hAnsi="Times New Roman"/>
          <w:sz w:val="20"/>
        </w:rPr>
        <w:t xml:space="preserve">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Representative Common Stock </w:t>
      </w:r>
    </w:p>
    <w:p>
      <w:pPr>
        <w:pStyle w:val="TextBody"/>
        <w:bidi w:val="0"/>
        <w:spacing w:before="120" w:after="0"/>
        <w:jc w:val="left"/>
        <w:rPr>
          <w:rFonts w:ascii="Times New Roman" w:hAnsi="Times New Roman"/>
          <w:sz w:val="20"/>
        </w:rPr>
      </w:pPr>
      <w:r>
        <w:rPr>
          <w:rFonts w:ascii="Times New Roman" w:hAnsi="Times New Roman"/>
          <w:sz w:val="20"/>
        </w:rPr>
        <w:t xml:space="preserve">On February 8, 2021, EarlyBirdCapital, Inc. and Northland Securities, Inc. (Northland) purchased 162,500 and 87,500 shares of common stock (representative shares), respectively, at an average purchase price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approximately $0.0001 per share, or an aggregate purchase price of $25.00. On May 29, 2021, Northland returned 87,500 shares of common stock to the Company, for no consideration, which were subsequently cancelled.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representative shares are identical to the public shares included in the Units being sold in the IPO, except that the representative shares are subject to certain transfer restrictions, as described in more detail below.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 within 15 months (or 18 months if extended) from the closing of the IPO. </w:t>
      </w:r>
    </w:p>
    <w:p>
      <w:pPr>
        <w:pStyle w:val="TextBody"/>
        <w:bidi w:val="0"/>
        <w:spacing w:before="360" w:after="0"/>
        <w:jc w:val="left"/>
        <w:rPr>
          <w:rFonts w:ascii="Times New Roman" w:hAnsi="Times New Roman"/>
          <w:b/>
          <w:sz w:val="20"/>
        </w:rPr>
      </w:pPr>
      <w:r>
        <w:rPr>
          <w:rFonts w:ascii="Times New Roman" w:hAnsi="Times New Roman"/>
          <w:b/>
          <w:sz w:val="20"/>
        </w:rPr>
        <w:t xml:space="preserve">Promissory Notes-Related Party </w:t>
      </w:r>
    </w:p>
    <w:p>
      <w:pPr>
        <w:pStyle w:val="TextBody"/>
        <w:bidi w:val="0"/>
        <w:spacing w:before="120" w:after="0"/>
        <w:jc w:val="left"/>
        <w:rPr>
          <w:rFonts w:ascii="Times New Roman" w:hAnsi="Times New Roman"/>
          <w:sz w:val="20"/>
        </w:rPr>
      </w:pPr>
      <w:r>
        <w:rPr>
          <w:rFonts w:ascii="Times New Roman" w:hAnsi="Times New Roman"/>
          <w:sz w:val="20"/>
        </w:rPr>
        <w:t xml:space="preserve">On February 3, 2021, the Sponsor agreed to loan the Company up to $300,000 to be used for a portion of the expenses of the IPO. These loans were non-interest bearing, unsecured and were due at the earlier of October 31, 2021 or the closing of the IPO. The Company borrowed $230,352 under the promissory note and the Company repaid in full upon settlement of funds from the IPO on August 17, 2021. </w:t>
      </w:r>
    </w:p>
    <w:p>
      <w:pPr>
        <w:pStyle w:val="TextBody"/>
        <w:bidi w:val="0"/>
        <w:spacing w:before="240" w:after="0"/>
        <w:jc w:val="left"/>
        <w:rPr>
          <w:rFonts w:ascii="Times New Roman" w:hAnsi="Times New Roman"/>
          <w:sz w:val="20"/>
        </w:rPr>
      </w:pPr>
      <w:r>
        <w:rPr>
          <w:rFonts w:ascii="Times New Roman" w:hAnsi="Times New Roman"/>
          <w:sz w:val="20"/>
        </w:rPr>
        <w:t xml:space="preserve">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w:t>
      </w:r>
    </w:p>
    <w:p>
      <w:pPr>
        <w:pStyle w:val="TextBody"/>
        <w:bidi w:val="0"/>
        <w:spacing w:before="240" w:after="0"/>
        <w:jc w:val="left"/>
        <w:rPr>
          <w:rFonts w:ascii="Times New Roman" w:hAnsi="Times New Roman"/>
          <w:sz w:val="20"/>
        </w:rPr>
      </w:pPr>
      <w:r>
        <w:rPr>
          <w:rFonts w:ascii="Times New Roman" w:hAnsi="Times New Roman"/>
          <w:sz w:val="20"/>
        </w:rPr>
        <w:t xml:space="preserve">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resulting in $251,754 balance outstanding under the second promissory note as of September 30, 2022. </w:t>
      </w:r>
    </w:p>
    <w:p>
      <w:pPr>
        <w:pStyle w:val="TextBody"/>
        <w:bidi w:val="0"/>
        <w:spacing w:before="360" w:after="0"/>
        <w:jc w:val="left"/>
        <w:rPr>
          <w:rFonts w:ascii="Times New Roman" w:hAnsi="Times New Roman"/>
          <w:b/>
          <w:sz w:val="20"/>
        </w:rPr>
      </w:pPr>
      <w:r>
        <w:rPr>
          <w:rFonts w:ascii="Times New Roman" w:hAnsi="Times New Roman"/>
          <w:b/>
          <w:sz w:val="20"/>
        </w:rPr>
        <w:t xml:space="preserve">Working Capital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meet the Companys working capital needs following the consummation of the IPO, the Sponsor, officers, directors or their affiliates may, but are not obligated to, loan the Company funds (Working Capital Loans), from time to time or at any time, in whatever amount they deem reasonable in their sole discretion. Each loan would be non-interest bearing and be evidenced by a promissory note. The notes would either be paid upon consummation of the initial Business Combination, without interest, or, at holders discretion, up to $1,500,000 of the notes may be converted into shares at a price of $10.00 per share. The shares would be identical to the Private Shares. In the event that the initial Business Combination does not close, the Company may use a portion of the working capital held outside the Trust Account to repay such loaned amounts, but no proceeds from the Trust Account would be used for such repayment. As of September 30, 2022 and 2021, no such Working Capital Loans were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Administrative Service Fee </w:t>
      </w:r>
    </w:p>
    <w:p>
      <w:pPr>
        <w:pStyle w:val="TextBody"/>
        <w:bidi w:val="0"/>
        <w:spacing w:before="120" w:after="0"/>
        <w:jc w:val="left"/>
        <w:rPr>
          <w:rFonts w:ascii="Times New Roman" w:hAnsi="Times New Roman"/>
          <w:sz w:val="20"/>
        </w:rPr>
      </w:pPr>
      <w:r>
        <w:rPr>
          <w:rFonts w:ascii="Times New Roman" w:hAnsi="Times New Roman"/>
          <w:sz w:val="20"/>
        </w:rPr>
        <w:t xml:space="preserve">Commencing on the date of the IPO, the Company will pay the Sponsor $10,000 per month for office space, utilities and secretarial support. Upon completion of the initial Business Combination or the Companys liquidation, the Company will cease paying these monthly fees. During the year ended September 30, 2022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period from November 5, 2020 (inception) through September 30, 2021, the Company paid $120,000 and $20,000 administrative service fee,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Note 6 - Commitments &amp; Contingencies </w:t>
      </w:r>
    </w:p>
    <w:p>
      <w:pPr>
        <w:pStyle w:val="TextBody"/>
        <w:bidi w:val="0"/>
        <w:spacing w:before="12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Founder Shares issued and outstanding on the date of the IPO, as well as the holders of the representative shares, Private Shares and any shares the Companys Sponsor, officers, directors or their affiliates may issue in payment of Working Capital Loans made to the Company, will be entitled to registration rights pursuant to an agreement to be signed prior to or on the effective date of the IPO. The holders of a majority of these securities (other than the holders of the representative shares) are entitled to make up to two demands that the Company registers such securities. 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Companys Sponsor, officers, directors or their affiliates in payment of Working Capital Loans made to the Company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Advisory Fee </w:t>
      </w:r>
    </w:p>
    <w:p>
      <w:pPr>
        <w:pStyle w:val="TextBody"/>
        <w:bidi w:val="0"/>
        <w:spacing w:before="120" w:after="0"/>
        <w:jc w:val="left"/>
        <w:rPr>
          <w:rFonts w:ascii="Times New Roman" w:hAnsi="Times New Roman"/>
          <w:sz w:val="20"/>
        </w:rPr>
      </w:pPr>
      <w:r>
        <w:rPr>
          <w:rFonts w:ascii="Times New Roman" w:hAnsi="Times New Roman"/>
          <w:sz w:val="20"/>
        </w:rPr>
        <w:t xml:space="preserve">The Company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CCM has agreed to defer the payment of the portion of the advisory fee attributable to over-allotment option until the consummation of the initial Business Combination. CCM is engaged to represent the Companys interests only. The Company will also engage CCM as an advisor in connection with the initial Business Combination for which it will earn an advisory fee of 2.25% of the gross proceeds of the IPO, or $3,375,000, payable at closing of the Business Combination. On October 1, 2021 the underwriters over-allotment option expired unused resulting in no additional fees and commissions related to the over-allotment option to be not payable to CCM by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Combination Marketing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engaged the representative of the underwriter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upon the consummation of the initial Business Combination in an amount equal to 2.25% of the gross proceeds of the IPO, or $3,375,000. The Company will also pay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representative a separate capital market advisory fee of $2,500,000 upon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October 1,2021, the underwriters over-allotment option expired unused resulting in no additional marketing fees related to the over-allotment option to be not payable to the representative on the underwriter by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Right of First Refusal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 </w:t>
      </w:r>
    </w:p>
    <w:p>
      <w:pPr>
        <w:pStyle w:val="TextBody"/>
        <w:bidi w:val="0"/>
        <w:spacing w:before="360" w:after="0"/>
        <w:jc w:val="left"/>
        <w:rPr>
          <w:rFonts w:ascii="Times New Roman" w:hAnsi="Times New Roman"/>
          <w:b/>
          <w:sz w:val="20"/>
        </w:rPr>
      </w:pPr>
      <w:r>
        <w:rPr>
          <w:rFonts w:ascii="Times New Roman" w:hAnsi="Times New Roman"/>
          <w:b/>
          <w:sz w:val="20"/>
        </w:rPr>
        <w:t xml:space="preserve">Note 7 - Recurring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2022, the assets held in the Trust Account were held in U.S. Treasury Bills with a maturity of 185 days or less and in money market funds which invest in U.S. Treasury securities. As of September 30, 2021, the assets held in the Trust Account were held in a money market fund. The estimated fair values of investments held in the Trust Account are determined using available market information and are characterized as Level 1 investments. </w:t>
      </w:r>
    </w:p>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between Levels 1, 2 or 3 during the nine months ended September 30, 2022 and 2021. </w:t>
      </w:r>
    </w:p>
    <w:p>
      <w:pPr>
        <w:pStyle w:val="TextBody"/>
        <w:bidi w:val="0"/>
        <w:spacing w:before="360" w:after="0"/>
        <w:jc w:val="left"/>
        <w:rPr>
          <w:rFonts w:ascii="Times New Roman" w:hAnsi="Times New Roman"/>
          <w:b/>
          <w:sz w:val="20"/>
        </w:rPr>
      </w:pPr>
      <w:r>
        <w:rPr>
          <w:rFonts w:ascii="Times New Roman" w:hAnsi="Times New Roman"/>
          <w:b/>
          <w:sz w:val="20"/>
        </w:rPr>
        <w:t xml:space="preserve">Note 8  Stockholders Equity </w:t>
      </w:r>
    </w:p>
    <w:p>
      <w:pPr>
        <w:pStyle w:val="TextBody"/>
        <w:bidi w:val="0"/>
        <w:spacing w:before="120" w:after="0"/>
        <w:jc w:val="left"/>
        <w:rPr>
          <w:rFonts w:ascii="Times New Roman" w:hAnsi="Times New Roman"/>
          <w:sz w:val="20"/>
        </w:rPr>
      </w:pPr>
      <w:r>
        <w:rPr>
          <w:rFonts w:ascii="Times New Roman" w:hAnsi="Times New Roman"/>
          <w:b/>
          <w:i/>
          <w:sz w:val="20"/>
        </w:rPr>
        <w:t>Preferred stock</w:t>
      </w:r>
      <w:r>
        <w:rPr>
          <w:rFonts w:ascii="Times New Roman" w:hAnsi="Times New Roman"/>
          <w:sz w:val="20"/>
        </w:rPr>
        <w:t xml:space="preserve">The Company is authorized to issue 1,000,000 shares of preferred stock with a par value of $0.0001 and with such designations, voting and other rights and preferences as may be determined from time to time by the Companys board of directors. As of September 30, 2022 and 2021, there were no shares of preferred stock issued or outstanding. </w:t>
      </w:r>
    </w:p>
    <w:p>
      <w:pPr>
        <w:pStyle w:val="TextBody"/>
        <w:bidi w:val="0"/>
        <w:spacing w:before="240" w:after="0"/>
        <w:jc w:val="left"/>
        <w:rPr>
          <w:rFonts w:ascii="Times New Roman" w:hAnsi="Times New Roman"/>
          <w:sz w:val="20"/>
        </w:rPr>
      </w:pPr>
      <w:r>
        <w:rPr>
          <w:rFonts w:ascii="Times New Roman" w:hAnsi="Times New Roman"/>
          <w:b/>
          <w:i/>
          <w:sz w:val="20"/>
        </w:rPr>
        <w:t>Common stock</w:t>
      </w:r>
      <w:r>
        <w:rPr>
          <w:rFonts w:ascii="Times New Roman" w:hAnsi="Times New Roman"/>
          <w:sz w:val="20"/>
        </w:rPr>
        <w:t xml:space="preserve">The Company is authorized to issue 100,000,000 shares of common stock with a par value of $0.0001 per share. At September 30, 2022 and 2021, there were 5,709,500 and 6,834,500 shares of common stock issued and outstanding excluding 15,000,000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 </w:t>
      </w:r>
    </w:p>
    <w:p>
      <w:pPr>
        <w:pStyle w:val="TextBody"/>
        <w:bidi w:val="0"/>
        <w:spacing w:before="240" w:after="0"/>
        <w:jc w:val="left"/>
        <w:rPr>
          <w:rFonts w:ascii="Times New Roman" w:hAnsi="Times New Roman"/>
          <w:sz w:val="20"/>
        </w:rPr>
      </w:pPr>
      <w:r>
        <w:rPr>
          <w:rFonts w:ascii="Times New Roman" w:hAnsi="Times New Roman"/>
          <w:sz w:val="20"/>
        </w:rPr>
        <w:t xml:space="preserve">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 </w:t>
      </w:r>
    </w:p>
    <w:p>
      <w:pPr>
        <w:pStyle w:val="TextBody"/>
        <w:bidi w:val="0"/>
        <w:spacing w:before="240" w:after="0"/>
        <w:jc w:val="left"/>
        <w:rPr>
          <w:rFonts w:ascii="Times New Roman" w:hAnsi="Times New Roman"/>
          <w:sz w:val="20"/>
        </w:rPr>
      </w:pPr>
      <w:r>
        <w:rPr>
          <w:rFonts w:ascii="Times New Roman" w:hAnsi="Times New Roman"/>
          <w:b/>
          <w:i/>
          <w:sz w:val="20"/>
        </w:rPr>
        <w:t>Warrants</w:t>
      </w:r>
      <w:r>
        <w:rPr>
          <w:rFonts w:ascii="Times New Roman" w:hAnsi="Times New Roman"/>
          <w:sz w:val="20"/>
        </w:rPr>
        <w:t xml:space="preserve">Each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call the warrants for redemption, in whole and not in part, at a price of $0.01 per warrant, in whole and not in part: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after the warrants become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not less than 30 days prior written notice of redemption to each warrant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there is a current registration statement in effect with respect to the shares of common stock underlying such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Note 9 - Income Tax </w:t>
      </w:r>
    </w:p>
    <w:p>
      <w:pPr>
        <w:pStyle w:val="TextBody"/>
        <w:bidi w:val="0"/>
        <w:spacing w:before="120" w:after="0"/>
        <w:jc w:val="left"/>
        <w:rPr>
          <w:rFonts w:ascii="Times New Roman" w:hAnsi="Times New Roman"/>
          <w:sz w:val="20"/>
        </w:rPr>
      </w:pPr>
      <w:r>
        <w:rPr>
          <w:rFonts w:ascii="Times New Roman" w:hAnsi="Times New Roman"/>
          <w:sz w:val="20"/>
        </w:rPr>
        <w:t xml:space="preserve">The Companys net deferred tax assets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40"/>
        <w:gridCol w:w="447"/>
        <w:gridCol w:w="208"/>
        <w:gridCol w:w="1296"/>
        <w:gridCol w:w="155"/>
        <w:gridCol w:w="447"/>
        <w:gridCol w:w="230"/>
        <w:gridCol w:w="1273"/>
        <w:gridCol w:w="159"/>
      </w:tblGrid>
      <w:tr>
        <w:trPr/>
        <w:tc>
          <w:tcPr>
            <w:tcW w:w="3540"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4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 30,</w:t>
            </w:r>
            <w:r>
              <w:rPr/>
              <w:br/>
            </w:r>
            <w:r>
              <w:rPr>
                <w:b/>
              </w:rPr>
              <w:t>2022</w:t>
            </w:r>
          </w:p>
        </w:tc>
        <w:tc>
          <w:tcPr>
            <w:tcW w:w="15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503"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 30,</w:t>
            </w:r>
            <w:r>
              <w:rPr/>
              <w:br/>
            </w:r>
            <w:r>
              <w:rPr>
                <w:b/>
              </w:rPr>
              <w:t>2021</w:t>
            </w:r>
          </w:p>
        </w:tc>
        <w:tc>
          <w:tcPr>
            <w:tcW w:w="159" w:type="dxa"/>
            <w:tcBorders/>
            <w:vAlign w:val="bottom"/>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w:t>
            </w:r>
          </w:p>
        </w:tc>
        <w:tc>
          <w:tcPr>
            <w:tcW w:w="4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3401" w:type="dxa"/>
            <w:gridSpan w:val="5"/>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540"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Organizational costs/Startup expenses</w:t>
            </w:r>
          </w:p>
        </w:tc>
        <w:tc>
          <w:tcPr>
            <w:tcW w:w="4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296" w:type="dxa"/>
            <w:tcBorders/>
            <w:vAlign w:val="bottom"/>
          </w:tcPr>
          <w:p>
            <w:pPr>
              <w:pStyle w:val="TableContents"/>
              <w:bidi w:val="0"/>
              <w:spacing w:before="0" w:after="283"/>
              <w:jc w:val="right"/>
              <w:rPr/>
            </w:pPr>
            <w:r>
              <w:rPr/>
              <w:t>351,592</w:t>
            </w:r>
          </w:p>
        </w:tc>
        <w:tc>
          <w:tcPr>
            <w:tcW w:w="15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32,957</w:t>
            </w:r>
          </w:p>
        </w:tc>
        <w:tc>
          <w:tcPr>
            <w:tcW w:w="159" w:type="dxa"/>
            <w:tcBorders/>
            <w:vAlign w:val="bottom"/>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4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83,517</w:t>
            </w:r>
          </w:p>
        </w:tc>
        <w:tc>
          <w:tcPr>
            <w:tcW w:w="155"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60,028</w:t>
            </w:r>
          </w:p>
        </w:tc>
        <w:tc>
          <w:tcPr>
            <w:tcW w:w="159" w:type="dxa"/>
            <w:tcBorders/>
            <w:shd w:fill="CCEEFF" w:val="clear"/>
            <w:vAlign w:val="bottom"/>
          </w:tcPr>
          <w:p>
            <w:pPr>
              <w:pStyle w:val="TableContents"/>
              <w:bidi w:val="0"/>
              <w:spacing w:before="0" w:after="283"/>
              <w:jc w:val="left"/>
              <w:rPr/>
            </w:pPr>
            <w:r>
              <w:rPr/>
              <w:t> </w:t>
            </w:r>
          </w:p>
        </w:tc>
      </w:tr>
      <w:tr>
        <w:trPr/>
        <w:tc>
          <w:tcPr>
            <w:tcW w:w="3540" w:type="dxa"/>
            <w:tcBorders/>
          </w:tcPr>
          <w:p>
            <w:pPr>
              <w:pStyle w:val="TableContents"/>
              <w:bidi w:val="0"/>
              <w:spacing w:before="0" w:after="0"/>
              <w:jc w:val="left"/>
              <w:rPr>
                <w:rFonts w:ascii="Times New Roman" w:hAnsi="Times New Roman"/>
                <w:sz w:val="20"/>
              </w:rPr>
            </w:pPr>
            <w:r>
              <w:rPr>
                <w:rFonts w:ascii="Times New Roman" w:hAnsi="Times New Roman"/>
                <w:sz w:val="20"/>
              </w:rPr>
              <w:t>Federal net operating loss</w:t>
            </w:r>
          </w:p>
        </w:tc>
        <w:tc>
          <w:tcPr>
            <w:tcW w:w="4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5,484</w:t>
            </w:r>
          </w:p>
        </w:tc>
        <w:tc>
          <w:tcPr>
            <w:tcW w:w="159" w:type="dxa"/>
            <w:tcBorders/>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w:t>
            </w:r>
          </w:p>
        </w:tc>
        <w:tc>
          <w:tcPr>
            <w:tcW w:w="4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435,209</w:t>
            </w:r>
          </w:p>
        </w:tc>
        <w:tc>
          <w:tcPr>
            <w:tcW w:w="155"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98,469</w:t>
            </w:r>
          </w:p>
        </w:tc>
        <w:tc>
          <w:tcPr>
            <w:tcW w:w="159" w:type="dxa"/>
            <w:tcBorders/>
            <w:shd w:fill="CCEEFF" w:val="clear"/>
            <w:vAlign w:val="bottom"/>
          </w:tcPr>
          <w:p>
            <w:pPr>
              <w:pStyle w:val="TableContents"/>
              <w:bidi w:val="0"/>
              <w:spacing w:before="0" w:after="283"/>
              <w:jc w:val="left"/>
              <w:rPr/>
            </w:pPr>
            <w:r>
              <w:rPr/>
              <w:t> </w:t>
            </w:r>
          </w:p>
        </w:tc>
      </w:tr>
      <w:tr>
        <w:trPr/>
        <w:tc>
          <w:tcPr>
            <w:tcW w:w="3540"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44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(435,209</w:t>
            </w:r>
          </w:p>
        </w:tc>
        <w:tc>
          <w:tcPr>
            <w:tcW w:w="15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(98,469</w:t>
            </w:r>
          </w:p>
        </w:tc>
        <w:tc>
          <w:tcPr>
            <w:tcW w:w="159" w:type="dxa"/>
            <w:tcBorders/>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Deferred tax asset, net of allowance</w:t>
            </w:r>
          </w:p>
        </w:tc>
        <w:tc>
          <w:tcPr>
            <w:tcW w:w="44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12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income tax provision consists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43"/>
        <w:gridCol w:w="545"/>
        <w:gridCol w:w="203"/>
        <w:gridCol w:w="1319"/>
        <w:gridCol w:w="155"/>
        <w:gridCol w:w="545"/>
        <w:gridCol w:w="230"/>
        <w:gridCol w:w="1255"/>
        <w:gridCol w:w="160"/>
      </w:tblGrid>
      <w:tr>
        <w:trPr/>
        <w:tc>
          <w:tcPr>
            <w:tcW w:w="3343" w:type="dxa"/>
            <w:tcBorders/>
            <w:vAlign w:val="center"/>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43"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1522"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 30,</w:t>
            </w:r>
            <w:r>
              <w:rPr/>
              <w:br/>
            </w:r>
            <w:r>
              <w:rPr>
                <w:b/>
              </w:rPr>
              <w:t>2022</w:t>
            </w:r>
          </w:p>
        </w:tc>
        <w:tc>
          <w:tcPr>
            <w:tcW w:w="15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 30,</w:t>
            </w:r>
            <w:r>
              <w:rPr/>
              <w:br/>
            </w:r>
            <w:r>
              <w:rPr>
                <w:b/>
              </w:rPr>
              <w:t>2021</w:t>
            </w:r>
          </w:p>
        </w:tc>
        <w:tc>
          <w:tcPr>
            <w:tcW w:w="160" w:type="dxa"/>
            <w:tcBorders/>
            <w:vAlign w:val="bottom"/>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54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3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54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25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343" w:type="dxa"/>
            <w:tcBorders/>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54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319" w:type="dxa"/>
            <w:tcBorders/>
            <w:vAlign w:val="bottom"/>
          </w:tcPr>
          <w:p>
            <w:pPr>
              <w:pStyle w:val="TableContents"/>
              <w:bidi w:val="0"/>
              <w:spacing w:before="0" w:after="283"/>
              <w:jc w:val="right"/>
              <w:rPr/>
            </w:pPr>
            <w:r>
              <w:rPr/>
              <w:t>145,621</w:t>
            </w:r>
          </w:p>
        </w:tc>
        <w:tc>
          <w:tcPr>
            <w:tcW w:w="15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54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(336,741</w:t>
            </w:r>
          </w:p>
        </w:tc>
        <w:tc>
          <w:tcPr>
            <w:tcW w:w="15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(98,469</w:t>
            </w:r>
          </w:p>
        </w:tc>
        <w:tc>
          <w:tcPr>
            <w:tcW w:w="160" w:type="dxa"/>
            <w:tcBorders/>
            <w:shd w:fill="CCEEFF" w:val="clear"/>
            <w:vAlign w:val="bottom"/>
          </w:tcPr>
          <w:p>
            <w:pPr>
              <w:pStyle w:val="TableContents"/>
              <w:bidi w:val="0"/>
              <w:spacing w:before="0" w:after="283"/>
              <w:jc w:val="left"/>
              <w:rPr/>
            </w:pPr>
            <w:r>
              <w:rPr/>
              <w:t>) </w:t>
            </w:r>
          </w:p>
        </w:tc>
      </w:tr>
      <w:tr>
        <w:trPr/>
        <w:tc>
          <w:tcPr>
            <w:tcW w:w="3343" w:type="dxa"/>
            <w:tcBorders/>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54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3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25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54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343" w:type="dxa"/>
            <w:tcBorders/>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54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54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336,741</w:t>
            </w:r>
          </w:p>
        </w:tc>
        <w:tc>
          <w:tcPr>
            <w:tcW w:w="15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98,469</w:t>
            </w:r>
          </w:p>
        </w:tc>
        <w:tc>
          <w:tcPr>
            <w:tcW w:w="160" w:type="dxa"/>
            <w:tcBorders/>
            <w:shd w:fill="CCEEFF" w:val="clear"/>
            <w:vAlign w:val="bottom"/>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3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25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343"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tax provision</w:t>
            </w:r>
          </w:p>
        </w:tc>
        <w:tc>
          <w:tcPr>
            <w:tcW w:w="54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319" w:type="dxa"/>
            <w:tcBorders/>
            <w:vAlign w:val="bottom"/>
          </w:tcPr>
          <w:p>
            <w:pPr>
              <w:pStyle w:val="TableContents"/>
              <w:bidi w:val="0"/>
              <w:spacing w:before="0" w:after="283"/>
              <w:jc w:val="right"/>
              <w:rPr/>
            </w:pPr>
            <w:r>
              <w:rPr/>
              <w:t>145,621</w:t>
            </w:r>
          </w:p>
        </w:tc>
        <w:tc>
          <w:tcPr>
            <w:tcW w:w="15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343"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3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25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As of September 30, 2022 and 2021, the Company has $0 and $26,113 of U.S. federal net operating loss carryovers, which do not expire, and no state net operating loss carryovers available to offset future taxable income.</w:t>
      </w:r>
    </w:p>
    <w:p>
      <w:pPr>
        <w:pStyle w:val="TextBody"/>
        <w:bidi w:val="0"/>
        <w:spacing w:before="240" w:after="0"/>
        <w:jc w:val="left"/>
        <w:rPr>
          <w:rFonts w:ascii="Times New Roman" w:hAnsi="Times New Roman"/>
          <w:sz w:val="20"/>
        </w:rPr>
      </w:pPr>
      <w:r>
        <w:rPr>
          <w:rFonts w:ascii="Times New Roman" w:hAnsi="Times New Roman"/>
          <w:sz w:val="20"/>
        </w:rPr>
        <w:t xml:space="preserve">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September 30, 2022 and the period from November 5, 2020 (inception) through September 30, 2021, the change in the valuation allowance was $336,741 and $98,469,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reconciliation of the federal income tax rate to the Companys effective tax rate at September 30, 2022 and 2021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04"/>
        <w:gridCol w:w="536"/>
        <w:gridCol w:w="127"/>
        <w:gridCol w:w="1355"/>
        <w:gridCol w:w="350"/>
        <w:gridCol w:w="447"/>
        <w:gridCol w:w="127"/>
        <w:gridCol w:w="1355"/>
        <w:gridCol w:w="354"/>
      </w:tblGrid>
      <w:tr>
        <w:trPr/>
        <w:tc>
          <w:tcPr>
            <w:tcW w:w="3104" w:type="dxa"/>
            <w:tcBorders/>
            <w:vAlign w:val="center"/>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 30,</w:t>
            </w:r>
            <w:r>
              <w:rPr/>
              <w:br/>
            </w:r>
            <w:r>
              <w:rPr>
                <w:b/>
              </w:rPr>
              <w:t>2022</w:t>
            </w:r>
          </w:p>
        </w:tc>
        <w:tc>
          <w:tcPr>
            <w:tcW w:w="35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 30,</w:t>
            </w:r>
            <w:r>
              <w:rPr/>
              <w:br/>
            </w:r>
            <w:r>
              <w:rPr>
                <w:b/>
              </w:rPr>
              <w:t>2021</w:t>
            </w:r>
          </w:p>
        </w:tc>
        <w:tc>
          <w:tcPr>
            <w:tcW w:w="354" w:type="dxa"/>
            <w:tcBorders/>
            <w:vAlign w:val="bottom"/>
          </w:tcPr>
          <w:p>
            <w:pPr>
              <w:pStyle w:val="TableContents"/>
              <w:bidi w:val="0"/>
              <w:spacing w:before="0" w:after="283"/>
              <w:jc w:val="left"/>
              <w:rPr/>
            </w:pPr>
            <w:r>
              <w:rPr/>
              <w:t> </w:t>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Statutory federal income tax rate</w:t>
            </w:r>
          </w:p>
        </w:tc>
        <w:tc>
          <w:tcPr>
            <w:tcW w:w="53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21.00</w:t>
            </w:r>
          </w:p>
        </w:tc>
        <w:tc>
          <w:tcPr>
            <w:tcW w:w="35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21.00</w:t>
            </w:r>
          </w:p>
        </w:tc>
        <w:tc>
          <w:tcPr>
            <w:tcW w:w="354" w:type="dxa"/>
            <w:tcBorders/>
            <w:shd w:fill="CCEEFF" w:val="clear"/>
            <w:vAlign w:val="bottom"/>
          </w:tcPr>
          <w:p>
            <w:pPr>
              <w:pStyle w:val="TableContents"/>
              <w:bidi w:val="0"/>
              <w:spacing w:before="0" w:after="283"/>
              <w:jc w:val="left"/>
              <w:rPr/>
            </w:pPr>
            <w:r>
              <w:rPr/>
              <w:t>% </w:t>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State taxes, net of federal tax benefit</w:t>
            </w:r>
          </w:p>
        </w:tc>
        <w:tc>
          <w:tcPr>
            <w:tcW w:w="53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0.00</w:t>
            </w:r>
          </w:p>
        </w:tc>
        <w:tc>
          <w:tcPr>
            <w:tcW w:w="35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0.00</w:t>
            </w:r>
          </w:p>
        </w:tc>
        <w:tc>
          <w:tcPr>
            <w:tcW w:w="354" w:type="dxa"/>
            <w:tcBorders/>
            <w:vAlign w:val="bottom"/>
          </w:tcPr>
          <w:p>
            <w:pPr>
              <w:pStyle w:val="TableContents"/>
              <w:bidi w:val="0"/>
              <w:spacing w:before="0" w:after="283"/>
              <w:jc w:val="left"/>
              <w:rPr/>
            </w:pPr>
            <w:r>
              <w:rPr/>
              <w:t>% </w:t>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Business combination expenses</w:t>
            </w:r>
          </w:p>
        </w:tc>
        <w:tc>
          <w:tcPr>
            <w:tcW w:w="53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(15.50</w:t>
            </w:r>
          </w:p>
        </w:tc>
        <w:tc>
          <w:tcPr>
            <w:tcW w:w="35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0.00</w:t>
            </w:r>
          </w:p>
        </w:tc>
        <w:tc>
          <w:tcPr>
            <w:tcW w:w="354" w:type="dxa"/>
            <w:tcBorders/>
            <w:shd w:fill="CCEEFF" w:val="clear"/>
            <w:vAlign w:val="bottom"/>
          </w:tcPr>
          <w:p>
            <w:pPr>
              <w:pStyle w:val="TableContents"/>
              <w:bidi w:val="0"/>
              <w:spacing w:before="0" w:after="283"/>
              <w:jc w:val="left"/>
              <w:rPr/>
            </w:pPr>
            <w:r>
              <w:rPr/>
              <w:t>% </w:t>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53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(9.70</w:t>
            </w:r>
          </w:p>
        </w:tc>
        <w:tc>
          <w:tcPr>
            <w:tcW w:w="35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(21.00</w:t>
            </w:r>
          </w:p>
        </w:tc>
        <w:tc>
          <w:tcPr>
            <w:tcW w:w="354" w:type="dxa"/>
            <w:tcBorders/>
            <w:vAlign w:val="bottom"/>
          </w:tcPr>
          <w:p>
            <w:pPr>
              <w:pStyle w:val="TableContents"/>
              <w:bidi w:val="0"/>
              <w:spacing w:before="0" w:after="283"/>
              <w:jc w:val="left"/>
              <w:rPr/>
            </w:pPr>
            <w:r>
              <w:rPr/>
              <w:t>)% </w:t>
            </w:r>
          </w:p>
        </w:tc>
      </w:tr>
      <w:tr>
        <w:trPr/>
        <w:tc>
          <w:tcPr>
            <w:tcW w:w="3104"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pPr>
            <w:r>
              <w:rPr/>
              <w:t>  </w:t>
            </w:r>
          </w:p>
        </w:tc>
        <w:tc>
          <w:tcPr>
            <w:tcW w:w="127"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27"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31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tax provision</w:t>
            </w:r>
          </w:p>
        </w:tc>
        <w:tc>
          <w:tcPr>
            <w:tcW w:w="53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(4.25</w:t>
            </w:r>
          </w:p>
        </w:tc>
        <w:tc>
          <w:tcPr>
            <w:tcW w:w="35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w:t>
            </w:r>
          </w:p>
        </w:tc>
        <w:tc>
          <w:tcPr>
            <w:tcW w:w="354" w:type="dxa"/>
            <w:tcBorders/>
            <w:shd w:fill="CCEEFF" w:val="clear"/>
            <w:vAlign w:val="bottom"/>
          </w:tcPr>
          <w:p>
            <w:pPr>
              <w:pStyle w:val="TableContents"/>
              <w:bidi w:val="0"/>
              <w:spacing w:before="0" w:after="283"/>
              <w:jc w:val="left"/>
              <w:rPr/>
            </w:pPr>
            <w:r>
              <w:rPr/>
              <w:t>% </w:t>
            </w:r>
          </w:p>
        </w:tc>
      </w:tr>
      <w:tr>
        <w:trPr/>
        <w:tc>
          <w:tcPr>
            <w:tcW w:w="3104"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pPr>
            <w:r>
              <w:rPr/>
              <w:t>  </w:t>
            </w:r>
          </w:p>
        </w:tc>
        <w:tc>
          <w:tcPr>
            <w:tcW w:w="127" w:type="dxa"/>
            <w:tcBorders/>
            <w:vAlign w:val="bottom"/>
          </w:tcPr>
          <w:p>
            <w:pPr>
              <w:pStyle w:val="TableContents"/>
              <w:pBdr>
                <w:top w:val="double" w:sz="6" w:space="1" w:color="000000"/>
              </w:pBdr>
              <w:bidi w:val="0"/>
              <w:spacing w:before="0" w:after="0"/>
              <w:jc w:val="left"/>
              <w:rPr/>
            </w:pPr>
            <w:r>
              <w:rPr/>
              <w:t> </w:t>
            </w:r>
          </w:p>
        </w:tc>
        <w:tc>
          <w:tcPr>
            <w:tcW w:w="135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27" w:type="dxa"/>
            <w:tcBorders/>
            <w:vAlign w:val="bottom"/>
          </w:tcPr>
          <w:p>
            <w:pPr>
              <w:pStyle w:val="TableContents"/>
              <w:pBdr>
                <w:top w:val="double" w:sz="6" w:space="1" w:color="000000"/>
              </w:pBdr>
              <w:bidi w:val="0"/>
              <w:spacing w:before="0" w:after="0"/>
              <w:jc w:val="left"/>
              <w:rPr/>
            </w:pPr>
            <w:r>
              <w:rPr/>
              <w:t> </w:t>
            </w:r>
          </w:p>
        </w:tc>
        <w:tc>
          <w:tcPr>
            <w:tcW w:w="1355" w:type="dxa"/>
            <w:tcBorders/>
            <w:vAlign w:val="bottom"/>
          </w:tcPr>
          <w:p>
            <w:pPr>
              <w:pStyle w:val="TableContents"/>
              <w:pBdr>
                <w:top w:val="double" w:sz="6"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files income tax returns in the U.S. federal jurisdiction in various state and local jurisdictions and is subject to examination by the various taxing authorities. </w:t>
      </w:r>
    </w:p>
    <w:p>
      <w:pPr>
        <w:pStyle w:val="TextBody"/>
        <w:bidi w:val="0"/>
        <w:spacing w:before="360" w:after="0"/>
        <w:jc w:val="left"/>
        <w:rPr>
          <w:rFonts w:ascii="Times New Roman" w:hAnsi="Times New Roman"/>
          <w:b/>
          <w:sz w:val="20"/>
        </w:rPr>
      </w:pPr>
      <w:r>
        <w:rPr>
          <w:rFonts w:ascii="Times New Roman" w:hAnsi="Times New Roman"/>
          <w:b/>
          <w:sz w:val="20"/>
        </w:rPr>
        <w:t xml:space="preserve">Note 10 -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balance sheet date up to the date that the financial statements were issued. Based upon this review, other than described below, the Company did not identify any subsequent events that would have required adjustment or disclosure in these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 -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Item 1.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ARMADA ACQUISITION CORP. I </w:t>
      </w:r>
    </w:p>
    <w:p>
      <w:pPr>
        <w:pStyle w:val="TextBody"/>
        <w:bidi w:val="0"/>
        <w:spacing w:before="0" w:after="0"/>
        <w:jc w:val="center"/>
        <w:rPr>
          <w:rFonts w:ascii="Times New Roman" w:hAnsi="Times New Roman"/>
          <w:b/>
          <w:sz w:val="20"/>
        </w:rPr>
      </w:pPr>
      <w:bookmarkStart w:id="53" w:name="fin309194_51"/>
      <w:bookmarkEnd w:id="53"/>
      <w:r>
        <w:rPr>
          <w:rFonts w:ascii="Times New Roman" w:hAnsi="Times New Roman"/>
          <w:b/>
          <w:sz w:val="20"/>
        </w:rPr>
        <w:t xml:space="preserve">CONDENSED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68"/>
        <w:gridCol w:w="206"/>
        <w:gridCol w:w="145"/>
        <w:gridCol w:w="1271"/>
        <w:gridCol w:w="156"/>
        <w:gridCol w:w="172"/>
        <w:gridCol w:w="154"/>
        <w:gridCol w:w="1371"/>
        <w:gridCol w:w="162"/>
      </w:tblGrid>
      <w:tr>
        <w:trPr/>
        <w:tc>
          <w:tcPr>
            <w:tcW w:w="6568"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6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15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2022</w:t>
            </w:r>
          </w:p>
        </w:tc>
        <w:tc>
          <w:tcPr>
            <w:tcW w:w="162" w:type="dxa"/>
            <w:tcBorders/>
            <w:vAlign w:val="bottom"/>
          </w:tcPr>
          <w:p>
            <w:pPr>
              <w:pStyle w:val="TableContents"/>
              <w:bidi w:val="0"/>
              <w:spacing w:before="0" w:after="283"/>
              <w:jc w:val="left"/>
              <w:rPr/>
            </w:pPr>
            <w:r>
              <w:rPr/>
              <w:t> </w:t>
            </w:r>
          </w:p>
        </w:tc>
      </w:tr>
      <w:tr>
        <w:trPr/>
        <w:tc>
          <w:tcPr>
            <w:tcW w:w="656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16" w:type="dxa"/>
            <w:gridSpan w:val="2"/>
            <w:tcBorders/>
            <w:vAlign w:val="bottom"/>
          </w:tcPr>
          <w:p>
            <w:pPr>
              <w:pStyle w:val="TableContents"/>
              <w:bidi w:val="0"/>
              <w:spacing w:before="0" w:after="283"/>
              <w:jc w:val="center"/>
              <w:rPr>
                <w:b/>
              </w:rPr>
            </w:pPr>
            <w:r>
              <w:rPr>
                <w:b/>
              </w:rPr>
              <w:t>(Unaudited)</w:t>
            </w:r>
          </w:p>
        </w:tc>
        <w:tc>
          <w:tcPr>
            <w:tcW w:w="15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25" w:type="dxa"/>
            <w:gridSpan w:val="2"/>
            <w:tcBorders/>
            <w:vAlign w:val="bottom"/>
          </w:tcPr>
          <w:p>
            <w:pPr>
              <w:pStyle w:val="TableContents"/>
              <w:bidi w:val="0"/>
              <w:spacing w:before="0" w:after="283"/>
              <w:jc w:val="center"/>
              <w:rPr>
                <w:b/>
              </w:rPr>
            </w:pPr>
            <w:r>
              <w:rPr>
                <w:b/>
              </w:rPr>
              <w:t>(Audited)</w:t>
            </w:r>
          </w:p>
        </w:tc>
        <w:tc>
          <w:tcPr>
            <w:tcW w:w="162" w:type="dxa"/>
            <w:tcBorders/>
            <w:vAlign w:val="bottom"/>
          </w:tcPr>
          <w:p>
            <w:pPr>
              <w:pStyle w:val="TableContents"/>
              <w:bidi w:val="0"/>
              <w:spacing w:before="0" w:after="283"/>
              <w:jc w:val="left"/>
              <w:rPr/>
            </w:pPr>
            <w:r>
              <w:rPr/>
              <w:t> </w:t>
            </w:r>
          </w:p>
        </w:tc>
      </w:tr>
      <w:tr>
        <w:trPr/>
        <w:tc>
          <w:tcPr>
            <w:tcW w:w="65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7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7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6568"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71" w:type="dxa"/>
            <w:tcBorders/>
            <w:vAlign w:val="bottom"/>
          </w:tcPr>
          <w:p>
            <w:pPr>
              <w:pStyle w:val="TableContents"/>
              <w:bidi w:val="0"/>
              <w:spacing w:before="0" w:after="283"/>
              <w:jc w:val="right"/>
              <w:rPr/>
            </w:pPr>
            <w:r>
              <w:rPr/>
              <w:t>363,247</w:t>
            </w:r>
          </w:p>
        </w:tc>
        <w:tc>
          <w:tcPr>
            <w:tcW w:w="15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71" w:type="dxa"/>
            <w:tcBorders/>
            <w:vAlign w:val="bottom"/>
          </w:tcPr>
          <w:p>
            <w:pPr>
              <w:pStyle w:val="TableContents"/>
              <w:bidi w:val="0"/>
              <w:spacing w:before="0" w:after="283"/>
              <w:jc w:val="right"/>
              <w:rPr/>
            </w:pPr>
            <w:r>
              <w:rPr/>
              <w:t>177,578</w:t>
            </w:r>
          </w:p>
        </w:tc>
        <w:tc>
          <w:tcPr>
            <w:tcW w:w="162" w:type="dxa"/>
            <w:tcBorders/>
            <w:vAlign w:val="bottom"/>
          </w:tcPr>
          <w:p>
            <w:pPr>
              <w:pStyle w:val="TableContents"/>
              <w:bidi w:val="0"/>
              <w:spacing w:before="0" w:after="283"/>
              <w:jc w:val="left"/>
              <w:rPr/>
            </w:pPr>
            <w:r>
              <w:rPr/>
              <w:t> </w:t>
            </w:r>
          </w:p>
        </w:tc>
      </w:tr>
      <w:tr>
        <w:trPr/>
        <w:tc>
          <w:tcPr>
            <w:tcW w:w="6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6,264</w:t>
            </w:r>
          </w:p>
        </w:tc>
        <w:tc>
          <w:tcPr>
            <w:tcW w:w="15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61,942</w:t>
            </w:r>
          </w:p>
        </w:tc>
        <w:tc>
          <w:tcPr>
            <w:tcW w:w="162" w:type="dxa"/>
            <w:tcBorders/>
            <w:shd w:fill="CCEEFF" w:val="clear"/>
            <w:vAlign w:val="bottom"/>
          </w:tcPr>
          <w:p>
            <w:pPr>
              <w:pStyle w:val="TableContents"/>
              <w:bidi w:val="0"/>
              <w:spacing w:before="0" w:after="283"/>
              <w:jc w:val="left"/>
              <w:rPr/>
            </w:pPr>
            <w:r>
              <w:rPr/>
              <w:t> </w:t>
            </w:r>
          </w:p>
        </w:tc>
      </w:tr>
      <w:tr>
        <w:trPr/>
        <w:tc>
          <w:tcPr>
            <w:tcW w:w="656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56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369,511</w:t>
            </w:r>
          </w:p>
        </w:tc>
        <w:tc>
          <w:tcPr>
            <w:tcW w:w="15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239,520</w:t>
            </w:r>
          </w:p>
        </w:tc>
        <w:tc>
          <w:tcPr>
            <w:tcW w:w="162" w:type="dxa"/>
            <w:tcBorders/>
            <w:vAlign w:val="bottom"/>
          </w:tcPr>
          <w:p>
            <w:pPr>
              <w:pStyle w:val="TableContents"/>
              <w:bidi w:val="0"/>
              <w:spacing w:before="0" w:after="283"/>
              <w:jc w:val="left"/>
              <w:rPr/>
            </w:pPr>
            <w:r>
              <w:rPr/>
              <w:t> </w:t>
            </w:r>
          </w:p>
        </w:tc>
      </w:tr>
      <w:tr>
        <w:trPr/>
        <w:tc>
          <w:tcPr>
            <w:tcW w:w="656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held in Trust Account</w:t>
            </w:r>
          </w:p>
        </w:tc>
        <w:tc>
          <w:tcPr>
            <w:tcW w:w="2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153,634,598</w:t>
            </w:r>
          </w:p>
        </w:tc>
        <w:tc>
          <w:tcPr>
            <w:tcW w:w="15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150,844,925</w:t>
            </w:r>
          </w:p>
        </w:tc>
        <w:tc>
          <w:tcPr>
            <w:tcW w:w="162" w:type="dxa"/>
            <w:tcBorders/>
            <w:shd w:fill="CCEEFF" w:val="clear"/>
            <w:vAlign w:val="bottom"/>
          </w:tcPr>
          <w:p>
            <w:pPr>
              <w:pStyle w:val="TableContents"/>
              <w:bidi w:val="0"/>
              <w:spacing w:before="0" w:after="283"/>
              <w:jc w:val="left"/>
              <w:rPr/>
            </w:pPr>
            <w:r>
              <w:rPr/>
              <w:t> </w:t>
            </w:r>
          </w:p>
        </w:tc>
      </w:tr>
      <w:tr>
        <w:trPr/>
        <w:tc>
          <w:tcPr>
            <w:tcW w:w="656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56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71" w:type="dxa"/>
            <w:tcBorders/>
            <w:vAlign w:val="bottom"/>
          </w:tcPr>
          <w:p>
            <w:pPr>
              <w:pStyle w:val="TableContents"/>
              <w:bidi w:val="0"/>
              <w:spacing w:before="0" w:after="283"/>
              <w:jc w:val="right"/>
              <w:rPr>
                <w:b/>
              </w:rPr>
            </w:pPr>
            <w:r>
              <w:rPr>
                <w:b/>
              </w:rPr>
              <w:t>154,004,109</w:t>
            </w:r>
          </w:p>
        </w:tc>
        <w:tc>
          <w:tcPr>
            <w:tcW w:w="15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1371" w:type="dxa"/>
            <w:tcBorders/>
            <w:vAlign w:val="bottom"/>
          </w:tcPr>
          <w:p>
            <w:pPr>
              <w:pStyle w:val="TableContents"/>
              <w:bidi w:val="0"/>
              <w:spacing w:before="0" w:after="283"/>
              <w:jc w:val="right"/>
              <w:rPr>
                <w:b/>
              </w:rPr>
            </w:pPr>
            <w:r>
              <w:rPr>
                <w:b/>
              </w:rPr>
              <w:t>151,084,445</w:t>
            </w:r>
          </w:p>
        </w:tc>
        <w:tc>
          <w:tcPr>
            <w:tcW w:w="162" w:type="dxa"/>
            <w:tcBorders/>
            <w:vAlign w:val="bottom"/>
          </w:tcPr>
          <w:p>
            <w:pPr>
              <w:pStyle w:val="TableContents"/>
              <w:bidi w:val="0"/>
              <w:spacing w:before="0" w:after="283"/>
              <w:jc w:val="left"/>
              <w:rPr/>
            </w:pPr>
            <w:r>
              <w:rPr/>
              <w:t> </w:t>
            </w:r>
          </w:p>
        </w:tc>
      </w:tr>
      <w:tr>
        <w:trPr/>
        <w:tc>
          <w:tcPr>
            <w:tcW w:w="656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7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7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5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Common Stock Subject to Possible Redemption and Stockholders Deficit</w:t>
            </w:r>
          </w:p>
        </w:tc>
        <w:tc>
          <w:tcPr>
            <w:tcW w:w="2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7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7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6568"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7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137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71" w:type="dxa"/>
            <w:tcBorders/>
            <w:shd w:fill="CCEEFF" w:val="clear"/>
            <w:vAlign w:val="bottom"/>
          </w:tcPr>
          <w:p>
            <w:pPr>
              <w:pStyle w:val="TableContents"/>
              <w:bidi w:val="0"/>
              <w:spacing w:before="0" w:after="283"/>
              <w:jc w:val="right"/>
              <w:rPr/>
            </w:pPr>
            <w:r>
              <w:rPr/>
              <w:t>3,161,878</w:t>
            </w:r>
          </w:p>
        </w:tc>
        <w:tc>
          <w:tcPr>
            <w:tcW w:w="15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3,137,535</w:t>
            </w:r>
          </w:p>
        </w:tc>
        <w:tc>
          <w:tcPr>
            <w:tcW w:w="162" w:type="dxa"/>
            <w:tcBorders/>
            <w:shd w:fill="CCEEFF" w:val="clear"/>
            <w:vAlign w:val="bottom"/>
          </w:tcPr>
          <w:p>
            <w:pPr>
              <w:pStyle w:val="TableContents"/>
              <w:bidi w:val="0"/>
              <w:spacing w:before="0" w:after="283"/>
              <w:jc w:val="left"/>
              <w:rPr/>
            </w:pPr>
            <w:r>
              <w:rPr/>
              <w:t> </w:t>
            </w:r>
          </w:p>
        </w:tc>
      </w:tr>
      <w:tr>
        <w:trPr/>
        <w:tc>
          <w:tcPr>
            <w:tcW w:w="6568" w:type="dxa"/>
            <w:tcBorders/>
          </w:tcPr>
          <w:p>
            <w:pPr>
              <w:pStyle w:val="TableContents"/>
              <w:bidi w:val="0"/>
              <w:spacing w:before="0" w:after="0"/>
              <w:jc w:val="left"/>
              <w:rPr>
                <w:rFonts w:ascii="Times New Roman" w:hAnsi="Times New Roman"/>
                <w:sz w:val="20"/>
              </w:rPr>
            </w:pPr>
            <w:r>
              <w:rPr>
                <w:rFonts w:ascii="Times New Roman" w:hAnsi="Times New Roman"/>
                <w:sz w:val="20"/>
              </w:rPr>
              <w:t>Franchise tax payable</w:t>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200,000</w:t>
            </w:r>
          </w:p>
        </w:tc>
        <w:tc>
          <w:tcPr>
            <w:tcW w:w="15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150,000</w:t>
            </w:r>
          </w:p>
        </w:tc>
        <w:tc>
          <w:tcPr>
            <w:tcW w:w="162" w:type="dxa"/>
            <w:tcBorders/>
            <w:vAlign w:val="bottom"/>
          </w:tcPr>
          <w:p>
            <w:pPr>
              <w:pStyle w:val="TableContents"/>
              <w:bidi w:val="0"/>
              <w:spacing w:before="0" w:after="283"/>
              <w:jc w:val="left"/>
              <w:rPr/>
            </w:pPr>
            <w:r>
              <w:rPr/>
              <w:t> </w:t>
            </w:r>
          </w:p>
        </w:tc>
      </w:tr>
      <w:tr>
        <w:trPr/>
        <w:tc>
          <w:tcPr>
            <w:tcW w:w="6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2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405,952</w:t>
            </w:r>
          </w:p>
        </w:tc>
        <w:tc>
          <w:tcPr>
            <w:tcW w:w="15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145,621</w:t>
            </w:r>
          </w:p>
        </w:tc>
        <w:tc>
          <w:tcPr>
            <w:tcW w:w="162" w:type="dxa"/>
            <w:tcBorders/>
            <w:shd w:fill="CCEEFF" w:val="clear"/>
            <w:vAlign w:val="bottom"/>
          </w:tcPr>
          <w:p>
            <w:pPr>
              <w:pStyle w:val="TableContents"/>
              <w:bidi w:val="0"/>
              <w:spacing w:before="0" w:after="283"/>
              <w:jc w:val="left"/>
              <w:rPr/>
            </w:pPr>
            <w:r>
              <w:rPr/>
              <w:t> </w:t>
            </w:r>
          </w:p>
        </w:tc>
      </w:tr>
      <w:tr>
        <w:trPr/>
        <w:tc>
          <w:tcPr>
            <w:tcW w:w="6568" w:type="dxa"/>
            <w:tcBorders/>
          </w:tcPr>
          <w:p>
            <w:pPr>
              <w:pStyle w:val="TableContents"/>
              <w:bidi w:val="0"/>
              <w:spacing w:before="0" w:after="0"/>
              <w:jc w:val="left"/>
              <w:rPr>
                <w:rFonts w:ascii="Times New Roman" w:hAnsi="Times New Roman"/>
                <w:sz w:val="20"/>
              </w:rPr>
            </w:pPr>
            <w:r>
              <w:rPr>
                <w:rFonts w:ascii="Times New Roman" w:hAnsi="Times New Roman"/>
                <w:sz w:val="20"/>
              </w:rPr>
              <w:t>Promissory Notes-Related Party</w:t>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2,201,754</w:t>
            </w:r>
          </w:p>
        </w:tc>
        <w:tc>
          <w:tcPr>
            <w:tcW w:w="15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251,754</w:t>
            </w:r>
          </w:p>
        </w:tc>
        <w:tc>
          <w:tcPr>
            <w:tcW w:w="162" w:type="dxa"/>
            <w:tcBorders/>
            <w:vAlign w:val="bottom"/>
          </w:tcPr>
          <w:p>
            <w:pPr>
              <w:pStyle w:val="TableContents"/>
              <w:bidi w:val="0"/>
              <w:spacing w:before="0" w:after="283"/>
              <w:jc w:val="left"/>
              <w:rPr/>
            </w:pPr>
            <w:r>
              <w:rPr/>
              <w:t> </w:t>
            </w:r>
          </w:p>
        </w:tc>
      </w:tr>
      <w:tr>
        <w:trPr/>
        <w:tc>
          <w:tcPr>
            <w:tcW w:w="656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5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b/>
              </w:rPr>
            </w:pPr>
            <w:r>
              <w:rPr>
                <w:b/>
              </w:rPr>
              <w:t>5,969,584</w:t>
            </w:r>
          </w:p>
        </w:tc>
        <w:tc>
          <w:tcPr>
            <w:tcW w:w="15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b/>
              </w:rPr>
            </w:pPr>
            <w:r>
              <w:rPr>
                <w:b/>
              </w:rPr>
              <w:t>3,684,910</w:t>
            </w:r>
          </w:p>
        </w:tc>
        <w:tc>
          <w:tcPr>
            <w:tcW w:w="162" w:type="dxa"/>
            <w:tcBorders/>
            <w:shd w:fill="CCEEFF" w:val="clear"/>
            <w:vAlign w:val="bottom"/>
          </w:tcPr>
          <w:p>
            <w:pPr>
              <w:pStyle w:val="TableContents"/>
              <w:bidi w:val="0"/>
              <w:spacing w:before="0" w:after="283"/>
              <w:jc w:val="left"/>
              <w:rPr/>
            </w:pPr>
            <w:r>
              <w:rPr/>
              <w:t> </w:t>
            </w:r>
          </w:p>
        </w:tc>
      </w:tr>
      <w:tr>
        <w:trPr/>
        <w:tc>
          <w:tcPr>
            <w:tcW w:w="656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568" w:type="dxa"/>
            <w:tcBorders/>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4)</w:t>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7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137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subject to possible redemption, 15,000,000 shares at redemption value of $10.20 and $10.04 per share at December 31, 2022 and September 30, 2022, respectively</w:t>
            </w:r>
          </w:p>
        </w:tc>
        <w:tc>
          <w:tcPr>
            <w:tcW w:w="2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153,028,205</w:t>
            </w:r>
          </w:p>
        </w:tc>
        <w:tc>
          <w:tcPr>
            <w:tcW w:w="15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150,548,862</w:t>
            </w:r>
          </w:p>
        </w:tc>
        <w:tc>
          <w:tcPr>
            <w:tcW w:w="162" w:type="dxa"/>
            <w:tcBorders/>
            <w:shd w:fill="CCEEFF" w:val="clear"/>
            <w:vAlign w:val="bottom"/>
          </w:tcPr>
          <w:p>
            <w:pPr>
              <w:pStyle w:val="TableContents"/>
              <w:bidi w:val="0"/>
              <w:spacing w:before="0" w:after="283"/>
              <w:jc w:val="left"/>
              <w:rPr/>
            </w:pPr>
            <w:r>
              <w:rPr/>
              <w:t> </w:t>
            </w:r>
          </w:p>
        </w:tc>
      </w:tr>
      <w:tr>
        <w:trPr/>
        <w:tc>
          <w:tcPr>
            <w:tcW w:w="6568"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Stockholders Deficit:</w:t>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7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137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1,000,000 shares authorized; none issued or outstanding</w:t>
            </w:r>
          </w:p>
        </w:tc>
        <w:tc>
          <w:tcPr>
            <w:tcW w:w="2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56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$0.0001 par value; 100,000,000 shares authorized, 5,709,500 shares issued and outstanding (excluding 15,000,000 shares subject to possible redemption) at December 31, 2022 and September 30, 2022</w:t>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570</w:t>
            </w:r>
          </w:p>
        </w:tc>
        <w:tc>
          <w:tcPr>
            <w:tcW w:w="15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570</w:t>
            </w:r>
          </w:p>
        </w:tc>
        <w:tc>
          <w:tcPr>
            <w:tcW w:w="162" w:type="dxa"/>
            <w:tcBorders/>
            <w:vAlign w:val="bottom"/>
          </w:tcPr>
          <w:p>
            <w:pPr>
              <w:pStyle w:val="TableContents"/>
              <w:bidi w:val="0"/>
              <w:spacing w:before="0" w:after="283"/>
              <w:jc w:val="left"/>
              <w:rPr/>
            </w:pPr>
            <w:r>
              <w:rPr/>
              <w:t> </w:t>
            </w:r>
          </w:p>
        </w:tc>
      </w:tr>
      <w:tr>
        <w:trPr/>
        <w:tc>
          <w:tcPr>
            <w:tcW w:w="6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969,759</w:t>
            </w:r>
          </w:p>
        </w:tc>
        <w:tc>
          <w:tcPr>
            <w:tcW w:w="15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941,796</w:t>
            </w:r>
          </w:p>
        </w:tc>
        <w:tc>
          <w:tcPr>
            <w:tcW w:w="162" w:type="dxa"/>
            <w:tcBorders/>
            <w:shd w:fill="CCEEFF" w:val="clear"/>
            <w:vAlign w:val="bottom"/>
          </w:tcPr>
          <w:p>
            <w:pPr>
              <w:pStyle w:val="TableContents"/>
              <w:bidi w:val="0"/>
              <w:spacing w:before="0" w:after="283"/>
              <w:jc w:val="left"/>
              <w:rPr/>
            </w:pPr>
            <w:r>
              <w:rPr/>
              <w:t> </w:t>
            </w:r>
          </w:p>
        </w:tc>
      </w:tr>
      <w:tr>
        <w:trPr/>
        <w:tc>
          <w:tcPr>
            <w:tcW w:w="656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(5,964,009</w:t>
            </w:r>
          </w:p>
        </w:tc>
        <w:tc>
          <w:tcPr>
            <w:tcW w:w="15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(4,091,693</w:t>
            </w:r>
          </w:p>
        </w:tc>
        <w:tc>
          <w:tcPr>
            <w:tcW w:w="162" w:type="dxa"/>
            <w:tcBorders/>
            <w:vAlign w:val="bottom"/>
          </w:tcPr>
          <w:p>
            <w:pPr>
              <w:pStyle w:val="TableContents"/>
              <w:bidi w:val="0"/>
              <w:spacing w:before="0" w:after="283"/>
              <w:jc w:val="left"/>
              <w:rPr/>
            </w:pPr>
            <w:r>
              <w:rPr/>
              <w:t>) </w:t>
            </w:r>
          </w:p>
        </w:tc>
      </w:tr>
      <w:tr>
        <w:trPr/>
        <w:tc>
          <w:tcPr>
            <w:tcW w:w="656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5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Stockholders Deficit</w:t>
            </w:r>
          </w:p>
        </w:tc>
        <w:tc>
          <w:tcPr>
            <w:tcW w:w="2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b/>
              </w:rPr>
            </w:pPr>
            <w:r>
              <w:rPr>
                <w:b/>
              </w:rPr>
              <w:t>(4,993,680</w:t>
            </w:r>
          </w:p>
        </w:tc>
        <w:tc>
          <w:tcPr>
            <w:tcW w:w="156" w:type="dxa"/>
            <w:tcBorders/>
            <w:shd w:fill="CCEEFF" w:val="clear"/>
            <w:vAlign w:val="bottom"/>
          </w:tcPr>
          <w:p>
            <w:pPr>
              <w:pStyle w:val="TableContents"/>
              <w:bidi w:val="0"/>
              <w:spacing w:before="0" w:after="283"/>
              <w:jc w:val="left"/>
              <w:rPr>
                <w:b/>
              </w:rPr>
            </w:pPr>
            <w:r>
              <w:rPr>
                <w:b/>
              </w:rPr>
              <w:t>) </w:t>
            </w:r>
          </w:p>
        </w:tc>
        <w:tc>
          <w:tcPr>
            <w:tcW w:w="17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b/>
              </w:rPr>
            </w:pPr>
            <w:r>
              <w:rPr>
                <w:b/>
              </w:rPr>
              <w:t>(3,149,327</w:t>
            </w:r>
          </w:p>
        </w:tc>
        <w:tc>
          <w:tcPr>
            <w:tcW w:w="162" w:type="dxa"/>
            <w:tcBorders/>
            <w:shd w:fill="CCEEFF" w:val="clear"/>
            <w:vAlign w:val="bottom"/>
          </w:tcPr>
          <w:p>
            <w:pPr>
              <w:pStyle w:val="TableContents"/>
              <w:bidi w:val="0"/>
              <w:spacing w:before="0" w:after="283"/>
              <w:jc w:val="left"/>
              <w:rPr>
                <w:b/>
              </w:rPr>
            </w:pPr>
            <w:r>
              <w:rPr>
                <w:b/>
              </w:rPr>
              <w:t>) </w:t>
            </w:r>
          </w:p>
        </w:tc>
      </w:tr>
      <w:tr>
        <w:trPr/>
        <w:tc>
          <w:tcPr>
            <w:tcW w:w="656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56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Common Stock Subject to Possible Redemption and Stockholders Deficit</w:t>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71" w:type="dxa"/>
            <w:tcBorders/>
            <w:vAlign w:val="bottom"/>
          </w:tcPr>
          <w:p>
            <w:pPr>
              <w:pStyle w:val="TableContents"/>
              <w:bidi w:val="0"/>
              <w:spacing w:before="0" w:after="283"/>
              <w:jc w:val="right"/>
              <w:rPr>
                <w:b/>
              </w:rPr>
            </w:pPr>
            <w:r>
              <w:rPr>
                <w:b/>
              </w:rPr>
              <w:t>154,004,109</w:t>
            </w:r>
          </w:p>
        </w:tc>
        <w:tc>
          <w:tcPr>
            <w:tcW w:w="15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1371" w:type="dxa"/>
            <w:tcBorders/>
            <w:vAlign w:val="bottom"/>
          </w:tcPr>
          <w:p>
            <w:pPr>
              <w:pStyle w:val="TableContents"/>
              <w:bidi w:val="0"/>
              <w:spacing w:before="0" w:after="283"/>
              <w:jc w:val="right"/>
              <w:rPr>
                <w:b/>
              </w:rPr>
            </w:pPr>
            <w:r>
              <w:rPr>
                <w:b/>
              </w:rPr>
              <w:t>151,084,445</w:t>
            </w:r>
          </w:p>
        </w:tc>
        <w:tc>
          <w:tcPr>
            <w:tcW w:w="162" w:type="dxa"/>
            <w:tcBorders/>
            <w:vAlign w:val="bottom"/>
          </w:tcPr>
          <w:p>
            <w:pPr>
              <w:pStyle w:val="TableContents"/>
              <w:bidi w:val="0"/>
              <w:spacing w:before="0" w:after="283"/>
              <w:jc w:val="left"/>
              <w:rPr/>
            </w:pPr>
            <w:r>
              <w:rPr/>
              <w:t> </w:t>
            </w:r>
          </w:p>
        </w:tc>
      </w:tr>
      <w:tr>
        <w:trPr/>
        <w:tc>
          <w:tcPr>
            <w:tcW w:w="656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7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37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bidi w:val="0"/>
        <w:spacing w:before="0" w:after="0"/>
        <w:jc w:val="center"/>
        <w:rPr>
          <w:rFonts w:ascii="Times New Roman" w:hAnsi="Times New Roman"/>
          <w:b/>
          <w:sz w:val="20"/>
        </w:rPr>
      </w:pPr>
      <w:bookmarkStart w:id="54" w:name="fin309194_52"/>
      <w:bookmarkEnd w:id="54"/>
      <w:r>
        <w:rPr>
          <w:rFonts w:ascii="Times New Roman" w:hAnsi="Times New Roman"/>
          <w:b/>
          <w:sz w:val="20"/>
        </w:rPr>
        <w:t xml:space="preserve">CONDENSED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04"/>
        <w:gridCol w:w="509"/>
        <w:gridCol w:w="220"/>
        <w:gridCol w:w="1739"/>
        <w:gridCol w:w="155"/>
        <w:gridCol w:w="461"/>
        <w:gridCol w:w="220"/>
        <w:gridCol w:w="1739"/>
        <w:gridCol w:w="158"/>
      </w:tblGrid>
      <w:tr>
        <w:trPr/>
        <w:tc>
          <w:tcPr>
            <w:tcW w:w="5004"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04"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45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8" w:type="dxa"/>
            <w:tcBorders/>
            <w:vAlign w:val="bottom"/>
          </w:tcPr>
          <w:p>
            <w:pPr>
              <w:pStyle w:val="TableContents"/>
              <w:bidi w:val="0"/>
              <w:spacing w:before="0" w:after="283"/>
              <w:jc w:val="left"/>
              <w:rPr/>
            </w:pPr>
            <w:r>
              <w:rPr/>
              <w:t> </w:t>
            </w:r>
          </w:p>
        </w:tc>
      </w:tr>
      <w:tr>
        <w:trPr/>
        <w:tc>
          <w:tcPr>
            <w:tcW w:w="5004"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2021</w:t>
            </w:r>
          </w:p>
        </w:tc>
        <w:tc>
          <w:tcPr>
            <w:tcW w:w="158" w:type="dxa"/>
            <w:tcBorders/>
            <w:vAlign w:val="bottom"/>
          </w:tcPr>
          <w:p>
            <w:pPr>
              <w:pStyle w:val="TableContents"/>
              <w:bidi w:val="0"/>
              <w:spacing w:before="0" w:after="283"/>
              <w:jc w:val="left"/>
              <w:rPr/>
            </w:pPr>
            <w:r>
              <w:rPr/>
              <w:t> </w:t>
            </w:r>
          </w:p>
        </w:tc>
      </w:tr>
      <w:tr>
        <w:trPr/>
        <w:tc>
          <w:tcPr>
            <w:tcW w:w="50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Formation and operating costs</w:t>
            </w:r>
          </w:p>
        </w:tc>
        <w:tc>
          <w:tcPr>
            <w:tcW w:w="50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739" w:type="dxa"/>
            <w:tcBorders/>
            <w:shd w:fill="CCEEFF" w:val="clear"/>
            <w:vAlign w:val="bottom"/>
          </w:tcPr>
          <w:p>
            <w:pPr>
              <w:pStyle w:val="TableContents"/>
              <w:bidi w:val="0"/>
              <w:spacing w:before="0" w:after="283"/>
              <w:jc w:val="right"/>
              <w:rPr/>
            </w:pPr>
            <w:r>
              <w:rPr/>
              <w:t>394,352</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739" w:type="dxa"/>
            <w:tcBorders/>
            <w:shd w:fill="CCEEFF" w:val="clear"/>
            <w:vAlign w:val="bottom"/>
          </w:tcPr>
          <w:p>
            <w:pPr>
              <w:pStyle w:val="TableContents"/>
              <w:bidi w:val="0"/>
              <w:spacing w:before="0" w:after="283"/>
              <w:jc w:val="right"/>
              <w:rPr/>
            </w:pPr>
            <w:r>
              <w:rPr/>
              <w:t>2,010,995</w:t>
            </w:r>
          </w:p>
        </w:tc>
        <w:tc>
          <w:tcPr>
            <w:tcW w:w="158" w:type="dxa"/>
            <w:tcBorders/>
            <w:shd w:fill="CCEEFF" w:val="clear"/>
            <w:vAlign w:val="bottom"/>
          </w:tcPr>
          <w:p>
            <w:pPr>
              <w:pStyle w:val="TableContents"/>
              <w:bidi w:val="0"/>
              <w:spacing w:before="0" w:after="283"/>
              <w:jc w:val="left"/>
              <w:rPr/>
            </w:pPr>
            <w:r>
              <w:rPr/>
              <w:t> </w:t>
            </w:r>
          </w:p>
        </w:tc>
      </w:tr>
      <w:tr>
        <w:trPr/>
        <w:tc>
          <w:tcPr>
            <w:tcW w:w="5004"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50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27,963</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27,963</w:t>
            </w:r>
          </w:p>
        </w:tc>
        <w:tc>
          <w:tcPr>
            <w:tcW w:w="158" w:type="dxa"/>
            <w:tcBorders/>
            <w:vAlign w:val="bottom"/>
          </w:tcPr>
          <w:p>
            <w:pPr>
              <w:pStyle w:val="TableContents"/>
              <w:bidi w:val="0"/>
              <w:spacing w:before="0" w:after="283"/>
              <w:jc w:val="left"/>
              <w:rPr/>
            </w:pPr>
            <w:r>
              <w:rPr/>
              <w:t> </w:t>
            </w:r>
          </w:p>
        </w:tc>
      </w:tr>
      <w:tr>
        <w:trPr/>
        <w:tc>
          <w:tcPr>
            <w:tcW w:w="5004"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0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50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b/>
              </w:rPr>
            </w:pPr>
            <w:r>
              <w:rPr>
                <w:b/>
              </w:rPr>
              <w:t>(422,315</w:t>
            </w:r>
          </w:p>
        </w:tc>
        <w:tc>
          <w:tcPr>
            <w:tcW w:w="155" w:type="dxa"/>
            <w:tcBorders/>
            <w:shd w:fill="CCEEFF" w:val="clear"/>
            <w:vAlign w:val="bottom"/>
          </w:tcPr>
          <w:p>
            <w:pPr>
              <w:pStyle w:val="TableContents"/>
              <w:bidi w:val="0"/>
              <w:spacing w:before="0" w:after="283"/>
              <w:jc w:val="left"/>
              <w:rPr>
                <w:b/>
              </w:rPr>
            </w:pPr>
            <w:r>
              <w:rPr>
                <w:b/>
              </w:rPr>
              <w:t>) </w:t>
            </w:r>
          </w:p>
        </w:tc>
        <w:tc>
          <w:tcPr>
            <w:tcW w:w="46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b/>
              </w:rPr>
            </w:pPr>
            <w:r>
              <w:rPr>
                <w:b/>
              </w:rPr>
              <w:t>(2,038,958</w:t>
            </w:r>
          </w:p>
        </w:tc>
        <w:tc>
          <w:tcPr>
            <w:tcW w:w="158" w:type="dxa"/>
            <w:tcBorders/>
            <w:shd w:fill="CCEEFF" w:val="clear"/>
            <w:vAlign w:val="bottom"/>
          </w:tcPr>
          <w:p>
            <w:pPr>
              <w:pStyle w:val="TableContents"/>
              <w:bidi w:val="0"/>
              <w:spacing w:before="0" w:after="283"/>
              <w:jc w:val="left"/>
              <w:rPr>
                <w:b/>
              </w:rPr>
            </w:pPr>
            <w:r>
              <w:rPr>
                <w:b/>
              </w:rPr>
              <w:t>) </w:t>
            </w:r>
          </w:p>
        </w:tc>
      </w:tr>
      <w:tr>
        <w:trPr/>
        <w:tc>
          <w:tcPr>
            <w:tcW w:w="5004"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04"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income</w:t>
            </w:r>
          </w:p>
        </w:tc>
        <w:tc>
          <w:tcPr>
            <w:tcW w:w="50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73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73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0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Trust interest income</w:t>
            </w:r>
          </w:p>
        </w:tc>
        <w:tc>
          <w:tcPr>
            <w:tcW w:w="50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pPr>
            <w:r>
              <w:rPr/>
              <w:t>1,289,673</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pPr>
            <w:r>
              <w:rPr/>
              <w:t>2,844</w:t>
            </w:r>
          </w:p>
        </w:tc>
        <w:tc>
          <w:tcPr>
            <w:tcW w:w="158" w:type="dxa"/>
            <w:tcBorders/>
            <w:shd w:fill="CCEEFF" w:val="clear"/>
            <w:vAlign w:val="bottom"/>
          </w:tcPr>
          <w:p>
            <w:pPr>
              <w:pStyle w:val="TableContents"/>
              <w:bidi w:val="0"/>
              <w:spacing w:before="0" w:after="283"/>
              <w:jc w:val="left"/>
              <w:rPr/>
            </w:pPr>
            <w:r>
              <w:rPr/>
              <w:t> </w:t>
            </w:r>
          </w:p>
        </w:tc>
      </w:tr>
      <w:tr>
        <w:trPr/>
        <w:tc>
          <w:tcPr>
            <w:tcW w:w="5004"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04"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50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1,289,673</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2,844</w:t>
            </w:r>
          </w:p>
        </w:tc>
        <w:tc>
          <w:tcPr>
            <w:tcW w:w="158" w:type="dxa"/>
            <w:tcBorders/>
            <w:vAlign w:val="bottom"/>
          </w:tcPr>
          <w:p>
            <w:pPr>
              <w:pStyle w:val="TableContents"/>
              <w:bidi w:val="0"/>
              <w:spacing w:before="0" w:after="283"/>
              <w:jc w:val="left"/>
              <w:rPr/>
            </w:pPr>
            <w:r>
              <w:rPr/>
              <w:t> </w:t>
            </w:r>
          </w:p>
        </w:tc>
      </w:tr>
      <w:tr>
        <w:trPr/>
        <w:tc>
          <w:tcPr>
            <w:tcW w:w="5004"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provision for income taxes</w:t>
            </w:r>
          </w:p>
        </w:tc>
        <w:tc>
          <w:tcPr>
            <w:tcW w:w="50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pPr>
            <w:r>
              <w:rPr/>
              <w:t>867,358</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pPr>
            <w:r>
              <w:rPr/>
              <w:t>(2,036,114</w:t>
            </w:r>
          </w:p>
        </w:tc>
        <w:tc>
          <w:tcPr>
            <w:tcW w:w="158" w:type="dxa"/>
            <w:tcBorders/>
            <w:shd w:fill="CCEEFF" w:val="clear"/>
            <w:vAlign w:val="bottom"/>
          </w:tcPr>
          <w:p>
            <w:pPr>
              <w:pStyle w:val="TableContents"/>
              <w:bidi w:val="0"/>
              <w:spacing w:before="0" w:after="283"/>
              <w:jc w:val="left"/>
              <w:rPr/>
            </w:pPr>
            <w:r>
              <w:rPr/>
              <w:t>) </w:t>
            </w:r>
          </w:p>
        </w:tc>
      </w:tr>
      <w:tr>
        <w:trPr/>
        <w:tc>
          <w:tcPr>
            <w:tcW w:w="5004"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50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(260,331</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5004"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0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50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739" w:type="dxa"/>
            <w:tcBorders/>
            <w:shd w:fill="CCEEFF" w:val="clear"/>
            <w:vAlign w:val="bottom"/>
          </w:tcPr>
          <w:p>
            <w:pPr>
              <w:pStyle w:val="TableContents"/>
              <w:bidi w:val="0"/>
              <w:spacing w:before="0" w:after="283"/>
              <w:jc w:val="right"/>
              <w:rPr>
                <w:b/>
              </w:rPr>
            </w:pPr>
            <w:r>
              <w:rPr>
                <w:b/>
              </w:rPr>
              <w:t>607,027</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739" w:type="dxa"/>
            <w:tcBorders/>
            <w:shd w:fill="CCEEFF" w:val="clear"/>
            <w:vAlign w:val="bottom"/>
          </w:tcPr>
          <w:p>
            <w:pPr>
              <w:pStyle w:val="TableContents"/>
              <w:bidi w:val="0"/>
              <w:spacing w:before="0" w:after="283"/>
              <w:jc w:val="right"/>
              <w:rPr>
                <w:b/>
              </w:rPr>
            </w:pPr>
            <w:r>
              <w:rPr>
                <w:b/>
              </w:rPr>
              <w:t>(2,036,114</w:t>
            </w:r>
          </w:p>
        </w:tc>
        <w:tc>
          <w:tcPr>
            <w:tcW w:w="158" w:type="dxa"/>
            <w:tcBorders/>
            <w:shd w:fill="CCEEFF" w:val="clear"/>
            <w:vAlign w:val="bottom"/>
          </w:tcPr>
          <w:p>
            <w:pPr>
              <w:pStyle w:val="TableContents"/>
              <w:bidi w:val="0"/>
              <w:spacing w:before="0" w:after="283"/>
              <w:jc w:val="left"/>
              <w:rPr>
                <w:b/>
              </w:rPr>
            </w:pPr>
            <w:r>
              <w:rPr>
                <w:b/>
              </w:rPr>
              <w:t>) </w:t>
            </w:r>
          </w:p>
        </w:tc>
      </w:tr>
      <w:tr>
        <w:trPr/>
        <w:tc>
          <w:tcPr>
            <w:tcW w:w="5004"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3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04"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weighted average shares outstanding, common stock subject to possible redemption</w:t>
            </w:r>
          </w:p>
        </w:tc>
        <w:tc>
          <w:tcPr>
            <w:tcW w:w="50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15,000,000</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15,000,000</w:t>
            </w:r>
          </w:p>
        </w:tc>
        <w:tc>
          <w:tcPr>
            <w:tcW w:w="158" w:type="dxa"/>
            <w:tcBorders/>
            <w:vAlign w:val="bottom"/>
          </w:tcPr>
          <w:p>
            <w:pPr>
              <w:pStyle w:val="TableContents"/>
              <w:bidi w:val="0"/>
              <w:spacing w:before="0" w:after="283"/>
              <w:jc w:val="left"/>
              <w:rPr/>
            </w:pPr>
            <w:r>
              <w:rPr/>
              <w:t> </w:t>
            </w:r>
          </w:p>
        </w:tc>
      </w:tr>
      <w:tr>
        <w:trPr/>
        <w:tc>
          <w:tcPr>
            <w:tcW w:w="500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(loss) per share</w:t>
            </w:r>
          </w:p>
        </w:tc>
        <w:tc>
          <w:tcPr>
            <w:tcW w:w="50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739" w:type="dxa"/>
            <w:tcBorders/>
            <w:shd w:fill="CCEEFF" w:val="clear"/>
            <w:vAlign w:val="bottom"/>
          </w:tcPr>
          <w:p>
            <w:pPr>
              <w:pStyle w:val="TableContents"/>
              <w:bidi w:val="0"/>
              <w:spacing w:before="0" w:after="283"/>
              <w:jc w:val="right"/>
              <w:rPr>
                <w:b/>
              </w:rPr>
            </w:pPr>
            <w:r>
              <w:rPr>
                <w:b/>
              </w:rPr>
              <w:t>0.03</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739" w:type="dxa"/>
            <w:tcBorders/>
            <w:shd w:fill="CCEEFF" w:val="clear"/>
            <w:vAlign w:val="bottom"/>
          </w:tcPr>
          <w:p>
            <w:pPr>
              <w:pStyle w:val="TableContents"/>
              <w:bidi w:val="0"/>
              <w:spacing w:before="0" w:after="283"/>
              <w:jc w:val="right"/>
              <w:rPr>
                <w:b/>
              </w:rPr>
            </w:pPr>
            <w:r>
              <w:rPr>
                <w:b/>
              </w:rPr>
              <w:t>(0.10</w:t>
            </w:r>
          </w:p>
        </w:tc>
        <w:tc>
          <w:tcPr>
            <w:tcW w:w="158" w:type="dxa"/>
            <w:tcBorders/>
            <w:shd w:fill="CCEEFF" w:val="clear"/>
            <w:vAlign w:val="bottom"/>
          </w:tcPr>
          <w:p>
            <w:pPr>
              <w:pStyle w:val="TableContents"/>
              <w:bidi w:val="0"/>
              <w:spacing w:before="0" w:after="283"/>
              <w:jc w:val="left"/>
              <w:rPr>
                <w:b/>
              </w:rPr>
            </w:pPr>
            <w:r>
              <w:rPr>
                <w:b/>
              </w:rPr>
              <w:t>) </w:t>
            </w:r>
          </w:p>
        </w:tc>
      </w:tr>
      <w:tr>
        <w:trPr/>
        <w:tc>
          <w:tcPr>
            <w:tcW w:w="5004"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3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04"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weighted average shares outstanding, non-redeemable common stock</w:t>
            </w:r>
          </w:p>
        </w:tc>
        <w:tc>
          <w:tcPr>
            <w:tcW w:w="50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5,709,500</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5,709,500</w:t>
            </w:r>
          </w:p>
        </w:tc>
        <w:tc>
          <w:tcPr>
            <w:tcW w:w="158" w:type="dxa"/>
            <w:tcBorders/>
            <w:vAlign w:val="bottom"/>
          </w:tcPr>
          <w:p>
            <w:pPr>
              <w:pStyle w:val="TableContents"/>
              <w:bidi w:val="0"/>
              <w:spacing w:before="0" w:after="283"/>
              <w:jc w:val="left"/>
              <w:rPr/>
            </w:pPr>
            <w:r>
              <w:rPr/>
              <w:t> </w:t>
            </w:r>
          </w:p>
        </w:tc>
      </w:tr>
      <w:tr>
        <w:trPr/>
        <w:tc>
          <w:tcPr>
            <w:tcW w:w="500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(loss) per share</w:t>
            </w:r>
          </w:p>
        </w:tc>
        <w:tc>
          <w:tcPr>
            <w:tcW w:w="50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739" w:type="dxa"/>
            <w:tcBorders/>
            <w:shd w:fill="CCEEFF" w:val="clear"/>
            <w:vAlign w:val="bottom"/>
          </w:tcPr>
          <w:p>
            <w:pPr>
              <w:pStyle w:val="TableContents"/>
              <w:bidi w:val="0"/>
              <w:spacing w:before="0" w:after="283"/>
              <w:jc w:val="right"/>
              <w:rPr>
                <w:b/>
              </w:rPr>
            </w:pPr>
            <w:r>
              <w:rPr>
                <w:b/>
              </w:rPr>
              <w:t>0.03</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739" w:type="dxa"/>
            <w:tcBorders/>
            <w:shd w:fill="CCEEFF" w:val="clear"/>
            <w:vAlign w:val="bottom"/>
          </w:tcPr>
          <w:p>
            <w:pPr>
              <w:pStyle w:val="TableContents"/>
              <w:bidi w:val="0"/>
              <w:spacing w:before="0" w:after="283"/>
              <w:jc w:val="right"/>
              <w:rPr>
                <w:b/>
              </w:rPr>
            </w:pPr>
            <w:r>
              <w:rPr>
                <w:b/>
              </w:rPr>
              <w:t>(0.10</w:t>
            </w:r>
          </w:p>
        </w:tc>
        <w:tc>
          <w:tcPr>
            <w:tcW w:w="158" w:type="dxa"/>
            <w:tcBorders/>
            <w:shd w:fill="CCEEFF" w:val="clear"/>
            <w:vAlign w:val="bottom"/>
          </w:tcPr>
          <w:p>
            <w:pPr>
              <w:pStyle w:val="TableContents"/>
              <w:bidi w:val="0"/>
              <w:spacing w:before="0" w:after="283"/>
              <w:jc w:val="left"/>
              <w:rPr>
                <w:b/>
              </w:rPr>
            </w:pPr>
            <w:r>
              <w:rPr>
                <w:b/>
              </w:rPr>
              <w:t>) </w:t>
            </w:r>
          </w:p>
        </w:tc>
      </w:tr>
      <w:tr>
        <w:trPr/>
        <w:tc>
          <w:tcPr>
            <w:tcW w:w="5004"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3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bidi w:val="0"/>
        <w:spacing w:before="0" w:after="0"/>
        <w:jc w:val="center"/>
        <w:rPr>
          <w:rFonts w:ascii="Times New Roman" w:hAnsi="Times New Roman"/>
          <w:b/>
          <w:sz w:val="20"/>
        </w:rPr>
      </w:pPr>
      <w:bookmarkStart w:id="55" w:name="fin309194_53"/>
      <w:bookmarkEnd w:id="55"/>
      <w:r>
        <w:rPr>
          <w:rFonts w:ascii="Times New Roman" w:hAnsi="Times New Roman"/>
          <w:b/>
          <w:sz w:val="20"/>
        </w:rPr>
        <w:t xml:space="preserve">CONDENSED STATEMENTS OF CHANGES IN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center"/>
        <w:rPr>
          <w:rFonts w:ascii="Times New Roman" w:hAnsi="Times New Roman"/>
          <w:b/>
          <w:sz w:val="20"/>
        </w:rPr>
      </w:pPr>
      <w:r>
        <w:rPr>
          <w:rFonts w:ascii="Times New Roman" w:hAnsi="Times New Roman"/>
          <w:b/>
          <w:sz w:val="20"/>
        </w:rPr>
        <w:t xml:space="preserve">THREE MONTHS ENDED DECEMBER 31,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59"/>
        <w:gridCol w:w="194"/>
        <w:gridCol w:w="60"/>
        <w:gridCol w:w="1004"/>
        <w:gridCol w:w="60"/>
        <w:gridCol w:w="194"/>
        <w:gridCol w:w="231"/>
        <w:gridCol w:w="638"/>
        <w:gridCol w:w="60"/>
        <w:gridCol w:w="194"/>
        <w:gridCol w:w="233"/>
        <w:gridCol w:w="1371"/>
        <w:gridCol w:w="60"/>
        <w:gridCol w:w="193"/>
        <w:gridCol w:w="160"/>
        <w:gridCol w:w="1265"/>
        <w:gridCol w:w="155"/>
        <w:gridCol w:w="142"/>
        <w:gridCol w:w="156"/>
        <w:gridCol w:w="1212"/>
        <w:gridCol w:w="164"/>
      </w:tblGrid>
      <w:tr>
        <w:trPr/>
        <w:tc>
          <w:tcPr>
            <w:tcW w:w="2459"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59"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1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94" w:type="dxa"/>
            <w:vMerge w:val="restart"/>
            <w:tcBorders/>
            <w:vAlign w:val="bottom"/>
          </w:tcPr>
          <w:p>
            <w:pPr>
              <w:pStyle w:val="TableContents"/>
              <w:bidi w:val="0"/>
              <w:spacing w:before="0" w:after="283"/>
              <w:jc w:val="left"/>
              <w:rPr/>
            </w:pPr>
            <w:r>
              <w:rPr/>
              <w:t>  </w:t>
            </w:r>
          </w:p>
        </w:tc>
        <w:tc>
          <w:tcPr>
            <w:tcW w:w="160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 Capital</w:t>
            </w:r>
          </w:p>
        </w:tc>
        <w:tc>
          <w:tcPr>
            <w:tcW w:w="60" w:type="dxa"/>
            <w:vMerge w:val="restart"/>
            <w:tcBorders/>
            <w:vAlign w:val="bottom"/>
          </w:tcPr>
          <w:p>
            <w:pPr>
              <w:pStyle w:val="TableContents"/>
              <w:bidi w:val="0"/>
              <w:spacing w:before="0" w:after="283"/>
              <w:jc w:val="left"/>
              <w:rPr/>
            </w:pPr>
            <w:r>
              <w:rPr/>
              <w:t> </w:t>
            </w:r>
          </w:p>
        </w:tc>
        <w:tc>
          <w:tcPr>
            <w:tcW w:w="193" w:type="dxa"/>
            <w:vMerge w:val="restart"/>
            <w:tcBorders/>
            <w:vAlign w:val="bottom"/>
          </w:tcPr>
          <w:p>
            <w:pPr>
              <w:pStyle w:val="TableContents"/>
              <w:bidi w:val="0"/>
              <w:spacing w:before="0" w:after="283"/>
              <w:jc w:val="left"/>
              <w:rPr/>
            </w:pPr>
            <w:r>
              <w:rPr/>
              <w:t>  </w:t>
            </w:r>
          </w:p>
        </w:tc>
        <w:tc>
          <w:tcPr>
            <w:tcW w:w="142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142" w:type="dxa"/>
            <w:vMerge w:val="restart"/>
            <w:tcBorders/>
            <w:vAlign w:val="bottom"/>
          </w:tcPr>
          <w:p>
            <w:pPr>
              <w:pStyle w:val="TableContents"/>
              <w:bidi w:val="0"/>
              <w:spacing w:before="0" w:after="283"/>
              <w:jc w:val="left"/>
              <w:rPr/>
            </w:pPr>
            <w:r>
              <w:rPr/>
              <w:t> </w:t>
            </w:r>
          </w:p>
        </w:tc>
        <w:tc>
          <w:tcPr>
            <w:tcW w:w="136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Deficit</w:t>
            </w:r>
          </w:p>
        </w:tc>
        <w:tc>
          <w:tcPr>
            <w:tcW w:w="164" w:type="dxa"/>
            <w:vMerge w:val="restart"/>
            <w:tcBorders/>
            <w:vAlign w:val="bottom"/>
          </w:tcPr>
          <w:p>
            <w:pPr>
              <w:pStyle w:val="TableContents"/>
              <w:bidi w:val="0"/>
              <w:spacing w:before="0" w:after="283"/>
              <w:jc w:val="left"/>
              <w:rPr/>
            </w:pPr>
            <w:r>
              <w:rPr/>
              <w:t> </w:t>
            </w:r>
          </w:p>
        </w:tc>
      </w:tr>
      <w:tr>
        <w:trPr/>
        <w:tc>
          <w:tcPr>
            <w:tcW w:w="2459"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94" w:type="dxa"/>
            <w:vMerge w:val="continue"/>
            <w:tcBorders/>
            <w:vAlign w:val="bottom"/>
          </w:tcPr>
          <w:p>
            <w:pPr>
              <w:pStyle w:val="Normal"/>
              <w:bidi w:val="0"/>
              <w:jc w:val="left"/>
              <w:rPr/>
            </w:pPr>
            <w:r>
              <w:rPr/>
            </w:r>
          </w:p>
        </w:tc>
        <w:tc>
          <w:tcPr>
            <w:tcW w:w="160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93" w:type="dxa"/>
            <w:vMerge w:val="continue"/>
            <w:tcBorders>
              <w:bottom w:val="single" w:sz="8" w:space="0" w:color="000000"/>
            </w:tcBorders>
            <w:tcMar>
              <w:bottom w:w="28" w:type="dxa"/>
            </w:tcMar>
            <w:vAlign w:val="bottom"/>
          </w:tcPr>
          <w:p>
            <w:pPr>
              <w:pStyle w:val="Normal"/>
              <w:bidi w:val="0"/>
              <w:jc w:val="left"/>
              <w:rPr/>
            </w:pPr>
            <w:r>
              <w:rPr/>
            </w:r>
          </w:p>
        </w:tc>
        <w:tc>
          <w:tcPr>
            <w:tcW w:w="1425"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142" w:type="dxa"/>
            <w:vMerge w:val="continue"/>
            <w:tcBorders/>
            <w:vAlign w:val="bottom"/>
          </w:tcPr>
          <w:p>
            <w:pPr>
              <w:pStyle w:val="Normal"/>
              <w:bidi w:val="0"/>
              <w:jc w:val="left"/>
              <w:rPr/>
            </w:pPr>
            <w:r>
              <w:rPr/>
            </w:r>
          </w:p>
        </w:tc>
        <w:tc>
          <w:tcPr>
            <w:tcW w:w="1368" w:type="dxa"/>
            <w:gridSpan w:val="2"/>
            <w:vMerge w:val="continue"/>
            <w:tcBorders>
              <w:bottom w:val="single" w:sz="8" w:space="0" w:color="000000"/>
            </w:tcBorders>
            <w:tcMar>
              <w:bottom w:w="28" w:type="dxa"/>
            </w:tcMar>
            <w:vAlign w:val="bottom"/>
          </w:tcPr>
          <w:p>
            <w:pPr>
              <w:pStyle w:val="Normal"/>
              <w:bidi w:val="0"/>
              <w:jc w:val="left"/>
              <w:rPr/>
            </w:pPr>
            <w:r>
              <w:rPr/>
            </w:r>
          </w:p>
        </w:tc>
        <w:tc>
          <w:tcPr>
            <w:tcW w:w="164" w:type="dxa"/>
            <w:vMerge w:val="continue"/>
            <w:tcBorders/>
            <w:vAlign w:val="bottom"/>
          </w:tcPr>
          <w:p>
            <w:pPr>
              <w:pStyle w:val="Normal"/>
              <w:bidi w:val="0"/>
              <w:jc w:val="left"/>
              <w:rPr/>
            </w:pPr>
            <w:r>
              <w:rPr/>
            </w:r>
          </w:p>
        </w:tc>
      </w:tr>
      <w:tr>
        <w:trPr/>
        <w:tc>
          <w:tcPr>
            <w:tcW w:w="245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September 30, 2022 (audited)</w:t>
            </w:r>
          </w:p>
        </w:tc>
        <w:tc>
          <w:tcPr>
            <w:tcW w:w="1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b/>
              </w:rPr>
            </w:pPr>
            <w:r>
              <w:rPr>
                <w:b/>
              </w:rPr>
              <w:t>5,709,500</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8" w:type="dxa"/>
            <w:tcBorders/>
            <w:shd w:fill="CCEEFF" w:val="clear"/>
            <w:vAlign w:val="bottom"/>
          </w:tcPr>
          <w:p>
            <w:pPr>
              <w:pStyle w:val="TableContents"/>
              <w:bidi w:val="0"/>
              <w:spacing w:before="0" w:after="283"/>
              <w:jc w:val="right"/>
              <w:rPr>
                <w:b/>
              </w:rPr>
            </w:pPr>
            <w:r>
              <w:rPr>
                <w:b/>
              </w:rPr>
              <w:t>570</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b/>
              </w:rPr>
            </w:pPr>
            <w:r>
              <w:rPr>
                <w:b/>
              </w:rPr>
              <w:t>$</w:t>
            </w:r>
          </w:p>
        </w:tc>
        <w:tc>
          <w:tcPr>
            <w:tcW w:w="1371" w:type="dxa"/>
            <w:tcBorders/>
            <w:shd w:fill="CCEEFF" w:val="clear"/>
            <w:vAlign w:val="bottom"/>
          </w:tcPr>
          <w:p>
            <w:pPr>
              <w:pStyle w:val="TableContents"/>
              <w:bidi w:val="0"/>
              <w:spacing w:before="0" w:after="283"/>
              <w:jc w:val="right"/>
              <w:rPr>
                <w:b/>
              </w:rPr>
            </w:pPr>
            <w:r>
              <w:rPr>
                <w:b/>
              </w:rPr>
              <w:t>941,796</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b/>
              </w:rPr>
            </w:pPr>
            <w:r>
              <w:rPr>
                <w:b/>
              </w:rPr>
              <w:t>$</w:t>
            </w:r>
          </w:p>
        </w:tc>
        <w:tc>
          <w:tcPr>
            <w:tcW w:w="1265" w:type="dxa"/>
            <w:tcBorders/>
            <w:shd w:fill="CCEEFF" w:val="clear"/>
            <w:vAlign w:val="bottom"/>
          </w:tcPr>
          <w:p>
            <w:pPr>
              <w:pStyle w:val="TableContents"/>
              <w:bidi w:val="0"/>
              <w:spacing w:before="0" w:after="283"/>
              <w:jc w:val="right"/>
              <w:rPr>
                <w:b/>
              </w:rPr>
            </w:pPr>
            <w:r>
              <w:rPr>
                <w:b/>
              </w:rPr>
              <w:t>(4,091,693</w:t>
            </w:r>
          </w:p>
        </w:tc>
        <w:tc>
          <w:tcPr>
            <w:tcW w:w="155" w:type="dxa"/>
            <w:tcBorders/>
            <w:shd w:fill="CCEEFF" w:val="clear"/>
            <w:vAlign w:val="bottom"/>
          </w:tcPr>
          <w:p>
            <w:pPr>
              <w:pStyle w:val="TableContents"/>
              <w:bidi w:val="0"/>
              <w:spacing w:before="0" w:after="283"/>
              <w:jc w:val="left"/>
              <w:rPr>
                <w:b/>
              </w:rPr>
            </w:pPr>
            <w:r>
              <w:rPr>
                <w:b/>
              </w:rPr>
              <w:t>) </w:t>
            </w:r>
          </w:p>
        </w:tc>
        <w:tc>
          <w:tcPr>
            <w:tcW w:w="142"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1212" w:type="dxa"/>
            <w:tcBorders/>
            <w:shd w:fill="CCEEFF" w:val="clear"/>
            <w:vAlign w:val="bottom"/>
          </w:tcPr>
          <w:p>
            <w:pPr>
              <w:pStyle w:val="TableContents"/>
              <w:bidi w:val="0"/>
              <w:spacing w:before="0" w:after="283"/>
              <w:jc w:val="right"/>
              <w:rPr>
                <w:b/>
              </w:rPr>
            </w:pPr>
            <w:r>
              <w:rPr>
                <w:b/>
              </w:rPr>
              <w:t>(3,149,327</w:t>
            </w:r>
          </w:p>
        </w:tc>
        <w:tc>
          <w:tcPr>
            <w:tcW w:w="164" w:type="dxa"/>
            <w:tcBorders/>
            <w:shd w:fill="CCEEFF" w:val="clear"/>
            <w:vAlign w:val="bottom"/>
          </w:tcPr>
          <w:p>
            <w:pPr>
              <w:pStyle w:val="TableContents"/>
              <w:bidi w:val="0"/>
              <w:spacing w:before="0" w:after="283"/>
              <w:jc w:val="left"/>
              <w:rPr>
                <w:b/>
              </w:rPr>
            </w:pPr>
            <w:r>
              <w:rPr>
                <w:b/>
              </w:rPr>
              <w:t>) </w:t>
            </w:r>
          </w:p>
        </w:tc>
      </w:tr>
      <w:tr>
        <w:trPr/>
        <w:tc>
          <w:tcPr>
            <w:tcW w:w="2459"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27,963</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27,963</w:t>
            </w:r>
          </w:p>
        </w:tc>
        <w:tc>
          <w:tcPr>
            <w:tcW w:w="164" w:type="dxa"/>
            <w:tcBorders/>
            <w:vAlign w:val="bottom"/>
          </w:tcPr>
          <w:p>
            <w:pPr>
              <w:pStyle w:val="TableContents"/>
              <w:bidi w:val="0"/>
              <w:spacing w:before="0" w:after="283"/>
              <w:jc w:val="left"/>
              <w:rPr/>
            </w:pPr>
            <w:r>
              <w:rPr/>
              <w:t> </w:t>
            </w:r>
          </w:p>
        </w:tc>
      </w:tr>
      <w:tr>
        <w:trPr/>
        <w:tc>
          <w:tcPr>
            <w:tcW w:w="24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Subsequent remeasurement of common stock subject to possible redemption</w:t>
            </w:r>
          </w:p>
        </w:tc>
        <w:tc>
          <w:tcPr>
            <w:tcW w:w="1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(2,479,343</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(2,479,343</w:t>
            </w:r>
          </w:p>
        </w:tc>
        <w:tc>
          <w:tcPr>
            <w:tcW w:w="164" w:type="dxa"/>
            <w:tcBorders/>
            <w:shd w:fill="CCEEFF" w:val="clear"/>
            <w:vAlign w:val="bottom"/>
          </w:tcPr>
          <w:p>
            <w:pPr>
              <w:pStyle w:val="TableContents"/>
              <w:bidi w:val="0"/>
              <w:spacing w:before="0" w:after="283"/>
              <w:jc w:val="left"/>
              <w:rPr/>
            </w:pPr>
            <w:r>
              <w:rPr/>
              <w:t>) </w:t>
            </w:r>
          </w:p>
        </w:tc>
      </w:tr>
      <w:tr>
        <w:trPr/>
        <w:tc>
          <w:tcPr>
            <w:tcW w:w="2459"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607,027</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607,027</w:t>
            </w:r>
          </w:p>
        </w:tc>
        <w:tc>
          <w:tcPr>
            <w:tcW w:w="164" w:type="dxa"/>
            <w:tcBorders/>
            <w:vAlign w:val="bottom"/>
          </w:tcPr>
          <w:p>
            <w:pPr>
              <w:pStyle w:val="TableContents"/>
              <w:bidi w:val="0"/>
              <w:spacing w:before="0" w:after="283"/>
              <w:jc w:val="left"/>
              <w:rPr/>
            </w:pPr>
            <w:r>
              <w:rPr/>
              <w:t> </w:t>
            </w:r>
          </w:p>
        </w:tc>
      </w:tr>
      <w:tr>
        <w:trPr/>
        <w:tc>
          <w:tcPr>
            <w:tcW w:w="2459"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45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1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b/>
              </w:rPr>
            </w:pPr>
            <w:r>
              <w:rPr>
                <w:b/>
              </w:rPr>
              <w:t>5,709,500</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8" w:type="dxa"/>
            <w:tcBorders/>
            <w:shd w:fill="CCEEFF" w:val="clear"/>
            <w:vAlign w:val="bottom"/>
          </w:tcPr>
          <w:p>
            <w:pPr>
              <w:pStyle w:val="TableContents"/>
              <w:bidi w:val="0"/>
              <w:spacing w:before="0" w:after="283"/>
              <w:jc w:val="right"/>
              <w:rPr>
                <w:b/>
              </w:rPr>
            </w:pPr>
            <w:r>
              <w:rPr>
                <w:b/>
              </w:rPr>
              <w:t>570</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b/>
              </w:rPr>
            </w:pPr>
            <w:r>
              <w:rPr>
                <w:b/>
              </w:rPr>
              <w:t>$</w:t>
            </w:r>
          </w:p>
        </w:tc>
        <w:tc>
          <w:tcPr>
            <w:tcW w:w="1371" w:type="dxa"/>
            <w:tcBorders/>
            <w:shd w:fill="CCEEFF" w:val="clear"/>
            <w:vAlign w:val="bottom"/>
          </w:tcPr>
          <w:p>
            <w:pPr>
              <w:pStyle w:val="TableContents"/>
              <w:bidi w:val="0"/>
              <w:spacing w:before="0" w:after="283"/>
              <w:jc w:val="right"/>
              <w:rPr>
                <w:b/>
              </w:rPr>
            </w:pPr>
            <w:r>
              <w:rPr>
                <w:b/>
              </w:rPr>
              <w:t>969,759</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b/>
              </w:rPr>
            </w:pPr>
            <w:r>
              <w:rPr>
                <w:b/>
              </w:rPr>
              <w:t>$</w:t>
            </w:r>
          </w:p>
        </w:tc>
        <w:tc>
          <w:tcPr>
            <w:tcW w:w="1265" w:type="dxa"/>
            <w:tcBorders/>
            <w:shd w:fill="CCEEFF" w:val="clear"/>
            <w:vAlign w:val="bottom"/>
          </w:tcPr>
          <w:p>
            <w:pPr>
              <w:pStyle w:val="TableContents"/>
              <w:bidi w:val="0"/>
              <w:spacing w:before="0" w:after="283"/>
              <w:jc w:val="right"/>
              <w:rPr>
                <w:b/>
              </w:rPr>
            </w:pPr>
            <w:r>
              <w:rPr>
                <w:b/>
              </w:rPr>
              <w:t>(5,964,009</w:t>
            </w:r>
          </w:p>
        </w:tc>
        <w:tc>
          <w:tcPr>
            <w:tcW w:w="155" w:type="dxa"/>
            <w:tcBorders/>
            <w:shd w:fill="CCEEFF" w:val="clear"/>
            <w:vAlign w:val="bottom"/>
          </w:tcPr>
          <w:p>
            <w:pPr>
              <w:pStyle w:val="TableContents"/>
              <w:bidi w:val="0"/>
              <w:spacing w:before="0" w:after="283"/>
              <w:jc w:val="left"/>
              <w:rPr>
                <w:b/>
              </w:rPr>
            </w:pPr>
            <w:r>
              <w:rPr>
                <w:b/>
              </w:rPr>
              <w:t>) </w:t>
            </w:r>
          </w:p>
        </w:tc>
        <w:tc>
          <w:tcPr>
            <w:tcW w:w="142"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1212" w:type="dxa"/>
            <w:tcBorders/>
            <w:shd w:fill="CCEEFF" w:val="clear"/>
            <w:vAlign w:val="bottom"/>
          </w:tcPr>
          <w:p>
            <w:pPr>
              <w:pStyle w:val="TableContents"/>
              <w:bidi w:val="0"/>
              <w:spacing w:before="0" w:after="283"/>
              <w:jc w:val="right"/>
              <w:rPr>
                <w:b/>
              </w:rPr>
            </w:pPr>
            <w:r>
              <w:rPr>
                <w:b/>
              </w:rPr>
              <w:t>(4,993,680</w:t>
            </w:r>
          </w:p>
        </w:tc>
        <w:tc>
          <w:tcPr>
            <w:tcW w:w="164" w:type="dxa"/>
            <w:tcBorders/>
            <w:shd w:fill="CCEEFF" w:val="clear"/>
            <w:vAlign w:val="bottom"/>
          </w:tcPr>
          <w:p>
            <w:pPr>
              <w:pStyle w:val="TableContents"/>
              <w:bidi w:val="0"/>
              <w:spacing w:before="0" w:after="283"/>
              <w:jc w:val="left"/>
              <w:rPr>
                <w:b/>
              </w:rPr>
            </w:pPr>
            <w:r>
              <w:rPr>
                <w:b/>
              </w:rPr>
              <w:t>) </w:t>
            </w:r>
          </w:p>
        </w:tc>
      </w:tr>
      <w:tr>
        <w:trPr/>
        <w:tc>
          <w:tcPr>
            <w:tcW w:w="2459"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3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2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FOR THE THREE MONTHS ENDED DECEMBER 31, 2021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71"/>
        <w:gridCol w:w="172"/>
        <w:gridCol w:w="60"/>
        <w:gridCol w:w="1084"/>
        <w:gridCol w:w="163"/>
        <w:gridCol w:w="122"/>
        <w:gridCol w:w="202"/>
        <w:gridCol w:w="686"/>
        <w:gridCol w:w="163"/>
        <w:gridCol w:w="122"/>
        <w:gridCol w:w="140"/>
        <w:gridCol w:w="1023"/>
        <w:gridCol w:w="60"/>
        <w:gridCol w:w="172"/>
        <w:gridCol w:w="166"/>
        <w:gridCol w:w="1248"/>
        <w:gridCol w:w="163"/>
        <w:gridCol w:w="122"/>
        <w:gridCol w:w="164"/>
        <w:gridCol w:w="1227"/>
        <w:gridCol w:w="175"/>
      </w:tblGrid>
      <w:tr>
        <w:trPr/>
        <w:tc>
          <w:tcPr>
            <w:tcW w:w="2771"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77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3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63" w:type="dxa"/>
            <w:tcBorders/>
            <w:vAlign w:val="bottom"/>
          </w:tcPr>
          <w:p>
            <w:pPr>
              <w:pStyle w:val="TableContents"/>
              <w:bidi w:val="0"/>
              <w:spacing w:before="0" w:after="283"/>
              <w:jc w:val="left"/>
              <w:rPr/>
            </w:pPr>
            <w:r>
              <w:rPr/>
              <w:t> </w:t>
            </w:r>
          </w:p>
        </w:tc>
        <w:tc>
          <w:tcPr>
            <w:tcW w:w="122" w:type="dxa"/>
            <w:vMerge w:val="restart"/>
            <w:tcBorders/>
            <w:vAlign w:val="bottom"/>
          </w:tcPr>
          <w:p>
            <w:pPr>
              <w:pStyle w:val="TableContents"/>
              <w:bidi w:val="0"/>
              <w:spacing w:before="0" w:after="283"/>
              <w:jc w:val="left"/>
              <w:rPr/>
            </w:pPr>
            <w:r>
              <w:rPr/>
              <w:t> </w:t>
            </w:r>
          </w:p>
        </w:tc>
        <w:tc>
          <w:tcPr>
            <w:tcW w:w="1163"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br/>
              <w:t>Capital</w:t>
            </w:r>
          </w:p>
        </w:tc>
        <w:tc>
          <w:tcPr>
            <w:tcW w:w="60" w:type="dxa"/>
            <w:vMerge w:val="restart"/>
            <w:tcBorders/>
            <w:vAlign w:val="bottom"/>
          </w:tcPr>
          <w:p>
            <w:pPr>
              <w:pStyle w:val="TableContents"/>
              <w:bidi w:val="0"/>
              <w:spacing w:before="0" w:after="283"/>
              <w:jc w:val="left"/>
              <w:rPr/>
            </w:pPr>
            <w:r>
              <w:rPr/>
              <w:t> </w:t>
            </w:r>
          </w:p>
        </w:tc>
        <w:tc>
          <w:tcPr>
            <w:tcW w:w="172" w:type="dxa"/>
            <w:vMerge w:val="restart"/>
            <w:tcBorders/>
            <w:vAlign w:val="bottom"/>
          </w:tcPr>
          <w:p>
            <w:pPr>
              <w:pStyle w:val="TableContents"/>
              <w:bidi w:val="0"/>
              <w:spacing w:before="0" w:after="283"/>
              <w:jc w:val="left"/>
              <w:rPr/>
            </w:pPr>
            <w:r>
              <w:rPr/>
              <w:t>  </w:t>
            </w:r>
          </w:p>
        </w:tc>
        <w:tc>
          <w:tcPr>
            <w:tcW w:w="141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63" w:type="dxa"/>
            <w:vMerge w:val="restart"/>
            <w:tcBorders/>
            <w:vAlign w:val="bottom"/>
          </w:tcPr>
          <w:p>
            <w:pPr>
              <w:pStyle w:val="TableContents"/>
              <w:bidi w:val="0"/>
              <w:spacing w:before="0" w:after="283"/>
              <w:jc w:val="left"/>
              <w:rPr/>
            </w:pPr>
            <w:r>
              <w:rPr/>
              <w:t> </w:t>
            </w:r>
          </w:p>
        </w:tc>
        <w:tc>
          <w:tcPr>
            <w:tcW w:w="122" w:type="dxa"/>
            <w:vMerge w:val="restart"/>
            <w:tcBorders/>
            <w:vAlign w:val="bottom"/>
          </w:tcPr>
          <w:p>
            <w:pPr>
              <w:pStyle w:val="TableContents"/>
              <w:bidi w:val="0"/>
              <w:spacing w:before="0" w:after="283"/>
              <w:jc w:val="left"/>
              <w:rPr/>
            </w:pPr>
            <w:r>
              <w:rPr/>
              <w:t> </w:t>
            </w:r>
          </w:p>
        </w:tc>
        <w:tc>
          <w:tcPr>
            <w:tcW w:w="1391"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Equity</w:t>
              <w:br/>
              <w:t>(Deficit)</w:t>
            </w:r>
          </w:p>
        </w:tc>
        <w:tc>
          <w:tcPr>
            <w:tcW w:w="175" w:type="dxa"/>
            <w:vMerge w:val="restart"/>
            <w:tcBorders/>
            <w:vAlign w:val="bottom"/>
          </w:tcPr>
          <w:p>
            <w:pPr>
              <w:pStyle w:val="TableContents"/>
              <w:bidi w:val="0"/>
              <w:spacing w:before="0" w:after="283"/>
              <w:jc w:val="left"/>
              <w:rPr/>
            </w:pPr>
            <w:r>
              <w:rPr/>
              <w:t> </w:t>
            </w:r>
          </w:p>
        </w:tc>
      </w:tr>
      <w:tr>
        <w:trPr/>
        <w:tc>
          <w:tcPr>
            <w:tcW w:w="277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3" w:type="dxa"/>
            <w:tcBorders/>
            <w:vAlign w:val="bottom"/>
          </w:tcPr>
          <w:p>
            <w:pPr>
              <w:pStyle w:val="TableContents"/>
              <w:bidi w:val="0"/>
              <w:spacing w:before="0" w:after="283"/>
              <w:jc w:val="left"/>
              <w:rPr/>
            </w:pPr>
            <w:r>
              <w:rPr/>
              <w:t> </w:t>
            </w:r>
          </w:p>
        </w:tc>
        <w:tc>
          <w:tcPr>
            <w:tcW w:w="122" w:type="dxa"/>
            <w:vMerge w:val="continue"/>
            <w:tcBorders/>
            <w:vAlign w:val="bottom"/>
          </w:tcPr>
          <w:p>
            <w:pPr>
              <w:pStyle w:val="Normal"/>
              <w:bidi w:val="0"/>
              <w:jc w:val="left"/>
              <w:rPr/>
            </w:pPr>
            <w:r>
              <w:rPr/>
            </w:r>
          </w:p>
        </w:tc>
        <w:tc>
          <w:tcPr>
            <w:tcW w:w="1163"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72" w:type="dxa"/>
            <w:vMerge w:val="continue"/>
            <w:tcBorders>
              <w:bottom w:val="single" w:sz="8" w:space="0" w:color="000000"/>
            </w:tcBorders>
            <w:tcMar>
              <w:bottom w:w="28" w:type="dxa"/>
            </w:tcMar>
            <w:vAlign w:val="bottom"/>
          </w:tcPr>
          <w:p>
            <w:pPr>
              <w:pStyle w:val="Normal"/>
              <w:bidi w:val="0"/>
              <w:jc w:val="left"/>
              <w:rPr/>
            </w:pPr>
            <w:r>
              <w:rPr/>
            </w:r>
          </w:p>
        </w:tc>
        <w:tc>
          <w:tcPr>
            <w:tcW w:w="1414" w:type="dxa"/>
            <w:gridSpan w:val="2"/>
            <w:vMerge w:val="continue"/>
            <w:tcBorders/>
            <w:vAlign w:val="bottom"/>
          </w:tcPr>
          <w:p>
            <w:pPr>
              <w:pStyle w:val="Normal"/>
              <w:bidi w:val="0"/>
              <w:jc w:val="left"/>
              <w:rPr/>
            </w:pPr>
            <w:r>
              <w:rPr/>
            </w:r>
          </w:p>
        </w:tc>
        <w:tc>
          <w:tcPr>
            <w:tcW w:w="163" w:type="dxa"/>
            <w:vMerge w:val="continue"/>
            <w:tcBorders>
              <w:bottom w:val="single" w:sz="8" w:space="0" w:color="000000"/>
            </w:tcBorders>
            <w:tcMar>
              <w:bottom w:w="28" w:type="dxa"/>
            </w:tcMar>
            <w:vAlign w:val="bottom"/>
          </w:tcPr>
          <w:p>
            <w:pPr>
              <w:pStyle w:val="Normal"/>
              <w:bidi w:val="0"/>
              <w:jc w:val="left"/>
              <w:rPr/>
            </w:pPr>
            <w:r>
              <w:rPr/>
            </w:r>
          </w:p>
        </w:tc>
        <w:tc>
          <w:tcPr>
            <w:tcW w:w="122" w:type="dxa"/>
            <w:vMerge w:val="continue"/>
            <w:tcBorders/>
            <w:vAlign w:val="bottom"/>
          </w:tcPr>
          <w:p>
            <w:pPr>
              <w:pStyle w:val="Normal"/>
              <w:bidi w:val="0"/>
              <w:jc w:val="left"/>
              <w:rPr/>
            </w:pPr>
            <w:r>
              <w:rPr/>
            </w:r>
          </w:p>
        </w:tc>
        <w:tc>
          <w:tcPr>
            <w:tcW w:w="1391" w:type="dxa"/>
            <w:gridSpan w:val="2"/>
            <w:vMerge w:val="continue"/>
            <w:tcBorders>
              <w:bottom w:val="single" w:sz="8" w:space="0" w:color="000000"/>
            </w:tcBorders>
            <w:tcMar>
              <w:bottom w:w="28" w:type="dxa"/>
            </w:tcMar>
            <w:vAlign w:val="bottom"/>
          </w:tcPr>
          <w:p>
            <w:pPr>
              <w:pStyle w:val="Normal"/>
              <w:bidi w:val="0"/>
              <w:jc w:val="left"/>
              <w:rPr/>
            </w:pPr>
            <w:r>
              <w:rPr/>
            </w:r>
          </w:p>
        </w:tc>
        <w:tc>
          <w:tcPr>
            <w:tcW w:w="175" w:type="dxa"/>
            <w:vMerge w:val="continue"/>
            <w:tcBorders/>
            <w:vAlign w:val="bottom"/>
          </w:tcPr>
          <w:p>
            <w:pPr>
              <w:pStyle w:val="Normal"/>
              <w:bidi w:val="0"/>
              <w:jc w:val="left"/>
              <w:rPr/>
            </w:pPr>
            <w:r>
              <w:rPr/>
            </w:r>
          </w:p>
        </w:tc>
      </w:tr>
      <w:tr>
        <w:trPr/>
        <w:tc>
          <w:tcPr>
            <w:tcW w:w="277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September 31, 2021 (audited)</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b/>
              </w:rPr>
            </w:pPr>
            <w:r>
              <w:rPr>
                <w:b/>
              </w:rPr>
              <w:t>6,834,500</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b/>
              </w:rPr>
            </w:pPr>
            <w:r>
              <w:rPr>
                <w:b/>
              </w:rPr>
              <w:t>$</w:t>
            </w:r>
          </w:p>
        </w:tc>
        <w:tc>
          <w:tcPr>
            <w:tcW w:w="686" w:type="dxa"/>
            <w:tcBorders/>
            <w:shd w:fill="CCEEFF" w:val="clear"/>
            <w:vAlign w:val="bottom"/>
          </w:tcPr>
          <w:p>
            <w:pPr>
              <w:pStyle w:val="TableContents"/>
              <w:bidi w:val="0"/>
              <w:spacing w:before="0" w:after="283"/>
              <w:jc w:val="right"/>
              <w:rPr>
                <w:b/>
              </w:rPr>
            </w:pPr>
            <w:r>
              <w:rPr>
                <w:b/>
              </w:rPr>
              <w:t>683</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23" w:type="dxa"/>
            <w:tcBorders/>
            <w:shd w:fill="CCEEFF" w:val="clear"/>
            <w:vAlign w:val="bottom"/>
          </w:tcPr>
          <w:p>
            <w:pPr>
              <w:pStyle w:val="TableContents"/>
              <w:bidi w:val="0"/>
              <w:spacing w:before="0" w:after="283"/>
              <w:jc w:val="right"/>
              <w:rPr>
                <w:b/>
              </w:rPr>
            </w:pPr>
            <w:r>
              <w:rPr>
                <w:b/>
              </w:rPr>
              <w:t>1,378,693</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1248" w:type="dxa"/>
            <w:tcBorders/>
            <w:shd w:fill="CCEEFF" w:val="clear"/>
            <w:vAlign w:val="bottom"/>
          </w:tcPr>
          <w:p>
            <w:pPr>
              <w:pStyle w:val="TableContents"/>
              <w:bidi w:val="0"/>
              <w:spacing w:before="0" w:after="283"/>
              <w:jc w:val="right"/>
              <w:rPr>
                <w:b/>
              </w:rPr>
            </w:pPr>
            <w:r>
              <w:rPr>
                <w:b/>
              </w:rPr>
              <w:t>(468,899</w:t>
            </w:r>
          </w:p>
        </w:tc>
        <w:tc>
          <w:tcPr>
            <w:tcW w:w="163" w:type="dxa"/>
            <w:tcBorders/>
            <w:shd w:fill="CCEEFF" w:val="clear"/>
            <w:vAlign w:val="bottom"/>
          </w:tcPr>
          <w:p>
            <w:pPr>
              <w:pStyle w:val="TableContents"/>
              <w:bidi w:val="0"/>
              <w:spacing w:before="0" w:after="283"/>
              <w:jc w:val="left"/>
              <w:rPr>
                <w:b/>
              </w:rPr>
            </w:pPr>
            <w:r>
              <w:rPr>
                <w:b/>
              </w:rPr>
              <w:t>) </w:t>
            </w:r>
          </w:p>
        </w:tc>
        <w:tc>
          <w:tcPr>
            <w:tcW w:w="12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b/>
              </w:rPr>
            </w:pPr>
            <w:r>
              <w:rPr>
                <w:b/>
              </w:rPr>
              <w:t>$</w:t>
            </w:r>
          </w:p>
        </w:tc>
        <w:tc>
          <w:tcPr>
            <w:tcW w:w="1227" w:type="dxa"/>
            <w:tcBorders/>
            <w:shd w:fill="CCEEFF" w:val="clear"/>
            <w:vAlign w:val="bottom"/>
          </w:tcPr>
          <w:p>
            <w:pPr>
              <w:pStyle w:val="TableContents"/>
              <w:bidi w:val="0"/>
              <w:spacing w:before="0" w:after="283"/>
              <w:jc w:val="right"/>
              <w:rPr>
                <w:b/>
              </w:rPr>
            </w:pPr>
            <w:r>
              <w:rPr>
                <w:b/>
              </w:rPr>
              <w:t>910,477</w:t>
            </w:r>
          </w:p>
        </w:tc>
        <w:tc>
          <w:tcPr>
            <w:tcW w:w="175" w:type="dxa"/>
            <w:tcBorders/>
            <w:shd w:fill="CCEEFF" w:val="clear"/>
            <w:vAlign w:val="bottom"/>
          </w:tcPr>
          <w:p>
            <w:pPr>
              <w:pStyle w:val="TableContents"/>
              <w:bidi w:val="0"/>
              <w:spacing w:before="0" w:after="283"/>
              <w:jc w:val="left"/>
              <w:rPr/>
            </w:pPr>
            <w:r>
              <w:rPr/>
              <w:t> </w:t>
            </w:r>
          </w:p>
        </w:tc>
      </w:tr>
      <w:tr>
        <w:trPr/>
        <w:tc>
          <w:tcPr>
            <w:tcW w:w="2771" w:type="dxa"/>
            <w:tcBorders/>
          </w:tcPr>
          <w:p>
            <w:pPr>
              <w:pStyle w:val="TableContents"/>
              <w:bidi w:val="0"/>
              <w:spacing w:before="0" w:after="0"/>
              <w:jc w:val="left"/>
              <w:rPr>
                <w:rFonts w:ascii="Times New Roman" w:hAnsi="Times New Roman"/>
                <w:sz w:val="20"/>
              </w:rPr>
            </w:pPr>
            <w:r>
              <w:rPr>
                <w:rFonts w:ascii="Times New Roman" w:hAnsi="Times New Roman"/>
                <w:sz w:val="20"/>
              </w:rPr>
              <w:t>Forfeiture of founder shares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(1,125,000</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(113</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r>
      <w:tr>
        <w:trPr/>
        <w:tc>
          <w:tcPr>
            <w:tcW w:w="27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27,963</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27,963</w:t>
            </w:r>
          </w:p>
        </w:tc>
        <w:tc>
          <w:tcPr>
            <w:tcW w:w="175" w:type="dxa"/>
            <w:tcBorders/>
            <w:shd w:fill="CCEEFF" w:val="clear"/>
            <w:vAlign w:val="bottom"/>
          </w:tcPr>
          <w:p>
            <w:pPr>
              <w:pStyle w:val="TableContents"/>
              <w:bidi w:val="0"/>
              <w:spacing w:before="0" w:after="283"/>
              <w:jc w:val="left"/>
              <w:rPr/>
            </w:pPr>
            <w:r>
              <w:rPr/>
              <w:t> </w:t>
            </w:r>
          </w:p>
        </w:tc>
      </w:tr>
      <w:tr>
        <w:trPr/>
        <w:tc>
          <w:tcPr>
            <w:tcW w:w="277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(2,036,114</w:t>
            </w:r>
          </w:p>
        </w:tc>
        <w:tc>
          <w:tcPr>
            <w:tcW w:w="16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(2,036,114</w:t>
            </w:r>
          </w:p>
        </w:tc>
        <w:tc>
          <w:tcPr>
            <w:tcW w:w="175" w:type="dxa"/>
            <w:tcBorders/>
            <w:vAlign w:val="bottom"/>
          </w:tcPr>
          <w:p>
            <w:pPr>
              <w:pStyle w:val="TableContents"/>
              <w:bidi w:val="0"/>
              <w:spacing w:before="0" w:after="283"/>
              <w:jc w:val="left"/>
              <w:rPr/>
            </w:pPr>
            <w:r>
              <w:rPr/>
              <w:t>) </w:t>
            </w:r>
          </w:p>
        </w:tc>
      </w:tr>
      <w:tr>
        <w:trPr/>
        <w:tc>
          <w:tcPr>
            <w:tcW w:w="2771"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2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277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2021</w:t>
            </w:r>
          </w:p>
        </w:tc>
        <w:tc>
          <w:tcPr>
            <w:tcW w:w="1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b/>
              </w:rPr>
            </w:pPr>
            <w:r>
              <w:rPr>
                <w:b/>
              </w:rPr>
              <w:t>5,709,500</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b/>
              </w:rPr>
            </w:pPr>
            <w:r>
              <w:rPr>
                <w:b/>
              </w:rPr>
              <w:t>$</w:t>
            </w:r>
          </w:p>
        </w:tc>
        <w:tc>
          <w:tcPr>
            <w:tcW w:w="686" w:type="dxa"/>
            <w:tcBorders/>
            <w:shd w:fill="CCEEFF" w:val="clear"/>
            <w:vAlign w:val="bottom"/>
          </w:tcPr>
          <w:p>
            <w:pPr>
              <w:pStyle w:val="TableContents"/>
              <w:bidi w:val="0"/>
              <w:spacing w:before="0" w:after="283"/>
              <w:jc w:val="right"/>
              <w:rPr>
                <w:b/>
              </w:rPr>
            </w:pPr>
            <w:r>
              <w:rPr>
                <w:b/>
              </w:rPr>
              <w:t>570</w:t>
            </w:r>
          </w:p>
        </w:tc>
        <w:tc>
          <w:tcPr>
            <w:tcW w:w="16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23" w:type="dxa"/>
            <w:tcBorders/>
            <w:shd w:fill="CCEEFF" w:val="clear"/>
            <w:vAlign w:val="bottom"/>
          </w:tcPr>
          <w:p>
            <w:pPr>
              <w:pStyle w:val="TableContents"/>
              <w:bidi w:val="0"/>
              <w:spacing w:before="0" w:after="283"/>
              <w:jc w:val="right"/>
              <w:rPr>
                <w:b/>
              </w:rPr>
            </w:pPr>
            <w:r>
              <w:rPr>
                <w:b/>
              </w:rPr>
              <w:t>1,406,769</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1248" w:type="dxa"/>
            <w:tcBorders/>
            <w:shd w:fill="CCEEFF" w:val="clear"/>
            <w:vAlign w:val="bottom"/>
          </w:tcPr>
          <w:p>
            <w:pPr>
              <w:pStyle w:val="TableContents"/>
              <w:bidi w:val="0"/>
              <w:spacing w:before="0" w:after="283"/>
              <w:jc w:val="right"/>
              <w:rPr>
                <w:b/>
              </w:rPr>
            </w:pPr>
            <w:r>
              <w:rPr>
                <w:b/>
              </w:rPr>
              <w:t>(2,505,013</w:t>
            </w:r>
          </w:p>
        </w:tc>
        <w:tc>
          <w:tcPr>
            <w:tcW w:w="163" w:type="dxa"/>
            <w:tcBorders/>
            <w:shd w:fill="CCEEFF" w:val="clear"/>
            <w:vAlign w:val="bottom"/>
          </w:tcPr>
          <w:p>
            <w:pPr>
              <w:pStyle w:val="TableContents"/>
              <w:bidi w:val="0"/>
              <w:spacing w:before="0" w:after="283"/>
              <w:jc w:val="left"/>
              <w:rPr>
                <w:b/>
              </w:rPr>
            </w:pPr>
            <w:r>
              <w:rPr>
                <w:b/>
              </w:rPr>
              <w:t>) </w:t>
            </w:r>
          </w:p>
        </w:tc>
        <w:tc>
          <w:tcPr>
            <w:tcW w:w="122"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b/>
              </w:rPr>
            </w:pPr>
            <w:r>
              <w:rPr>
                <w:b/>
              </w:rPr>
              <w:t>$</w:t>
            </w:r>
          </w:p>
        </w:tc>
        <w:tc>
          <w:tcPr>
            <w:tcW w:w="1227" w:type="dxa"/>
            <w:tcBorders/>
            <w:shd w:fill="CCEEFF" w:val="clear"/>
            <w:vAlign w:val="bottom"/>
          </w:tcPr>
          <w:p>
            <w:pPr>
              <w:pStyle w:val="TableContents"/>
              <w:bidi w:val="0"/>
              <w:spacing w:before="0" w:after="283"/>
              <w:jc w:val="right"/>
              <w:rPr>
                <w:b/>
              </w:rPr>
            </w:pPr>
            <w:r>
              <w:rPr>
                <w:b/>
              </w:rPr>
              <w:t>(1,097,674</w:t>
            </w:r>
          </w:p>
        </w:tc>
        <w:tc>
          <w:tcPr>
            <w:tcW w:w="175" w:type="dxa"/>
            <w:tcBorders/>
            <w:shd w:fill="CCEEFF" w:val="clear"/>
            <w:vAlign w:val="bottom"/>
          </w:tcPr>
          <w:p>
            <w:pPr>
              <w:pStyle w:val="TableContents"/>
              <w:bidi w:val="0"/>
              <w:spacing w:before="0" w:after="283"/>
              <w:jc w:val="left"/>
              <w:rPr>
                <w:b/>
              </w:rPr>
            </w:pPr>
            <w:r>
              <w:rPr>
                <w:b/>
              </w:rPr>
              <w:t>) </w:t>
            </w:r>
          </w:p>
        </w:tc>
      </w:tr>
      <w:tr>
        <w:trPr/>
        <w:tc>
          <w:tcPr>
            <w:tcW w:w="2771"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8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24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bidi w:val="0"/>
        <w:spacing w:before="0" w:after="0"/>
        <w:jc w:val="center"/>
        <w:rPr>
          <w:rFonts w:ascii="Times New Roman" w:hAnsi="Times New Roman"/>
          <w:b/>
          <w:sz w:val="20"/>
        </w:rPr>
      </w:pPr>
      <w:bookmarkStart w:id="56" w:name="fin309194_54"/>
      <w:bookmarkEnd w:id="56"/>
      <w:r>
        <w:rPr>
          <w:rFonts w:ascii="Times New Roman" w:hAnsi="Times New Roman"/>
          <w:b/>
          <w:sz w:val="20"/>
        </w:rPr>
        <w:t xml:space="preserve">UNAUDITED CONDENSED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11"/>
        <w:gridCol w:w="485"/>
        <w:gridCol w:w="252"/>
        <w:gridCol w:w="1877"/>
        <w:gridCol w:w="155"/>
        <w:gridCol w:w="437"/>
        <w:gridCol w:w="252"/>
        <w:gridCol w:w="1877"/>
        <w:gridCol w:w="159"/>
      </w:tblGrid>
      <w:tr>
        <w:trPr/>
        <w:tc>
          <w:tcPr>
            <w:tcW w:w="4711" w:type="dxa"/>
            <w:tcBorders/>
            <w:vAlign w:val="center"/>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11"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2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December 31, 2022</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December 31, 2021</w:t>
            </w:r>
          </w:p>
        </w:tc>
        <w:tc>
          <w:tcPr>
            <w:tcW w:w="159" w:type="dxa"/>
            <w:tcBorders/>
            <w:vAlign w:val="bottom"/>
          </w:tcPr>
          <w:p>
            <w:pPr>
              <w:pStyle w:val="TableContents"/>
              <w:bidi w:val="0"/>
              <w:spacing w:before="0" w:after="283"/>
              <w:jc w:val="left"/>
              <w:rPr/>
            </w:pPr>
            <w:r>
              <w:rPr/>
              <w:t> </w:t>
            </w:r>
          </w:p>
        </w:tc>
      </w:tr>
      <w:tr>
        <w:trPr/>
        <w:tc>
          <w:tcPr>
            <w:tcW w:w="47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48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87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711"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c>
          <w:tcPr>
            <w:tcW w:w="1877" w:type="dxa"/>
            <w:tcBorders/>
            <w:vAlign w:val="bottom"/>
          </w:tcPr>
          <w:p>
            <w:pPr>
              <w:pStyle w:val="TableContents"/>
              <w:bidi w:val="0"/>
              <w:spacing w:before="0" w:after="283"/>
              <w:jc w:val="right"/>
              <w:rPr/>
            </w:pPr>
            <w:r>
              <w:rPr/>
              <w:t>607,027</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c>
          <w:tcPr>
            <w:tcW w:w="1877" w:type="dxa"/>
            <w:tcBorders/>
            <w:vAlign w:val="bottom"/>
          </w:tcPr>
          <w:p>
            <w:pPr>
              <w:pStyle w:val="TableContents"/>
              <w:bidi w:val="0"/>
              <w:spacing w:before="0" w:after="283"/>
              <w:jc w:val="right"/>
              <w:rPr/>
            </w:pPr>
            <w:r>
              <w:rPr/>
              <w:t>(2,036,114</w:t>
            </w:r>
          </w:p>
        </w:tc>
        <w:tc>
          <w:tcPr>
            <w:tcW w:w="159" w:type="dxa"/>
            <w:tcBorders/>
            <w:vAlign w:val="bottom"/>
          </w:tcPr>
          <w:p>
            <w:pPr>
              <w:pStyle w:val="TableContents"/>
              <w:bidi w:val="0"/>
              <w:spacing w:before="0" w:after="283"/>
              <w:jc w:val="left"/>
              <w:rPr/>
            </w:pPr>
            <w:r>
              <w:rPr/>
              <w:t>) </w:t>
            </w:r>
          </w:p>
        </w:tc>
      </w:tr>
      <w:tr>
        <w:trPr/>
        <w:tc>
          <w:tcPr>
            <w:tcW w:w="47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net cash used in operating activities:</w:t>
            </w:r>
          </w:p>
        </w:tc>
        <w:tc>
          <w:tcPr>
            <w:tcW w:w="48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87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711" w:type="dxa"/>
            <w:tcBorders/>
          </w:tcPr>
          <w:p>
            <w:pPr>
              <w:pStyle w:val="TableContents"/>
              <w:bidi w:val="0"/>
              <w:spacing w:before="0" w:after="0"/>
              <w:jc w:val="left"/>
              <w:rPr>
                <w:rFonts w:ascii="Times New Roman" w:hAnsi="Times New Roman"/>
                <w:sz w:val="20"/>
              </w:rPr>
            </w:pPr>
            <w:r>
              <w:rPr>
                <w:rFonts w:ascii="Times New Roman" w:hAnsi="Times New Roman"/>
                <w:sz w:val="20"/>
              </w:rPr>
              <w:t>Interest earned on investments held in Trust Account</w:t>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pPr>
            <w:r>
              <w:rPr/>
              <w:t>(1,289,673</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pPr>
            <w:r>
              <w:rPr/>
              <w:t>(2,844</w:t>
            </w:r>
          </w:p>
        </w:tc>
        <w:tc>
          <w:tcPr>
            <w:tcW w:w="159" w:type="dxa"/>
            <w:tcBorders/>
            <w:vAlign w:val="bottom"/>
          </w:tcPr>
          <w:p>
            <w:pPr>
              <w:pStyle w:val="TableContents"/>
              <w:bidi w:val="0"/>
              <w:spacing w:before="0" w:after="283"/>
              <w:jc w:val="left"/>
              <w:rPr/>
            </w:pPr>
            <w:r>
              <w:rPr/>
              <w:t>) </w:t>
            </w:r>
          </w:p>
        </w:tc>
      </w:tr>
      <w:tr>
        <w:trPr/>
        <w:tc>
          <w:tcPr>
            <w:tcW w:w="47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48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27,963</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27,963</w:t>
            </w:r>
          </w:p>
        </w:tc>
        <w:tc>
          <w:tcPr>
            <w:tcW w:w="159" w:type="dxa"/>
            <w:tcBorders/>
            <w:shd w:fill="CCEEFF" w:val="clear"/>
            <w:vAlign w:val="bottom"/>
          </w:tcPr>
          <w:p>
            <w:pPr>
              <w:pStyle w:val="TableContents"/>
              <w:bidi w:val="0"/>
              <w:spacing w:before="0" w:after="283"/>
              <w:jc w:val="left"/>
              <w:rPr/>
            </w:pPr>
            <w:r>
              <w:rPr/>
              <w:t> </w:t>
            </w:r>
          </w:p>
        </w:tc>
      </w:tr>
      <w:tr>
        <w:trPr/>
        <w:tc>
          <w:tcPr>
            <w:tcW w:w="4711" w:type="dxa"/>
            <w:tcBorders/>
          </w:tcPr>
          <w:p>
            <w:pPr>
              <w:pStyle w:val="TableContents"/>
              <w:bidi w:val="0"/>
              <w:spacing w:before="0" w:after="0"/>
              <w:jc w:val="left"/>
              <w:rPr>
                <w:rFonts w:ascii="Times New Roman" w:hAnsi="Times New Roman"/>
                <w:sz w:val="20"/>
              </w:rPr>
            </w:pPr>
            <w:r>
              <w:rPr>
                <w:rFonts w:ascii="Times New Roman" w:hAnsi="Times New Roman"/>
                <w:sz w:val="20"/>
              </w:rPr>
              <w:t>Changes in current assets and liabilities:</w:t>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c>
          <w:tcPr>
            <w:tcW w:w="18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c>
          <w:tcPr>
            <w:tcW w:w="187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7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48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55,678</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120,574</w:t>
            </w:r>
          </w:p>
        </w:tc>
        <w:tc>
          <w:tcPr>
            <w:tcW w:w="159" w:type="dxa"/>
            <w:tcBorders/>
            <w:shd w:fill="CCEEFF" w:val="clear"/>
            <w:vAlign w:val="bottom"/>
          </w:tcPr>
          <w:p>
            <w:pPr>
              <w:pStyle w:val="TableContents"/>
              <w:bidi w:val="0"/>
              <w:spacing w:before="0" w:after="283"/>
              <w:jc w:val="left"/>
              <w:rPr/>
            </w:pPr>
            <w:r>
              <w:rPr/>
              <w:t> </w:t>
            </w:r>
          </w:p>
        </w:tc>
      </w:tr>
      <w:tr>
        <w:trPr/>
        <w:tc>
          <w:tcPr>
            <w:tcW w:w="471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Accounts payable </w:t>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pPr>
            <w:r>
              <w:rPr/>
              <w:t>24,344</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pPr>
            <w:r>
              <w:rPr/>
              <w:t>1,603,681</w:t>
            </w:r>
          </w:p>
        </w:tc>
        <w:tc>
          <w:tcPr>
            <w:tcW w:w="159" w:type="dxa"/>
            <w:tcBorders/>
            <w:vAlign w:val="bottom"/>
          </w:tcPr>
          <w:p>
            <w:pPr>
              <w:pStyle w:val="TableContents"/>
              <w:bidi w:val="0"/>
              <w:spacing w:before="0" w:after="283"/>
              <w:jc w:val="left"/>
              <w:rPr/>
            </w:pPr>
            <w:r>
              <w:rPr/>
              <w:t> </w:t>
            </w:r>
          </w:p>
        </w:tc>
      </w:tr>
      <w:tr>
        <w:trPr/>
        <w:tc>
          <w:tcPr>
            <w:tcW w:w="47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48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260,331</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711" w:type="dxa"/>
            <w:tcBorders/>
          </w:tcPr>
          <w:p>
            <w:pPr>
              <w:pStyle w:val="TableContents"/>
              <w:bidi w:val="0"/>
              <w:spacing w:before="0" w:after="0"/>
              <w:jc w:val="left"/>
              <w:rPr>
                <w:rFonts w:ascii="Times New Roman" w:hAnsi="Times New Roman"/>
                <w:sz w:val="20"/>
              </w:rPr>
            </w:pPr>
            <w:r>
              <w:rPr>
                <w:rFonts w:ascii="Times New Roman" w:hAnsi="Times New Roman"/>
                <w:sz w:val="20"/>
              </w:rPr>
              <w:t>Franchise tax payable</w:t>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pPr>
            <w:r>
              <w:rPr/>
              <w:t>50,000</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pPr>
            <w:r>
              <w:rPr/>
              <w:t>48,850</w:t>
            </w:r>
          </w:p>
        </w:tc>
        <w:tc>
          <w:tcPr>
            <w:tcW w:w="159" w:type="dxa"/>
            <w:tcBorders/>
            <w:vAlign w:val="bottom"/>
          </w:tcPr>
          <w:p>
            <w:pPr>
              <w:pStyle w:val="TableContents"/>
              <w:bidi w:val="0"/>
              <w:spacing w:before="0" w:after="283"/>
              <w:jc w:val="left"/>
              <w:rPr/>
            </w:pPr>
            <w:r>
              <w:rPr/>
              <w:t> </w:t>
            </w:r>
          </w:p>
        </w:tc>
      </w:tr>
      <w:tr>
        <w:trPr/>
        <w:tc>
          <w:tcPr>
            <w:tcW w:w="4711"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1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48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b/>
              </w:rPr>
            </w:pPr>
            <w:r>
              <w:rPr>
                <w:b/>
              </w:rPr>
              <w:t>(264,331</w:t>
            </w:r>
          </w:p>
        </w:tc>
        <w:tc>
          <w:tcPr>
            <w:tcW w:w="155" w:type="dxa"/>
            <w:tcBorders/>
            <w:shd w:fill="CCEEFF" w:val="clear"/>
            <w:vAlign w:val="bottom"/>
          </w:tcPr>
          <w:p>
            <w:pPr>
              <w:pStyle w:val="TableContents"/>
              <w:bidi w:val="0"/>
              <w:spacing w:before="0" w:after="283"/>
              <w:jc w:val="left"/>
              <w:rPr>
                <w:b/>
              </w:rPr>
            </w:pPr>
            <w:r>
              <w:rPr>
                <w:b/>
              </w:rPr>
              <w:t>) </w:t>
            </w:r>
          </w:p>
        </w:tc>
        <w:tc>
          <w:tcPr>
            <w:tcW w:w="4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b/>
              </w:rPr>
            </w:pPr>
            <w:r>
              <w:rPr>
                <w:b/>
              </w:rPr>
              <w:t>(237,890</w:t>
            </w:r>
          </w:p>
        </w:tc>
        <w:tc>
          <w:tcPr>
            <w:tcW w:w="159" w:type="dxa"/>
            <w:tcBorders/>
            <w:shd w:fill="CCEEFF" w:val="clear"/>
            <w:vAlign w:val="bottom"/>
          </w:tcPr>
          <w:p>
            <w:pPr>
              <w:pStyle w:val="TableContents"/>
              <w:bidi w:val="0"/>
              <w:spacing w:before="0" w:after="283"/>
              <w:jc w:val="left"/>
              <w:rPr>
                <w:b/>
              </w:rPr>
            </w:pPr>
            <w:r>
              <w:rPr>
                <w:b/>
              </w:rPr>
              <w:t>) </w:t>
            </w:r>
          </w:p>
        </w:tc>
      </w:tr>
      <w:tr>
        <w:trPr/>
        <w:tc>
          <w:tcPr>
            <w:tcW w:w="4711"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11"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c>
          <w:tcPr>
            <w:tcW w:w="18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c>
          <w:tcPr>
            <w:tcW w:w="187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7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 deposited in Trust Account</w:t>
            </w:r>
          </w:p>
        </w:tc>
        <w:tc>
          <w:tcPr>
            <w:tcW w:w="48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(1,500,000</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711"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1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b/>
              </w:rPr>
            </w:pPr>
            <w:r>
              <w:rPr>
                <w:b/>
              </w:rPr>
              <w:t>(1,500,000</w:t>
            </w:r>
          </w:p>
        </w:tc>
        <w:tc>
          <w:tcPr>
            <w:tcW w:w="155" w:type="dxa"/>
            <w:tcBorders/>
            <w:vAlign w:val="bottom"/>
          </w:tcPr>
          <w:p>
            <w:pPr>
              <w:pStyle w:val="TableContents"/>
              <w:bidi w:val="0"/>
              <w:spacing w:before="0" w:after="283"/>
              <w:jc w:val="left"/>
              <w:rPr>
                <w:b/>
              </w:rPr>
            </w:pPr>
            <w:r>
              <w:rPr>
                <w:b/>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b/>
              </w:rPr>
            </w:pPr>
            <w:r>
              <w:rPr>
                <w:b/>
              </w:rPr>
              <w:t>  </w:t>
            </w:r>
          </w:p>
        </w:tc>
        <w:tc>
          <w:tcPr>
            <w:tcW w:w="159" w:type="dxa"/>
            <w:tcBorders/>
            <w:vAlign w:val="bottom"/>
          </w:tcPr>
          <w:p>
            <w:pPr>
              <w:pStyle w:val="TableContents"/>
              <w:bidi w:val="0"/>
              <w:spacing w:before="0" w:after="283"/>
              <w:jc w:val="left"/>
              <w:rPr/>
            </w:pPr>
            <w:r>
              <w:rPr/>
              <w:t> </w:t>
            </w:r>
          </w:p>
        </w:tc>
      </w:tr>
      <w:tr>
        <w:trPr/>
        <w:tc>
          <w:tcPr>
            <w:tcW w:w="4711"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48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87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711"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promissory notes to related party</w:t>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pPr>
            <w:r>
              <w:rPr/>
              <w:t>1,950,000</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7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Advances from related parties</w:t>
            </w:r>
          </w:p>
        </w:tc>
        <w:tc>
          <w:tcPr>
            <w:tcW w:w="48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711" w:type="dxa"/>
            <w:tcBorders/>
          </w:tcPr>
          <w:p>
            <w:pPr>
              <w:pStyle w:val="TableContents"/>
              <w:bidi w:val="0"/>
              <w:spacing w:before="0" w:after="0"/>
              <w:jc w:val="left"/>
              <w:rPr>
                <w:rFonts w:ascii="Times New Roman" w:hAnsi="Times New Roman"/>
                <w:sz w:val="20"/>
              </w:rPr>
            </w:pPr>
            <w:r>
              <w:rPr>
                <w:rFonts w:ascii="Times New Roman" w:hAnsi="Times New Roman"/>
                <w:sz w:val="20"/>
              </w:rPr>
              <w:t>Payment of deferred offering costs</w:t>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711"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1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48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b/>
              </w:rPr>
            </w:pPr>
            <w:r>
              <w:rPr>
                <w:b/>
              </w:rPr>
              <w:t>1,950,000</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711"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1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change in cash</w:t>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b/>
              </w:rPr>
            </w:pPr>
            <w:r>
              <w:rPr>
                <w:b/>
              </w:rPr>
              <w:t>185,669</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b/>
              </w:rPr>
            </w:pPr>
            <w:r>
              <w:rPr>
                <w:b/>
              </w:rPr>
              <w:t>(237,890</w:t>
            </w:r>
          </w:p>
        </w:tc>
        <w:tc>
          <w:tcPr>
            <w:tcW w:w="159" w:type="dxa"/>
            <w:tcBorders/>
            <w:vAlign w:val="bottom"/>
          </w:tcPr>
          <w:p>
            <w:pPr>
              <w:pStyle w:val="TableContents"/>
              <w:bidi w:val="0"/>
              <w:spacing w:before="0" w:after="283"/>
              <w:jc w:val="left"/>
              <w:rPr>
                <w:b/>
              </w:rPr>
            </w:pPr>
            <w:r>
              <w:rPr>
                <w:b/>
              </w:rPr>
              <w:t>) </w:t>
            </w:r>
          </w:p>
        </w:tc>
      </w:tr>
      <w:tr>
        <w:trPr/>
        <w:tc>
          <w:tcPr>
            <w:tcW w:w="47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beginning of the period</w:t>
            </w:r>
          </w:p>
        </w:tc>
        <w:tc>
          <w:tcPr>
            <w:tcW w:w="48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177,578</w:t>
            </w:r>
          </w:p>
        </w:tc>
        <w:tc>
          <w:tcPr>
            <w:tcW w:w="15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657,590</w:t>
            </w:r>
          </w:p>
        </w:tc>
        <w:tc>
          <w:tcPr>
            <w:tcW w:w="159" w:type="dxa"/>
            <w:tcBorders/>
            <w:shd w:fill="CCEEFF" w:val="clear"/>
            <w:vAlign w:val="bottom"/>
          </w:tcPr>
          <w:p>
            <w:pPr>
              <w:pStyle w:val="TableContents"/>
              <w:bidi w:val="0"/>
              <w:spacing w:before="0" w:after="283"/>
              <w:jc w:val="left"/>
              <w:rPr/>
            </w:pPr>
            <w:r>
              <w:rPr/>
              <w:t> </w:t>
            </w:r>
          </w:p>
        </w:tc>
      </w:tr>
      <w:tr>
        <w:trPr/>
        <w:tc>
          <w:tcPr>
            <w:tcW w:w="4711"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1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end of the period</w:t>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b/>
              </w:rPr>
            </w:pPr>
            <w:r>
              <w:rPr>
                <w:b/>
              </w:rPr>
              <w:t>$</w:t>
            </w:r>
          </w:p>
        </w:tc>
        <w:tc>
          <w:tcPr>
            <w:tcW w:w="1877" w:type="dxa"/>
            <w:tcBorders/>
            <w:vAlign w:val="bottom"/>
          </w:tcPr>
          <w:p>
            <w:pPr>
              <w:pStyle w:val="TableContents"/>
              <w:bidi w:val="0"/>
              <w:spacing w:before="0" w:after="283"/>
              <w:jc w:val="right"/>
              <w:rPr>
                <w:b/>
              </w:rPr>
            </w:pPr>
            <w:r>
              <w:rPr>
                <w:b/>
              </w:rPr>
              <w:t>363,247</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b/>
              </w:rPr>
            </w:pPr>
            <w:r>
              <w:rPr>
                <w:b/>
              </w:rPr>
              <w:t>$</w:t>
            </w:r>
          </w:p>
        </w:tc>
        <w:tc>
          <w:tcPr>
            <w:tcW w:w="1877" w:type="dxa"/>
            <w:tcBorders/>
            <w:vAlign w:val="bottom"/>
          </w:tcPr>
          <w:p>
            <w:pPr>
              <w:pStyle w:val="TableContents"/>
              <w:bidi w:val="0"/>
              <w:spacing w:before="0" w:after="283"/>
              <w:jc w:val="right"/>
              <w:rPr>
                <w:b/>
              </w:rPr>
            </w:pPr>
            <w:r>
              <w:rPr>
                <w:b/>
              </w:rPr>
              <w:t>419,700</w:t>
            </w:r>
          </w:p>
        </w:tc>
        <w:tc>
          <w:tcPr>
            <w:tcW w:w="159" w:type="dxa"/>
            <w:tcBorders/>
            <w:vAlign w:val="bottom"/>
          </w:tcPr>
          <w:p>
            <w:pPr>
              <w:pStyle w:val="TableContents"/>
              <w:bidi w:val="0"/>
              <w:spacing w:before="0" w:after="283"/>
              <w:jc w:val="left"/>
              <w:rPr/>
            </w:pPr>
            <w:r>
              <w:rPr/>
              <w:t> </w:t>
            </w:r>
          </w:p>
        </w:tc>
      </w:tr>
      <w:tr>
        <w:trPr/>
        <w:tc>
          <w:tcPr>
            <w:tcW w:w="4711"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8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87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1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 activities</w:t>
            </w:r>
          </w:p>
        </w:tc>
        <w:tc>
          <w:tcPr>
            <w:tcW w:w="48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8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37"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87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711" w:type="dxa"/>
            <w:tcBorders/>
          </w:tcPr>
          <w:p>
            <w:pPr>
              <w:pStyle w:val="TableContents"/>
              <w:bidi w:val="0"/>
              <w:spacing w:before="0" w:after="0"/>
              <w:jc w:val="left"/>
              <w:rPr>
                <w:rFonts w:ascii="Times New Roman" w:hAnsi="Times New Roman"/>
                <w:sz w:val="20"/>
              </w:rPr>
            </w:pPr>
            <w:r>
              <w:rPr>
                <w:rFonts w:ascii="Times New Roman" w:hAnsi="Times New Roman"/>
                <w:sz w:val="20"/>
              </w:rPr>
              <w:t>Subsequent remeasurement of common stock subject to possible redemption</w:t>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c>
          <w:tcPr>
            <w:tcW w:w="1877" w:type="dxa"/>
            <w:tcBorders/>
            <w:vAlign w:val="bottom"/>
          </w:tcPr>
          <w:p>
            <w:pPr>
              <w:pStyle w:val="TableContents"/>
              <w:bidi w:val="0"/>
              <w:spacing w:before="0" w:after="283"/>
              <w:jc w:val="right"/>
              <w:rPr/>
            </w:pPr>
            <w:r>
              <w:rPr/>
              <w:t>2,479,343</w:t>
            </w:r>
          </w:p>
        </w:tc>
        <w:tc>
          <w:tcPr>
            <w:tcW w:w="15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c>
          <w:tcPr>
            <w:tcW w:w="1877"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sz w:val="4"/>
                <w:szCs w:val="4"/>
              </w:rPr>
            </w:pPr>
            <w:r>
              <w:rPr>
                <w:sz w:val="4"/>
                <w:szCs w:val="4"/>
              </w:rPr>
            </w:r>
          </w:p>
        </w:tc>
      </w:tr>
      <w:tr>
        <w:trPr/>
        <w:tc>
          <w:tcPr>
            <w:tcW w:w="4711"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8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87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2022 </w:t>
      </w:r>
    </w:p>
    <w:p>
      <w:pPr>
        <w:pStyle w:val="TextBody"/>
        <w:bidi w:val="0"/>
        <w:spacing w:before="240" w:after="0"/>
        <w:jc w:val="left"/>
        <w:rPr>
          <w:rFonts w:ascii="Times New Roman" w:hAnsi="Times New Roman"/>
          <w:b/>
          <w:sz w:val="20"/>
        </w:rPr>
      </w:pPr>
      <w:r>
        <w:rPr>
          <w:rFonts w:ascii="Times New Roman" w:hAnsi="Times New Roman"/>
          <w:b/>
          <w:sz w:val="20"/>
        </w:rPr>
        <w:t xml:space="preserve">Note 1  Organization, Business Operations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The Company concentrated its efforts in identifying businesses in the financial services industry with particular emphasis on businesses that are providing or changing technology for traditional financial services.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the Company had not commenced any operations. All activity for the period from November 5, 2020 (inception) through December 31, 2022,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w:t>
      </w:r>
    </w:p>
    <w:p>
      <w:pPr>
        <w:pStyle w:val="TextBody"/>
        <w:bidi w:val="0"/>
        <w:spacing w:before="120" w:after="0"/>
        <w:jc w:val="left"/>
        <w:rPr>
          <w:rFonts w:ascii="Times New Roman" w:hAnsi="Times New Roman"/>
          <w:sz w:val="20"/>
        </w:rPr>
      </w:pPr>
      <w:r>
        <w:rPr>
          <w:rFonts w:ascii="Times New Roman" w:hAnsi="Times New Roman"/>
          <w:sz w:val="20"/>
        </w:rPr>
        <w:t xml:space="preserve">The Companys sponsor is Armada Sponsor LLC (the Sponsor).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statement for the Companys IPO was declared effective on August 12, 2021 (the Effective Date). On August 17, 2021, the Company commenced the IPO of 15,000,000 units at $10.00 per unit (the Units).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consummation of the IPO, the Company consummated the private placement of 459,500 shares of common stock (Private Shares), at a price of $10.00 per share for an aggregate purchase price of $4,595,000. </w:t>
      </w:r>
    </w:p>
    <w:p>
      <w:pPr>
        <w:pStyle w:val="TextBody"/>
        <w:bidi w:val="0"/>
        <w:spacing w:before="120" w:after="0"/>
        <w:jc w:val="left"/>
        <w:rPr>
          <w:rFonts w:ascii="Times New Roman" w:hAnsi="Times New Roman"/>
          <w:sz w:val="20"/>
        </w:rPr>
      </w:pPr>
      <w:r>
        <w:rPr>
          <w:rFonts w:ascii="Times New Roman" w:hAnsi="Times New Roman"/>
          <w:sz w:val="20"/>
        </w:rPr>
        <w:t xml:space="preserve">Transaction costs amounted to $3,537,515 consisting of $1,500,000 of underwriting commissions, and $2,037,515 of other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closing of the IPO on August 17, 2021, after releasing funds to the Company to be held outside of the Trust, $150,000,000 ($10.00 per Unit) from the net proceeds of the sale of the Units in the IPO was held in a Trust Account (Trust Account) and has been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Except with respect to interest earned on the funds held in the Trust Account that may be released to the Company to pay tax obligations,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As of December 31, 2022, the Trust Account has released $182,069 to the Company to pay tax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IPO and the sale of Private Shares, although substantially all of the net proceeds are intended to be applied generally toward consummating a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must complete one or more initial Business Combinations having an aggregate fair market value of at least 80% of the value of the assets held in the trust account (as defined below) (excluding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dont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(or less if the Charter Limitation Amendment Proposal is approved and implemented) and, if the Company seeks stockholder approval, a majority of the issued and outstanding shares voted are voted in favor of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Following the exercise of the automatic extension of the deadline for the Company to complete an initial business combination under our second amended and restated certificate of incorporation, the Company had until February 17, 2023 (or 18 months following our initial public offering) to consummate a business combination (unless we further extend the period of time to consummate a business combination) (the Combination Period). As further described in Note 1, on February 2, 2023, the stockholders approved an amendment to our certificate of incorporation to consummate a business combination (unless we further extend the period of time to consummate a business combination) (the Combination Period).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 </w:t>
      </w:r>
    </w:p>
    <w:p>
      <w:pPr>
        <w:pStyle w:val="TextBody"/>
        <w:bidi w:val="0"/>
        <w:spacing w:before="120" w:after="0"/>
        <w:jc w:val="left"/>
        <w:rPr>
          <w:rFonts w:ascii="Times New Roman" w:hAnsi="Times New Roman"/>
          <w:sz w:val="20"/>
        </w:rPr>
      </w:pPr>
      <w:r>
        <w:rPr>
          <w:rFonts w:ascii="Times New Roman" w:hAnsi="Times New Roman"/>
          <w:sz w:val="20"/>
        </w:rPr>
        <w:t xml:space="preserve">The Sponsor has agreed that it will be liable to ensure that the proceeds in the Trust Account are not reduced below $10.00 per share by the claims of target businesses or claims of vendors or other entities that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owed money by the Company for services rendered or contracted for or products sold to the Company. The agreement to be entered into by the Sponsor will specifically provide for two exceptions to the indemnity it has given: it will have no liability (1) as to any claimed amounts owed to a target business or vendor or other entity who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 that the Sponsors only assets are securities of the Company. Therefore, the Company believes it is unlikely that the Sponsor will be able to satisfy its indemnification obligations if it is required to do so. </w:t>
      </w:r>
    </w:p>
    <w:p>
      <w:pPr>
        <w:pStyle w:val="TextBody"/>
        <w:bidi w:val="0"/>
        <w:spacing w:before="120" w:after="0"/>
        <w:jc w:val="left"/>
        <w:rPr>
          <w:rFonts w:ascii="Times New Roman" w:hAnsi="Times New Roman"/>
          <w:sz w:val="20"/>
        </w:rPr>
      </w:pPr>
      <w:r>
        <w:rPr>
          <w:rFonts w:ascii="Times New Roman" w:hAnsi="Times New Roman"/>
          <w:sz w:val="20"/>
        </w:rPr>
        <w:t>On December 17, 2021, the Company entered into a business combination agreement with Rezolve Limited, a private limited company incorporated under the laws of England and Wales (</w:t>
      </w:r>
      <w:r>
        <w:rPr>
          <w:rFonts w:ascii="Times New Roman" w:hAnsi="Times New Roman"/>
          <w:sz w:val="20"/>
          <w:u w:val="single"/>
        </w:rPr>
        <w:t>Rezolve</w:t>
      </w:r>
      <w:r>
        <w:rPr>
          <w:rFonts w:ascii="Times New Roman" w:hAnsi="Times New Roman"/>
          <w:sz w:val="20"/>
        </w:rPr>
        <w:t>), Rezolve Group Limited, a Cayman Islands exempted company (</w:t>
      </w:r>
      <w:r>
        <w:rPr>
          <w:rFonts w:ascii="Times New Roman" w:hAnsi="Times New Roman"/>
          <w:sz w:val="20"/>
          <w:u w:val="single"/>
        </w:rPr>
        <w:t>Cayman NewCo</w:t>
      </w:r>
      <w:r>
        <w:rPr>
          <w:rFonts w:ascii="Times New Roman" w:hAnsi="Times New Roman"/>
          <w:sz w:val="20"/>
        </w:rPr>
        <w:t>), and Rezolve Merger Sub, Inc., (</w:t>
      </w:r>
      <w:r>
        <w:rPr>
          <w:rFonts w:ascii="Times New Roman" w:hAnsi="Times New Roman"/>
          <w:sz w:val="20"/>
          <w:u w:val="single"/>
        </w:rPr>
        <w:t>Rezolve Merger Sub</w:t>
      </w:r>
      <w:r>
        <w:rPr>
          <w:rFonts w:ascii="Times New Roman" w:hAnsi="Times New Roman"/>
          <w:sz w:val="20"/>
        </w:rPr>
        <w:t>) (such business combination agreement, the </w:t>
      </w:r>
      <w:r>
        <w:rPr>
          <w:rFonts w:ascii="Times New Roman" w:hAnsi="Times New Roman"/>
          <w:sz w:val="20"/>
          <w:u w:val="single"/>
        </w:rPr>
        <w:t>Business Combination Agreement</w:t>
      </w:r>
      <w:r>
        <w:rPr>
          <w:rFonts w:ascii="Times New Roman" w:hAnsi="Times New Roman"/>
          <w:sz w:val="20"/>
        </w:rPr>
        <w:t>, and such business combination, the </w:t>
      </w:r>
      <w:r>
        <w:rPr>
          <w:rFonts w:ascii="Times New Roman" w:hAnsi="Times New Roman"/>
          <w:sz w:val="20"/>
          <w:u w:val="single"/>
        </w:rPr>
        <w:t>Business Combination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In connection with the execution of the definitive Business Combination Agreement, certain investors have agreed to purchase an aggregate of 2,050,000 ordinary shares of Cayman NewCo for the purchase price of $10.00 per share, for an aggregate purchase price of $20.5 million pursuant to certain subscription agreements (the </w:t>
      </w:r>
      <w:r>
        <w:rPr>
          <w:rFonts w:ascii="Times New Roman" w:hAnsi="Times New Roman"/>
          <w:sz w:val="20"/>
          <w:u w:val="single"/>
        </w:rPr>
        <w:t>Subscription Agreements</w:t>
      </w:r>
      <w:r>
        <w:rPr>
          <w:rFonts w:ascii="Times New Roman" w:hAnsi="Times New Roman"/>
          <w:sz w:val="20"/>
        </w:rPr>
        <w:t xml:space="preserve">). The obligations of each party under the subscription agreements are conditioned upon customary closing conditions and the consummation of the Business Combination. </w:t>
      </w:r>
    </w:p>
    <w:p>
      <w:pPr>
        <w:pStyle w:val="TextBody"/>
        <w:bidi w:val="0"/>
        <w:spacing w:before="120" w:after="0"/>
        <w:jc w:val="left"/>
        <w:rPr>
          <w:rFonts w:ascii="Times New Roman" w:hAnsi="Times New Roman"/>
          <w:sz w:val="20"/>
        </w:rPr>
      </w:pPr>
      <w:r>
        <w:rPr>
          <w:rFonts w:ascii="Times New Roman" w:hAnsi="Times New Roman"/>
          <w:sz w:val="20"/>
        </w:rPr>
        <w:t>Concurrently with the execution and delivery of the Business Combination Agreement, Armada and the Key Company Shareholders (as defined in the Business Combination Agreement) have entered into the Transaction Support Agreement (the </w:t>
      </w:r>
      <w:r>
        <w:rPr>
          <w:rFonts w:ascii="Times New Roman" w:hAnsi="Times New Roman"/>
          <w:sz w:val="20"/>
          <w:u w:val="single"/>
        </w:rPr>
        <w:t>Transaction Support Agreement</w:t>
      </w:r>
      <w:r>
        <w:rPr>
          <w:rFonts w:ascii="Times New Roman" w:hAnsi="Times New Roman"/>
          <w:sz w:val="20"/>
        </w:rPr>
        <w:t xml:space="preserve">), pursuant to which, among other things, the Key Company Shareholders have agreed to (a) vote in favor of the Company Reorganization (b) vote in favor of the Business Combination Agreement and the agreements contemplated thereby and the transactions contemplated thereby, (c) enter into the Investor Rights Agreement (as described below) at Closing and (d) the termination of certain agreements effective as of Closing. </w:t>
      </w:r>
    </w:p>
    <w:p>
      <w:pPr>
        <w:pStyle w:val="TextBody"/>
        <w:bidi w:val="0"/>
        <w:spacing w:before="120" w:after="0"/>
        <w:jc w:val="left"/>
        <w:rPr>
          <w:rFonts w:ascii="Times New Roman" w:hAnsi="Times New Roman"/>
          <w:sz w:val="20"/>
        </w:rPr>
      </w:pPr>
      <w:r>
        <w:rPr>
          <w:rFonts w:ascii="Times New Roman" w:hAnsi="Times New Roman"/>
          <w:sz w:val="20"/>
        </w:rPr>
        <w:t xml:space="preserve">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2, 2023, the Company held an annual meeting of its stockholders (the Annual Meeting). At the Annual Meeting, the Companys stockholders approved an amendment to the Companys Second Amended and Restated Certificate of Incorporation (Charter) to extend the date by which the Company must consummate a business combination or, if it fails to do so, cease its operations and redeem or repurchase 100% of the shares of the Companys Common Stock issued in the Companys initial public offering, from February 17, 2023 for up to six additional months at the election of the Company, ultimately until as late as August 17, 2023 (the Extension). The Company filed an amendment to the Companys Charter with the Secretary of State of the State of Delaware reflecting the Extension. In connection with the Extension, the holders of 11,491,148 shares of Common Stock elected to redeem their shares at a per share redemption price of approximately $10.17 per February 2, 2023 filed Form 8-K. As a result, approximately $116,864,975 per February 2, 2023 filed Form 8-K will be removed from the Companys Trust Account to pay such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the Company will continue as a going concern, which contemplates, among other things, the realization of assets and satisfaction of liabilities in the normal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the Company had approximately $0.4 million in its operating account and working capital deficiency of approximately $5 million (excluding income tax payable and franchise tax payable).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 </w:t>
      </w:r>
    </w:p>
    <w:p>
      <w:pPr>
        <w:pStyle w:val="TextBody"/>
        <w:bidi w:val="0"/>
        <w:spacing w:before="120" w:after="0"/>
        <w:jc w:val="left"/>
        <w:rPr>
          <w:rFonts w:ascii="Times New Roman" w:hAnsi="Times New Roman"/>
          <w:sz w:val="20"/>
        </w:rPr>
      </w:pPr>
      <w:r>
        <w:rPr>
          <w:rFonts w:ascii="Times New Roman" w:hAnsi="Times New Roman"/>
          <w:sz w:val="20"/>
        </w:rPr>
        <w:t xml:space="preserve">On May 9, 2022, the Sponsor loaned the Company the aggregate amount of $483,034 in order to assist the Company to fund its working capital needs. On November 10, 2022 the Sponsor loaned the Company $1,500,000 in order to cover the additional contribution to the trust account in connection with the automatic extension and $450,000 to fund its working capital needs (see Note 3). These loans are evidenced by four promissory notes in the aggregate principal amount of $2,433,034 from the Company, as maker, to the Sponsor, as payee.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The aggregate balance outstanding under all promissory notes was $2,201,754 and $251,754 of December 31, 2022 and September 30, 2022, respectively.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a Business Combination, the Companys Sponsor or an affiliate of the Sponsor or certain of the Companys officers and directors may, but are not obligated to, provide the Company with Working Capital Loans, as defined below (see Note 3). As of December 31, 2022, there were no amounts outstanding under any Working Capital Loans. The Company has incurred and expects to continue to incur significant costs in pursuit of its acquisition plans.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2023, the scheduled liquidation date of the Company if it does not complete a Business Combination prior to such date. These unaudited condensed financial statements do not include any adjustments relating to the recovery of the recorded assets or the classification of the liabilities that might be necessary should the Company be unable to continue as a going concern.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continuing to evaluate the impact of the COVID-19 pandemic on the industry, the geopolitical conditions resulting from the recent invasion of Ukraine by Russia and subsequent sanctions against Russia, Belarus and related individuals and entities and the status of debt and equity markets, as well as protectionist legislation in our target markets and has concluded that while it is reasonably possible that it could have a negative effect on the Companys financial position, results of its operations and/or that of Rezolves or any other target company, the specific impact is not readily determinable as of the date of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unaudited condensed financial statements. The unaudited condensed financial statements do not include any adjustments that might result from the outcome of this uncertainty.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 </w:t>
      </w:r>
    </w:p>
    <w:p>
      <w:pPr>
        <w:pStyle w:val="TextBody"/>
        <w:bidi w:val="0"/>
        <w:spacing w:before="120" w:after="0"/>
        <w:jc w:val="left"/>
        <w:rPr>
          <w:rFonts w:ascii="Times New Roman" w:hAnsi="Times New Roman"/>
          <w:sz w:val="20"/>
        </w:rPr>
      </w:pPr>
      <w:r>
        <w:rPr>
          <w:rFonts w:ascii="Times New Roman" w:hAnsi="Times New Roman"/>
          <w:sz w:val="20"/>
        </w:rPr>
        <w:t xml:space="preserve">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2 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months ended December 31, 2022, are not necessarily indicative of the results that may be expected through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financial statements should be read in conjunction with the Companys Annual Report on Form10-K, as filed with SEC on December 13,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equivalents. The Company had $363,247 and $177,578 in cash as of December 31, 2022 and September 30, 2022,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Investment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the assets held in the Trust Account were held in a money market fund. The Companys portfolio of investments held in the Trust Account is comprised of U.S. government securities, within the meaning set forth in Section 2(a)(16) of the Investment Company Act, with a maturity of 185 days or less, investments in money market funds that invest in U.S. government securities, cash, or a combination thereof. The Companys investments held in the Trust Account are classified as trading securities. Trading securities are presented on the condensed balance sheets at fair value at the end of each reporting period. Gains and losses resulting from the change in fair value of these securities is included in gain on Investments Held in Trust Account in the accompanying condensed statement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As September 30, 2022, the assets held in the Trust Account were held in U.S. Treasury Bills with a maturity of 185 days or less and in money market funds which invest in U.S. Treasury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 </w:t>
      </w:r>
    </w:p>
    <w:p>
      <w:pPr>
        <w:pStyle w:val="TextBody"/>
        <w:bidi w:val="0"/>
        <w:spacing w:before="120" w:after="0"/>
        <w:jc w:val="left"/>
        <w:rPr>
          <w:rFonts w:ascii="Times New Roman" w:hAnsi="Times New Roman"/>
          <w:sz w:val="20"/>
        </w:rPr>
      </w:pPr>
      <w:r>
        <w:rPr>
          <w:rFonts w:ascii="Times New Roman" w:hAnsi="Times New Roman"/>
          <w:sz w:val="20"/>
        </w:rPr>
        <w:t xml:space="preserve">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 </w:t>
      </w:r>
    </w:p>
    <w:p>
      <w:pPr>
        <w:pStyle w:val="TextBody"/>
        <w:bidi w:val="0"/>
        <w:spacing w:before="120" w:after="0"/>
        <w:jc w:val="left"/>
        <w:rPr>
          <w:rFonts w:ascii="Times New Roman" w:hAnsi="Times New Roman"/>
          <w:sz w:val="20"/>
        </w:rPr>
      </w:pPr>
      <w:r>
        <w:rPr>
          <w:rFonts w:ascii="Times New Roman" w:hAnsi="Times New Roman"/>
          <w:sz w:val="20"/>
        </w:rPr>
        <w:t xml:space="preserve">Premiums and discounts are amortized or accreted over the life of the related held-to-maturity security as an adjustment to yield using the effective-interest method. Such amortization and accretion are included in the interest income line item in the unaudited condensed statements of operations. Interest income is recognized when earned. </w:t>
      </w:r>
    </w:p>
    <w:p>
      <w:pPr>
        <w:pStyle w:val="TextBody"/>
        <w:bidi w:val="0"/>
        <w:spacing w:before="120" w:after="0"/>
        <w:jc w:val="left"/>
        <w:rPr>
          <w:rFonts w:ascii="Times New Roman" w:hAnsi="Times New Roman"/>
          <w:sz w:val="20"/>
        </w:rPr>
      </w:pPr>
      <w:r>
        <w:rPr>
          <w:rFonts w:ascii="Times New Roman" w:hAnsi="Times New Roman"/>
          <w:sz w:val="20"/>
        </w:rPr>
        <w:t xml:space="preserve">There were no held to maturity securities on December 31, 2022. The carrying value, excluding gross unrealized holding loss, and fair value of held to maturity securities on September 30, 2022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80"/>
        <w:gridCol w:w="307"/>
        <w:gridCol w:w="151"/>
        <w:gridCol w:w="1376"/>
        <w:gridCol w:w="60"/>
        <w:gridCol w:w="307"/>
        <w:gridCol w:w="192"/>
        <w:gridCol w:w="946"/>
        <w:gridCol w:w="60"/>
        <w:gridCol w:w="307"/>
        <w:gridCol w:w="569"/>
        <w:gridCol w:w="569"/>
        <w:gridCol w:w="60"/>
        <w:gridCol w:w="307"/>
        <w:gridCol w:w="150"/>
        <w:gridCol w:w="1376"/>
        <w:gridCol w:w="71"/>
      </w:tblGrid>
      <w:tr>
        <w:trPr/>
        <w:tc>
          <w:tcPr>
            <w:tcW w:w="258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258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5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Value as of</w:t>
              <w:br/>
              <w:t>September 30,</w:t>
              <w:br/>
              <w:t>2022</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Gains</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Losses</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as of</w:t>
              <w:br/>
              <w:t>September 30,</w:t>
              <w:br/>
              <w:t>2022</w:t>
            </w:r>
          </w:p>
        </w:tc>
        <w:tc>
          <w:tcPr>
            <w:tcW w:w="71" w:type="dxa"/>
            <w:tcBorders/>
            <w:vAlign w:val="bottom"/>
          </w:tcPr>
          <w:p>
            <w:pPr>
              <w:pStyle w:val="TableContents"/>
              <w:bidi w:val="0"/>
              <w:spacing w:before="0" w:after="283"/>
              <w:jc w:val="left"/>
              <w:rPr/>
            </w:pPr>
            <w:r>
              <w:rPr/>
              <w:t> </w:t>
            </w:r>
          </w:p>
        </w:tc>
      </w:tr>
      <w:tr>
        <w:trPr/>
        <w:tc>
          <w:tcPr>
            <w:tcW w:w="2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0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76" w:type="dxa"/>
            <w:tcBorders/>
            <w:shd w:fill="CCEEFF" w:val="clear"/>
            <w:vAlign w:val="bottom"/>
          </w:tcPr>
          <w:p>
            <w:pPr>
              <w:pStyle w:val="TableContents"/>
              <w:bidi w:val="0"/>
              <w:spacing w:before="0" w:after="283"/>
              <w:jc w:val="right"/>
              <w:rPr/>
            </w:pPr>
            <w:r>
              <w:rPr/>
              <w:t>320</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376" w:type="dxa"/>
            <w:tcBorders/>
            <w:shd w:fill="CCEEFF" w:val="clear"/>
            <w:vAlign w:val="bottom"/>
          </w:tcPr>
          <w:p>
            <w:pPr>
              <w:pStyle w:val="TableContents"/>
              <w:bidi w:val="0"/>
              <w:spacing w:before="0" w:after="283"/>
              <w:jc w:val="right"/>
              <w:rPr/>
            </w:pPr>
            <w:r>
              <w:rPr/>
              <w:t>320</w:t>
            </w:r>
          </w:p>
        </w:tc>
        <w:tc>
          <w:tcPr>
            <w:tcW w:w="71" w:type="dxa"/>
            <w:tcBorders/>
            <w:shd w:fill="CCEEFF" w:val="clear"/>
            <w:vAlign w:val="bottom"/>
          </w:tcPr>
          <w:p>
            <w:pPr>
              <w:pStyle w:val="TableContents"/>
              <w:bidi w:val="0"/>
              <w:spacing w:before="0" w:after="283"/>
              <w:jc w:val="left"/>
              <w:rPr/>
            </w:pPr>
            <w:r>
              <w:rPr/>
              <w:t> </w:t>
            </w:r>
          </w:p>
        </w:tc>
      </w:tr>
      <w:tr>
        <w:trPr/>
        <w:tc>
          <w:tcPr>
            <w:tcW w:w="2580"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Bills</w:t>
            </w:r>
          </w:p>
        </w:tc>
        <w:tc>
          <w:tcPr>
            <w:tcW w:w="30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150,844,605</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19,242</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150,863,847</w:t>
            </w:r>
          </w:p>
        </w:tc>
        <w:tc>
          <w:tcPr>
            <w:tcW w:w="71" w:type="dxa"/>
            <w:tcBorders/>
            <w:vAlign w:val="bottom"/>
          </w:tcPr>
          <w:p>
            <w:pPr>
              <w:pStyle w:val="TableContents"/>
              <w:bidi w:val="0"/>
              <w:spacing w:before="0" w:after="283"/>
              <w:jc w:val="left"/>
              <w:rPr/>
            </w:pPr>
            <w:r>
              <w:rPr/>
              <w:t> </w:t>
            </w:r>
          </w:p>
        </w:tc>
      </w:tr>
      <w:tr>
        <w:trPr/>
        <w:tc>
          <w:tcPr>
            <w:tcW w:w="2580"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376"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2580" w:type="dxa"/>
            <w:tcBorders/>
            <w:shd w:fill="CCEEFF" w:val="clear"/>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76" w:type="dxa"/>
            <w:tcBorders/>
            <w:shd w:fill="CCEEFF" w:val="clear"/>
            <w:vAlign w:val="bottom"/>
          </w:tcPr>
          <w:p>
            <w:pPr>
              <w:pStyle w:val="TableContents"/>
              <w:bidi w:val="0"/>
              <w:spacing w:before="0" w:after="283"/>
              <w:jc w:val="right"/>
              <w:rPr/>
            </w:pPr>
            <w:r>
              <w:rPr/>
              <w:t>150,844,925</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46" w:type="dxa"/>
            <w:tcBorders/>
            <w:shd w:fill="CCEEFF" w:val="clear"/>
            <w:vAlign w:val="bottom"/>
          </w:tcPr>
          <w:p>
            <w:pPr>
              <w:pStyle w:val="TableContents"/>
              <w:bidi w:val="0"/>
              <w:spacing w:before="0" w:after="283"/>
              <w:jc w:val="right"/>
              <w:rPr/>
            </w:pPr>
            <w:r>
              <w:rPr/>
              <w:t>19,242</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376" w:type="dxa"/>
            <w:tcBorders/>
            <w:shd w:fill="CCEEFF" w:val="clear"/>
            <w:vAlign w:val="bottom"/>
          </w:tcPr>
          <w:p>
            <w:pPr>
              <w:pStyle w:val="TableContents"/>
              <w:bidi w:val="0"/>
              <w:spacing w:before="0" w:after="283"/>
              <w:jc w:val="right"/>
              <w:rPr/>
            </w:pPr>
            <w:r>
              <w:rPr/>
              <w:t>150,864,167</w:t>
            </w:r>
          </w:p>
        </w:tc>
        <w:tc>
          <w:tcPr>
            <w:tcW w:w="71" w:type="dxa"/>
            <w:tcBorders/>
            <w:shd w:fill="CCEEFF" w:val="clear"/>
            <w:vAlign w:val="bottom"/>
          </w:tcPr>
          <w:p>
            <w:pPr>
              <w:pStyle w:val="TableContents"/>
              <w:bidi w:val="0"/>
              <w:spacing w:before="0" w:after="283"/>
              <w:jc w:val="left"/>
              <w:rPr/>
            </w:pPr>
            <w:r>
              <w:rPr/>
              <w:t> </w:t>
            </w:r>
          </w:p>
        </w:tc>
      </w:tr>
      <w:tr>
        <w:trPr/>
        <w:tc>
          <w:tcPr>
            <w:tcW w:w="2580"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7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9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376"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Held to maturity investments (U.S. Treasury Bills) recorded as of September 30, 2022 matured on October 22, 2022 and total amount of $151,046,320, including amortized interest, was reinvested in money market funds. </w:t>
      </w:r>
    </w:p>
    <w:p>
      <w:pPr>
        <w:pStyle w:val="TextBody"/>
        <w:bidi w:val="0"/>
        <w:spacing w:before="120" w:after="0"/>
        <w:jc w:val="left"/>
        <w:rPr>
          <w:rFonts w:ascii="Times New Roman" w:hAnsi="Times New Roman"/>
          <w:sz w:val="20"/>
        </w:rPr>
      </w:pPr>
      <w:r>
        <w:rPr>
          <w:rFonts w:ascii="Times New Roman" w:hAnsi="Times New Roman"/>
          <w:sz w:val="20"/>
        </w:rPr>
        <w:t xml:space="preserve">The estimated fair values of investments held in the Trust Account are determined using available market information and are characterized as Level 1 investments within the fair value hierarchy under ASC 820 (as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Fair value is defined as the price that would be received for sale of an asset or paid for transfer of a liability, in an orderly transaction between market participants at the measurement date. GAAP establishes a three-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defined as observable inputs such as quoted prices (unadjusted) for identical instruments in active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defined as inputs other than quoted prices in active markets that are either directly or indirectly observable such as quoted prices for similar instruments in active markets or quoted prices for identical or similar instruments in markets that are not active;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defined as unobservable inputs in which little or no market data exists, therefore requiring an entity to develop its own assumptions, such as valuations derived from valuation techniques in which one or more significant inputs or significant value drivers are unobservable.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certain of the Companys assets and liabilities, which qualify as financial instruments under ASC 820, Fair Value Measurements and Disclosures, approximates the carrying amounts represented in the condensed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of a cash account in a financial institution, which, at times, may exceed the Federal Depository Insurance Corporation limit of $250,000. At December 31, 2022 and September 30, 2022, the Company has not experienced losses on this account and management believes the Company is not exposed to significant risks on such account. </w:t>
      </w:r>
    </w:p>
    <w:p>
      <w:pPr>
        <w:pStyle w:val="TextBody"/>
        <w:bidi w:val="0"/>
        <w:spacing w:before="360" w:after="0"/>
        <w:jc w:val="left"/>
        <w:rPr>
          <w:rFonts w:ascii="Times New Roman" w:hAnsi="Times New Roman"/>
          <w:b/>
          <w:sz w:val="20"/>
        </w:rPr>
      </w:pPr>
      <w:r>
        <w:rPr>
          <w:rFonts w:ascii="Times New Roman" w:hAnsi="Times New Roman"/>
          <w:b/>
          <w:sz w:val="20"/>
        </w:rPr>
        <w:t xml:space="preserve">Offering Costs Associated with IPO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the requirements of ASC 340-10-S99-1 and SEC Staff Accounting Bulletin Topic 5AExpenses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subject to possible redemption are presented at redemption value as temporary equity, outside of the stockholders deficit section of the Companys condensed balance sheets.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December 31, 2022 and September 30, 2022, the common stock reflected in the balance sheets are reconciled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56"/>
        <w:gridCol w:w="437"/>
        <w:gridCol w:w="146"/>
        <w:gridCol w:w="1441"/>
        <w:gridCol w:w="159"/>
      </w:tblGrid>
      <w:tr>
        <w:trPr/>
        <w:tc>
          <w:tcPr>
            <w:tcW w:w="4756"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Proceeds</w:t>
            </w:r>
          </w:p>
        </w:tc>
        <w:tc>
          <w:tcPr>
            <w:tcW w:w="4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441" w:type="dxa"/>
            <w:tcBorders/>
            <w:shd w:fill="CCEEFF" w:val="clear"/>
            <w:vAlign w:val="bottom"/>
          </w:tcPr>
          <w:p>
            <w:pPr>
              <w:pStyle w:val="TableContents"/>
              <w:bidi w:val="0"/>
              <w:spacing w:before="0" w:after="283"/>
              <w:jc w:val="right"/>
              <w:rPr/>
            </w:pPr>
            <w:r>
              <w:rPr/>
              <w:t>150,000,000</w:t>
            </w:r>
          </w:p>
        </w:tc>
        <w:tc>
          <w:tcPr>
            <w:tcW w:w="159" w:type="dxa"/>
            <w:tcBorders/>
            <w:shd w:fill="CCEEFF" w:val="clear"/>
            <w:vAlign w:val="bottom"/>
          </w:tcPr>
          <w:p>
            <w:pPr>
              <w:pStyle w:val="TableContents"/>
              <w:bidi w:val="0"/>
              <w:spacing w:before="0" w:after="283"/>
              <w:jc w:val="left"/>
              <w:rPr/>
            </w:pPr>
            <w:r>
              <w:rPr/>
              <w:t> </w:t>
            </w:r>
          </w:p>
        </w:tc>
      </w:tr>
      <w:tr>
        <w:trPr/>
        <w:tc>
          <w:tcPr>
            <w:tcW w:w="4756" w:type="dxa"/>
            <w:tcBorders/>
          </w:tcPr>
          <w:p>
            <w:pPr>
              <w:pStyle w:val="TableContents"/>
              <w:bidi w:val="0"/>
              <w:spacing w:before="0" w:after="0"/>
              <w:jc w:val="left"/>
              <w:rPr>
                <w:rFonts w:ascii="Times New Roman" w:hAnsi="Times New Roman"/>
                <w:sz w:val="20"/>
              </w:rPr>
            </w:pPr>
            <w:r>
              <w:rPr>
                <w:rFonts w:ascii="Times New Roman" w:hAnsi="Times New Roman"/>
                <w:sz w:val="20"/>
              </w:rPr>
              <w:t>Less: Proceeds allocated to Public Warrants</w:t>
            </w:r>
          </w:p>
        </w:tc>
        <w:tc>
          <w:tcPr>
            <w:tcW w:w="4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pPr>
            <w:r>
              <w:rPr/>
              <w:t>(11,700,000</w:t>
            </w:r>
          </w:p>
        </w:tc>
        <w:tc>
          <w:tcPr>
            <w:tcW w:w="159" w:type="dxa"/>
            <w:tcBorders/>
            <w:vAlign w:val="bottom"/>
          </w:tcPr>
          <w:p>
            <w:pPr>
              <w:pStyle w:val="TableContents"/>
              <w:bidi w:val="0"/>
              <w:spacing w:before="0" w:after="283"/>
              <w:jc w:val="left"/>
              <w:rPr/>
            </w:pPr>
            <w:r>
              <w:rPr/>
              <w:t>) </w:t>
            </w:r>
          </w:p>
        </w:tc>
      </w:tr>
      <w:tr>
        <w:trPr/>
        <w:tc>
          <w:tcPr>
            <w:tcW w:w="4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Issuance costs related to common stock</w:t>
            </w:r>
          </w:p>
        </w:tc>
        <w:tc>
          <w:tcPr>
            <w:tcW w:w="4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pPr>
            <w:r>
              <w:rPr/>
              <w:t>(3,261,589</w:t>
            </w:r>
          </w:p>
        </w:tc>
        <w:tc>
          <w:tcPr>
            <w:tcW w:w="159" w:type="dxa"/>
            <w:tcBorders/>
            <w:shd w:fill="CCEEFF" w:val="clear"/>
            <w:vAlign w:val="bottom"/>
          </w:tcPr>
          <w:p>
            <w:pPr>
              <w:pStyle w:val="TableContents"/>
              <w:bidi w:val="0"/>
              <w:spacing w:before="0" w:after="283"/>
              <w:jc w:val="left"/>
              <w:rPr/>
            </w:pPr>
            <w:r>
              <w:rPr/>
              <w:t>) </w:t>
            </w:r>
          </w:p>
        </w:tc>
      </w:tr>
      <w:tr>
        <w:trPr/>
        <w:tc>
          <w:tcPr>
            <w:tcW w:w="4756" w:type="dxa"/>
            <w:tcBorders/>
          </w:tcPr>
          <w:p>
            <w:pPr>
              <w:pStyle w:val="TableContents"/>
              <w:bidi w:val="0"/>
              <w:spacing w:before="0" w:after="0"/>
              <w:jc w:val="left"/>
              <w:rPr>
                <w:rFonts w:ascii="Times New Roman" w:hAnsi="Times New Roman"/>
                <w:sz w:val="20"/>
              </w:rPr>
            </w:pPr>
            <w:r>
              <w:rPr>
                <w:rFonts w:ascii="Times New Roman" w:hAnsi="Times New Roman"/>
                <w:sz w:val="20"/>
              </w:rPr>
              <w:t>Plus: Remeasurement of carrying value to redemption value</w:t>
            </w:r>
          </w:p>
        </w:tc>
        <w:tc>
          <w:tcPr>
            <w:tcW w:w="4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right"/>
              <w:rPr/>
            </w:pPr>
            <w:r>
              <w:rPr/>
              <w:t>14,961,589</w:t>
            </w:r>
          </w:p>
        </w:tc>
        <w:tc>
          <w:tcPr>
            <w:tcW w:w="159" w:type="dxa"/>
            <w:tcBorders/>
            <w:vAlign w:val="bottom"/>
          </w:tcPr>
          <w:p>
            <w:pPr>
              <w:pStyle w:val="TableContents"/>
              <w:bidi w:val="0"/>
              <w:spacing w:before="0" w:after="283"/>
              <w:jc w:val="left"/>
              <w:rPr/>
            </w:pPr>
            <w:r>
              <w:rPr/>
              <w:t> </w:t>
            </w:r>
          </w:p>
        </w:tc>
      </w:tr>
      <w:tr>
        <w:trPr/>
        <w:tc>
          <w:tcPr>
            <w:tcW w:w="4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 Subsequent remeasurement of carrying value to redemption value  Trust interest income (excluding the amount that can be withdrawn from Trust Account)</w:t>
            </w:r>
          </w:p>
        </w:tc>
        <w:tc>
          <w:tcPr>
            <w:tcW w:w="4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pPr>
            <w:r>
              <w:rPr/>
              <w:t>548,862</w:t>
            </w:r>
          </w:p>
        </w:tc>
        <w:tc>
          <w:tcPr>
            <w:tcW w:w="159" w:type="dxa"/>
            <w:tcBorders/>
            <w:shd w:fill="CCEEFF" w:val="clear"/>
            <w:vAlign w:val="bottom"/>
          </w:tcPr>
          <w:p>
            <w:pPr>
              <w:pStyle w:val="TableContents"/>
              <w:bidi w:val="0"/>
              <w:spacing w:before="0" w:after="283"/>
              <w:jc w:val="left"/>
              <w:rPr/>
            </w:pPr>
            <w:r>
              <w:rPr/>
              <w:t> </w:t>
            </w:r>
          </w:p>
        </w:tc>
      </w:tr>
      <w:tr>
        <w:trPr/>
        <w:tc>
          <w:tcPr>
            <w:tcW w:w="4756"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44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56"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subject to possible redemption  September 30, 2022</w:t>
            </w:r>
          </w:p>
        </w:tc>
        <w:tc>
          <w:tcPr>
            <w:tcW w:w="4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441" w:type="dxa"/>
            <w:tcBorders/>
            <w:vAlign w:val="bottom"/>
          </w:tcPr>
          <w:p>
            <w:pPr>
              <w:pStyle w:val="TableContents"/>
              <w:bidi w:val="0"/>
              <w:spacing w:before="0" w:after="283"/>
              <w:jc w:val="right"/>
              <w:rPr/>
            </w:pPr>
            <w:r>
              <w:rPr/>
              <w:t>150,548,862</w:t>
            </w:r>
          </w:p>
        </w:tc>
        <w:tc>
          <w:tcPr>
            <w:tcW w:w="159" w:type="dxa"/>
            <w:tcBorders/>
            <w:vAlign w:val="bottom"/>
          </w:tcPr>
          <w:p>
            <w:pPr>
              <w:pStyle w:val="TableContents"/>
              <w:bidi w:val="0"/>
              <w:spacing w:before="0" w:after="283"/>
              <w:jc w:val="left"/>
              <w:rPr/>
            </w:pPr>
            <w:r>
              <w:rPr/>
              <w:t> </w:t>
            </w:r>
          </w:p>
        </w:tc>
      </w:tr>
      <w:tr>
        <w:trPr/>
        <w:tc>
          <w:tcPr>
            <w:tcW w:w="4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 Remeasurement of carrying value to redemption value</w:t>
            </w:r>
          </w:p>
        </w:tc>
        <w:tc>
          <w:tcPr>
            <w:tcW w:w="43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right"/>
              <w:rPr/>
            </w:pPr>
            <w:r>
              <w:rPr/>
              <w:t>2,479,343</w:t>
            </w:r>
          </w:p>
        </w:tc>
        <w:tc>
          <w:tcPr>
            <w:tcW w:w="159" w:type="dxa"/>
            <w:tcBorders/>
            <w:shd w:fill="CCEEFF" w:val="clear"/>
            <w:vAlign w:val="bottom"/>
          </w:tcPr>
          <w:p>
            <w:pPr>
              <w:pStyle w:val="TableContents"/>
              <w:bidi w:val="0"/>
              <w:spacing w:before="0" w:after="283"/>
              <w:jc w:val="left"/>
              <w:rPr/>
            </w:pPr>
            <w:r>
              <w:rPr/>
              <w:t> </w:t>
            </w:r>
          </w:p>
        </w:tc>
      </w:tr>
      <w:tr>
        <w:trPr/>
        <w:tc>
          <w:tcPr>
            <w:tcW w:w="4756"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44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56"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subject to possible redemption  December 31, 2022</w:t>
            </w:r>
          </w:p>
        </w:tc>
        <w:tc>
          <w:tcPr>
            <w:tcW w:w="4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441" w:type="dxa"/>
            <w:tcBorders/>
            <w:vAlign w:val="bottom"/>
          </w:tcPr>
          <w:p>
            <w:pPr>
              <w:pStyle w:val="TableContents"/>
              <w:bidi w:val="0"/>
              <w:spacing w:before="0" w:after="283"/>
              <w:jc w:val="right"/>
              <w:rPr/>
            </w:pPr>
            <w:r>
              <w:rPr/>
              <w:t>153,028,205</w:t>
            </w:r>
          </w:p>
        </w:tc>
        <w:tc>
          <w:tcPr>
            <w:tcW w:w="159" w:type="dxa"/>
            <w:tcBorders/>
            <w:vAlign w:val="bottom"/>
          </w:tcPr>
          <w:p>
            <w:pPr>
              <w:pStyle w:val="TableContents"/>
              <w:bidi w:val="0"/>
              <w:spacing w:before="0" w:after="283"/>
              <w:jc w:val="left"/>
              <w:rPr/>
            </w:pPr>
            <w:r>
              <w:rPr/>
              <w:t> </w:t>
            </w:r>
          </w:p>
        </w:tc>
      </w:tr>
      <w:tr>
        <w:trPr/>
        <w:tc>
          <w:tcPr>
            <w:tcW w:w="4756"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44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Per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accounting and disclosure requirements of FASB ASC Topic 260, Earnings Per Share. Net income (loss) per common stock is computed by dividing net income (loss) by the weighted average number of common stock outstanding for the period. Remeasurement adjustments associated with the redeemable shares of common stock is excluded from earnings per share as the redemption value approximates fair value.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of diluted income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2022 and 2021, the Company did not have any dilutive securities or other contracts that could, potentially, be exercised or converted into common stock and then share in the earnings of the Company. As a result, diluted net income (loss) per common stock is the same as basic net income (loss) per common stock for the periods presented. </w:t>
      </w:r>
    </w:p>
    <w:p>
      <w:pPr>
        <w:pStyle w:val="TextBody"/>
        <w:bidi w:val="0"/>
        <w:spacing w:before="120" w:after="0"/>
        <w:jc w:val="left"/>
        <w:rPr>
          <w:rFonts w:ascii="Times New Roman" w:hAnsi="Times New Roman"/>
          <w:sz w:val="20"/>
        </w:rPr>
      </w:pPr>
      <w:r>
        <w:rPr>
          <w:rFonts w:ascii="Times New Roman" w:hAnsi="Times New Roman"/>
          <w:sz w:val="20"/>
        </w:rPr>
        <w:t xml:space="preserve">Accretion of the carrying value of common stock subject to redemption value is excluded from net income (loss) per common stock because the redemption value approximates fair value.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80"/>
        <w:gridCol w:w="261"/>
        <w:gridCol w:w="177"/>
        <w:gridCol w:w="1401"/>
        <w:gridCol w:w="60"/>
        <w:gridCol w:w="261"/>
        <w:gridCol w:w="140"/>
        <w:gridCol w:w="980"/>
        <w:gridCol w:w="60"/>
        <w:gridCol w:w="261"/>
        <w:gridCol w:w="140"/>
        <w:gridCol w:w="1110"/>
        <w:gridCol w:w="155"/>
        <w:gridCol w:w="261"/>
        <w:gridCol w:w="193"/>
        <w:gridCol w:w="1386"/>
        <w:gridCol w:w="162"/>
      </w:tblGrid>
      <w:tr>
        <w:trPr/>
        <w:tc>
          <w:tcPr>
            <w:tcW w:w="2380"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6585" w:type="dxa"/>
            <w:gridSpan w:val="14"/>
            <w:tcBorders/>
            <w:vAlign w:val="bottom"/>
          </w:tcPr>
          <w:p>
            <w:pPr>
              <w:pStyle w:val="TableContents"/>
              <w:bidi w:val="0"/>
              <w:spacing w:before="0" w:after="283"/>
              <w:jc w:val="center"/>
              <w:rPr>
                <w:b/>
              </w:rPr>
            </w:pPr>
            <w:r>
              <w:rPr>
                <w:b/>
              </w:rPr>
              <w:t>Three months ended</w:t>
            </w:r>
          </w:p>
        </w:tc>
        <w:tc>
          <w:tcPr>
            <w:tcW w:w="162" w:type="dxa"/>
            <w:tcBorders/>
            <w:vAlign w:val="bottom"/>
          </w:tcPr>
          <w:p>
            <w:pPr>
              <w:pStyle w:val="TableContents"/>
              <w:bidi w:val="0"/>
              <w:spacing w:before="0" w:after="283"/>
              <w:jc w:val="left"/>
              <w:rPr/>
            </w:pPr>
            <w:r>
              <w:rPr/>
              <w:t> </w:t>
            </w:r>
          </w:p>
        </w:tc>
      </w:tr>
      <w:tr>
        <w:trPr/>
        <w:tc>
          <w:tcPr>
            <w:tcW w:w="238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3019" w:type="dxa"/>
            <w:gridSpan w:val="6"/>
            <w:tcBorders/>
            <w:vAlign w:val="bottom"/>
          </w:tcPr>
          <w:p>
            <w:pPr>
              <w:pStyle w:val="TableContents"/>
              <w:bidi w:val="0"/>
              <w:spacing w:before="0" w:after="283"/>
              <w:jc w:val="center"/>
              <w:rPr>
                <w:b/>
              </w:rPr>
            </w:pPr>
            <w:r>
              <w:rPr>
                <w:b/>
              </w:rPr>
              <w:t>December 31, 2022</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3245" w:type="dxa"/>
            <w:gridSpan w:val="6"/>
            <w:tcBorders/>
            <w:vAlign w:val="bottom"/>
          </w:tcPr>
          <w:p>
            <w:pPr>
              <w:pStyle w:val="TableContents"/>
              <w:bidi w:val="0"/>
              <w:spacing w:before="0" w:after="283"/>
              <w:jc w:val="center"/>
              <w:rPr>
                <w:b/>
              </w:rPr>
            </w:pPr>
            <w:r>
              <w:rPr>
                <w:b/>
              </w:rPr>
              <w:t>December 31, 2021</w:t>
            </w:r>
          </w:p>
        </w:tc>
        <w:tc>
          <w:tcPr>
            <w:tcW w:w="162" w:type="dxa"/>
            <w:tcBorders/>
            <w:vAlign w:val="bottom"/>
          </w:tcPr>
          <w:p>
            <w:pPr>
              <w:pStyle w:val="TableContents"/>
              <w:bidi w:val="0"/>
              <w:spacing w:before="0" w:after="283"/>
              <w:jc w:val="left"/>
              <w:rPr/>
            </w:pPr>
            <w:r>
              <w:rPr/>
              <w:t> </w:t>
            </w:r>
          </w:p>
        </w:tc>
      </w:tr>
      <w:tr>
        <w:trPr/>
        <w:tc>
          <w:tcPr>
            <w:tcW w:w="238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578" w:type="dxa"/>
            <w:gridSpan w:val="2"/>
            <w:tcBorders/>
            <w:vAlign w:val="bottom"/>
          </w:tcPr>
          <w:p>
            <w:pPr>
              <w:pStyle w:val="TableContents"/>
              <w:bidi w:val="0"/>
              <w:spacing w:before="0" w:after="283"/>
              <w:jc w:val="center"/>
              <w:rPr>
                <w:b/>
              </w:rPr>
            </w:pPr>
            <w:r>
              <w:rPr>
                <w:b/>
              </w:rPr>
              <w:t>Common stock</w:t>
              <w:br/>
              <w:t>subject to</w:t>
              <w:br/>
              <w:t>redemption</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center"/>
              <w:rPr>
                <w:b/>
              </w:rPr>
            </w:pPr>
            <w:r>
              <w:rPr>
                <w:b/>
              </w:rPr>
              <w:t>Common</w:t>
              <w:br/>
              <w:t>stock</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Common stock</w:t>
            </w:r>
          </w:p>
          <w:p>
            <w:pPr>
              <w:pStyle w:val="TableContents"/>
              <w:bidi w:val="0"/>
              <w:spacing w:before="0" w:after="20"/>
              <w:jc w:val="center"/>
              <w:rPr>
                <w:rFonts w:ascii="Times New Roman" w:hAnsi="Times New Roman"/>
                <w:b/>
                <w:sz w:val="16"/>
              </w:rPr>
            </w:pPr>
            <w:r>
              <w:rPr>
                <w:rFonts w:ascii="Times New Roman" w:hAnsi="Times New Roman"/>
                <w:b/>
                <w:sz w:val="16"/>
              </w:rPr>
              <w:t>subject to</w:t>
              <w:br/>
              <w:t>redemption</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579" w:type="dxa"/>
            <w:gridSpan w:val="2"/>
            <w:tcBorders/>
            <w:vAlign w:val="bottom"/>
          </w:tcPr>
          <w:p>
            <w:pPr>
              <w:pStyle w:val="TableContents"/>
              <w:bidi w:val="0"/>
              <w:spacing w:before="0" w:after="283"/>
              <w:jc w:val="center"/>
              <w:rPr>
                <w:b/>
              </w:rPr>
            </w:pPr>
            <w:r>
              <w:rPr>
                <w:b/>
              </w:rPr>
              <w:t>Common stock</w:t>
            </w:r>
          </w:p>
        </w:tc>
        <w:tc>
          <w:tcPr>
            <w:tcW w:w="162" w:type="dxa"/>
            <w:tcBorders/>
            <w:vAlign w:val="bottom"/>
          </w:tcPr>
          <w:p>
            <w:pPr>
              <w:pStyle w:val="TableContents"/>
              <w:bidi w:val="0"/>
              <w:spacing w:before="0" w:after="283"/>
              <w:jc w:val="left"/>
              <w:rPr/>
            </w:pPr>
            <w:r>
              <w:rPr/>
              <w:t> </w:t>
            </w:r>
          </w:p>
        </w:tc>
      </w:tr>
      <w:tr>
        <w:trPr/>
        <w:tc>
          <w:tcPr>
            <w:tcW w:w="2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net income (loss) per share</w:t>
            </w:r>
          </w:p>
        </w:tc>
        <w:tc>
          <w:tcPr>
            <w:tcW w:w="26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38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380"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26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38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income (loss)</w:t>
            </w:r>
          </w:p>
        </w:tc>
        <w:tc>
          <w:tcPr>
            <w:tcW w:w="26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439,673</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167,354</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(1,474,768</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386" w:type="dxa"/>
            <w:tcBorders/>
            <w:shd w:fill="CCEEFF" w:val="clear"/>
            <w:vAlign w:val="bottom"/>
          </w:tcPr>
          <w:p>
            <w:pPr>
              <w:pStyle w:val="TableContents"/>
              <w:bidi w:val="0"/>
              <w:spacing w:before="0" w:after="283"/>
              <w:jc w:val="right"/>
              <w:rPr/>
            </w:pPr>
            <w:r>
              <w:rPr/>
              <w:t>(561,346</w:t>
            </w:r>
          </w:p>
        </w:tc>
        <w:tc>
          <w:tcPr>
            <w:tcW w:w="162" w:type="dxa"/>
            <w:tcBorders/>
            <w:shd w:fill="CCEEFF" w:val="clear"/>
            <w:vAlign w:val="bottom"/>
          </w:tcPr>
          <w:p>
            <w:pPr>
              <w:pStyle w:val="TableContents"/>
              <w:bidi w:val="0"/>
              <w:spacing w:before="0" w:after="283"/>
              <w:jc w:val="left"/>
              <w:rPr/>
            </w:pPr>
            <w:r>
              <w:rPr/>
              <w:t>) </w:t>
            </w:r>
          </w:p>
        </w:tc>
      </w:tr>
      <w:tr>
        <w:trPr/>
        <w:tc>
          <w:tcPr>
            <w:tcW w:w="2380"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26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38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w:t>
            </w:r>
          </w:p>
        </w:tc>
        <w:tc>
          <w:tcPr>
            <w:tcW w:w="26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15,000,000</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5,709,500</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15,000,000</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5,709,500</w:t>
            </w:r>
          </w:p>
        </w:tc>
        <w:tc>
          <w:tcPr>
            <w:tcW w:w="162" w:type="dxa"/>
            <w:tcBorders/>
            <w:shd w:fill="CCEEFF" w:val="clear"/>
            <w:vAlign w:val="bottom"/>
          </w:tcPr>
          <w:p>
            <w:pPr>
              <w:pStyle w:val="TableContents"/>
              <w:bidi w:val="0"/>
              <w:spacing w:before="0" w:after="283"/>
              <w:jc w:val="left"/>
              <w:rPr/>
            </w:pPr>
            <w:r>
              <w:rPr/>
              <w:t> </w:t>
            </w:r>
          </w:p>
        </w:tc>
      </w:tr>
      <w:tr>
        <w:trPr/>
        <w:tc>
          <w:tcPr>
            <w:tcW w:w="238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38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380"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income (loss) per share</w:t>
            </w:r>
          </w:p>
        </w:tc>
        <w:tc>
          <w:tcPr>
            <w:tcW w:w="26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401" w:type="dxa"/>
            <w:tcBorders/>
            <w:vAlign w:val="bottom"/>
          </w:tcPr>
          <w:p>
            <w:pPr>
              <w:pStyle w:val="TableContents"/>
              <w:bidi w:val="0"/>
              <w:spacing w:before="0" w:after="283"/>
              <w:jc w:val="right"/>
              <w:rPr/>
            </w:pPr>
            <w:r>
              <w:rPr/>
              <w:t>0.03</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0.03</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0" w:type="dxa"/>
            <w:tcBorders/>
            <w:vAlign w:val="bottom"/>
          </w:tcPr>
          <w:p>
            <w:pPr>
              <w:pStyle w:val="TableContents"/>
              <w:bidi w:val="0"/>
              <w:spacing w:before="0" w:after="283"/>
              <w:jc w:val="right"/>
              <w:rPr/>
            </w:pPr>
            <w:r>
              <w:rPr/>
              <w:t>(0.10</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1386" w:type="dxa"/>
            <w:tcBorders/>
            <w:vAlign w:val="bottom"/>
          </w:tcPr>
          <w:p>
            <w:pPr>
              <w:pStyle w:val="TableContents"/>
              <w:bidi w:val="0"/>
              <w:spacing w:before="0" w:after="283"/>
              <w:jc w:val="right"/>
              <w:rPr/>
            </w:pPr>
            <w:r>
              <w:rPr/>
              <w:t>(0.10</w:t>
            </w:r>
          </w:p>
        </w:tc>
        <w:tc>
          <w:tcPr>
            <w:tcW w:w="162" w:type="dxa"/>
            <w:tcBorders/>
            <w:vAlign w:val="bottom"/>
          </w:tcPr>
          <w:p>
            <w:pPr>
              <w:pStyle w:val="TableContents"/>
              <w:bidi w:val="0"/>
              <w:spacing w:before="0" w:after="283"/>
              <w:jc w:val="left"/>
              <w:rPr/>
            </w:pPr>
            <w:r>
              <w:rPr/>
              <w:t>) </w:t>
            </w:r>
          </w:p>
        </w:tc>
      </w:tr>
      <w:tr>
        <w:trPr/>
        <w:tc>
          <w:tcPr>
            <w:tcW w:w="238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138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Stock 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share-based payments in accordance with FASB ASC Topic 718, Compensation- 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 </w:t>
      </w:r>
    </w:p>
    <w:p>
      <w:pPr>
        <w:pStyle w:val="TextBody"/>
        <w:bidi w:val="0"/>
        <w:spacing w:before="120" w:after="0"/>
        <w:jc w:val="left"/>
        <w:rPr>
          <w:rFonts w:ascii="Times New Roman" w:hAnsi="Times New Roman"/>
          <w:sz w:val="20"/>
        </w:rPr>
      </w:pPr>
      <w:r>
        <w:rPr>
          <w:rFonts w:ascii="Times New Roman" w:hAnsi="Times New Roman"/>
          <w:sz w:val="20"/>
        </w:rPr>
        <w:t xml:space="preserve">On June 16, 2021, the Sponsor transferred 50,000 shares to each of its Chief Executive Officer and to its President and 35,000 shares to each of its three independent directors. The aforementioned transfer is 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For each of the three months ended December 31, 2022 and 2021 the Company recognized $27,963 of stock 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At December 31, 2022 there are 33,750 shares that remain unvested. Total unrecognized compensation expense related to the unvested shares at December 31, 2022 amounted to $83,891 and is expected to be recognized over a period of 0.6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ASC 740, Income Taxes. ASC 740, Income Taxes,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w:t>
      </w:r>
    </w:p>
    <w:p>
      <w:pPr>
        <w:pStyle w:val="TextBody"/>
        <w:bidi w:val="0"/>
        <w:spacing w:before="120" w:after="0"/>
        <w:jc w:val="left"/>
        <w:rPr>
          <w:rFonts w:ascii="Times New Roman" w:hAnsi="Times New Roman"/>
          <w:sz w:val="20"/>
        </w:rPr>
      </w:pPr>
      <w:r>
        <w:rPr>
          <w:rFonts w:ascii="Times New Roman" w:hAnsi="Times New Roman"/>
          <w:sz w:val="20"/>
        </w:rPr>
        <w:t xml:space="preserve">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accrued interest and penalties related to unrecognized tax benefits as income tax expense. There were no unrecognized tax benefits and no amounts accrued for interest and penalties as of December 31, 2022 and September 30, 2022. The Company is currently not aware of any issues under review that could result in significant payments, accruals or material deviation from its position.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and September 30, 2022, the Companys deferred tax asset had a full valuation allowance recorded against it. Our effective tax rate was (30.01)% for three months ended December 30, 2022, and 0.00% for the three months ended December 31, 2021. The effective tax rate differs from the statutory tax rate of 21% for three months ended December 30, 2022 and 2021, due to the valuation allowance on the deferred tax assets. </w:t>
      </w:r>
    </w:p>
    <w:p>
      <w:pPr>
        <w:pStyle w:val="TextBody"/>
        <w:bidi w:val="0"/>
        <w:spacing w:before="120" w:after="0"/>
        <w:jc w:val="left"/>
        <w:rPr>
          <w:rFonts w:ascii="Times New Roman" w:hAnsi="Times New Roman"/>
          <w:sz w:val="20"/>
        </w:rPr>
      </w:pPr>
      <w:r>
        <w:rPr>
          <w:rFonts w:ascii="Times New Roman" w:hAnsi="Times New Roman"/>
          <w:sz w:val="20"/>
        </w:rPr>
        <w:t xml:space="preserve">Management does not believe that any other recently issued, but not effective, accounting standards, if currently adopted, would have a material effect on the Companys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3  Related Party Transactions </w:t>
      </w:r>
    </w:p>
    <w:p>
      <w:pPr>
        <w:pStyle w:val="TextBody"/>
        <w:bidi w:val="0"/>
        <w:spacing w:before="120" w:after="0"/>
        <w:jc w:val="left"/>
        <w:rPr>
          <w:rFonts w:ascii="Times New Roman" w:hAnsi="Times New Roman"/>
          <w:b/>
          <w:sz w:val="20"/>
        </w:rPr>
      </w:pPr>
      <w:r>
        <w:rPr>
          <w:rFonts w:ascii="Times New Roman" w:hAnsi="Times New Roman"/>
          <w:b/>
          <w:sz w:val="20"/>
        </w:rPr>
        <w:t xml:space="preserve">Promissory Notes-Related Party </w:t>
      </w:r>
    </w:p>
    <w:p>
      <w:pPr>
        <w:pStyle w:val="TextBody"/>
        <w:bidi w:val="0"/>
        <w:spacing w:before="120" w:after="0"/>
        <w:jc w:val="left"/>
        <w:rPr>
          <w:rFonts w:ascii="Times New Roman" w:hAnsi="Times New Roman"/>
          <w:sz w:val="20"/>
        </w:rPr>
      </w:pPr>
      <w:r>
        <w:rPr>
          <w:rFonts w:ascii="Times New Roman" w:hAnsi="Times New Roman"/>
          <w:sz w:val="20"/>
        </w:rPr>
        <w:t xml:space="preserve">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On November 10, 2022 the Sponsor loaned the Company $1,500,000 in order to cover the additional contribution to the trust account in connection with the automatic extension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w:t>
      </w:r>
    </w:p>
    <w:p>
      <w:pPr>
        <w:pStyle w:val="TextBody"/>
        <w:bidi w:val="0"/>
        <w:spacing w:before="120" w:after="0"/>
        <w:jc w:val="left"/>
        <w:rPr>
          <w:rFonts w:ascii="Times New Roman" w:hAnsi="Times New Roman"/>
          <w:sz w:val="20"/>
        </w:rPr>
      </w:pPr>
      <w:r>
        <w:rPr>
          <w:rFonts w:ascii="Times New Roman" w:hAnsi="Times New Roman"/>
          <w:sz w:val="20"/>
        </w:rPr>
        <w:t xml:space="preserve">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The aggregate balance outstanding under all promissory notes was $2,201,754 and $251,754 of December 31, 2022 and September 30, 2022,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Working Capital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meet the Companys working capital needs following the consummation of the IPO, the Sponsor, officers, directors or their affiliates may, but are not obligated to, loan the Company funds (Working Capital Loans), from time to time or at any time, in whatever amount they deem reasonable in their sole discretion. Each loan would be non-interest bearing and be evidenced by a promissory note. The notes would either be paid upon consummation of the initial Business Combination, without interest, or, at holders discretion, up to $1,500,000 of the notes may be converted into shares at a price of $10.00 per share. The shares would be identical to the Private Shares. In the event that the initial Business Combination does not close, the Company may use a portion of the working capital held outside the Trust Account to repay such loaned amounts, but no proceeds from the Trust Account would be used for such repayment. As of December 31, 2022 and September 30, 2022, no such Working Capital Loans were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Administrative Service Fee </w:t>
      </w:r>
    </w:p>
    <w:p>
      <w:pPr>
        <w:pStyle w:val="TextBody"/>
        <w:bidi w:val="0"/>
        <w:spacing w:before="120" w:after="0"/>
        <w:jc w:val="left"/>
        <w:rPr>
          <w:rFonts w:ascii="Times New Roman" w:hAnsi="Times New Roman"/>
          <w:sz w:val="20"/>
        </w:rPr>
      </w:pPr>
      <w:r>
        <w:rPr>
          <w:rFonts w:ascii="Times New Roman" w:hAnsi="Times New Roman"/>
          <w:sz w:val="20"/>
        </w:rPr>
        <w:t xml:space="preserve">Commencing on the date of the IPO, the Company will pay the Sponsor $10,000 per month for office space, utilities and secretarial support. Upon completion of the initial Business Combination or the Companys liquidation, the Company will cease paying these monthly fees. For each of the three months ended December 31, 2022 and 2021, the Company incurred and paid $30,000 in administrative service fees. </w:t>
      </w:r>
    </w:p>
    <w:p>
      <w:pPr>
        <w:pStyle w:val="TextBody"/>
        <w:bidi w:val="0"/>
        <w:spacing w:before="360" w:after="0"/>
        <w:jc w:val="left"/>
        <w:rPr>
          <w:rFonts w:ascii="Times New Roman" w:hAnsi="Times New Roman"/>
          <w:b/>
          <w:sz w:val="20"/>
        </w:rPr>
      </w:pPr>
      <w:r>
        <w:rPr>
          <w:rFonts w:ascii="Times New Roman" w:hAnsi="Times New Roman"/>
          <w:b/>
          <w:sz w:val="20"/>
        </w:rPr>
        <w:t xml:space="preserve">Note 4  Commitments &amp;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Founder Shares issued and outstanding on the date of the IPO, as well as the holders of the representative shares, Private Shares and any shares the Companys Sponsor, officers, directors or their affiliates may issue in payment of Working Capital Loans made to the Company, will be entitled to registration rights pursuant to an agreement to be signed prior to or on the effective date of the IPO. The holders of a majority of these securities (other than the holders of the representative shares) are entitled to make up to two demands that the Company registers such securities. 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Companys Sponsor, officers, directors or their affiliates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 of Working Capital Loans made to the Company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Advisory Fee </w:t>
      </w:r>
    </w:p>
    <w:p>
      <w:pPr>
        <w:pStyle w:val="TextBody"/>
        <w:bidi w:val="0"/>
        <w:spacing w:before="120" w:after="0"/>
        <w:jc w:val="left"/>
        <w:rPr>
          <w:rFonts w:ascii="Times New Roman" w:hAnsi="Times New Roman"/>
          <w:sz w:val="20"/>
        </w:rPr>
      </w:pPr>
      <w:r>
        <w:rPr>
          <w:rFonts w:ascii="Times New Roman" w:hAnsi="Times New Roman"/>
          <w:sz w:val="20"/>
        </w:rPr>
        <w:t xml:space="preserve">The Company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CCM has agreed to defer the payment of the portion of the advisory fee attributable to over-allotment option until the consummation of the initial Business Combination. CCM is engaged to represent the Companys interests only. The Company will also engage CCM as an advisor in connection with the initial Business Combination for which it will earn an advisory fee of 2.25% of the gross proceeds of the IPO, or $3,375,000, payable at closing of the Business Combination. On October 1, 2021 the underwriters over-allotment option expired unused resulting in no additional fees and commissions related to the over-allotment option to be not payable to CCM by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 Marketing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engaged the representative of the underwriter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upon the consummation of the initial Business Combination in an amount equal to 2.25% of the gross proceeds of the IPO, or $3,375,000. The Company will also pay the representative a separate capital market advisory fee of $2,500,000 upon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October 1, 2021 the underwriters over-allotment option expired unused resulting in no additional marketing fees related to the over-allotment option to be not payable to the representative on the underwriter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last date on which the Company may consummate a Business Combination, and change the structure of the Business Combination such that Cayman NewCo is no longer a party to the Business Combination Agreement or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 of First Refusal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 </w:t>
      </w:r>
    </w:p>
    <w:p>
      <w:pPr>
        <w:pStyle w:val="TextBody"/>
        <w:bidi w:val="0"/>
        <w:spacing w:before="360" w:after="0"/>
        <w:jc w:val="left"/>
        <w:rPr>
          <w:rFonts w:ascii="Times New Roman" w:hAnsi="Times New Roman"/>
          <w:b/>
          <w:sz w:val="20"/>
        </w:rPr>
      </w:pPr>
      <w:r>
        <w:rPr>
          <w:rFonts w:ascii="Times New Roman" w:hAnsi="Times New Roman"/>
          <w:b/>
          <w:sz w:val="20"/>
        </w:rPr>
        <w:t xml:space="preserve">Note 5  Recurring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 the assets held in the Trust Account were held in money market funds which invest in U.S. Treasury securities. As of September 30, 2022, the assets held in the Trust Account were held in U.S. Treasury Bills with a maturity of 185 days or less. . </w:t>
      </w:r>
    </w:p>
    <w:p>
      <w:pPr>
        <w:pStyle w:val="TextBody"/>
        <w:bidi w:val="0"/>
        <w:spacing w:before="120" w:after="0"/>
        <w:jc w:val="left"/>
        <w:rPr>
          <w:rFonts w:ascii="Times New Roman" w:hAnsi="Times New Roman"/>
          <w:sz w:val="20"/>
        </w:rPr>
      </w:pPr>
      <w:r>
        <w:rPr>
          <w:rFonts w:ascii="Times New Roman" w:hAnsi="Times New Roman"/>
          <w:sz w:val="20"/>
        </w:rPr>
        <w:t xml:space="preserve">There were no transfers between Levels 1, 2 or 3 during the three months ended December 31, 2022 and 2021. </w:t>
      </w:r>
    </w:p>
    <w:p>
      <w:pPr>
        <w:pStyle w:val="TextBody"/>
        <w:bidi w:val="0"/>
        <w:spacing w:before="360" w:after="0"/>
        <w:jc w:val="left"/>
        <w:rPr>
          <w:rFonts w:ascii="Times New Roman" w:hAnsi="Times New Roman"/>
          <w:b/>
          <w:sz w:val="20"/>
        </w:rPr>
      </w:pPr>
      <w:r>
        <w:rPr>
          <w:rFonts w:ascii="Times New Roman" w:hAnsi="Times New Roman"/>
          <w:b/>
          <w:sz w:val="20"/>
        </w:rPr>
        <w:t xml:space="preserve">Note 6 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balance sheet date up to the date that the condensed financial statements were issued. Based upon this review, other than as disclosed below, the Company did not identify any subsequent events that would have required adjustment or disclosure in these unaudited condensed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On January 20, 2023, the Company and its Sponsor, entered into one or more agreements (the Non-Redemption Agreements) with one or more third parties in exchange for them agreeing not to redeem shares of the Companys common stock sold in its Initial Public Offering (the public shares) at the 2023 annual meeting of stockholders called by the Company (the Meeting) at which a proposal to approve an extension of time for the Company to consummate an initial business combination (the Extension Proposal) from February 17, 2023 to August 17, 2023 (the Extension) has also been submitted to the stockholders. The Non-Redemption Agreements provide for the allocation of up to 75,000 shares of common stock of the Company (Founder Shares) held by the Sponsor in exchange for such investor and/or investors agreeing to hold and not redeem certain public shares at the Meeting. Certain of the parties to the Non-Redemption Agreements are also members of the Sponsor. </w:t>
      </w:r>
    </w:p>
    <w:p>
      <w:pPr>
        <w:pStyle w:val="TextBody"/>
        <w:bidi w:val="0"/>
        <w:spacing w:before="120" w:after="0"/>
        <w:jc w:val="left"/>
        <w:rPr>
          <w:rFonts w:ascii="Times New Roman" w:hAnsi="Times New Roman"/>
          <w:sz w:val="20"/>
        </w:rPr>
      </w:pPr>
      <w:r>
        <w:rPr>
          <w:rFonts w:ascii="Times New Roman" w:hAnsi="Times New Roman"/>
          <w:sz w:val="20"/>
        </w:rPr>
        <w:t xml:space="preserve">The Non-Redemption Agreements shall terminate on the earlier of (a) the failure of the Companys stockholders to approve the Extension at the Meeting, or the determination of the Company not to proceed to effect the Extension, (b) the fulfillment of all obligations of parties to the Non-Redemption Agreements, (c) the liquidation or dissolution of the Company, or (d) the mutual written agreement of the parties. Additionally, pursuant to the Non-Redemption Agreements, the Company has agreed that until the earlier of (a) the consummation of the Companys initial business combination; (b) the liquidation of the trust account; and (c) 24 months from consummation of the Companys initial public offering, the Company will maintain the investment of funds held in the trust account in interest-bearing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which invest only in direct U.S. government treasury obligations. The Company has also agreed that it will not use any amounts in the trust account, or the interest earned thereon, to pay any excise tax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be imposed on the Company pursuant to the Inflation Reduction Act (IRA) of 2022 (H.R. 5376) due to any redemptions of public shares at the Meeting, including in connection with a liquidation of the Company if it does not effect a business combination prior to its termination date by the Company. The Non-Redemption Agreements are not expected to increase the likelihood that the Extension Proposal is approved by stockholders but will increase the amount of funds that remain in the Companys trust account following the Meeting. </w:t>
      </w:r>
    </w:p>
    <w:p>
      <w:pPr>
        <w:pStyle w:val="TextBody"/>
        <w:bidi w:val="0"/>
        <w:spacing w:before="120" w:after="0"/>
        <w:jc w:val="left"/>
        <w:rPr>
          <w:rFonts w:ascii="Times New Roman" w:hAnsi="Times New Roman"/>
          <w:sz w:val="20"/>
        </w:rPr>
      </w:pPr>
      <w:r>
        <w:rPr>
          <w:rFonts w:ascii="Times New Roman" w:hAnsi="Times New Roman"/>
          <w:sz w:val="20"/>
        </w:rPr>
        <w:t xml:space="preserve">On February 2, 2023, the Company held an annual meeting of its stockholders (the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initial public offering, from February 17, 2023 for up to six additional months at the election of the Company, ultimately until as late as August 17, 2023 (the Extension). The Company filed an amendment to the Companys Charter with the Secretary of State of the State of Delaware reflecting the Extension. In connection with the Extension, the holders of 11,491,148 shares of Common Stock elected to redeem their shares at a per share redemption price of approximately $10.17 per Feb 2, 2023 filed Form 8-K. As a result, approximately $116,864,975 per Feb 2, 2023 filed Form 8-K will be removed from the Companys Trust Account to pay such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Item 1. Financial Statements. </w:t>
      </w:r>
    </w:p>
    <w:p>
      <w:pPr>
        <w:pStyle w:val="TextBody"/>
        <w:bidi w:val="0"/>
        <w:spacing w:before="360" w:after="0"/>
        <w:jc w:val="center"/>
        <w:rPr>
          <w:rFonts w:ascii="Times New Roman" w:hAnsi="Times New Roman"/>
          <w:b/>
          <w:sz w:val="20"/>
        </w:rPr>
      </w:pPr>
      <w:r>
        <w:rPr>
          <w:rFonts w:ascii="Times New Roman" w:hAnsi="Times New Roman"/>
          <w:b/>
          <w:sz w:val="20"/>
        </w:rPr>
        <w:t xml:space="preserve">ARMADA ACQUISITION CORP. I </w:t>
      </w:r>
    </w:p>
    <w:p>
      <w:pPr>
        <w:pStyle w:val="TextBody"/>
        <w:bidi w:val="0"/>
        <w:spacing w:before="0" w:after="0"/>
        <w:jc w:val="center"/>
        <w:rPr>
          <w:rFonts w:ascii="Times New Roman" w:hAnsi="Times New Roman"/>
          <w:b/>
          <w:sz w:val="20"/>
        </w:rPr>
      </w:pPr>
      <w:bookmarkStart w:id="57" w:name="fin309194_14"/>
      <w:bookmarkEnd w:id="57"/>
      <w:r>
        <w:rPr>
          <w:rFonts w:ascii="Times New Roman" w:hAnsi="Times New Roman"/>
          <w:b/>
          <w:sz w:val="20"/>
        </w:rPr>
        <w:t xml:space="preserve">CONDENSED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48"/>
        <w:gridCol w:w="317"/>
        <w:gridCol w:w="181"/>
        <w:gridCol w:w="1437"/>
        <w:gridCol w:w="155"/>
        <w:gridCol w:w="273"/>
        <w:gridCol w:w="207"/>
        <w:gridCol w:w="1827"/>
        <w:gridCol w:w="160"/>
      </w:tblGrid>
      <w:tr>
        <w:trPr/>
        <w:tc>
          <w:tcPr>
            <w:tcW w:w="5648"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48"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6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2023</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 2022</w:t>
            </w:r>
          </w:p>
        </w:tc>
        <w:tc>
          <w:tcPr>
            <w:tcW w:w="160" w:type="dxa"/>
            <w:tcBorders/>
            <w:vAlign w:val="bottom"/>
          </w:tcPr>
          <w:p>
            <w:pPr>
              <w:pStyle w:val="TableContents"/>
              <w:bidi w:val="0"/>
              <w:spacing w:before="0" w:after="283"/>
              <w:jc w:val="left"/>
              <w:rPr/>
            </w:pPr>
            <w:r>
              <w:rPr/>
              <w:t> </w:t>
            </w:r>
          </w:p>
        </w:tc>
      </w:tr>
      <w:tr>
        <w:trPr/>
        <w:tc>
          <w:tcPr>
            <w:tcW w:w="5648"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618" w:type="dxa"/>
            <w:gridSpan w:val="2"/>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34" w:type="dxa"/>
            <w:gridSpan w:val="2"/>
            <w:tcBorders/>
            <w:vAlign w:val="bottom"/>
          </w:tcPr>
          <w:p>
            <w:pPr>
              <w:pStyle w:val="TableContents"/>
              <w:bidi w:val="0"/>
              <w:spacing w:before="0" w:after="283"/>
              <w:jc w:val="center"/>
              <w:rPr>
                <w:b/>
              </w:rPr>
            </w:pPr>
            <w:r>
              <w:rPr>
                <w:b/>
              </w:rPr>
              <w:t>(Audited)</w:t>
            </w:r>
          </w:p>
        </w:tc>
        <w:tc>
          <w:tcPr>
            <w:tcW w:w="160" w:type="dxa"/>
            <w:tcBorders/>
            <w:vAlign w:val="bottom"/>
          </w:tcPr>
          <w:p>
            <w:pPr>
              <w:pStyle w:val="TableContents"/>
              <w:bidi w:val="0"/>
              <w:spacing w:before="0" w:after="283"/>
              <w:jc w:val="left"/>
              <w:rPr/>
            </w:pPr>
            <w:r>
              <w:rPr/>
              <w:t> </w:t>
            </w:r>
          </w:p>
        </w:tc>
      </w:tr>
      <w:tr>
        <w:trPr/>
        <w:tc>
          <w:tcPr>
            <w:tcW w:w="56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1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82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648"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437" w:type="dxa"/>
            <w:tcBorders/>
            <w:vAlign w:val="bottom"/>
          </w:tcPr>
          <w:p>
            <w:pPr>
              <w:pStyle w:val="TableContents"/>
              <w:bidi w:val="0"/>
              <w:spacing w:before="0" w:after="283"/>
              <w:jc w:val="right"/>
              <w:rPr/>
            </w:pPr>
            <w:r>
              <w:rPr/>
              <w:t>235,949</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827" w:type="dxa"/>
            <w:tcBorders/>
            <w:vAlign w:val="bottom"/>
          </w:tcPr>
          <w:p>
            <w:pPr>
              <w:pStyle w:val="TableContents"/>
              <w:bidi w:val="0"/>
              <w:spacing w:before="0" w:after="283"/>
              <w:jc w:val="right"/>
              <w:rPr/>
            </w:pPr>
            <w:r>
              <w:rPr/>
              <w:t>177,578</w:t>
            </w:r>
          </w:p>
        </w:tc>
        <w:tc>
          <w:tcPr>
            <w:tcW w:w="160" w:type="dxa"/>
            <w:tcBorders/>
            <w:vAlign w:val="bottom"/>
          </w:tcPr>
          <w:p>
            <w:pPr>
              <w:pStyle w:val="TableContents"/>
              <w:bidi w:val="0"/>
              <w:spacing w:before="0" w:after="283"/>
              <w:jc w:val="left"/>
              <w:rPr/>
            </w:pPr>
            <w:r>
              <w:rPr/>
              <w:t> </w:t>
            </w:r>
          </w:p>
        </w:tc>
      </w:tr>
      <w:tr>
        <w:trPr/>
        <w:tc>
          <w:tcPr>
            <w:tcW w:w="5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1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3,736</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827" w:type="dxa"/>
            <w:tcBorders/>
            <w:shd w:fill="CCEEFF" w:val="clear"/>
            <w:vAlign w:val="bottom"/>
          </w:tcPr>
          <w:p>
            <w:pPr>
              <w:pStyle w:val="TableContents"/>
              <w:bidi w:val="0"/>
              <w:spacing w:before="0" w:after="283"/>
              <w:jc w:val="right"/>
              <w:rPr/>
            </w:pPr>
            <w:r>
              <w:rPr/>
              <w:t>61,942</w:t>
            </w:r>
          </w:p>
        </w:tc>
        <w:tc>
          <w:tcPr>
            <w:tcW w:w="160" w:type="dxa"/>
            <w:tcBorders/>
            <w:shd w:fill="CCEEFF" w:val="clear"/>
            <w:vAlign w:val="bottom"/>
          </w:tcPr>
          <w:p>
            <w:pPr>
              <w:pStyle w:val="TableContents"/>
              <w:bidi w:val="0"/>
              <w:spacing w:before="0" w:after="283"/>
              <w:jc w:val="left"/>
              <w:rPr/>
            </w:pPr>
            <w:r>
              <w:rPr/>
              <w:t> </w:t>
            </w:r>
          </w:p>
        </w:tc>
      </w:tr>
      <w:tr>
        <w:trPr/>
        <w:tc>
          <w:tcPr>
            <w:tcW w:w="5648"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82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4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239,685</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827" w:type="dxa"/>
            <w:tcBorders/>
            <w:vAlign w:val="bottom"/>
          </w:tcPr>
          <w:p>
            <w:pPr>
              <w:pStyle w:val="TableContents"/>
              <w:bidi w:val="0"/>
              <w:spacing w:before="0" w:after="283"/>
              <w:jc w:val="right"/>
              <w:rPr/>
            </w:pPr>
            <w:r>
              <w:rPr/>
              <w:t>239,520</w:t>
            </w:r>
          </w:p>
        </w:tc>
        <w:tc>
          <w:tcPr>
            <w:tcW w:w="160" w:type="dxa"/>
            <w:tcBorders/>
            <w:vAlign w:val="bottom"/>
          </w:tcPr>
          <w:p>
            <w:pPr>
              <w:pStyle w:val="TableContents"/>
              <w:bidi w:val="0"/>
              <w:spacing w:before="0" w:after="283"/>
              <w:jc w:val="left"/>
              <w:rPr/>
            </w:pPr>
            <w:r>
              <w:rPr/>
              <w:t> </w:t>
            </w:r>
          </w:p>
        </w:tc>
      </w:tr>
      <w:tr>
        <w:trPr/>
        <w:tc>
          <w:tcPr>
            <w:tcW w:w="5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held in Trust Account</w:t>
            </w:r>
          </w:p>
        </w:tc>
        <w:tc>
          <w:tcPr>
            <w:tcW w:w="31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36,725,055</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827" w:type="dxa"/>
            <w:tcBorders/>
            <w:shd w:fill="CCEEFF" w:val="clear"/>
            <w:vAlign w:val="bottom"/>
          </w:tcPr>
          <w:p>
            <w:pPr>
              <w:pStyle w:val="TableContents"/>
              <w:bidi w:val="0"/>
              <w:spacing w:before="0" w:after="283"/>
              <w:jc w:val="right"/>
              <w:rPr/>
            </w:pPr>
            <w:r>
              <w:rPr/>
              <w:t>150,844,925</w:t>
            </w:r>
          </w:p>
        </w:tc>
        <w:tc>
          <w:tcPr>
            <w:tcW w:w="160" w:type="dxa"/>
            <w:tcBorders/>
            <w:shd w:fill="CCEEFF" w:val="clear"/>
            <w:vAlign w:val="bottom"/>
          </w:tcPr>
          <w:p>
            <w:pPr>
              <w:pStyle w:val="TableContents"/>
              <w:bidi w:val="0"/>
              <w:spacing w:before="0" w:after="283"/>
              <w:jc w:val="left"/>
              <w:rPr/>
            </w:pPr>
            <w:r>
              <w:rPr/>
              <w:t> </w:t>
            </w:r>
          </w:p>
        </w:tc>
      </w:tr>
      <w:tr>
        <w:trPr/>
        <w:tc>
          <w:tcPr>
            <w:tcW w:w="5648"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82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4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b/>
              </w:rPr>
            </w:pPr>
            <w:r>
              <w:rPr>
                <w:b/>
              </w:rPr>
              <w:t>$</w:t>
            </w:r>
          </w:p>
        </w:tc>
        <w:tc>
          <w:tcPr>
            <w:tcW w:w="1437" w:type="dxa"/>
            <w:tcBorders/>
            <w:vAlign w:val="bottom"/>
          </w:tcPr>
          <w:p>
            <w:pPr>
              <w:pStyle w:val="TableContents"/>
              <w:bidi w:val="0"/>
              <w:spacing w:before="0" w:after="283"/>
              <w:jc w:val="right"/>
              <w:rPr>
                <w:b/>
              </w:rPr>
            </w:pPr>
            <w:r>
              <w:rPr>
                <w:b/>
              </w:rPr>
              <w:t>36,964,740</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b/>
              </w:rPr>
            </w:pPr>
            <w:r>
              <w:rPr>
                <w:b/>
              </w:rPr>
              <w:t>$</w:t>
            </w:r>
          </w:p>
        </w:tc>
        <w:tc>
          <w:tcPr>
            <w:tcW w:w="1827" w:type="dxa"/>
            <w:tcBorders/>
            <w:vAlign w:val="bottom"/>
          </w:tcPr>
          <w:p>
            <w:pPr>
              <w:pStyle w:val="TableContents"/>
              <w:bidi w:val="0"/>
              <w:spacing w:before="0" w:after="283"/>
              <w:jc w:val="right"/>
              <w:rPr>
                <w:b/>
              </w:rPr>
            </w:pPr>
            <w:r>
              <w:rPr>
                <w:b/>
              </w:rPr>
              <w:t>151,084,445</w:t>
            </w:r>
          </w:p>
        </w:tc>
        <w:tc>
          <w:tcPr>
            <w:tcW w:w="160" w:type="dxa"/>
            <w:tcBorders/>
            <w:vAlign w:val="bottom"/>
          </w:tcPr>
          <w:p>
            <w:pPr>
              <w:pStyle w:val="TableContents"/>
              <w:bidi w:val="0"/>
              <w:spacing w:before="0" w:after="283"/>
              <w:jc w:val="left"/>
              <w:rPr/>
            </w:pPr>
            <w:r>
              <w:rPr/>
              <w:t> </w:t>
            </w:r>
          </w:p>
        </w:tc>
      </w:tr>
      <w:tr>
        <w:trPr/>
        <w:tc>
          <w:tcPr>
            <w:tcW w:w="5648"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4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182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Common Stock Subject to Possible Redemption and Stockholders Deficit</w:t>
            </w:r>
          </w:p>
        </w:tc>
        <w:tc>
          <w:tcPr>
            <w:tcW w:w="31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82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648"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182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1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3,545,202</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827" w:type="dxa"/>
            <w:tcBorders/>
            <w:shd w:fill="CCEEFF" w:val="clear"/>
            <w:vAlign w:val="bottom"/>
          </w:tcPr>
          <w:p>
            <w:pPr>
              <w:pStyle w:val="TableContents"/>
              <w:bidi w:val="0"/>
              <w:spacing w:before="0" w:after="283"/>
              <w:jc w:val="right"/>
              <w:rPr/>
            </w:pPr>
            <w:r>
              <w:rPr/>
              <w:t>3,137,535</w:t>
            </w:r>
          </w:p>
        </w:tc>
        <w:tc>
          <w:tcPr>
            <w:tcW w:w="160" w:type="dxa"/>
            <w:tcBorders/>
            <w:shd w:fill="CCEEFF" w:val="clear"/>
            <w:vAlign w:val="bottom"/>
          </w:tcPr>
          <w:p>
            <w:pPr>
              <w:pStyle w:val="TableContents"/>
              <w:bidi w:val="0"/>
              <w:spacing w:before="0" w:after="283"/>
              <w:jc w:val="left"/>
              <w:rPr/>
            </w:pPr>
            <w:r>
              <w:rPr/>
              <w:t> </w:t>
            </w:r>
          </w:p>
        </w:tc>
      </w:tr>
      <w:tr>
        <w:trPr/>
        <w:tc>
          <w:tcPr>
            <w:tcW w:w="5648" w:type="dxa"/>
            <w:tcBorders/>
          </w:tcPr>
          <w:p>
            <w:pPr>
              <w:pStyle w:val="TableContents"/>
              <w:bidi w:val="0"/>
              <w:spacing w:before="0" w:after="0"/>
              <w:jc w:val="left"/>
              <w:rPr>
                <w:rFonts w:ascii="Times New Roman" w:hAnsi="Times New Roman"/>
                <w:sz w:val="20"/>
              </w:rPr>
            </w:pPr>
            <w:r>
              <w:rPr>
                <w:rFonts w:ascii="Times New Roman" w:hAnsi="Times New Roman"/>
                <w:sz w:val="20"/>
              </w:rPr>
              <w:t>Franchise tax payable</w:t>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81,200</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827" w:type="dxa"/>
            <w:tcBorders/>
            <w:vAlign w:val="bottom"/>
          </w:tcPr>
          <w:p>
            <w:pPr>
              <w:pStyle w:val="TableContents"/>
              <w:bidi w:val="0"/>
              <w:spacing w:before="0" w:after="283"/>
              <w:jc w:val="right"/>
              <w:rPr/>
            </w:pPr>
            <w:r>
              <w:rPr/>
              <w:t>150,000</w:t>
            </w:r>
          </w:p>
        </w:tc>
        <w:tc>
          <w:tcPr>
            <w:tcW w:w="160" w:type="dxa"/>
            <w:tcBorders/>
            <w:vAlign w:val="bottom"/>
          </w:tcPr>
          <w:p>
            <w:pPr>
              <w:pStyle w:val="TableContents"/>
              <w:bidi w:val="0"/>
              <w:spacing w:before="0" w:after="283"/>
              <w:jc w:val="left"/>
              <w:rPr/>
            </w:pPr>
            <w:r>
              <w:rPr/>
              <w:t> </w:t>
            </w:r>
          </w:p>
        </w:tc>
      </w:tr>
      <w:tr>
        <w:trPr/>
        <w:tc>
          <w:tcPr>
            <w:tcW w:w="5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31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181,118</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827" w:type="dxa"/>
            <w:tcBorders/>
            <w:shd w:fill="CCEEFF" w:val="clear"/>
            <w:vAlign w:val="bottom"/>
          </w:tcPr>
          <w:p>
            <w:pPr>
              <w:pStyle w:val="TableContents"/>
              <w:bidi w:val="0"/>
              <w:spacing w:before="0" w:after="283"/>
              <w:jc w:val="right"/>
              <w:rPr/>
            </w:pPr>
            <w:r>
              <w:rPr/>
              <w:t>145,621</w:t>
            </w:r>
          </w:p>
        </w:tc>
        <w:tc>
          <w:tcPr>
            <w:tcW w:w="160" w:type="dxa"/>
            <w:tcBorders/>
            <w:shd w:fill="CCEEFF" w:val="clear"/>
            <w:vAlign w:val="bottom"/>
          </w:tcPr>
          <w:p>
            <w:pPr>
              <w:pStyle w:val="TableContents"/>
              <w:bidi w:val="0"/>
              <w:spacing w:before="0" w:after="283"/>
              <w:jc w:val="left"/>
              <w:rPr/>
            </w:pPr>
            <w:r>
              <w:rPr/>
              <w:t> </w:t>
            </w:r>
          </w:p>
        </w:tc>
      </w:tr>
      <w:tr>
        <w:trPr/>
        <w:tc>
          <w:tcPr>
            <w:tcW w:w="5648" w:type="dxa"/>
            <w:tcBorders/>
          </w:tcPr>
          <w:p>
            <w:pPr>
              <w:pStyle w:val="TableContents"/>
              <w:bidi w:val="0"/>
              <w:spacing w:before="0" w:after="0"/>
              <w:jc w:val="left"/>
              <w:rPr>
                <w:rFonts w:ascii="Times New Roman" w:hAnsi="Times New Roman"/>
                <w:sz w:val="20"/>
              </w:rPr>
            </w:pPr>
            <w:r>
              <w:rPr>
                <w:rFonts w:ascii="Times New Roman" w:hAnsi="Times New Roman"/>
                <w:sz w:val="20"/>
              </w:rPr>
              <w:t>Excise tax payable</w:t>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1,170,799</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827"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Promissory Notes-Related Party</w:t>
            </w:r>
          </w:p>
        </w:tc>
        <w:tc>
          <w:tcPr>
            <w:tcW w:w="31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2,201,754</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827" w:type="dxa"/>
            <w:tcBorders/>
            <w:shd w:fill="CCEEFF" w:val="clear"/>
            <w:vAlign w:val="bottom"/>
          </w:tcPr>
          <w:p>
            <w:pPr>
              <w:pStyle w:val="TableContents"/>
              <w:bidi w:val="0"/>
              <w:spacing w:before="0" w:after="283"/>
              <w:jc w:val="right"/>
              <w:rPr/>
            </w:pPr>
            <w:r>
              <w:rPr/>
              <w:t>251,754</w:t>
            </w:r>
          </w:p>
        </w:tc>
        <w:tc>
          <w:tcPr>
            <w:tcW w:w="160" w:type="dxa"/>
            <w:tcBorders/>
            <w:shd w:fill="CCEEFF" w:val="clear"/>
            <w:vAlign w:val="bottom"/>
          </w:tcPr>
          <w:p>
            <w:pPr>
              <w:pStyle w:val="TableContents"/>
              <w:bidi w:val="0"/>
              <w:spacing w:before="0" w:after="283"/>
              <w:jc w:val="left"/>
              <w:rPr/>
            </w:pPr>
            <w:r>
              <w:rPr/>
              <w:t> </w:t>
            </w:r>
          </w:p>
        </w:tc>
      </w:tr>
      <w:tr>
        <w:trPr/>
        <w:tc>
          <w:tcPr>
            <w:tcW w:w="5648"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82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4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b/>
              </w:rPr>
            </w:pPr>
            <w:r>
              <w:rPr>
                <w:b/>
              </w:rPr>
              <w:t>7,180,073</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827" w:type="dxa"/>
            <w:tcBorders/>
            <w:vAlign w:val="bottom"/>
          </w:tcPr>
          <w:p>
            <w:pPr>
              <w:pStyle w:val="TableContents"/>
              <w:bidi w:val="0"/>
              <w:spacing w:before="0" w:after="283"/>
              <w:jc w:val="right"/>
              <w:rPr>
                <w:b/>
              </w:rPr>
            </w:pPr>
            <w:r>
              <w:rPr>
                <w:b/>
              </w:rPr>
              <w:t>3,684,910</w:t>
            </w:r>
          </w:p>
        </w:tc>
        <w:tc>
          <w:tcPr>
            <w:tcW w:w="160" w:type="dxa"/>
            <w:tcBorders/>
            <w:vAlign w:val="bottom"/>
          </w:tcPr>
          <w:p>
            <w:pPr>
              <w:pStyle w:val="TableContents"/>
              <w:bidi w:val="0"/>
              <w:spacing w:before="0" w:after="283"/>
              <w:jc w:val="left"/>
              <w:rPr/>
            </w:pPr>
            <w:r>
              <w:rPr/>
              <w:t> </w:t>
            </w:r>
          </w:p>
        </w:tc>
      </w:tr>
      <w:tr>
        <w:trPr/>
        <w:tc>
          <w:tcPr>
            <w:tcW w:w="5648"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82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4)</w:t>
            </w:r>
          </w:p>
        </w:tc>
        <w:tc>
          <w:tcPr>
            <w:tcW w:w="31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82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64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subject to possible redemption, 3,508,852 and 15,000,000 shares at redemption value of $10.44 and $10.04 per share at March 31, 2023 and September 30, 2022, respectively</w:t>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36,617,400</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827" w:type="dxa"/>
            <w:tcBorders/>
            <w:vAlign w:val="bottom"/>
          </w:tcPr>
          <w:p>
            <w:pPr>
              <w:pStyle w:val="TableContents"/>
              <w:bidi w:val="0"/>
              <w:spacing w:before="0" w:after="283"/>
              <w:jc w:val="right"/>
              <w:rPr/>
            </w:pPr>
            <w:r>
              <w:rPr/>
              <w:t>150,548,862</w:t>
            </w:r>
          </w:p>
        </w:tc>
        <w:tc>
          <w:tcPr>
            <w:tcW w:w="160" w:type="dxa"/>
            <w:tcBorders/>
            <w:vAlign w:val="bottom"/>
          </w:tcPr>
          <w:p>
            <w:pPr>
              <w:pStyle w:val="TableContents"/>
              <w:bidi w:val="0"/>
              <w:spacing w:before="0" w:after="283"/>
              <w:jc w:val="left"/>
              <w:rPr/>
            </w:pPr>
            <w:r>
              <w:rPr/>
              <w:t> </w:t>
            </w:r>
          </w:p>
        </w:tc>
      </w:tr>
      <w:tr>
        <w:trPr/>
        <w:tc>
          <w:tcPr>
            <w:tcW w:w="56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Stockholders Deficit:</w:t>
            </w:r>
          </w:p>
        </w:tc>
        <w:tc>
          <w:tcPr>
            <w:tcW w:w="31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82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648"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1,000,000 shares authorized; none issued or outstanding</w:t>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827"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$0.0001 par value; 100,000,000 shares authorized, 5,709,500 shares issued and outstanding (excluding 3,508,852 and 15,000,000 shares subject to possible redemption) at March 31, 2023 and September 30, 2022, respectively</w:t>
            </w:r>
          </w:p>
        </w:tc>
        <w:tc>
          <w:tcPr>
            <w:tcW w:w="31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570</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827" w:type="dxa"/>
            <w:tcBorders/>
            <w:shd w:fill="CCEEFF" w:val="clear"/>
            <w:vAlign w:val="bottom"/>
          </w:tcPr>
          <w:p>
            <w:pPr>
              <w:pStyle w:val="TableContents"/>
              <w:bidi w:val="0"/>
              <w:spacing w:before="0" w:after="283"/>
              <w:jc w:val="right"/>
              <w:rPr/>
            </w:pPr>
            <w:r>
              <w:rPr/>
              <w:t>570</w:t>
            </w:r>
          </w:p>
        </w:tc>
        <w:tc>
          <w:tcPr>
            <w:tcW w:w="160" w:type="dxa"/>
            <w:tcBorders/>
            <w:shd w:fill="CCEEFF" w:val="clear"/>
            <w:vAlign w:val="bottom"/>
          </w:tcPr>
          <w:p>
            <w:pPr>
              <w:pStyle w:val="TableContents"/>
              <w:bidi w:val="0"/>
              <w:spacing w:before="0" w:after="283"/>
              <w:jc w:val="left"/>
              <w:rPr/>
            </w:pPr>
            <w:r>
              <w:rPr/>
              <w:t> </w:t>
            </w:r>
          </w:p>
        </w:tc>
      </w:tr>
      <w:tr>
        <w:trPr/>
        <w:tc>
          <w:tcPr>
            <w:tcW w:w="5648"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827" w:type="dxa"/>
            <w:tcBorders/>
            <w:vAlign w:val="bottom"/>
          </w:tcPr>
          <w:p>
            <w:pPr>
              <w:pStyle w:val="TableContents"/>
              <w:bidi w:val="0"/>
              <w:spacing w:before="0" w:after="283"/>
              <w:jc w:val="right"/>
              <w:rPr/>
            </w:pPr>
            <w:r>
              <w:rPr/>
              <w:t>941,796</w:t>
            </w:r>
          </w:p>
        </w:tc>
        <w:tc>
          <w:tcPr>
            <w:tcW w:w="160" w:type="dxa"/>
            <w:tcBorders/>
            <w:vAlign w:val="bottom"/>
          </w:tcPr>
          <w:p>
            <w:pPr>
              <w:pStyle w:val="TableContents"/>
              <w:bidi w:val="0"/>
              <w:spacing w:before="0" w:after="283"/>
              <w:jc w:val="left"/>
              <w:rPr/>
            </w:pPr>
            <w:r>
              <w:rPr/>
              <w:t> </w:t>
            </w:r>
          </w:p>
        </w:tc>
      </w:tr>
      <w:tr>
        <w:trPr/>
        <w:tc>
          <w:tcPr>
            <w:tcW w:w="5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1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(6,833,303</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827" w:type="dxa"/>
            <w:tcBorders/>
            <w:shd w:fill="CCEEFF" w:val="clear"/>
            <w:vAlign w:val="bottom"/>
          </w:tcPr>
          <w:p>
            <w:pPr>
              <w:pStyle w:val="TableContents"/>
              <w:bidi w:val="0"/>
              <w:spacing w:before="0" w:after="283"/>
              <w:jc w:val="right"/>
              <w:rPr/>
            </w:pPr>
            <w:r>
              <w:rPr/>
              <w:t>(4,091,693</w:t>
            </w:r>
          </w:p>
        </w:tc>
        <w:tc>
          <w:tcPr>
            <w:tcW w:w="160" w:type="dxa"/>
            <w:tcBorders/>
            <w:shd w:fill="CCEEFF" w:val="clear"/>
            <w:vAlign w:val="bottom"/>
          </w:tcPr>
          <w:p>
            <w:pPr>
              <w:pStyle w:val="TableContents"/>
              <w:bidi w:val="0"/>
              <w:spacing w:before="0" w:after="283"/>
              <w:jc w:val="left"/>
              <w:rPr/>
            </w:pPr>
            <w:r>
              <w:rPr/>
              <w:t>) </w:t>
            </w:r>
          </w:p>
        </w:tc>
      </w:tr>
      <w:tr>
        <w:trPr/>
        <w:tc>
          <w:tcPr>
            <w:tcW w:w="5648"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82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4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Stockholders Deficit</w:t>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b/>
              </w:rPr>
            </w:pPr>
            <w:r>
              <w:rPr>
                <w:b/>
              </w:rPr>
              <w:t>(6,832,733</w:t>
            </w:r>
          </w:p>
        </w:tc>
        <w:tc>
          <w:tcPr>
            <w:tcW w:w="155" w:type="dxa"/>
            <w:tcBorders/>
            <w:vAlign w:val="bottom"/>
          </w:tcPr>
          <w:p>
            <w:pPr>
              <w:pStyle w:val="TableContents"/>
              <w:bidi w:val="0"/>
              <w:spacing w:before="0" w:after="283"/>
              <w:jc w:val="left"/>
              <w:rPr>
                <w:b/>
              </w:rPr>
            </w:pPr>
            <w:r>
              <w:rPr>
                <w:b/>
              </w:rPr>
              <w:t>) </w:t>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827" w:type="dxa"/>
            <w:tcBorders/>
            <w:vAlign w:val="bottom"/>
          </w:tcPr>
          <w:p>
            <w:pPr>
              <w:pStyle w:val="TableContents"/>
              <w:bidi w:val="0"/>
              <w:spacing w:before="0" w:after="283"/>
              <w:jc w:val="right"/>
              <w:rPr>
                <w:b/>
              </w:rPr>
            </w:pPr>
            <w:r>
              <w:rPr>
                <w:b/>
              </w:rPr>
              <w:t>(3,149,327</w:t>
            </w:r>
          </w:p>
        </w:tc>
        <w:tc>
          <w:tcPr>
            <w:tcW w:w="160" w:type="dxa"/>
            <w:tcBorders/>
            <w:vAlign w:val="bottom"/>
          </w:tcPr>
          <w:p>
            <w:pPr>
              <w:pStyle w:val="TableContents"/>
              <w:bidi w:val="0"/>
              <w:spacing w:before="0" w:after="283"/>
              <w:jc w:val="left"/>
              <w:rPr>
                <w:b/>
              </w:rPr>
            </w:pPr>
            <w:r>
              <w:rPr>
                <w:b/>
              </w:rPr>
              <w:t>) </w:t>
            </w:r>
          </w:p>
        </w:tc>
      </w:tr>
      <w:tr>
        <w:trPr/>
        <w:tc>
          <w:tcPr>
            <w:tcW w:w="5648"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82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Common Stock Subject to Possible Redemption and Stockholders Deficit</w:t>
            </w:r>
          </w:p>
        </w:tc>
        <w:tc>
          <w:tcPr>
            <w:tcW w:w="31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b/>
              </w:rPr>
            </w:pPr>
            <w:r>
              <w:rPr>
                <w:b/>
              </w:rPr>
              <w:t>$</w:t>
            </w:r>
          </w:p>
        </w:tc>
        <w:tc>
          <w:tcPr>
            <w:tcW w:w="1437" w:type="dxa"/>
            <w:tcBorders/>
            <w:shd w:fill="CCEEFF" w:val="clear"/>
            <w:vAlign w:val="bottom"/>
          </w:tcPr>
          <w:p>
            <w:pPr>
              <w:pStyle w:val="TableContents"/>
              <w:bidi w:val="0"/>
              <w:spacing w:before="0" w:after="283"/>
              <w:jc w:val="right"/>
              <w:rPr>
                <w:b/>
              </w:rPr>
            </w:pPr>
            <w:r>
              <w:rPr>
                <w:b/>
              </w:rPr>
              <w:t>36,964,740</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b/>
              </w:rPr>
            </w:pPr>
            <w:r>
              <w:rPr>
                <w:b/>
              </w:rPr>
              <w:t>$</w:t>
            </w:r>
          </w:p>
        </w:tc>
        <w:tc>
          <w:tcPr>
            <w:tcW w:w="1827" w:type="dxa"/>
            <w:tcBorders/>
            <w:shd w:fill="CCEEFF" w:val="clear"/>
            <w:vAlign w:val="bottom"/>
          </w:tcPr>
          <w:p>
            <w:pPr>
              <w:pStyle w:val="TableContents"/>
              <w:bidi w:val="0"/>
              <w:spacing w:before="0" w:after="283"/>
              <w:jc w:val="right"/>
              <w:rPr>
                <w:b/>
              </w:rPr>
            </w:pPr>
            <w:r>
              <w:rPr>
                <w:b/>
              </w:rPr>
              <w:t>151,084,445</w:t>
            </w:r>
          </w:p>
        </w:tc>
        <w:tc>
          <w:tcPr>
            <w:tcW w:w="160" w:type="dxa"/>
            <w:tcBorders/>
            <w:shd w:fill="CCEEFF" w:val="clear"/>
            <w:vAlign w:val="bottom"/>
          </w:tcPr>
          <w:p>
            <w:pPr>
              <w:pStyle w:val="TableContents"/>
              <w:bidi w:val="0"/>
              <w:spacing w:before="0" w:after="283"/>
              <w:jc w:val="left"/>
              <w:rPr/>
            </w:pPr>
            <w:r>
              <w:rPr/>
              <w:t> </w:t>
            </w:r>
          </w:p>
        </w:tc>
      </w:tr>
      <w:tr>
        <w:trPr/>
        <w:tc>
          <w:tcPr>
            <w:tcW w:w="5648"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4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182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bidi w:val="0"/>
        <w:spacing w:before="0" w:after="0"/>
        <w:jc w:val="center"/>
        <w:rPr>
          <w:rFonts w:ascii="Times New Roman" w:hAnsi="Times New Roman"/>
          <w:b/>
          <w:sz w:val="20"/>
        </w:rPr>
      </w:pPr>
      <w:bookmarkStart w:id="58" w:name="fin309194_15"/>
      <w:bookmarkEnd w:id="58"/>
      <w:r>
        <w:rPr>
          <w:rFonts w:ascii="Times New Roman" w:hAnsi="Times New Roman"/>
          <w:b/>
          <w:sz w:val="20"/>
        </w:rPr>
        <w:t xml:space="preserve">CONDENSED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37"/>
        <w:gridCol w:w="247"/>
        <w:gridCol w:w="140"/>
        <w:gridCol w:w="1021"/>
        <w:gridCol w:w="164"/>
        <w:gridCol w:w="204"/>
        <w:gridCol w:w="140"/>
        <w:gridCol w:w="1161"/>
        <w:gridCol w:w="155"/>
        <w:gridCol w:w="204"/>
        <w:gridCol w:w="141"/>
        <w:gridCol w:w="1114"/>
        <w:gridCol w:w="156"/>
        <w:gridCol w:w="204"/>
        <w:gridCol w:w="141"/>
        <w:gridCol w:w="1115"/>
        <w:gridCol w:w="161"/>
      </w:tblGrid>
      <w:tr>
        <w:trPr/>
        <w:tc>
          <w:tcPr>
            <w:tcW w:w="3737"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8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8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March 31,</w:t>
            </w:r>
          </w:p>
        </w:tc>
        <w:tc>
          <w:tcPr>
            <w:tcW w:w="161" w:type="dxa"/>
            <w:tcBorders/>
            <w:vAlign w:val="bottom"/>
          </w:tcPr>
          <w:p>
            <w:pPr>
              <w:pStyle w:val="TableContents"/>
              <w:bidi w:val="0"/>
              <w:spacing w:before="0" w:after="283"/>
              <w:jc w:val="left"/>
              <w:rPr/>
            </w:pPr>
            <w:r>
              <w:rPr/>
              <w:t> </w:t>
            </w:r>
          </w:p>
        </w:tc>
      </w:tr>
      <w:tr>
        <w:trPr/>
        <w:tc>
          <w:tcPr>
            <w:tcW w:w="37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3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2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3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Formation and operating costs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1" w:type="dxa"/>
            <w:tcBorders/>
            <w:shd w:fill="CCEEFF" w:val="clear"/>
            <w:vAlign w:val="bottom"/>
          </w:tcPr>
          <w:p>
            <w:pPr>
              <w:pStyle w:val="TableContents"/>
              <w:bidi w:val="0"/>
              <w:spacing w:before="0" w:after="283"/>
              <w:jc w:val="right"/>
              <w:rPr/>
            </w:pPr>
            <w:r>
              <w:rPr/>
              <w:t>790,735</w:t>
            </w:r>
          </w:p>
        </w:tc>
        <w:tc>
          <w:tcPr>
            <w:tcW w:w="1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356,666</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1,185,087</w:t>
            </w:r>
          </w:p>
        </w:tc>
        <w:tc>
          <w:tcPr>
            <w:tcW w:w="15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2,367,661</w:t>
            </w:r>
          </w:p>
        </w:tc>
        <w:tc>
          <w:tcPr>
            <w:tcW w:w="161" w:type="dxa"/>
            <w:tcBorders/>
            <w:shd w:fill="CCEEFF" w:val="clear"/>
            <w:vAlign w:val="bottom"/>
          </w:tcPr>
          <w:p>
            <w:pPr>
              <w:pStyle w:val="TableContents"/>
              <w:bidi w:val="0"/>
              <w:spacing w:before="0" w:after="283"/>
              <w:jc w:val="left"/>
              <w:rPr/>
            </w:pPr>
            <w:r>
              <w:rPr/>
              <w:t> </w:t>
            </w:r>
          </w:p>
        </w:tc>
      </w:tr>
      <w:tr>
        <w:trPr/>
        <w:tc>
          <w:tcPr>
            <w:tcW w:w="3737"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27,963</w:t>
            </w:r>
          </w:p>
        </w:tc>
        <w:tc>
          <w:tcPr>
            <w:tcW w:w="1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27,963</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55,926</w:t>
            </w:r>
          </w:p>
        </w:tc>
        <w:tc>
          <w:tcPr>
            <w:tcW w:w="15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55,926</w:t>
            </w:r>
          </w:p>
        </w:tc>
        <w:tc>
          <w:tcPr>
            <w:tcW w:w="161" w:type="dxa"/>
            <w:tcBorders/>
            <w:vAlign w:val="bottom"/>
          </w:tcPr>
          <w:p>
            <w:pPr>
              <w:pStyle w:val="TableContents"/>
              <w:bidi w:val="0"/>
              <w:spacing w:before="0" w:after="283"/>
              <w:jc w:val="left"/>
              <w:rPr/>
            </w:pPr>
            <w:r>
              <w:rPr/>
              <w:t> </w:t>
            </w:r>
          </w:p>
        </w:tc>
      </w:tr>
      <w:tr>
        <w:trPr/>
        <w:tc>
          <w:tcPr>
            <w:tcW w:w="3737"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(818,698</w:t>
            </w:r>
          </w:p>
        </w:tc>
        <w:tc>
          <w:tcPr>
            <w:tcW w:w="164" w:type="dxa"/>
            <w:tcBorders/>
            <w:shd w:fill="CCEEFF" w:val="clear"/>
            <w:vAlign w:val="bottom"/>
          </w:tcPr>
          <w:p>
            <w:pPr>
              <w:pStyle w:val="TableContents"/>
              <w:bidi w:val="0"/>
              <w:spacing w:before="0" w:after="283"/>
              <w:jc w:val="left"/>
              <w:rPr>
                <w:b/>
              </w:rPr>
            </w:pPr>
            <w:r>
              <w:rPr>
                <w:b/>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b/>
              </w:rPr>
            </w:pPr>
            <w:r>
              <w:rPr>
                <w:b/>
              </w:rPr>
              <w:t>(384,629</w:t>
            </w:r>
          </w:p>
        </w:tc>
        <w:tc>
          <w:tcPr>
            <w:tcW w:w="155" w:type="dxa"/>
            <w:tcBorders/>
            <w:shd w:fill="CCEEFF" w:val="clear"/>
            <w:vAlign w:val="bottom"/>
          </w:tcPr>
          <w:p>
            <w:pPr>
              <w:pStyle w:val="TableContents"/>
              <w:bidi w:val="0"/>
              <w:spacing w:before="0" w:after="283"/>
              <w:jc w:val="left"/>
              <w:rPr>
                <w:b/>
              </w:rPr>
            </w:pPr>
            <w:r>
              <w:rPr>
                <w:b/>
              </w:rPr>
              <w:t>) </w:t>
            </w:r>
          </w:p>
        </w:tc>
        <w:tc>
          <w:tcPr>
            <w:tcW w:w="2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b/>
              </w:rPr>
            </w:pPr>
            <w:r>
              <w:rPr>
                <w:b/>
              </w:rPr>
              <w:t>(1,241,013</w:t>
            </w:r>
          </w:p>
        </w:tc>
        <w:tc>
          <w:tcPr>
            <w:tcW w:w="156" w:type="dxa"/>
            <w:tcBorders/>
            <w:shd w:fill="CCEEFF" w:val="clear"/>
            <w:vAlign w:val="bottom"/>
          </w:tcPr>
          <w:p>
            <w:pPr>
              <w:pStyle w:val="TableContents"/>
              <w:bidi w:val="0"/>
              <w:spacing w:before="0" w:after="283"/>
              <w:jc w:val="left"/>
              <w:rPr>
                <w:b/>
              </w:rPr>
            </w:pPr>
            <w:r>
              <w:rPr>
                <w:b/>
              </w:rPr>
              <w:t>) </w:t>
            </w:r>
          </w:p>
        </w:tc>
        <w:tc>
          <w:tcPr>
            <w:tcW w:w="2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b/>
              </w:rPr>
            </w:pPr>
            <w:r>
              <w:rPr>
                <w:b/>
              </w:rPr>
              <w:t>(2,423,587</w:t>
            </w:r>
          </w:p>
        </w:tc>
        <w:tc>
          <w:tcPr>
            <w:tcW w:w="161" w:type="dxa"/>
            <w:tcBorders/>
            <w:shd w:fill="CCEEFF" w:val="clear"/>
            <w:vAlign w:val="bottom"/>
          </w:tcPr>
          <w:p>
            <w:pPr>
              <w:pStyle w:val="TableContents"/>
              <w:bidi w:val="0"/>
              <w:spacing w:before="0" w:after="283"/>
              <w:jc w:val="left"/>
              <w:rPr>
                <w:b/>
              </w:rPr>
            </w:pPr>
            <w:r>
              <w:rPr>
                <w:b/>
              </w:rPr>
              <w:t>) </w:t>
            </w:r>
          </w:p>
        </w:tc>
      </w:tr>
      <w:tr>
        <w:trPr/>
        <w:tc>
          <w:tcPr>
            <w:tcW w:w="3737"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income</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Trust interest income</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974,408</w:t>
            </w:r>
          </w:p>
        </w:tc>
        <w:tc>
          <w:tcPr>
            <w:tcW w:w="1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12,243</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2,264,081</w:t>
            </w:r>
          </w:p>
        </w:tc>
        <w:tc>
          <w:tcPr>
            <w:tcW w:w="15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15,087</w:t>
            </w:r>
          </w:p>
        </w:tc>
        <w:tc>
          <w:tcPr>
            <w:tcW w:w="161" w:type="dxa"/>
            <w:tcBorders/>
            <w:shd w:fill="CCEEFF" w:val="clear"/>
            <w:vAlign w:val="bottom"/>
          </w:tcPr>
          <w:p>
            <w:pPr>
              <w:pStyle w:val="TableContents"/>
              <w:bidi w:val="0"/>
              <w:spacing w:before="0" w:after="283"/>
              <w:jc w:val="left"/>
              <w:rPr/>
            </w:pPr>
            <w:r>
              <w:rPr/>
              <w:t> </w:t>
            </w:r>
          </w:p>
        </w:tc>
      </w:tr>
      <w:tr>
        <w:trPr/>
        <w:tc>
          <w:tcPr>
            <w:tcW w:w="3737"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37"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974,408</w:t>
            </w:r>
          </w:p>
        </w:tc>
        <w:tc>
          <w:tcPr>
            <w:tcW w:w="1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12,243</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2,264,081</w:t>
            </w:r>
          </w:p>
        </w:tc>
        <w:tc>
          <w:tcPr>
            <w:tcW w:w="15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15,087</w:t>
            </w:r>
          </w:p>
        </w:tc>
        <w:tc>
          <w:tcPr>
            <w:tcW w:w="161" w:type="dxa"/>
            <w:tcBorders/>
            <w:vAlign w:val="bottom"/>
          </w:tcPr>
          <w:p>
            <w:pPr>
              <w:pStyle w:val="TableContents"/>
              <w:bidi w:val="0"/>
              <w:spacing w:before="0" w:after="283"/>
              <w:jc w:val="left"/>
              <w:rPr/>
            </w:pPr>
            <w:r>
              <w:rPr/>
              <w:t> </w:t>
            </w:r>
          </w:p>
        </w:tc>
      </w:tr>
      <w:tr>
        <w:trPr/>
        <w:tc>
          <w:tcPr>
            <w:tcW w:w="3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provision for income taxes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155,710</w:t>
            </w:r>
          </w:p>
        </w:tc>
        <w:tc>
          <w:tcPr>
            <w:tcW w:w="1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(372,286</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1,023,068</w:t>
            </w:r>
          </w:p>
        </w:tc>
        <w:tc>
          <w:tcPr>
            <w:tcW w:w="15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(2,408,500</w:t>
            </w:r>
          </w:p>
        </w:tc>
        <w:tc>
          <w:tcPr>
            <w:tcW w:w="161" w:type="dxa"/>
            <w:tcBorders/>
            <w:shd w:fill="CCEEFF" w:val="clear"/>
            <w:vAlign w:val="bottom"/>
          </w:tcPr>
          <w:p>
            <w:pPr>
              <w:pStyle w:val="TableContents"/>
              <w:bidi w:val="0"/>
              <w:spacing w:before="0" w:after="283"/>
              <w:jc w:val="left"/>
              <w:rPr/>
            </w:pPr>
            <w:r>
              <w:rPr/>
              <w:t>) </w:t>
            </w:r>
          </w:p>
        </w:tc>
      </w:tr>
      <w:tr>
        <w:trPr/>
        <w:tc>
          <w:tcPr>
            <w:tcW w:w="3737"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(182,853</w:t>
            </w:r>
          </w:p>
        </w:tc>
        <w:tc>
          <w:tcPr>
            <w:tcW w:w="1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(443,184</w:t>
            </w:r>
          </w:p>
        </w:tc>
        <w:tc>
          <w:tcPr>
            <w:tcW w:w="15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737"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income</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21" w:type="dxa"/>
            <w:tcBorders/>
            <w:shd w:fill="CCEEFF" w:val="clear"/>
            <w:vAlign w:val="bottom"/>
          </w:tcPr>
          <w:p>
            <w:pPr>
              <w:pStyle w:val="TableContents"/>
              <w:bidi w:val="0"/>
              <w:spacing w:before="0" w:after="283"/>
              <w:jc w:val="right"/>
              <w:rPr>
                <w:b/>
              </w:rPr>
            </w:pPr>
            <w:r>
              <w:rPr>
                <w:b/>
              </w:rPr>
              <w:t>(27,143</w:t>
            </w:r>
          </w:p>
        </w:tc>
        <w:tc>
          <w:tcPr>
            <w:tcW w:w="164" w:type="dxa"/>
            <w:tcBorders/>
            <w:shd w:fill="CCEEFF" w:val="clear"/>
            <w:vAlign w:val="bottom"/>
          </w:tcPr>
          <w:p>
            <w:pPr>
              <w:pStyle w:val="TableContents"/>
              <w:bidi w:val="0"/>
              <w:spacing w:before="0" w:after="283"/>
              <w:jc w:val="left"/>
              <w:rPr>
                <w:b/>
              </w:rPr>
            </w:pPr>
            <w:r>
              <w:rPr>
                <w:b/>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61" w:type="dxa"/>
            <w:tcBorders/>
            <w:shd w:fill="CCEEFF" w:val="clear"/>
            <w:vAlign w:val="bottom"/>
          </w:tcPr>
          <w:p>
            <w:pPr>
              <w:pStyle w:val="TableContents"/>
              <w:bidi w:val="0"/>
              <w:spacing w:before="0" w:after="283"/>
              <w:jc w:val="right"/>
              <w:rPr>
                <w:b/>
              </w:rPr>
            </w:pPr>
            <w:r>
              <w:rPr>
                <w:b/>
              </w:rPr>
              <w:t>(372,386</w:t>
            </w:r>
          </w:p>
        </w:tc>
        <w:tc>
          <w:tcPr>
            <w:tcW w:w="155" w:type="dxa"/>
            <w:tcBorders/>
            <w:shd w:fill="CCEEFF" w:val="clear"/>
            <w:vAlign w:val="bottom"/>
          </w:tcPr>
          <w:p>
            <w:pPr>
              <w:pStyle w:val="TableContents"/>
              <w:bidi w:val="0"/>
              <w:spacing w:before="0" w:after="283"/>
              <w:jc w:val="left"/>
              <w:rPr>
                <w:b/>
              </w:rPr>
            </w:pPr>
            <w:r>
              <w:rPr>
                <w:b/>
              </w:rPr>
              <w:t>) </w:t>
            </w:r>
          </w:p>
        </w:tc>
        <w:tc>
          <w:tcPr>
            <w:tcW w:w="2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1114" w:type="dxa"/>
            <w:tcBorders/>
            <w:shd w:fill="CCEEFF" w:val="clear"/>
            <w:vAlign w:val="bottom"/>
          </w:tcPr>
          <w:p>
            <w:pPr>
              <w:pStyle w:val="TableContents"/>
              <w:bidi w:val="0"/>
              <w:spacing w:before="0" w:after="283"/>
              <w:jc w:val="right"/>
              <w:rPr>
                <w:b/>
              </w:rPr>
            </w:pPr>
            <w:r>
              <w:rPr>
                <w:b/>
              </w:rPr>
              <w:t>579,884</w:t>
            </w:r>
          </w:p>
        </w:tc>
        <w:tc>
          <w:tcPr>
            <w:tcW w:w="15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1115" w:type="dxa"/>
            <w:tcBorders/>
            <w:shd w:fill="CCEEFF" w:val="clear"/>
            <w:vAlign w:val="bottom"/>
          </w:tcPr>
          <w:p>
            <w:pPr>
              <w:pStyle w:val="TableContents"/>
              <w:bidi w:val="0"/>
              <w:spacing w:before="0" w:after="283"/>
              <w:jc w:val="right"/>
              <w:rPr>
                <w:b/>
              </w:rPr>
            </w:pPr>
            <w:r>
              <w:rPr>
                <w:b/>
              </w:rPr>
              <w:t>(2,408,500</w:t>
            </w:r>
          </w:p>
        </w:tc>
        <w:tc>
          <w:tcPr>
            <w:tcW w:w="161" w:type="dxa"/>
            <w:tcBorders/>
            <w:shd w:fill="CCEEFF" w:val="clear"/>
            <w:vAlign w:val="bottom"/>
          </w:tcPr>
          <w:p>
            <w:pPr>
              <w:pStyle w:val="TableContents"/>
              <w:bidi w:val="0"/>
              <w:spacing w:before="0" w:after="283"/>
              <w:jc w:val="left"/>
              <w:rPr>
                <w:b/>
              </w:rPr>
            </w:pPr>
            <w:r>
              <w:rPr>
                <w:b/>
              </w:rPr>
              <w:t>) </w:t>
            </w:r>
          </w:p>
        </w:tc>
      </w:tr>
      <w:tr>
        <w:trPr/>
        <w:tc>
          <w:tcPr>
            <w:tcW w:w="3737"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37"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weighted average shares outstanding, common stock subject to possible redemption</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7,722,273</w:t>
            </w:r>
          </w:p>
        </w:tc>
        <w:tc>
          <w:tcPr>
            <w:tcW w:w="1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15,000,000</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11,401,124</w:t>
            </w:r>
          </w:p>
        </w:tc>
        <w:tc>
          <w:tcPr>
            <w:tcW w:w="15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15,000,000</w:t>
            </w:r>
          </w:p>
        </w:tc>
        <w:tc>
          <w:tcPr>
            <w:tcW w:w="161" w:type="dxa"/>
            <w:tcBorders/>
            <w:vAlign w:val="bottom"/>
          </w:tcPr>
          <w:p>
            <w:pPr>
              <w:pStyle w:val="TableContents"/>
              <w:bidi w:val="0"/>
              <w:spacing w:before="0" w:after="283"/>
              <w:jc w:val="left"/>
              <w:rPr/>
            </w:pPr>
            <w:r>
              <w:rPr/>
              <w:t> </w:t>
            </w:r>
          </w:p>
        </w:tc>
      </w:tr>
      <w:tr>
        <w:trPr/>
        <w:tc>
          <w:tcPr>
            <w:tcW w:w="3737"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income per share</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21" w:type="dxa"/>
            <w:tcBorders/>
            <w:shd w:fill="CCEEFF" w:val="clear"/>
            <w:vAlign w:val="bottom"/>
          </w:tcPr>
          <w:p>
            <w:pPr>
              <w:pStyle w:val="TableContents"/>
              <w:bidi w:val="0"/>
              <w:spacing w:before="0" w:after="283"/>
              <w:jc w:val="right"/>
              <w:rPr>
                <w:b/>
              </w:rPr>
            </w:pPr>
            <w:r>
              <w:rPr>
                <w:b/>
              </w:rPr>
              <w:t>(0.00</w:t>
            </w:r>
          </w:p>
        </w:tc>
        <w:tc>
          <w:tcPr>
            <w:tcW w:w="164" w:type="dxa"/>
            <w:tcBorders/>
            <w:shd w:fill="CCEEFF" w:val="clear"/>
            <w:vAlign w:val="bottom"/>
          </w:tcPr>
          <w:p>
            <w:pPr>
              <w:pStyle w:val="TableContents"/>
              <w:bidi w:val="0"/>
              <w:spacing w:before="0" w:after="283"/>
              <w:jc w:val="left"/>
              <w:rPr>
                <w:b/>
              </w:rPr>
            </w:pPr>
            <w:r>
              <w:rPr>
                <w:b/>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61" w:type="dxa"/>
            <w:tcBorders/>
            <w:shd w:fill="CCEEFF" w:val="clear"/>
            <w:vAlign w:val="bottom"/>
          </w:tcPr>
          <w:p>
            <w:pPr>
              <w:pStyle w:val="TableContents"/>
              <w:bidi w:val="0"/>
              <w:spacing w:before="0" w:after="283"/>
              <w:jc w:val="right"/>
              <w:rPr>
                <w:b/>
              </w:rPr>
            </w:pPr>
            <w:r>
              <w:rPr>
                <w:b/>
              </w:rPr>
              <w:t>(0.02</w:t>
            </w:r>
          </w:p>
        </w:tc>
        <w:tc>
          <w:tcPr>
            <w:tcW w:w="155" w:type="dxa"/>
            <w:tcBorders/>
            <w:shd w:fill="CCEEFF" w:val="clear"/>
            <w:vAlign w:val="bottom"/>
          </w:tcPr>
          <w:p>
            <w:pPr>
              <w:pStyle w:val="TableContents"/>
              <w:bidi w:val="0"/>
              <w:spacing w:before="0" w:after="283"/>
              <w:jc w:val="left"/>
              <w:rPr>
                <w:b/>
              </w:rPr>
            </w:pPr>
            <w:r>
              <w:rPr>
                <w:b/>
              </w:rPr>
              <w:t>) </w:t>
            </w:r>
          </w:p>
        </w:tc>
        <w:tc>
          <w:tcPr>
            <w:tcW w:w="2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1114" w:type="dxa"/>
            <w:tcBorders/>
            <w:shd w:fill="CCEEFF" w:val="clear"/>
            <w:vAlign w:val="bottom"/>
          </w:tcPr>
          <w:p>
            <w:pPr>
              <w:pStyle w:val="TableContents"/>
              <w:bidi w:val="0"/>
              <w:spacing w:before="0" w:after="283"/>
              <w:jc w:val="right"/>
              <w:rPr>
                <w:b/>
              </w:rPr>
            </w:pPr>
            <w:r>
              <w:rPr>
                <w:b/>
              </w:rPr>
              <w:t>0.03</w:t>
            </w:r>
          </w:p>
        </w:tc>
        <w:tc>
          <w:tcPr>
            <w:tcW w:w="15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1115" w:type="dxa"/>
            <w:tcBorders/>
            <w:shd w:fill="CCEEFF" w:val="clear"/>
            <w:vAlign w:val="bottom"/>
          </w:tcPr>
          <w:p>
            <w:pPr>
              <w:pStyle w:val="TableContents"/>
              <w:bidi w:val="0"/>
              <w:spacing w:before="0" w:after="283"/>
              <w:jc w:val="right"/>
              <w:rPr>
                <w:b/>
              </w:rPr>
            </w:pPr>
            <w:r>
              <w:rPr>
                <w:b/>
              </w:rPr>
              <w:t>(0.02</w:t>
            </w:r>
          </w:p>
        </w:tc>
        <w:tc>
          <w:tcPr>
            <w:tcW w:w="161" w:type="dxa"/>
            <w:tcBorders/>
            <w:shd w:fill="CCEEFF" w:val="clear"/>
            <w:vAlign w:val="bottom"/>
          </w:tcPr>
          <w:p>
            <w:pPr>
              <w:pStyle w:val="TableContents"/>
              <w:bidi w:val="0"/>
              <w:spacing w:before="0" w:after="283"/>
              <w:jc w:val="left"/>
              <w:rPr>
                <w:b/>
              </w:rPr>
            </w:pPr>
            <w:r>
              <w:rPr>
                <w:b/>
              </w:rPr>
              <w:t>) </w:t>
            </w:r>
          </w:p>
        </w:tc>
      </w:tr>
      <w:tr>
        <w:trPr/>
        <w:tc>
          <w:tcPr>
            <w:tcW w:w="3737"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37"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weighted average shares outstanding, non-redeemable common stock</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5,709,500</w:t>
            </w:r>
          </w:p>
        </w:tc>
        <w:tc>
          <w:tcPr>
            <w:tcW w:w="1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5,709,500</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5,709,500</w:t>
            </w:r>
          </w:p>
        </w:tc>
        <w:tc>
          <w:tcPr>
            <w:tcW w:w="15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5,709,500</w:t>
            </w:r>
          </w:p>
        </w:tc>
        <w:tc>
          <w:tcPr>
            <w:tcW w:w="161" w:type="dxa"/>
            <w:tcBorders/>
            <w:vAlign w:val="bottom"/>
          </w:tcPr>
          <w:p>
            <w:pPr>
              <w:pStyle w:val="TableContents"/>
              <w:bidi w:val="0"/>
              <w:spacing w:before="0" w:after="283"/>
              <w:jc w:val="left"/>
              <w:rPr/>
            </w:pPr>
            <w:r>
              <w:rPr/>
              <w:t> </w:t>
            </w:r>
          </w:p>
        </w:tc>
      </w:tr>
      <w:tr>
        <w:trPr/>
        <w:tc>
          <w:tcPr>
            <w:tcW w:w="3737"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7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income per share</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21" w:type="dxa"/>
            <w:tcBorders/>
            <w:shd w:fill="CCEEFF" w:val="clear"/>
            <w:vAlign w:val="bottom"/>
          </w:tcPr>
          <w:p>
            <w:pPr>
              <w:pStyle w:val="TableContents"/>
              <w:bidi w:val="0"/>
              <w:spacing w:before="0" w:after="283"/>
              <w:jc w:val="right"/>
              <w:rPr>
                <w:b/>
              </w:rPr>
            </w:pPr>
            <w:r>
              <w:rPr>
                <w:b/>
              </w:rPr>
              <w:t>(0.00</w:t>
            </w:r>
          </w:p>
        </w:tc>
        <w:tc>
          <w:tcPr>
            <w:tcW w:w="164" w:type="dxa"/>
            <w:tcBorders/>
            <w:shd w:fill="CCEEFF" w:val="clear"/>
            <w:vAlign w:val="bottom"/>
          </w:tcPr>
          <w:p>
            <w:pPr>
              <w:pStyle w:val="TableContents"/>
              <w:bidi w:val="0"/>
              <w:spacing w:before="0" w:after="283"/>
              <w:jc w:val="left"/>
              <w:rPr>
                <w:b/>
              </w:rPr>
            </w:pPr>
            <w:r>
              <w:rPr>
                <w:b/>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6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1114" w:type="dxa"/>
            <w:tcBorders/>
            <w:shd w:fill="CCEEFF" w:val="clear"/>
            <w:vAlign w:val="bottom"/>
          </w:tcPr>
          <w:p>
            <w:pPr>
              <w:pStyle w:val="TableContents"/>
              <w:bidi w:val="0"/>
              <w:spacing w:before="0" w:after="283"/>
              <w:jc w:val="right"/>
              <w:rPr>
                <w:b/>
              </w:rPr>
            </w:pPr>
            <w:r>
              <w:rPr>
                <w:b/>
              </w:rPr>
              <w:t>0.03</w:t>
            </w:r>
          </w:p>
        </w:tc>
        <w:tc>
          <w:tcPr>
            <w:tcW w:w="15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1115" w:type="dxa"/>
            <w:tcBorders/>
            <w:shd w:fill="CCEEFF" w:val="clear"/>
            <w:vAlign w:val="bottom"/>
          </w:tcPr>
          <w:p>
            <w:pPr>
              <w:pStyle w:val="TableContents"/>
              <w:bidi w:val="0"/>
              <w:spacing w:before="0" w:after="283"/>
              <w:jc w:val="right"/>
              <w:rPr>
                <w:b/>
              </w:rPr>
            </w:pPr>
            <w:r>
              <w:rPr>
                <w:b/>
              </w:rPr>
              <w:t>(0.02</w:t>
            </w:r>
          </w:p>
        </w:tc>
        <w:tc>
          <w:tcPr>
            <w:tcW w:w="161" w:type="dxa"/>
            <w:tcBorders/>
            <w:shd w:fill="CCEEFF" w:val="clear"/>
            <w:vAlign w:val="bottom"/>
          </w:tcPr>
          <w:p>
            <w:pPr>
              <w:pStyle w:val="TableContents"/>
              <w:bidi w:val="0"/>
              <w:spacing w:before="0" w:after="283"/>
              <w:jc w:val="left"/>
              <w:rPr>
                <w:b/>
              </w:rPr>
            </w:pPr>
            <w:r>
              <w:rPr>
                <w:b/>
              </w:rPr>
              <w:t>) </w:t>
            </w:r>
          </w:p>
        </w:tc>
      </w:tr>
      <w:tr>
        <w:trPr/>
        <w:tc>
          <w:tcPr>
            <w:tcW w:w="3737"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bidi w:val="0"/>
        <w:spacing w:before="0" w:after="0"/>
        <w:jc w:val="center"/>
        <w:rPr>
          <w:rFonts w:ascii="Times New Roman" w:hAnsi="Times New Roman"/>
          <w:b/>
          <w:sz w:val="20"/>
        </w:rPr>
      </w:pPr>
      <w:bookmarkStart w:id="59" w:name="fin309194_16"/>
      <w:bookmarkEnd w:id="59"/>
      <w:r>
        <w:rPr>
          <w:rFonts w:ascii="Times New Roman" w:hAnsi="Times New Roman"/>
          <w:b/>
          <w:sz w:val="20"/>
        </w:rPr>
        <w:t xml:space="preserve">CONDENSED STATEMENTS OF CHANGES IN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THREE AND SIX MONTHS ENDED MARCH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0"/>
        <w:gridCol w:w="170"/>
        <w:gridCol w:w="60"/>
        <w:gridCol w:w="1007"/>
        <w:gridCol w:w="60"/>
        <w:gridCol w:w="170"/>
        <w:gridCol w:w="231"/>
        <w:gridCol w:w="639"/>
        <w:gridCol w:w="60"/>
        <w:gridCol w:w="170"/>
        <w:gridCol w:w="140"/>
        <w:gridCol w:w="1105"/>
        <w:gridCol w:w="155"/>
        <w:gridCol w:w="117"/>
        <w:gridCol w:w="160"/>
        <w:gridCol w:w="1271"/>
        <w:gridCol w:w="155"/>
        <w:gridCol w:w="118"/>
        <w:gridCol w:w="156"/>
        <w:gridCol w:w="1249"/>
        <w:gridCol w:w="162"/>
      </w:tblGrid>
      <w:tr>
        <w:trPr/>
        <w:tc>
          <w:tcPr>
            <w:tcW w:w="285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1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45" w:type="dxa"/>
            <w:gridSpan w:val="2"/>
            <w:tcBorders/>
            <w:vAlign w:val="bottom"/>
          </w:tcPr>
          <w:p>
            <w:pPr>
              <w:pStyle w:val="TableContents"/>
              <w:bidi w:val="0"/>
              <w:spacing w:before="0" w:after="283"/>
              <w:jc w:val="center"/>
              <w:rPr>
                <w:b/>
              </w:rPr>
            </w:pPr>
            <w:r>
              <w:rPr>
                <w:b/>
              </w:rPr>
              <w:t>Additional</w:t>
              <w:br/>
              <w:t>Paid-in</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31" w:type="dxa"/>
            <w:gridSpan w:val="2"/>
            <w:tcBorders/>
            <w:vAlign w:val="bottom"/>
          </w:tcPr>
          <w:p>
            <w:pPr>
              <w:pStyle w:val="TableContents"/>
              <w:bidi w:val="0"/>
              <w:spacing w:before="0" w:after="283"/>
              <w:jc w:val="center"/>
              <w:rPr>
                <w:b/>
              </w:rPr>
            </w:pPr>
            <w:r>
              <w:rPr>
                <w:b/>
              </w:rPr>
              <w:t>Accumulated</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5" w:type="dxa"/>
            <w:gridSpan w:val="2"/>
            <w:tcBorders/>
            <w:vAlign w:val="bottom"/>
          </w:tcPr>
          <w:p>
            <w:pPr>
              <w:pStyle w:val="TableContents"/>
              <w:bidi w:val="0"/>
              <w:spacing w:before="0" w:after="283"/>
              <w:jc w:val="center"/>
              <w:rPr>
                <w:b/>
              </w:rPr>
            </w:pPr>
            <w:r>
              <w:rPr>
                <w:b/>
              </w:rPr>
              <w:t>Total</w:t>
              <w:br/>
              <w:t>Stockholders</w:t>
            </w:r>
          </w:p>
        </w:tc>
        <w:tc>
          <w:tcPr>
            <w:tcW w:w="162" w:type="dxa"/>
            <w:tcBorders/>
            <w:vAlign w:val="bottom"/>
          </w:tcPr>
          <w:p>
            <w:pPr>
              <w:pStyle w:val="TableContents"/>
              <w:bidi w:val="0"/>
              <w:spacing w:before="0" w:after="283"/>
              <w:jc w:val="left"/>
              <w:rPr/>
            </w:pPr>
            <w:r>
              <w:rPr/>
              <w:t> </w:t>
            </w:r>
          </w:p>
        </w:tc>
      </w:tr>
      <w:tr>
        <w:trPr/>
        <w:tc>
          <w:tcPr>
            <w:tcW w:w="28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Capital</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62" w:type="dxa"/>
            <w:tcBorders/>
            <w:vAlign w:val="bottom"/>
          </w:tcPr>
          <w:p>
            <w:pPr>
              <w:pStyle w:val="TableContents"/>
              <w:bidi w:val="0"/>
              <w:spacing w:before="0" w:after="283"/>
              <w:jc w:val="left"/>
              <w:rPr/>
            </w:pPr>
            <w:r>
              <w:rPr/>
              <w:t> </w:t>
            </w:r>
          </w:p>
        </w:tc>
      </w:tr>
      <w:tr>
        <w:trPr/>
        <w:tc>
          <w:tcPr>
            <w:tcW w:w="28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September 30, 2022</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b/>
              </w:rPr>
            </w:pPr>
            <w:r>
              <w:rPr>
                <w:b/>
              </w:rPr>
              <w:t>5,709,500</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9" w:type="dxa"/>
            <w:tcBorders/>
            <w:shd w:fill="CCEEFF" w:val="clear"/>
            <w:vAlign w:val="bottom"/>
          </w:tcPr>
          <w:p>
            <w:pPr>
              <w:pStyle w:val="TableContents"/>
              <w:bidi w:val="0"/>
              <w:spacing w:before="0" w:after="283"/>
              <w:jc w:val="right"/>
              <w:rPr>
                <w:b/>
              </w:rPr>
            </w:pPr>
            <w:r>
              <w:rPr>
                <w:b/>
              </w:rPr>
              <w:t>570</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5" w:type="dxa"/>
            <w:tcBorders/>
            <w:shd w:fill="CCEEFF" w:val="clear"/>
            <w:vAlign w:val="bottom"/>
          </w:tcPr>
          <w:p>
            <w:pPr>
              <w:pStyle w:val="TableContents"/>
              <w:bidi w:val="0"/>
              <w:spacing w:before="0" w:after="283"/>
              <w:jc w:val="right"/>
              <w:rPr>
                <w:b/>
              </w:rPr>
            </w:pPr>
            <w:r>
              <w:rPr>
                <w:b/>
              </w:rPr>
              <w:t>941,796</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b/>
              </w:rPr>
            </w:pPr>
            <w:r>
              <w:rPr>
                <w:b/>
              </w:rPr>
              <w:t>$</w:t>
            </w:r>
          </w:p>
        </w:tc>
        <w:tc>
          <w:tcPr>
            <w:tcW w:w="1271" w:type="dxa"/>
            <w:tcBorders/>
            <w:shd w:fill="CCEEFF" w:val="clear"/>
            <w:vAlign w:val="bottom"/>
          </w:tcPr>
          <w:p>
            <w:pPr>
              <w:pStyle w:val="TableContents"/>
              <w:bidi w:val="0"/>
              <w:spacing w:before="0" w:after="283"/>
              <w:jc w:val="right"/>
              <w:rPr>
                <w:b/>
              </w:rPr>
            </w:pPr>
            <w:r>
              <w:rPr>
                <w:b/>
              </w:rPr>
              <w:t>(4,091,693</w:t>
            </w:r>
          </w:p>
        </w:tc>
        <w:tc>
          <w:tcPr>
            <w:tcW w:w="155" w:type="dxa"/>
            <w:tcBorders/>
            <w:shd w:fill="CCEEFF" w:val="clear"/>
            <w:vAlign w:val="bottom"/>
          </w:tcPr>
          <w:p>
            <w:pPr>
              <w:pStyle w:val="TableContents"/>
              <w:bidi w:val="0"/>
              <w:spacing w:before="0" w:after="283"/>
              <w:jc w:val="left"/>
              <w:rPr>
                <w:b/>
              </w:rPr>
            </w:pPr>
            <w:r>
              <w:rPr>
                <w:b/>
              </w:rPr>
              <w:t>) </w:t>
            </w:r>
          </w:p>
        </w:tc>
        <w:tc>
          <w:tcPr>
            <w:tcW w:w="11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1249" w:type="dxa"/>
            <w:tcBorders/>
            <w:shd w:fill="CCEEFF" w:val="clear"/>
            <w:vAlign w:val="bottom"/>
          </w:tcPr>
          <w:p>
            <w:pPr>
              <w:pStyle w:val="TableContents"/>
              <w:bidi w:val="0"/>
              <w:spacing w:before="0" w:after="283"/>
              <w:jc w:val="right"/>
              <w:rPr>
                <w:b/>
              </w:rPr>
            </w:pPr>
            <w:r>
              <w:rPr>
                <w:b/>
              </w:rPr>
              <w:t>(3,149,327</w:t>
            </w:r>
          </w:p>
        </w:tc>
        <w:tc>
          <w:tcPr>
            <w:tcW w:w="162" w:type="dxa"/>
            <w:tcBorders/>
            <w:shd w:fill="CCEEFF" w:val="clear"/>
            <w:vAlign w:val="bottom"/>
          </w:tcPr>
          <w:p>
            <w:pPr>
              <w:pStyle w:val="TableContents"/>
              <w:bidi w:val="0"/>
              <w:spacing w:before="0" w:after="283"/>
              <w:jc w:val="left"/>
              <w:rPr>
                <w:b/>
              </w:rPr>
            </w:pPr>
            <w:r>
              <w:rPr>
                <w:b/>
              </w:rPr>
              <w:t>) </w:t>
            </w:r>
          </w:p>
        </w:tc>
      </w:tr>
      <w:tr>
        <w:trPr/>
        <w:tc>
          <w:tcPr>
            <w:tcW w:w="285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27,963</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27,963</w:t>
            </w:r>
          </w:p>
        </w:tc>
        <w:tc>
          <w:tcPr>
            <w:tcW w:w="162" w:type="dxa"/>
            <w:tcBorders/>
            <w:vAlign w:val="bottom"/>
          </w:tcPr>
          <w:p>
            <w:pPr>
              <w:pStyle w:val="TableContents"/>
              <w:bidi w:val="0"/>
              <w:spacing w:before="0" w:after="283"/>
              <w:jc w:val="left"/>
              <w:rPr/>
            </w:pPr>
            <w:r>
              <w:rPr/>
              <w:t> </w:t>
            </w:r>
          </w:p>
        </w:tc>
      </w:tr>
      <w:tr>
        <w:trPr/>
        <w:tc>
          <w:tcPr>
            <w:tcW w:w="2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Subsequent remeasurement of common stock subject to possible redemption</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(2,479,343</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(2,479,343</w:t>
            </w:r>
          </w:p>
        </w:tc>
        <w:tc>
          <w:tcPr>
            <w:tcW w:w="162" w:type="dxa"/>
            <w:tcBorders/>
            <w:shd w:fill="CCEEFF" w:val="clear"/>
            <w:vAlign w:val="bottom"/>
          </w:tcPr>
          <w:p>
            <w:pPr>
              <w:pStyle w:val="TableContents"/>
              <w:bidi w:val="0"/>
              <w:spacing w:before="0" w:after="283"/>
              <w:jc w:val="left"/>
              <w:rPr/>
            </w:pPr>
            <w:r>
              <w:rPr/>
              <w:t>) </w:t>
            </w:r>
          </w:p>
        </w:tc>
      </w:tr>
      <w:tr>
        <w:trPr/>
        <w:tc>
          <w:tcPr>
            <w:tcW w:w="28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607,027</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607,027</w:t>
            </w:r>
          </w:p>
        </w:tc>
        <w:tc>
          <w:tcPr>
            <w:tcW w:w="162" w:type="dxa"/>
            <w:tcBorders/>
            <w:vAlign w:val="bottom"/>
          </w:tcPr>
          <w:p>
            <w:pPr>
              <w:pStyle w:val="TableContents"/>
              <w:bidi w:val="0"/>
              <w:spacing w:before="0" w:after="283"/>
              <w:jc w:val="left"/>
              <w:rPr/>
            </w:pPr>
            <w:r>
              <w:rPr/>
              <w:t> </w:t>
            </w:r>
          </w:p>
        </w:tc>
      </w:tr>
      <w:tr>
        <w:trPr/>
        <w:tc>
          <w:tcPr>
            <w:tcW w:w="2850"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b/>
              </w:rPr>
            </w:pPr>
            <w:r>
              <w:rPr>
                <w:b/>
              </w:rPr>
              <w:t>5,709,500</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9" w:type="dxa"/>
            <w:tcBorders/>
            <w:shd w:fill="CCEEFF" w:val="clear"/>
            <w:vAlign w:val="bottom"/>
          </w:tcPr>
          <w:p>
            <w:pPr>
              <w:pStyle w:val="TableContents"/>
              <w:bidi w:val="0"/>
              <w:spacing w:before="0" w:after="283"/>
              <w:jc w:val="right"/>
              <w:rPr>
                <w:b/>
              </w:rPr>
            </w:pPr>
            <w:r>
              <w:rPr>
                <w:b/>
              </w:rPr>
              <w:t>570</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5" w:type="dxa"/>
            <w:tcBorders/>
            <w:shd w:fill="CCEEFF" w:val="clear"/>
            <w:vAlign w:val="bottom"/>
          </w:tcPr>
          <w:p>
            <w:pPr>
              <w:pStyle w:val="TableContents"/>
              <w:bidi w:val="0"/>
              <w:spacing w:before="0" w:after="283"/>
              <w:jc w:val="right"/>
              <w:rPr>
                <w:b/>
              </w:rPr>
            </w:pPr>
            <w:r>
              <w:rPr>
                <w:b/>
              </w:rPr>
              <w:t>969,759</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b/>
              </w:rPr>
            </w:pPr>
            <w:r>
              <w:rPr>
                <w:b/>
              </w:rPr>
              <w:t>$</w:t>
            </w:r>
          </w:p>
        </w:tc>
        <w:tc>
          <w:tcPr>
            <w:tcW w:w="1271" w:type="dxa"/>
            <w:tcBorders/>
            <w:shd w:fill="CCEEFF" w:val="clear"/>
            <w:vAlign w:val="bottom"/>
          </w:tcPr>
          <w:p>
            <w:pPr>
              <w:pStyle w:val="TableContents"/>
              <w:bidi w:val="0"/>
              <w:spacing w:before="0" w:after="283"/>
              <w:jc w:val="right"/>
              <w:rPr>
                <w:b/>
              </w:rPr>
            </w:pPr>
            <w:r>
              <w:rPr>
                <w:b/>
              </w:rPr>
              <w:t>(5,964,009</w:t>
            </w:r>
          </w:p>
        </w:tc>
        <w:tc>
          <w:tcPr>
            <w:tcW w:w="155" w:type="dxa"/>
            <w:tcBorders/>
            <w:shd w:fill="CCEEFF" w:val="clear"/>
            <w:vAlign w:val="bottom"/>
          </w:tcPr>
          <w:p>
            <w:pPr>
              <w:pStyle w:val="TableContents"/>
              <w:bidi w:val="0"/>
              <w:spacing w:before="0" w:after="283"/>
              <w:jc w:val="left"/>
              <w:rPr>
                <w:b/>
              </w:rPr>
            </w:pPr>
            <w:r>
              <w:rPr>
                <w:b/>
              </w:rPr>
              <w:t>) </w:t>
            </w:r>
          </w:p>
        </w:tc>
        <w:tc>
          <w:tcPr>
            <w:tcW w:w="11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1249" w:type="dxa"/>
            <w:tcBorders/>
            <w:shd w:fill="CCEEFF" w:val="clear"/>
            <w:vAlign w:val="bottom"/>
          </w:tcPr>
          <w:p>
            <w:pPr>
              <w:pStyle w:val="TableContents"/>
              <w:bidi w:val="0"/>
              <w:spacing w:before="0" w:after="283"/>
              <w:jc w:val="right"/>
              <w:rPr>
                <w:b/>
              </w:rPr>
            </w:pPr>
            <w:r>
              <w:rPr>
                <w:b/>
              </w:rPr>
              <w:t>(4,993,680</w:t>
            </w:r>
          </w:p>
        </w:tc>
        <w:tc>
          <w:tcPr>
            <w:tcW w:w="162" w:type="dxa"/>
            <w:tcBorders/>
            <w:shd w:fill="CCEEFF" w:val="clear"/>
            <w:vAlign w:val="bottom"/>
          </w:tcPr>
          <w:p>
            <w:pPr>
              <w:pStyle w:val="TableContents"/>
              <w:bidi w:val="0"/>
              <w:spacing w:before="0" w:after="283"/>
              <w:jc w:val="left"/>
              <w:rPr>
                <w:b/>
              </w:rPr>
            </w:pPr>
            <w:r>
              <w:rPr>
                <w:b/>
              </w:rPr>
              <w:t>) </w:t>
            </w:r>
          </w:p>
        </w:tc>
      </w:tr>
      <w:tr>
        <w:trPr/>
        <w:tc>
          <w:tcPr>
            <w:tcW w:w="285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27,963</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27,963</w:t>
            </w:r>
          </w:p>
        </w:tc>
        <w:tc>
          <w:tcPr>
            <w:tcW w:w="162" w:type="dxa"/>
            <w:tcBorders/>
            <w:vAlign w:val="bottom"/>
          </w:tcPr>
          <w:p>
            <w:pPr>
              <w:pStyle w:val="TableContents"/>
              <w:bidi w:val="0"/>
              <w:spacing w:before="0" w:after="283"/>
              <w:jc w:val="left"/>
              <w:rPr/>
            </w:pPr>
            <w:r>
              <w:rPr/>
              <w:t> </w:t>
            </w:r>
          </w:p>
        </w:tc>
      </w:tr>
      <w:tr>
        <w:trPr/>
        <w:tc>
          <w:tcPr>
            <w:tcW w:w="2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contribution made by Sponsor related to the shareholder non-redemption agreements</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1,102,909</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27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249"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850" w:type="dxa"/>
            <w:tcBorders/>
          </w:tcPr>
          <w:p>
            <w:pPr>
              <w:pStyle w:val="TableContents"/>
              <w:bidi w:val="0"/>
              <w:spacing w:before="0" w:after="0"/>
              <w:jc w:val="left"/>
              <w:rPr>
                <w:rFonts w:ascii="Times New Roman" w:hAnsi="Times New Roman"/>
                <w:sz w:val="20"/>
              </w:rPr>
            </w:pPr>
            <w:r>
              <w:rPr>
                <w:rFonts w:ascii="Times New Roman" w:hAnsi="Times New Roman"/>
                <w:sz w:val="20"/>
              </w:rPr>
              <w:t>Cost of raising capital related to the shareholder non-redemption agreements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6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(1,102,909</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12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124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Subsequent remeasurement of common stock subject to possible redemption</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(669,074</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(669,074</w:t>
            </w:r>
          </w:p>
        </w:tc>
        <w:tc>
          <w:tcPr>
            <w:tcW w:w="162" w:type="dxa"/>
            <w:tcBorders/>
            <w:shd w:fill="CCEEFF" w:val="clear"/>
            <w:vAlign w:val="bottom"/>
          </w:tcPr>
          <w:p>
            <w:pPr>
              <w:pStyle w:val="TableContents"/>
              <w:bidi w:val="0"/>
              <w:spacing w:before="0" w:after="283"/>
              <w:jc w:val="left"/>
              <w:rPr/>
            </w:pPr>
            <w:r>
              <w:rPr/>
              <w:t>) </w:t>
            </w:r>
          </w:p>
        </w:tc>
      </w:tr>
      <w:tr>
        <w:trPr/>
        <w:tc>
          <w:tcPr>
            <w:tcW w:w="2850" w:type="dxa"/>
            <w:tcBorders/>
          </w:tcPr>
          <w:p>
            <w:pPr>
              <w:pStyle w:val="TableContents"/>
              <w:bidi w:val="0"/>
              <w:spacing w:before="0" w:after="0"/>
              <w:jc w:val="left"/>
              <w:rPr>
                <w:rFonts w:ascii="Times New Roman" w:hAnsi="Times New Roman"/>
                <w:sz w:val="20"/>
              </w:rPr>
            </w:pPr>
            <w:r>
              <w:rPr>
                <w:rFonts w:ascii="Times New Roman" w:hAnsi="Times New Roman"/>
                <w:sz w:val="20"/>
              </w:rPr>
              <w:t>Excise tax payable on redemption</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(997,722</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(173,077</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(1,170,799</w:t>
            </w:r>
          </w:p>
        </w:tc>
        <w:tc>
          <w:tcPr>
            <w:tcW w:w="162" w:type="dxa"/>
            <w:tcBorders/>
            <w:vAlign w:val="bottom"/>
          </w:tcPr>
          <w:p>
            <w:pPr>
              <w:pStyle w:val="TableContents"/>
              <w:bidi w:val="0"/>
              <w:spacing w:before="0" w:after="283"/>
              <w:jc w:val="left"/>
              <w:rPr/>
            </w:pPr>
            <w:r>
              <w:rPr/>
              <w:t>) </w:t>
            </w:r>
          </w:p>
        </w:tc>
      </w:tr>
      <w:tr>
        <w:trPr/>
        <w:tc>
          <w:tcPr>
            <w:tcW w:w="2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xml:space="preserve">   </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(27,143</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(27,143</w:t>
            </w:r>
          </w:p>
        </w:tc>
        <w:tc>
          <w:tcPr>
            <w:tcW w:w="162" w:type="dxa"/>
            <w:tcBorders/>
            <w:shd w:fill="CCEEFF" w:val="clear"/>
            <w:vAlign w:val="bottom"/>
          </w:tcPr>
          <w:p>
            <w:pPr>
              <w:pStyle w:val="TableContents"/>
              <w:bidi w:val="0"/>
              <w:spacing w:before="0" w:after="283"/>
              <w:jc w:val="left"/>
              <w:rPr/>
            </w:pPr>
            <w:r>
              <w:rPr/>
              <w:t>) </w:t>
            </w:r>
          </w:p>
        </w:tc>
      </w:tr>
      <w:tr>
        <w:trPr/>
        <w:tc>
          <w:tcPr>
            <w:tcW w:w="2850"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50"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March 31, 2023</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b/>
              </w:rPr>
            </w:pPr>
            <w:r>
              <w:rPr>
                <w:b/>
              </w:rPr>
              <w:t>5,709,500</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639" w:type="dxa"/>
            <w:tcBorders/>
            <w:vAlign w:val="bottom"/>
          </w:tcPr>
          <w:p>
            <w:pPr>
              <w:pStyle w:val="TableContents"/>
              <w:bidi w:val="0"/>
              <w:spacing w:before="0" w:after="283"/>
              <w:jc w:val="right"/>
              <w:rPr>
                <w:b/>
              </w:rPr>
            </w:pPr>
            <w:r>
              <w:rPr>
                <w:b/>
              </w:rPr>
              <w:t>570</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b/>
              </w:rPr>
            </w:pPr>
            <w:r>
              <w:rPr>
                <w:b/>
              </w:rPr>
              <w:t>$</w:t>
            </w:r>
          </w:p>
        </w:tc>
        <w:tc>
          <w:tcPr>
            <w:tcW w:w="1271" w:type="dxa"/>
            <w:tcBorders/>
            <w:vAlign w:val="bottom"/>
          </w:tcPr>
          <w:p>
            <w:pPr>
              <w:pStyle w:val="TableContents"/>
              <w:bidi w:val="0"/>
              <w:spacing w:before="0" w:after="283"/>
              <w:jc w:val="right"/>
              <w:rPr>
                <w:b/>
              </w:rPr>
            </w:pPr>
            <w:r>
              <w:rPr>
                <w:b/>
              </w:rPr>
              <w:t>(6,833,303</w:t>
            </w:r>
          </w:p>
        </w:tc>
        <w:tc>
          <w:tcPr>
            <w:tcW w:w="155" w:type="dxa"/>
            <w:tcBorders/>
            <w:vAlign w:val="bottom"/>
          </w:tcPr>
          <w:p>
            <w:pPr>
              <w:pStyle w:val="TableContents"/>
              <w:bidi w:val="0"/>
              <w:spacing w:before="0" w:after="283"/>
              <w:jc w:val="left"/>
              <w:rPr>
                <w:b/>
              </w:rPr>
            </w:pPr>
            <w:r>
              <w:rPr>
                <w:b/>
              </w:rPr>
              <w:t>) </w:t>
            </w:r>
          </w:p>
        </w:tc>
        <w:tc>
          <w:tcPr>
            <w:tcW w:w="11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b/>
              </w:rPr>
            </w:pPr>
            <w:r>
              <w:rPr>
                <w:b/>
              </w:rPr>
              <w:t>$</w:t>
            </w:r>
          </w:p>
        </w:tc>
        <w:tc>
          <w:tcPr>
            <w:tcW w:w="1249" w:type="dxa"/>
            <w:tcBorders/>
            <w:vAlign w:val="bottom"/>
          </w:tcPr>
          <w:p>
            <w:pPr>
              <w:pStyle w:val="TableContents"/>
              <w:bidi w:val="0"/>
              <w:spacing w:before="0" w:after="283"/>
              <w:jc w:val="right"/>
              <w:rPr>
                <w:b/>
              </w:rPr>
            </w:pPr>
            <w:r>
              <w:rPr>
                <w:b/>
              </w:rPr>
              <w:t>(6,832,733</w:t>
            </w:r>
          </w:p>
        </w:tc>
        <w:tc>
          <w:tcPr>
            <w:tcW w:w="162" w:type="dxa"/>
            <w:tcBorders/>
            <w:vAlign w:val="bottom"/>
          </w:tcPr>
          <w:p>
            <w:pPr>
              <w:pStyle w:val="TableContents"/>
              <w:bidi w:val="0"/>
              <w:spacing w:before="0" w:after="283"/>
              <w:jc w:val="left"/>
              <w:rPr>
                <w:b/>
              </w:rPr>
            </w:pPr>
            <w:r>
              <w:rPr>
                <w:b/>
              </w:rPr>
              <w:t>) </w:t>
            </w:r>
          </w:p>
        </w:tc>
      </w:tr>
      <w:tr>
        <w:trPr/>
        <w:tc>
          <w:tcPr>
            <w:tcW w:w="2850"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2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124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FOR THE THREE AND SIX MONTHS ENDED MARCH 31,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76"/>
        <w:gridCol w:w="168"/>
        <w:gridCol w:w="60"/>
        <w:gridCol w:w="1082"/>
        <w:gridCol w:w="155"/>
        <w:gridCol w:w="119"/>
        <w:gridCol w:w="202"/>
        <w:gridCol w:w="683"/>
        <w:gridCol w:w="155"/>
        <w:gridCol w:w="119"/>
        <w:gridCol w:w="140"/>
        <w:gridCol w:w="1020"/>
        <w:gridCol w:w="60"/>
        <w:gridCol w:w="168"/>
        <w:gridCol w:w="160"/>
        <w:gridCol w:w="1245"/>
        <w:gridCol w:w="155"/>
        <w:gridCol w:w="119"/>
        <w:gridCol w:w="178"/>
        <w:gridCol w:w="1379"/>
        <w:gridCol w:w="162"/>
      </w:tblGrid>
      <w:tr>
        <w:trPr/>
        <w:tc>
          <w:tcPr>
            <w:tcW w:w="2676"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76"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3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b/>
              </w:rPr>
            </w:pPr>
            <w:r>
              <w:rPr>
                <w:b/>
              </w:rPr>
              <w:t>Additional</w:t>
              <w:br/>
              <w:t>Paid-in</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5" w:type="dxa"/>
            <w:gridSpan w:val="2"/>
            <w:tcBorders/>
            <w:vAlign w:val="bottom"/>
          </w:tcPr>
          <w:p>
            <w:pPr>
              <w:pStyle w:val="TableContents"/>
              <w:bidi w:val="0"/>
              <w:spacing w:before="0" w:after="283"/>
              <w:jc w:val="center"/>
              <w:rPr>
                <w:b/>
              </w:rPr>
            </w:pPr>
            <w:r>
              <w:rPr>
                <w:b/>
              </w:rPr>
              <w:t>Accumulated</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57" w:type="dxa"/>
            <w:gridSpan w:val="2"/>
            <w:tcBorders/>
            <w:vAlign w:val="bottom"/>
          </w:tcPr>
          <w:p>
            <w:pPr>
              <w:pStyle w:val="TableContents"/>
              <w:bidi w:val="0"/>
              <w:spacing w:before="0" w:after="283"/>
              <w:jc w:val="center"/>
              <w:rPr>
                <w:b/>
              </w:rPr>
            </w:pPr>
            <w:r>
              <w:rPr>
                <w:b/>
              </w:rPr>
              <w:t>Total</w:t>
              <w:br/>
              <w:t>Stockholders</w:t>
            </w:r>
          </w:p>
        </w:tc>
        <w:tc>
          <w:tcPr>
            <w:tcW w:w="162" w:type="dxa"/>
            <w:tcBorders/>
            <w:vAlign w:val="bottom"/>
          </w:tcPr>
          <w:p>
            <w:pPr>
              <w:pStyle w:val="TableContents"/>
              <w:bidi w:val="0"/>
              <w:spacing w:before="0" w:after="283"/>
              <w:jc w:val="left"/>
              <w:rPr/>
            </w:pPr>
            <w:r>
              <w:rPr/>
              <w:t> </w:t>
            </w:r>
          </w:p>
        </w:tc>
      </w:tr>
      <w:tr>
        <w:trPr/>
        <w:tc>
          <w:tcPr>
            <w:tcW w:w="2676"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Capital</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(Deficit)</w:t>
            </w:r>
          </w:p>
        </w:tc>
        <w:tc>
          <w:tcPr>
            <w:tcW w:w="162" w:type="dxa"/>
            <w:tcBorders/>
            <w:vAlign w:val="bottom"/>
          </w:tcPr>
          <w:p>
            <w:pPr>
              <w:pStyle w:val="TableContents"/>
              <w:bidi w:val="0"/>
              <w:spacing w:before="0" w:after="283"/>
              <w:jc w:val="left"/>
              <w:rPr/>
            </w:pPr>
            <w:r>
              <w:rPr/>
              <w:t> </w:t>
            </w:r>
          </w:p>
        </w:tc>
      </w:tr>
      <w:tr>
        <w:trPr/>
        <w:tc>
          <w:tcPr>
            <w:tcW w:w="26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September 30, 2021</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b/>
              </w:rPr>
            </w:pPr>
            <w:r>
              <w:rPr>
                <w:b/>
              </w:rPr>
              <w:t>6,834,500</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683</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20" w:type="dxa"/>
            <w:tcBorders/>
            <w:shd w:fill="CCEEFF" w:val="clear"/>
            <w:vAlign w:val="bottom"/>
          </w:tcPr>
          <w:p>
            <w:pPr>
              <w:pStyle w:val="TableContents"/>
              <w:bidi w:val="0"/>
              <w:spacing w:before="0" w:after="283"/>
              <w:jc w:val="right"/>
              <w:rPr>
                <w:b/>
              </w:rPr>
            </w:pPr>
            <w:r>
              <w:rPr>
                <w:b/>
              </w:rPr>
              <w:t>1,378,693</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b/>
              </w:rPr>
            </w:pPr>
            <w:r>
              <w:rPr>
                <w:b/>
              </w:rPr>
              <w:t>$</w:t>
            </w:r>
          </w:p>
        </w:tc>
        <w:tc>
          <w:tcPr>
            <w:tcW w:w="1245" w:type="dxa"/>
            <w:tcBorders/>
            <w:shd w:fill="CCEEFF" w:val="clear"/>
            <w:vAlign w:val="bottom"/>
          </w:tcPr>
          <w:p>
            <w:pPr>
              <w:pStyle w:val="TableContents"/>
              <w:bidi w:val="0"/>
              <w:spacing w:before="0" w:after="283"/>
              <w:jc w:val="right"/>
              <w:rPr>
                <w:b/>
              </w:rPr>
            </w:pPr>
            <w:r>
              <w:rPr>
                <w:b/>
              </w:rPr>
              <w:t>(468,899</w:t>
            </w:r>
          </w:p>
        </w:tc>
        <w:tc>
          <w:tcPr>
            <w:tcW w:w="155" w:type="dxa"/>
            <w:tcBorders/>
            <w:shd w:fill="CCEEFF" w:val="clear"/>
            <w:vAlign w:val="bottom"/>
          </w:tcPr>
          <w:p>
            <w:pPr>
              <w:pStyle w:val="TableContents"/>
              <w:bidi w:val="0"/>
              <w:spacing w:before="0" w:after="283"/>
              <w:jc w:val="left"/>
              <w:rPr>
                <w:b/>
              </w:rPr>
            </w:pPr>
            <w:r>
              <w:rPr>
                <w:b/>
              </w:rPr>
              <w:t>) </w:t>
            </w:r>
          </w:p>
        </w:tc>
        <w:tc>
          <w:tcPr>
            <w:tcW w:w="1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1379" w:type="dxa"/>
            <w:tcBorders/>
            <w:shd w:fill="CCEEFF" w:val="clear"/>
            <w:vAlign w:val="bottom"/>
          </w:tcPr>
          <w:p>
            <w:pPr>
              <w:pStyle w:val="TableContents"/>
              <w:bidi w:val="0"/>
              <w:spacing w:before="0" w:after="283"/>
              <w:jc w:val="right"/>
              <w:rPr>
                <w:b/>
              </w:rPr>
            </w:pPr>
            <w:r>
              <w:rPr>
                <w:b/>
              </w:rPr>
              <w:t>910,477</w:t>
            </w:r>
          </w:p>
        </w:tc>
        <w:tc>
          <w:tcPr>
            <w:tcW w:w="162" w:type="dxa"/>
            <w:tcBorders/>
            <w:shd w:fill="CCEEFF" w:val="clear"/>
            <w:vAlign w:val="bottom"/>
          </w:tcPr>
          <w:p>
            <w:pPr>
              <w:pStyle w:val="TableContents"/>
              <w:bidi w:val="0"/>
              <w:spacing w:before="0" w:after="283"/>
              <w:jc w:val="left"/>
              <w:rPr/>
            </w:pPr>
            <w:r>
              <w:rPr/>
              <w:t> </w:t>
            </w:r>
          </w:p>
        </w:tc>
      </w:tr>
      <w:tr>
        <w:trPr/>
        <w:tc>
          <w:tcPr>
            <w:tcW w:w="2676" w:type="dxa"/>
            <w:tcBorders/>
          </w:tcPr>
          <w:p>
            <w:pPr>
              <w:pStyle w:val="TableContents"/>
              <w:bidi w:val="0"/>
              <w:spacing w:before="0" w:after="0"/>
              <w:jc w:val="left"/>
              <w:rPr>
                <w:rFonts w:ascii="Times New Roman" w:hAnsi="Times New Roman"/>
                <w:sz w:val="20"/>
              </w:rPr>
            </w:pPr>
            <w:r>
              <w:rPr>
                <w:rFonts w:ascii="Times New Roman" w:hAnsi="Times New Roman"/>
                <w:sz w:val="20"/>
              </w:rPr>
              <w:t>Forfeiture of founder shares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(1,125,000</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(113</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27,963</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27,963</w:t>
            </w:r>
          </w:p>
        </w:tc>
        <w:tc>
          <w:tcPr>
            <w:tcW w:w="162" w:type="dxa"/>
            <w:tcBorders/>
            <w:shd w:fill="CCEEFF" w:val="clear"/>
            <w:vAlign w:val="bottom"/>
          </w:tcPr>
          <w:p>
            <w:pPr>
              <w:pStyle w:val="TableContents"/>
              <w:bidi w:val="0"/>
              <w:spacing w:before="0" w:after="283"/>
              <w:jc w:val="left"/>
              <w:rPr/>
            </w:pPr>
            <w:r>
              <w:rPr/>
              <w:t> </w:t>
            </w:r>
          </w:p>
        </w:tc>
      </w:tr>
      <w:tr>
        <w:trPr/>
        <w:tc>
          <w:tcPr>
            <w:tcW w:w="2676"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(2,036,114</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(2,036,114</w:t>
            </w:r>
          </w:p>
        </w:tc>
        <w:tc>
          <w:tcPr>
            <w:tcW w:w="162" w:type="dxa"/>
            <w:tcBorders/>
            <w:vAlign w:val="bottom"/>
          </w:tcPr>
          <w:p>
            <w:pPr>
              <w:pStyle w:val="TableContents"/>
              <w:bidi w:val="0"/>
              <w:spacing w:before="0" w:after="283"/>
              <w:jc w:val="left"/>
              <w:rPr/>
            </w:pPr>
            <w:r>
              <w:rPr/>
              <w:t>) </w:t>
            </w:r>
          </w:p>
        </w:tc>
      </w:tr>
      <w:tr>
        <w:trPr/>
        <w:tc>
          <w:tcPr>
            <w:tcW w:w="2676"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37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2021</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b/>
              </w:rPr>
            </w:pPr>
            <w:r>
              <w:rPr>
                <w:b/>
              </w:rPr>
              <w:t>5,709,500</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570</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20" w:type="dxa"/>
            <w:tcBorders/>
            <w:shd w:fill="CCEEFF" w:val="clear"/>
            <w:vAlign w:val="bottom"/>
          </w:tcPr>
          <w:p>
            <w:pPr>
              <w:pStyle w:val="TableContents"/>
              <w:bidi w:val="0"/>
              <w:spacing w:before="0" w:after="283"/>
              <w:jc w:val="right"/>
              <w:rPr>
                <w:b/>
              </w:rPr>
            </w:pPr>
            <w:r>
              <w:rPr>
                <w:b/>
              </w:rPr>
              <w:t>1,406,769</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b/>
              </w:rPr>
            </w:pPr>
            <w:r>
              <w:rPr>
                <w:b/>
              </w:rPr>
              <w:t>$</w:t>
            </w:r>
          </w:p>
        </w:tc>
        <w:tc>
          <w:tcPr>
            <w:tcW w:w="1245" w:type="dxa"/>
            <w:tcBorders/>
            <w:shd w:fill="CCEEFF" w:val="clear"/>
            <w:vAlign w:val="bottom"/>
          </w:tcPr>
          <w:p>
            <w:pPr>
              <w:pStyle w:val="TableContents"/>
              <w:bidi w:val="0"/>
              <w:spacing w:before="0" w:after="283"/>
              <w:jc w:val="right"/>
              <w:rPr>
                <w:b/>
              </w:rPr>
            </w:pPr>
            <w:r>
              <w:rPr>
                <w:b/>
              </w:rPr>
              <w:t>(2,505,013</w:t>
            </w:r>
          </w:p>
        </w:tc>
        <w:tc>
          <w:tcPr>
            <w:tcW w:w="155" w:type="dxa"/>
            <w:tcBorders/>
            <w:shd w:fill="CCEEFF" w:val="clear"/>
            <w:vAlign w:val="bottom"/>
          </w:tcPr>
          <w:p>
            <w:pPr>
              <w:pStyle w:val="TableContents"/>
              <w:bidi w:val="0"/>
              <w:spacing w:before="0" w:after="283"/>
              <w:jc w:val="left"/>
              <w:rPr>
                <w:b/>
              </w:rPr>
            </w:pPr>
            <w:r>
              <w:rPr>
                <w:b/>
              </w:rPr>
              <w:t>) </w:t>
            </w:r>
          </w:p>
        </w:tc>
        <w:tc>
          <w:tcPr>
            <w:tcW w:w="1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1379" w:type="dxa"/>
            <w:tcBorders/>
            <w:shd w:fill="CCEEFF" w:val="clear"/>
            <w:vAlign w:val="bottom"/>
          </w:tcPr>
          <w:p>
            <w:pPr>
              <w:pStyle w:val="TableContents"/>
              <w:bidi w:val="0"/>
              <w:spacing w:before="0" w:after="283"/>
              <w:jc w:val="right"/>
              <w:rPr>
                <w:b/>
              </w:rPr>
            </w:pPr>
            <w:r>
              <w:rPr>
                <w:b/>
              </w:rPr>
              <w:t>(1,097,674</w:t>
            </w:r>
          </w:p>
        </w:tc>
        <w:tc>
          <w:tcPr>
            <w:tcW w:w="162" w:type="dxa"/>
            <w:tcBorders/>
            <w:shd w:fill="CCEEFF" w:val="clear"/>
            <w:vAlign w:val="bottom"/>
          </w:tcPr>
          <w:p>
            <w:pPr>
              <w:pStyle w:val="TableContents"/>
              <w:bidi w:val="0"/>
              <w:spacing w:before="0" w:after="283"/>
              <w:jc w:val="left"/>
              <w:rPr>
                <w:b/>
              </w:rPr>
            </w:pPr>
            <w:r>
              <w:rPr>
                <w:b/>
              </w:rPr>
              <w:t>) </w:t>
            </w:r>
          </w:p>
        </w:tc>
      </w:tr>
      <w:tr>
        <w:trPr/>
        <w:tc>
          <w:tcPr>
            <w:tcW w:w="2676"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27,963</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27,963</w:t>
            </w:r>
          </w:p>
        </w:tc>
        <w:tc>
          <w:tcPr>
            <w:tcW w:w="162" w:type="dxa"/>
            <w:tcBorders/>
            <w:vAlign w:val="bottom"/>
          </w:tcPr>
          <w:p>
            <w:pPr>
              <w:pStyle w:val="TableContents"/>
              <w:bidi w:val="0"/>
              <w:spacing w:before="0" w:after="283"/>
              <w:jc w:val="left"/>
              <w:rPr/>
            </w:pPr>
            <w:r>
              <w:rPr/>
              <w:t> </w:t>
            </w:r>
          </w:p>
        </w:tc>
      </w:tr>
      <w:tr>
        <w:trPr/>
        <w:tc>
          <w:tcPr>
            <w:tcW w:w="2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(372,386</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(372,386</w:t>
            </w:r>
          </w:p>
        </w:tc>
        <w:tc>
          <w:tcPr>
            <w:tcW w:w="162" w:type="dxa"/>
            <w:tcBorders/>
            <w:shd w:fill="CCEEFF" w:val="clear"/>
            <w:vAlign w:val="bottom"/>
          </w:tcPr>
          <w:p>
            <w:pPr>
              <w:pStyle w:val="TableContents"/>
              <w:bidi w:val="0"/>
              <w:spacing w:before="0" w:after="283"/>
              <w:jc w:val="left"/>
              <w:rPr/>
            </w:pPr>
            <w:r>
              <w:rPr/>
              <w:t>) </w:t>
            </w:r>
          </w:p>
        </w:tc>
      </w:tr>
      <w:tr>
        <w:trPr/>
        <w:tc>
          <w:tcPr>
            <w:tcW w:w="2676"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37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676"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March 31, 2022</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b/>
              </w:rPr>
            </w:pPr>
            <w:r>
              <w:rPr>
                <w:b/>
              </w:rPr>
              <w:t>5,709,500</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570</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20" w:type="dxa"/>
            <w:tcBorders/>
            <w:vAlign w:val="bottom"/>
          </w:tcPr>
          <w:p>
            <w:pPr>
              <w:pStyle w:val="TableContents"/>
              <w:bidi w:val="0"/>
              <w:spacing w:before="0" w:after="283"/>
              <w:jc w:val="right"/>
              <w:rPr>
                <w:b/>
              </w:rPr>
            </w:pPr>
            <w:r>
              <w:rPr>
                <w:b/>
              </w:rPr>
              <w:t>1,434,732</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b/>
              </w:rPr>
            </w:pPr>
            <w:r>
              <w:rPr>
                <w:b/>
              </w:rPr>
              <w:t>$</w:t>
            </w:r>
          </w:p>
        </w:tc>
        <w:tc>
          <w:tcPr>
            <w:tcW w:w="1245" w:type="dxa"/>
            <w:tcBorders/>
            <w:vAlign w:val="bottom"/>
          </w:tcPr>
          <w:p>
            <w:pPr>
              <w:pStyle w:val="TableContents"/>
              <w:bidi w:val="0"/>
              <w:spacing w:before="0" w:after="283"/>
              <w:jc w:val="right"/>
              <w:rPr>
                <w:b/>
              </w:rPr>
            </w:pPr>
            <w:r>
              <w:rPr>
                <w:b/>
              </w:rPr>
              <w:t>(2,877,399</w:t>
            </w:r>
          </w:p>
        </w:tc>
        <w:tc>
          <w:tcPr>
            <w:tcW w:w="155" w:type="dxa"/>
            <w:tcBorders/>
            <w:vAlign w:val="bottom"/>
          </w:tcPr>
          <w:p>
            <w:pPr>
              <w:pStyle w:val="TableContents"/>
              <w:bidi w:val="0"/>
              <w:spacing w:before="0" w:after="283"/>
              <w:jc w:val="left"/>
              <w:rPr>
                <w:b/>
              </w:rPr>
            </w:pPr>
            <w:r>
              <w:rPr>
                <w:b/>
              </w:rPr>
              <w:t>) </w:t>
            </w:r>
          </w:p>
        </w:tc>
        <w:tc>
          <w:tcPr>
            <w:tcW w:w="1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1379" w:type="dxa"/>
            <w:tcBorders/>
            <w:vAlign w:val="bottom"/>
          </w:tcPr>
          <w:p>
            <w:pPr>
              <w:pStyle w:val="TableContents"/>
              <w:bidi w:val="0"/>
              <w:spacing w:before="0" w:after="283"/>
              <w:jc w:val="right"/>
              <w:rPr>
                <w:b/>
              </w:rPr>
            </w:pPr>
            <w:r>
              <w:rPr>
                <w:b/>
              </w:rPr>
              <w:t>(1,442,097</w:t>
            </w:r>
          </w:p>
        </w:tc>
        <w:tc>
          <w:tcPr>
            <w:tcW w:w="162" w:type="dxa"/>
            <w:tcBorders/>
            <w:vAlign w:val="bottom"/>
          </w:tcPr>
          <w:p>
            <w:pPr>
              <w:pStyle w:val="TableContents"/>
              <w:bidi w:val="0"/>
              <w:spacing w:before="0" w:after="283"/>
              <w:jc w:val="left"/>
              <w:rPr>
                <w:b/>
              </w:rPr>
            </w:pPr>
            <w:r>
              <w:rPr>
                <w:b/>
              </w:rPr>
              <w:t>) </w:t>
            </w:r>
          </w:p>
        </w:tc>
      </w:tr>
      <w:tr>
        <w:trPr/>
        <w:tc>
          <w:tcPr>
            <w:tcW w:w="2676"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37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bidi w:val="0"/>
        <w:spacing w:before="0" w:after="0"/>
        <w:jc w:val="center"/>
        <w:rPr>
          <w:rFonts w:ascii="Times New Roman" w:hAnsi="Times New Roman"/>
          <w:b/>
          <w:sz w:val="20"/>
        </w:rPr>
      </w:pPr>
      <w:bookmarkStart w:id="60" w:name="fin309194_17"/>
      <w:bookmarkEnd w:id="60"/>
      <w:r>
        <w:rPr>
          <w:rFonts w:ascii="Times New Roman" w:hAnsi="Times New Roman"/>
          <w:b/>
          <w:sz w:val="20"/>
        </w:rPr>
        <w:t xml:space="preserve">UNAUDITED CONDENSED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86"/>
        <w:gridCol w:w="303"/>
        <w:gridCol w:w="140"/>
        <w:gridCol w:w="1362"/>
        <w:gridCol w:w="166"/>
        <w:gridCol w:w="269"/>
        <w:gridCol w:w="140"/>
        <w:gridCol w:w="1069"/>
        <w:gridCol w:w="170"/>
      </w:tblGrid>
      <w:tr>
        <w:trPr/>
        <w:tc>
          <w:tcPr>
            <w:tcW w:w="6586"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86"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31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March 31,</w:t>
            </w:r>
          </w:p>
        </w:tc>
        <w:tc>
          <w:tcPr>
            <w:tcW w:w="170" w:type="dxa"/>
            <w:tcBorders/>
            <w:vAlign w:val="bottom"/>
          </w:tcPr>
          <w:p>
            <w:pPr>
              <w:pStyle w:val="TableContents"/>
              <w:bidi w:val="0"/>
              <w:spacing w:before="0" w:after="283"/>
              <w:jc w:val="left"/>
              <w:rPr/>
            </w:pPr>
            <w:r>
              <w:rPr/>
              <w:t> </w:t>
            </w:r>
          </w:p>
        </w:tc>
      </w:tr>
      <w:tr>
        <w:trPr/>
        <w:tc>
          <w:tcPr>
            <w:tcW w:w="6586"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70" w:type="dxa"/>
            <w:tcBorders/>
            <w:vAlign w:val="bottom"/>
          </w:tcPr>
          <w:p>
            <w:pPr>
              <w:pStyle w:val="TableContents"/>
              <w:bidi w:val="0"/>
              <w:spacing w:before="0" w:after="283"/>
              <w:jc w:val="left"/>
              <w:rPr/>
            </w:pPr>
            <w:r>
              <w:rPr/>
              <w:t> </w:t>
            </w:r>
          </w:p>
        </w:tc>
      </w:tr>
      <w:tr>
        <w:trPr/>
        <w:tc>
          <w:tcPr>
            <w:tcW w:w="65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62"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6586"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62" w:type="dxa"/>
            <w:tcBorders/>
            <w:vAlign w:val="bottom"/>
          </w:tcPr>
          <w:p>
            <w:pPr>
              <w:pStyle w:val="TableContents"/>
              <w:bidi w:val="0"/>
              <w:spacing w:before="0" w:after="283"/>
              <w:jc w:val="right"/>
              <w:rPr/>
            </w:pPr>
            <w:r>
              <w:rPr/>
              <w:t>579,884</w:t>
            </w:r>
          </w:p>
        </w:tc>
        <w:tc>
          <w:tcPr>
            <w:tcW w:w="16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9" w:type="dxa"/>
            <w:tcBorders/>
            <w:vAlign w:val="bottom"/>
          </w:tcPr>
          <w:p>
            <w:pPr>
              <w:pStyle w:val="TableContents"/>
              <w:bidi w:val="0"/>
              <w:spacing w:before="0" w:after="283"/>
              <w:jc w:val="right"/>
              <w:rPr/>
            </w:pPr>
            <w:r>
              <w:rPr/>
              <w:t>(2,408,500</w:t>
            </w:r>
          </w:p>
        </w:tc>
        <w:tc>
          <w:tcPr>
            <w:tcW w:w="170" w:type="dxa"/>
            <w:tcBorders/>
            <w:vAlign w:val="bottom"/>
          </w:tcPr>
          <w:p>
            <w:pPr>
              <w:pStyle w:val="TableContents"/>
              <w:bidi w:val="0"/>
              <w:spacing w:before="0" w:after="283"/>
              <w:jc w:val="left"/>
              <w:rPr/>
            </w:pPr>
            <w:r>
              <w:rPr/>
              <w:t>) </w:t>
            </w:r>
          </w:p>
        </w:tc>
      </w:tr>
      <w:tr>
        <w:trPr/>
        <w:tc>
          <w:tcPr>
            <w:tcW w:w="6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net cash used in operating activities: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62"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6586" w:type="dxa"/>
            <w:tcBorders/>
          </w:tcPr>
          <w:p>
            <w:pPr>
              <w:pStyle w:val="TableContents"/>
              <w:bidi w:val="0"/>
              <w:spacing w:before="0" w:after="0"/>
              <w:jc w:val="left"/>
              <w:rPr>
                <w:rFonts w:ascii="Times New Roman" w:hAnsi="Times New Roman"/>
                <w:sz w:val="20"/>
              </w:rPr>
            </w:pPr>
            <w:r>
              <w:rPr>
                <w:rFonts w:ascii="Times New Roman" w:hAnsi="Times New Roman"/>
                <w:sz w:val="20"/>
              </w:rPr>
              <w:t>Interest earned on cash and marketable securities held in Trust Account</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(2,264,081</w:t>
            </w:r>
          </w:p>
        </w:tc>
        <w:tc>
          <w:tcPr>
            <w:tcW w:w="16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(15,087</w:t>
            </w:r>
          </w:p>
        </w:tc>
        <w:tc>
          <w:tcPr>
            <w:tcW w:w="170" w:type="dxa"/>
            <w:tcBorders/>
            <w:vAlign w:val="bottom"/>
          </w:tcPr>
          <w:p>
            <w:pPr>
              <w:pStyle w:val="TableContents"/>
              <w:bidi w:val="0"/>
              <w:spacing w:before="0" w:after="283"/>
              <w:jc w:val="left"/>
              <w:rPr/>
            </w:pPr>
            <w:r>
              <w:rPr/>
              <w:t>) </w:t>
            </w:r>
          </w:p>
        </w:tc>
      </w:tr>
      <w:tr>
        <w:trPr/>
        <w:tc>
          <w:tcPr>
            <w:tcW w:w="6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55,926</w:t>
            </w:r>
          </w:p>
        </w:tc>
        <w:tc>
          <w:tcPr>
            <w:tcW w:w="16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55,926</w:t>
            </w:r>
          </w:p>
        </w:tc>
        <w:tc>
          <w:tcPr>
            <w:tcW w:w="170" w:type="dxa"/>
            <w:tcBorders/>
            <w:shd w:fill="CCEEFF" w:val="clear"/>
            <w:vAlign w:val="bottom"/>
          </w:tcPr>
          <w:p>
            <w:pPr>
              <w:pStyle w:val="TableContents"/>
              <w:bidi w:val="0"/>
              <w:spacing w:before="0" w:after="283"/>
              <w:jc w:val="left"/>
              <w:rPr/>
            </w:pPr>
            <w:r>
              <w:rPr/>
              <w:t> </w:t>
            </w:r>
          </w:p>
        </w:tc>
      </w:tr>
      <w:tr>
        <w:trPr/>
        <w:tc>
          <w:tcPr>
            <w:tcW w:w="6586" w:type="dxa"/>
            <w:tcBorders/>
          </w:tcPr>
          <w:p>
            <w:pPr>
              <w:pStyle w:val="TableContents"/>
              <w:bidi w:val="0"/>
              <w:spacing w:before="0" w:after="0"/>
              <w:jc w:val="left"/>
              <w:rPr>
                <w:rFonts w:ascii="Times New Roman" w:hAnsi="Times New Roman"/>
                <w:sz w:val="20"/>
              </w:rPr>
            </w:pPr>
            <w:r>
              <w:rPr>
                <w:rFonts w:ascii="Times New Roman" w:hAnsi="Times New Roman"/>
                <w:sz w:val="20"/>
              </w:rPr>
              <w:t>Changes in current assets and liabilities: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62"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6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58,206</w:t>
            </w:r>
          </w:p>
        </w:tc>
        <w:tc>
          <w:tcPr>
            <w:tcW w:w="16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249,694</w:t>
            </w:r>
          </w:p>
        </w:tc>
        <w:tc>
          <w:tcPr>
            <w:tcW w:w="170" w:type="dxa"/>
            <w:tcBorders/>
            <w:shd w:fill="CCEEFF" w:val="clear"/>
            <w:vAlign w:val="bottom"/>
          </w:tcPr>
          <w:p>
            <w:pPr>
              <w:pStyle w:val="TableContents"/>
              <w:bidi w:val="0"/>
              <w:spacing w:before="0" w:after="283"/>
              <w:jc w:val="left"/>
              <w:rPr/>
            </w:pPr>
            <w:r>
              <w:rPr/>
              <w:t> </w:t>
            </w:r>
          </w:p>
        </w:tc>
      </w:tr>
      <w:tr>
        <w:trPr/>
        <w:tc>
          <w:tcPr>
            <w:tcW w:w="6586"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407,667</w:t>
            </w:r>
          </w:p>
        </w:tc>
        <w:tc>
          <w:tcPr>
            <w:tcW w:w="16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1,642,614</w:t>
            </w:r>
          </w:p>
        </w:tc>
        <w:tc>
          <w:tcPr>
            <w:tcW w:w="170" w:type="dxa"/>
            <w:tcBorders/>
            <w:vAlign w:val="bottom"/>
          </w:tcPr>
          <w:p>
            <w:pPr>
              <w:pStyle w:val="TableContents"/>
              <w:bidi w:val="0"/>
              <w:spacing w:before="0" w:after="283"/>
              <w:jc w:val="left"/>
              <w:rPr/>
            </w:pPr>
            <w:r>
              <w:rPr/>
              <w:t> </w:t>
            </w:r>
          </w:p>
        </w:tc>
      </w:tr>
      <w:tr>
        <w:trPr/>
        <w:tc>
          <w:tcPr>
            <w:tcW w:w="6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35,497</w:t>
            </w:r>
          </w:p>
        </w:tc>
        <w:tc>
          <w:tcPr>
            <w:tcW w:w="16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586" w:type="dxa"/>
            <w:tcBorders/>
          </w:tcPr>
          <w:p>
            <w:pPr>
              <w:pStyle w:val="TableContents"/>
              <w:bidi w:val="0"/>
              <w:spacing w:before="0" w:after="0"/>
              <w:jc w:val="left"/>
              <w:rPr>
                <w:rFonts w:ascii="Times New Roman" w:hAnsi="Times New Roman"/>
                <w:sz w:val="20"/>
              </w:rPr>
            </w:pPr>
            <w:r>
              <w:rPr>
                <w:rFonts w:ascii="Times New Roman" w:hAnsi="Times New Roman"/>
                <w:sz w:val="20"/>
              </w:rPr>
              <w:t>Franchise tax payable</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(68,800</w:t>
            </w:r>
          </w:p>
        </w:tc>
        <w:tc>
          <w:tcPr>
            <w:tcW w:w="16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161,363</w:t>
            </w:r>
          </w:p>
        </w:tc>
        <w:tc>
          <w:tcPr>
            <w:tcW w:w="170" w:type="dxa"/>
            <w:tcBorders/>
            <w:vAlign w:val="bottom"/>
          </w:tcPr>
          <w:p>
            <w:pPr>
              <w:pStyle w:val="TableContents"/>
              <w:bidi w:val="0"/>
              <w:spacing w:before="0" w:after="283"/>
              <w:jc w:val="left"/>
              <w:rPr/>
            </w:pPr>
            <w:r>
              <w:rPr/>
              <w:t> </w:t>
            </w:r>
          </w:p>
        </w:tc>
      </w:tr>
      <w:tr>
        <w:trPr/>
        <w:tc>
          <w:tcPr>
            <w:tcW w:w="658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b/>
              </w:rPr>
            </w:pPr>
            <w:r>
              <w:rPr>
                <w:b/>
              </w:rPr>
              <w:t>(1,195,701</w:t>
            </w:r>
          </w:p>
        </w:tc>
        <w:tc>
          <w:tcPr>
            <w:tcW w:w="166" w:type="dxa"/>
            <w:tcBorders/>
            <w:shd w:fill="CCEEFF" w:val="clear"/>
            <w:vAlign w:val="bottom"/>
          </w:tcPr>
          <w:p>
            <w:pPr>
              <w:pStyle w:val="TableContents"/>
              <w:bidi w:val="0"/>
              <w:spacing w:before="0" w:after="283"/>
              <w:jc w:val="left"/>
              <w:rPr>
                <w:b/>
              </w:rPr>
            </w:pPr>
            <w:r>
              <w:rPr>
                <w:b/>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b/>
              </w:rPr>
            </w:pPr>
            <w:r>
              <w:rPr>
                <w:b/>
              </w:rPr>
              <w:t>(313,990</w:t>
            </w:r>
          </w:p>
        </w:tc>
        <w:tc>
          <w:tcPr>
            <w:tcW w:w="170" w:type="dxa"/>
            <w:tcBorders/>
            <w:shd w:fill="CCEEFF" w:val="clear"/>
            <w:vAlign w:val="bottom"/>
          </w:tcPr>
          <w:p>
            <w:pPr>
              <w:pStyle w:val="TableContents"/>
              <w:bidi w:val="0"/>
              <w:spacing w:before="0" w:after="283"/>
              <w:jc w:val="left"/>
              <w:rPr>
                <w:b/>
              </w:rPr>
            </w:pPr>
            <w:r>
              <w:rPr>
                <w:b/>
              </w:rPr>
              <w:t>) </w:t>
            </w:r>
          </w:p>
        </w:tc>
      </w:tr>
      <w:tr>
        <w:trPr/>
        <w:tc>
          <w:tcPr>
            <w:tcW w:w="658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86"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62"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6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Withdrawals from trust for redemptions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117,079,879</w:t>
            </w:r>
          </w:p>
        </w:tc>
        <w:tc>
          <w:tcPr>
            <w:tcW w:w="16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586" w:type="dxa"/>
            <w:tcBorders/>
          </w:tcPr>
          <w:p>
            <w:pPr>
              <w:pStyle w:val="TableContents"/>
              <w:bidi w:val="0"/>
              <w:spacing w:before="0" w:after="0"/>
              <w:jc w:val="left"/>
              <w:rPr>
                <w:rFonts w:ascii="Times New Roman" w:hAnsi="Times New Roman"/>
                <w:sz w:val="20"/>
              </w:rPr>
            </w:pPr>
            <w:r>
              <w:rPr>
                <w:rFonts w:ascii="Times New Roman" w:hAnsi="Times New Roman"/>
                <w:sz w:val="20"/>
              </w:rPr>
              <w:t>Withdrawals from trust to pay for taxes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804,072</w:t>
            </w:r>
          </w:p>
        </w:tc>
        <w:tc>
          <w:tcPr>
            <w:tcW w:w="16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6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 deposited in Trust Account</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(1,500,000</w:t>
            </w:r>
          </w:p>
        </w:tc>
        <w:tc>
          <w:tcPr>
            <w:tcW w:w="16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58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86"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investing activities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b/>
              </w:rPr>
            </w:pPr>
            <w:r>
              <w:rPr>
                <w:b/>
              </w:rPr>
              <w:t>116,383,951</w:t>
            </w:r>
          </w:p>
        </w:tc>
        <w:tc>
          <w:tcPr>
            <w:tcW w:w="16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b/>
              </w:rPr>
            </w:pPr>
            <w:r>
              <w:rPr>
                <w:b/>
              </w:rPr>
              <w:t>  </w:t>
            </w:r>
          </w:p>
        </w:tc>
        <w:tc>
          <w:tcPr>
            <w:tcW w:w="170" w:type="dxa"/>
            <w:tcBorders/>
            <w:vAlign w:val="bottom"/>
          </w:tcPr>
          <w:p>
            <w:pPr>
              <w:pStyle w:val="TableContents"/>
              <w:bidi w:val="0"/>
              <w:spacing w:before="0" w:after="283"/>
              <w:jc w:val="left"/>
              <w:rPr/>
            </w:pPr>
            <w:r>
              <w:rPr/>
              <w:t> </w:t>
            </w:r>
          </w:p>
        </w:tc>
      </w:tr>
      <w:tr>
        <w:trPr/>
        <w:tc>
          <w:tcPr>
            <w:tcW w:w="658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62"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658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promissory note to related party</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1,950,000</w:t>
            </w:r>
          </w:p>
        </w:tc>
        <w:tc>
          <w:tcPr>
            <w:tcW w:w="16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6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Redemptions of class A shares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(117,079,879</w:t>
            </w:r>
          </w:p>
        </w:tc>
        <w:tc>
          <w:tcPr>
            <w:tcW w:w="16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58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86"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financing activities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b/>
              </w:rPr>
            </w:pPr>
            <w:r>
              <w:rPr>
                <w:b/>
              </w:rPr>
              <w:t>(115,129,879</w:t>
            </w:r>
          </w:p>
        </w:tc>
        <w:tc>
          <w:tcPr>
            <w:tcW w:w="166" w:type="dxa"/>
            <w:tcBorders/>
            <w:vAlign w:val="bottom"/>
          </w:tcPr>
          <w:p>
            <w:pPr>
              <w:pStyle w:val="TableContents"/>
              <w:bidi w:val="0"/>
              <w:spacing w:before="0" w:after="283"/>
              <w:jc w:val="left"/>
              <w:rPr>
                <w:b/>
              </w:rPr>
            </w:pPr>
            <w:r>
              <w:rPr>
                <w:b/>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b/>
              </w:rPr>
            </w:pPr>
            <w:r>
              <w:rPr>
                <w:b/>
              </w:rPr>
              <w:t>  </w:t>
            </w:r>
          </w:p>
        </w:tc>
        <w:tc>
          <w:tcPr>
            <w:tcW w:w="170" w:type="dxa"/>
            <w:tcBorders/>
            <w:vAlign w:val="bottom"/>
          </w:tcPr>
          <w:p>
            <w:pPr>
              <w:pStyle w:val="TableContents"/>
              <w:bidi w:val="0"/>
              <w:spacing w:before="0" w:after="283"/>
              <w:jc w:val="left"/>
              <w:rPr/>
            </w:pPr>
            <w:r>
              <w:rPr/>
              <w:t> </w:t>
            </w:r>
          </w:p>
        </w:tc>
      </w:tr>
      <w:tr>
        <w:trPr/>
        <w:tc>
          <w:tcPr>
            <w:tcW w:w="658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change in cash</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b/>
              </w:rPr>
            </w:pPr>
            <w:r>
              <w:rPr>
                <w:b/>
              </w:rPr>
              <w:t>58,371</w:t>
            </w:r>
          </w:p>
        </w:tc>
        <w:tc>
          <w:tcPr>
            <w:tcW w:w="16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b/>
              </w:rPr>
            </w:pPr>
            <w:r>
              <w:rPr>
                <w:b/>
              </w:rPr>
              <w:t>(313,990</w:t>
            </w:r>
          </w:p>
        </w:tc>
        <w:tc>
          <w:tcPr>
            <w:tcW w:w="170" w:type="dxa"/>
            <w:tcBorders/>
            <w:shd w:fill="CCEEFF" w:val="clear"/>
            <w:vAlign w:val="bottom"/>
          </w:tcPr>
          <w:p>
            <w:pPr>
              <w:pStyle w:val="TableContents"/>
              <w:bidi w:val="0"/>
              <w:spacing w:before="0" w:after="283"/>
              <w:jc w:val="left"/>
              <w:rPr>
                <w:b/>
              </w:rPr>
            </w:pPr>
            <w:r>
              <w:rPr>
                <w:b/>
              </w:rPr>
              <w:t>) </w:t>
            </w:r>
          </w:p>
        </w:tc>
      </w:tr>
      <w:tr>
        <w:trPr/>
        <w:tc>
          <w:tcPr>
            <w:tcW w:w="6586" w:type="dxa"/>
            <w:tcBorders/>
          </w:tcPr>
          <w:p>
            <w:pPr>
              <w:pStyle w:val="TableContents"/>
              <w:bidi w:val="0"/>
              <w:spacing w:before="0" w:after="0"/>
              <w:jc w:val="left"/>
              <w:rPr>
                <w:rFonts w:ascii="Times New Roman" w:hAnsi="Times New Roman"/>
                <w:sz w:val="20"/>
              </w:rPr>
            </w:pPr>
            <w:r>
              <w:rPr>
                <w:rFonts w:ascii="Times New Roman" w:hAnsi="Times New Roman"/>
                <w:sz w:val="20"/>
              </w:rPr>
              <w:t>Cash, beginning of the period</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177,578</w:t>
            </w:r>
          </w:p>
        </w:tc>
        <w:tc>
          <w:tcPr>
            <w:tcW w:w="16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657,590</w:t>
            </w:r>
          </w:p>
        </w:tc>
        <w:tc>
          <w:tcPr>
            <w:tcW w:w="170" w:type="dxa"/>
            <w:tcBorders/>
            <w:vAlign w:val="bottom"/>
          </w:tcPr>
          <w:p>
            <w:pPr>
              <w:pStyle w:val="TableContents"/>
              <w:bidi w:val="0"/>
              <w:spacing w:before="0" w:after="283"/>
              <w:jc w:val="left"/>
              <w:rPr/>
            </w:pPr>
            <w:r>
              <w:rPr/>
              <w:t> </w:t>
            </w:r>
          </w:p>
        </w:tc>
      </w:tr>
      <w:tr>
        <w:trPr/>
        <w:tc>
          <w:tcPr>
            <w:tcW w:w="658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end of the period</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62" w:type="dxa"/>
            <w:tcBorders/>
            <w:shd w:fill="CCEEFF" w:val="clear"/>
            <w:vAlign w:val="bottom"/>
          </w:tcPr>
          <w:p>
            <w:pPr>
              <w:pStyle w:val="TableContents"/>
              <w:bidi w:val="0"/>
              <w:spacing w:before="0" w:after="283"/>
              <w:jc w:val="right"/>
              <w:rPr>
                <w:b/>
              </w:rPr>
            </w:pPr>
            <w:r>
              <w:rPr>
                <w:b/>
              </w:rPr>
              <w:t>235,949</w:t>
            </w:r>
          </w:p>
        </w:tc>
        <w:tc>
          <w:tcPr>
            <w:tcW w:w="16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69" w:type="dxa"/>
            <w:tcBorders/>
            <w:shd w:fill="CCEEFF" w:val="clear"/>
            <w:vAlign w:val="bottom"/>
          </w:tcPr>
          <w:p>
            <w:pPr>
              <w:pStyle w:val="TableContents"/>
              <w:bidi w:val="0"/>
              <w:spacing w:before="0" w:after="283"/>
              <w:jc w:val="right"/>
              <w:rPr>
                <w:b/>
              </w:rPr>
            </w:pPr>
            <w:r>
              <w:rPr>
                <w:b/>
              </w:rPr>
              <w:t>343,600</w:t>
            </w:r>
          </w:p>
        </w:tc>
        <w:tc>
          <w:tcPr>
            <w:tcW w:w="170" w:type="dxa"/>
            <w:tcBorders/>
            <w:shd w:fill="CCEEFF" w:val="clear"/>
            <w:vAlign w:val="bottom"/>
          </w:tcPr>
          <w:p>
            <w:pPr>
              <w:pStyle w:val="TableContents"/>
              <w:bidi w:val="0"/>
              <w:spacing w:before="0" w:after="283"/>
              <w:jc w:val="left"/>
              <w:rPr/>
            </w:pPr>
            <w:r>
              <w:rPr/>
              <w:t> </w:t>
            </w:r>
          </w:p>
        </w:tc>
      </w:tr>
      <w:tr>
        <w:trPr/>
        <w:tc>
          <w:tcPr>
            <w:tcW w:w="658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86"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financing activities: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62"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658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Subsequent remeasurement of common stock subject to possible redemption</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62" w:type="dxa"/>
            <w:tcBorders/>
            <w:shd w:fill="CCEEFF" w:val="clear"/>
            <w:vAlign w:val="bottom"/>
          </w:tcPr>
          <w:p>
            <w:pPr>
              <w:pStyle w:val="TableContents"/>
              <w:bidi w:val="0"/>
              <w:spacing w:before="0" w:after="283"/>
              <w:jc w:val="right"/>
              <w:rPr/>
            </w:pPr>
            <w:r>
              <w:rPr/>
              <w:t>3,148,417</w:t>
            </w:r>
          </w:p>
        </w:tc>
        <w:tc>
          <w:tcPr>
            <w:tcW w:w="16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9"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58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86" w:type="dxa"/>
            <w:tcBorders/>
          </w:tcPr>
          <w:p>
            <w:pPr>
              <w:pStyle w:val="TableContents"/>
              <w:bidi w:val="0"/>
              <w:spacing w:before="0" w:after="0"/>
              <w:jc w:val="left"/>
              <w:rPr>
                <w:rFonts w:ascii="Times New Roman" w:hAnsi="Times New Roman"/>
                <w:sz w:val="20"/>
              </w:rPr>
            </w:pPr>
            <w:r>
              <w:rPr>
                <w:rFonts w:ascii="Times New Roman" w:hAnsi="Times New Roman"/>
                <w:sz w:val="20"/>
              </w:rPr>
              <w:t>Excise tax payable on redemptions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62" w:type="dxa"/>
            <w:tcBorders/>
            <w:vAlign w:val="bottom"/>
          </w:tcPr>
          <w:p>
            <w:pPr>
              <w:pStyle w:val="TableContents"/>
              <w:bidi w:val="0"/>
              <w:spacing w:before="0" w:after="283"/>
              <w:jc w:val="right"/>
              <w:rPr/>
            </w:pPr>
            <w:r>
              <w:rPr/>
              <w:t>1,170,799</w:t>
            </w:r>
          </w:p>
        </w:tc>
        <w:tc>
          <w:tcPr>
            <w:tcW w:w="16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9"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6586"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6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9"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bidi w:val="0"/>
        <w:spacing w:before="0" w:after="0"/>
        <w:jc w:val="center"/>
        <w:rPr>
          <w:rFonts w:ascii="Times New Roman" w:hAnsi="Times New Roman"/>
          <w:b/>
          <w:sz w:val="20"/>
        </w:rPr>
      </w:pPr>
      <w:bookmarkStart w:id="61" w:name="fin309194_18"/>
      <w:bookmarkEnd w:id="61"/>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MARCH 31, 2023 </w:t>
      </w:r>
    </w:p>
    <w:p>
      <w:pPr>
        <w:pStyle w:val="TextBody"/>
        <w:bidi w:val="0"/>
        <w:spacing w:before="240" w:after="0"/>
        <w:jc w:val="left"/>
        <w:rPr>
          <w:rFonts w:ascii="Times New Roman" w:hAnsi="Times New Roman"/>
          <w:b/>
          <w:sz w:val="20"/>
        </w:rPr>
      </w:pPr>
      <w:r>
        <w:rPr>
          <w:rFonts w:ascii="Times New Roman" w:hAnsi="Times New Roman"/>
          <w:b/>
          <w:sz w:val="20"/>
        </w:rPr>
        <w:t xml:space="preserve">Note 1  Organization, Business Operations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The Company concentrated its efforts in identifying businesses in the financial services industry with particular emphasis on businesses that are providing or changing technology for traditional financial services.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2023, the Company had not commenced any operations. All activity for the period from November 5, 2020 (inception) through March 31,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w:t>
      </w:r>
    </w:p>
    <w:p>
      <w:pPr>
        <w:pStyle w:val="TextBody"/>
        <w:bidi w:val="0"/>
        <w:spacing w:before="240" w:after="0"/>
        <w:jc w:val="left"/>
        <w:rPr>
          <w:rFonts w:ascii="Times New Roman" w:hAnsi="Times New Roman"/>
          <w:sz w:val="20"/>
        </w:rPr>
      </w:pPr>
      <w:r>
        <w:rPr>
          <w:rFonts w:ascii="Times New Roman" w:hAnsi="Times New Roman"/>
          <w:sz w:val="20"/>
        </w:rPr>
        <w:t xml:space="preserve">The Companys sponsor is Armada Sponsor LLC (the Sponsor).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for the Companys IPO was declared effective on August 12, 2021 (the Effective Date). On August 17, 2021, the Company commenced the IPO of 15,000,000 units at $10.00 per unit (the Units).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consummation of the IPO, the Company consummated the private placement of 459,500 shares of common stock (Private Shares), at a price of $10.00 per share for an aggregate purchase price of $4,595,000.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amounted to $3,537,515 consisting of $1,500,000 of underwriting commissions, and $2,037,515 of other offering costs.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of the IPO on August 17, 2021, after releasing funds to the Company to be held outside of the Trust, $150,000,000 ($10.00 per Unit) from the net proceeds of the sale of the Units in the IPO was held in a Trust Account (Trust Account) and has been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Except with respect to interest earned on the funds held in the Trust Account that may be released to the Company to pay tax obligations,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The Trust Account has released $804,072 and $182,069 as of March 31, 2023 and September 30, 2022, respectively, to the Company to pay its income and franchise tax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IPO and the sale of Private Shares, although substantially all of the net proceeds are intended to be applied generally toward consummating a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must complete one or more initial Business Combinations having an aggregate fair market value of at least 80% of the value of the assets held in the trust account (as defined below)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(or less if the Charter Limitation Amendment Proposal is approved and implemented) and, if the Company seeks stockholder approval, a majority of the issued and outstanding shares voted are voted in favor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exercise of the automatic extension of the deadline for the Company to complete an initial business combination under our second amended and restated certificate of incorporation, the Company had until February 17, 2023 (or 18 months following our initial public offering) to consummate a business combination (unless we further extend the period of time to consummate a business combination) (the Combination Period). As further described in Note 1, on February 2, 2023, the stockholders approved an amendment to our certificate of incorporation to consummate a business combination (unless we further extend the period of time to consummate a business combination) (the Combination Period).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will specifically provide for two exceptions to the indemnity it has given: it will have no liability (1) as to any claimed amounts owed to a target business or vendor or other entity who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 that the Sponsors only assets are securities of the Company. Therefore, the Company believes it is unlikely that the Sponsor will be able to satisfy its indemnification obligations if it is required to do so. </w:t>
      </w:r>
    </w:p>
    <w:p>
      <w:pPr>
        <w:pStyle w:val="TextBody"/>
        <w:bidi w:val="0"/>
        <w:spacing w:before="240" w:after="0"/>
        <w:jc w:val="left"/>
        <w:rPr>
          <w:rFonts w:ascii="Times New Roman" w:hAnsi="Times New Roman"/>
          <w:sz w:val="20"/>
        </w:rPr>
      </w:pPr>
      <w:r>
        <w:rPr>
          <w:rFonts w:ascii="Times New Roman" w:hAnsi="Times New Roman"/>
          <w:sz w:val="20"/>
        </w:rPr>
        <w:t>On December 17, 2021, the Company entered into a business combination agreement with Rezolve Limited, a private limited company incorporated under the laws of England and Wales (</w:t>
      </w:r>
      <w:r>
        <w:rPr>
          <w:rFonts w:ascii="Times New Roman" w:hAnsi="Times New Roman"/>
          <w:sz w:val="20"/>
          <w:u w:val="single"/>
        </w:rPr>
        <w:t>Rezolve</w:t>
      </w:r>
      <w:r>
        <w:rPr>
          <w:rFonts w:ascii="Times New Roman" w:hAnsi="Times New Roman"/>
          <w:sz w:val="20"/>
        </w:rPr>
        <w:t>), Rezolve Group Limited, a Cayman Islands exempted company (</w:t>
      </w:r>
      <w:r>
        <w:rPr>
          <w:rFonts w:ascii="Times New Roman" w:hAnsi="Times New Roman"/>
          <w:sz w:val="20"/>
          <w:u w:val="single"/>
        </w:rPr>
        <w:t>Cayman NewCo</w:t>
      </w:r>
      <w:r>
        <w:rPr>
          <w:rFonts w:ascii="Times New Roman" w:hAnsi="Times New Roman"/>
          <w:sz w:val="20"/>
        </w:rPr>
        <w:t>), and Rezolve Merger Sub, Inc., (</w:t>
      </w:r>
      <w:r>
        <w:rPr>
          <w:rFonts w:ascii="Times New Roman" w:hAnsi="Times New Roman"/>
          <w:sz w:val="20"/>
          <w:u w:val="single"/>
        </w:rPr>
        <w:t>Rezolve Merger Sub</w:t>
      </w:r>
      <w:r>
        <w:rPr>
          <w:rFonts w:ascii="Times New Roman" w:hAnsi="Times New Roman"/>
          <w:sz w:val="20"/>
        </w:rPr>
        <w:t>) (such business combination agreement, the </w:t>
      </w:r>
      <w:r>
        <w:rPr>
          <w:rFonts w:ascii="Times New Roman" w:hAnsi="Times New Roman"/>
          <w:sz w:val="20"/>
          <w:u w:val="single"/>
        </w:rPr>
        <w:t>Business Combination Agreement</w:t>
      </w:r>
      <w:r>
        <w:rPr>
          <w:rFonts w:ascii="Times New Roman" w:hAnsi="Times New Roman"/>
          <w:sz w:val="20"/>
        </w:rPr>
        <w:t>, and such business combination, the </w:t>
      </w:r>
      <w:r>
        <w:rPr>
          <w:rFonts w:ascii="Times New Roman" w:hAnsi="Times New Roman"/>
          <w:sz w:val="20"/>
          <w:u w:val="single"/>
        </w:rPr>
        <w:t>Business Combination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connection with the execution of the definitive Business Combination Agreement, certain investors have agreed to purchase an aggregate of 2,050,000 ordinary shares of Cayman NewCo for the purchase price of $10.00 per share, for an aggregate purchase price of $20.5 million pursuant to certain subscription agreements (the </w:t>
      </w:r>
      <w:r>
        <w:rPr>
          <w:rFonts w:ascii="Times New Roman" w:hAnsi="Times New Roman"/>
          <w:sz w:val="20"/>
          <w:u w:val="single"/>
        </w:rPr>
        <w:t>Subscription Agreements</w:t>
      </w:r>
      <w:r>
        <w:rPr>
          <w:rFonts w:ascii="Times New Roman" w:hAnsi="Times New Roman"/>
          <w:sz w:val="20"/>
        </w:rPr>
        <w:t xml:space="preserve">). The obligations of each party under the subscription agreements are conditioned upon customary closing conditions and the consummation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Concurrently with the execution and delivery of the Business Combination Agreement, Armada and the Key Company Shareholders (as defined in the Business Combination Agreement) have entered into the Transaction Support Agreement (the </w:t>
      </w:r>
      <w:r>
        <w:rPr>
          <w:rFonts w:ascii="Times New Roman" w:hAnsi="Times New Roman"/>
          <w:sz w:val="20"/>
          <w:u w:val="single"/>
        </w:rPr>
        <w:t>Transaction Support Agreement</w:t>
      </w:r>
      <w:r>
        <w:rPr>
          <w:rFonts w:ascii="Times New Roman" w:hAnsi="Times New Roman"/>
          <w:sz w:val="20"/>
        </w:rPr>
        <w:t xml:space="preserve">), pursuant to which, among other things, the Key Company Shareholders have agreed to (a) vote in favor of the Company Reorganization (b) vote in favor of the Business Combination Agreement and the agreements contemplated thereby and the transactions contemplated thereby, (c) enter into the Investor Rights Agreement (as described below) at Closing and (d) the termination of certain agreements effective as of Closing. </w:t>
      </w:r>
    </w:p>
    <w:p>
      <w:pPr>
        <w:pStyle w:val="TextBody"/>
        <w:bidi w:val="0"/>
        <w:spacing w:before="240" w:after="0"/>
        <w:jc w:val="left"/>
        <w:rPr>
          <w:rFonts w:ascii="Times New Roman" w:hAnsi="Times New Roman"/>
          <w:sz w:val="20"/>
        </w:rPr>
      </w:pPr>
      <w:r>
        <w:rPr>
          <w:rFonts w:ascii="Times New Roman" w:hAnsi="Times New Roman"/>
          <w:sz w:val="20"/>
        </w:rPr>
        <w:t xml:space="preserve">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 </w:t>
      </w:r>
    </w:p>
    <w:p>
      <w:pPr>
        <w:pStyle w:val="TextBody"/>
        <w:bidi w:val="0"/>
        <w:spacing w:before="240" w:after="0"/>
        <w:jc w:val="left"/>
        <w:rPr>
          <w:rFonts w:ascii="Times New Roman" w:hAnsi="Times New Roman"/>
          <w:sz w:val="20"/>
        </w:rPr>
      </w:pPr>
      <w:r>
        <w:rPr>
          <w:rFonts w:ascii="Times New Roman" w:hAnsi="Times New Roman"/>
          <w:sz w:val="20"/>
        </w:rPr>
        <w:t>On February 2, 2023, the Company held an annual meeting of its stockholders (the Annual Meeting). At the Annual Meeting, the Companys stockholders approved an amendment to the Companys Second Amended and Restated Certificate of Incorporation (Charter) to extend the date by which the Company must consummate a business combination or, if it fails to do so, cease its operations and redeem or repurchase 100% of the shares of the Companys Common Stock issued in the Companys initial public offering, from February 17, 2023 for up to six additional months at the election of the Company, ultimately until as late as August 17, 2023 (the Extension). The Company filed an amendment to the Companys Charter with the Secretary of State of the State of Delaware reflecting the Extension. In connection with the Extension, the holders of 11,491,148 shares of Common Stock elected to redeem their shares at a per share redemption price of approximately $10.19. As a result, $ 117,079,879 was removed from the Companys Trust Account to pay such holders.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February 23, 2023, Armada, Rezolve and YA II PN, Ltd., a Cayman Islands exempted limited partnership (YA) entered into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the Company will continue as a going concern, which contemplates, among other things, the realization of assets and satisfaction of liabilities in the normal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2023, the Company had approximately $0.2 million in its operating account and working capital deficiency of approximately $6.9 million (excluding income tax payable and franchise tax payable). </w:t>
      </w:r>
    </w:p>
    <w:p>
      <w:pPr>
        <w:pStyle w:val="TextBody"/>
        <w:bidi w:val="0"/>
        <w:spacing w:before="240" w:after="0"/>
        <w:jc w:val="left"/>
        <w:rPr>
          <w:rFonts w:ascii="Times New Roman" w:hAnsi="Times New Roman"/>
          <w:sz w:val="20"/>
        </w:rPr>
      </w:pPr>
      <w:r>
        <w:rPr>
          <w:rFonts w:ascii="Times New Roman" w:hAnsi="Times New Roman"/>
          <w:sz w:val="20"/>
        </w:rPr>
        <w:t xml:space="preserve">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 </w:t>
      </w:r>
    </w:p>
    <w:p>
      <w:pPr>
        <w:pStyle w:val="TextBody"/>
        <w:bidi w:val="0"/>
        <w:spacing w:before="240" w:after="0"/>
        <w:jc w:val="left"/>
        <w:rPr>
          <w:rFonts w:ascii="Times New Roman" w:hAnsi="Times New Roman"/>
          <w:sz w:val="20"/>
        </w:rPr>
      </w:pPr>
      <w:r>
        <w:rPr>
          <w:rFonts w:ascii="Times New Roman" w:hAnsi="Times New Roman"/>
          <w:sz w:val="20"/>
        </w:rPr>
        <w:t xml:space="preserve">On May 9, 2022, the Sponsor loaned the Company the aggregate amount of $483,034 in order to assist the Company to fund its working capital needs. On November 10, 2022 the Sponsor loaned the Company $1,500,000 in order to cover the additional contribution to the trust account in connection with the automatic extension and $450,000 to fund its working capital needs (see Note 3). These loans are evidenced by four promissory notes in the aggregate principal amount of $2,433,034 from the Company, as maker, to the Sponsor, as payee.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The aggregate balance outstanding under all promissory notes was $2,201,754 and $251,754 as of March 31, 2023 and September 30,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order to finance transaction costs in connection with a Business Combination, the Companys Sponsor or an affiliate of the Sponsor or certain of the Companys officers and directors may, but are not obligated to, provide the Company with Working Capital Loans, as defined below (see Note 3). As of March 31, 2023, there were no amounts outstanding under any Working Capital Loans. The Company has incurred and expects to continue to incur significant costs in pursuit of its acquisition plans.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liquidity condition and date for mandatory liquidation and dissolution raise substantial doubt about the Companys ability to continue as a going concern through August 17, 2023, the scheduled liquidation date of the Company if it does not complete a Business Combination prior to such date. These unaudited condensed financial statements do not include any adjustments relating to the recovery of the recorded assets or the classification of the liabilities that might be necessary should the Company be unable to continue as a going concern.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continuing to evaluate the impact of the COVID-19 pandemic on the industry, the geopolitical conditions resulting from the recent invasion of Ukraine by Russia and subsequent sanctions against Russia, Belarus and related individuals and entities and the status of debt and equity markets, as well as protectionist legislation in our target markets and has concluded that while it is reasonably possible that it could have a negative effect on the Companys financial position, results of its operations and/or that of Rezolves or any other target company, the specific impact is not readily determinable as of the date of these unaudited condensed financial statements. The unaudited condensed financial statements do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 </w:t>
      </w:r>
    </w:p>
    <w:p>
      <w:pPr>
        <w:pStyle w:val="TextBody"/>
        <w:bidi w:val="0"/>
        <w:spacing w:before="240" w:after="0"/>
        <w:jc w:val="left"/>
        <w:rPr>
          <w:rFonts w:ascii="Times New Roman" w:hAnsi="Times New Roman"/>
          <w:sz w:val="20"/>
        </w:rPr>
      </w:pPr>
      <w:r>
        <w:rPr>
          <w:rFonts w:ascii="Times New Roman" w:hAnsi="Times New Roman"/>
          <w:sz w:val="20"/>
        </w:rPr>
        <w:t xml:space="preserve">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As discussed above, during February 2023, holders of 11,491,148 shares of Common Stock elected to redeem their shares in connection with the Extension. As a result, $117,079,879 was removed from the Companys Trust Account to pay such holders. Management has evaluated the requirements of the IR Act and the Companys operations, and has determined that a liability of $1,170,799 is required to be recorded as of March 31, 2023. This liability will be reevaluated and remeasured at the end of such subsequent period until it is settled. </w:t>
      </w:r>
    </w:p>
    <w:p>
      <w:pPr>
        <w:pStyle w:val="TextBody"/>
        <w:bidi w:val="0"/>
        <w:spacing w:before="360" w:after="0"/>
        <w:jc w:val="left"/>
        <w:rPr>
          <w:rFonts w:ascii="Times New Roman" w:hAnsi="Times New Roman"/>
          <w:b/>
          <w:sz w:val="20"/>
        </w:rPr>
      </w:pPr>
      <w:r>
        <w:rPr>
          <w:rFonts w:ascii="Times New Roman" w:hAnsi="Times New Roman"/>
          <w:b/>
          <w:sz w:val="20"/>
        </w:rPr>
        <w:t xml:space="preserve">Note 2 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financial statements are presented in U.S. dollars in conformity with accounting principles generally accepted in the United States of America (GAAP) and pursuant to the rules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six months ended March 31, 2023, are not necessarily indicative of the results that may be expected through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unaudited condensed financial statements should be read in conjunction with the Companys Annual Report on Form10-K, as filed with SEC on December 22,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equivalents. The Company had $235,949 and $177,578 in cash as of March 31, 2023 and September 30, 2022,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Investment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2023 the assets held in the Trust Account were held in a money market fund. The Companys portfolio of investments held in the Trust Account is comprised of U.S. government securities, within the meaning set forth in Section 2(a)(16) of the Investment Company Act, with a maturity of 185 days or less, investments in money market funds that invest in U.S. government securities, cash, or a combination thereof. The Companys investments held in the Trust Account are classified as trading securities. Trading securities are presented on the condensed balance sheets at fair value at the end of each reporting period. Gains and losses resulting from the change in fair value of these securities is included in trust interest income on Investments Held in Trust Account in the accompanying condensed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As September 30, 2022, the assets held in the Trust Account were held in U.S. Treasury Bills with a maturity of 185 days or less and in money market funds which invest in U.S. Treasury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 </w:t>
      </w:r>
    </w:p>
    <w:p>
      <w:pPr>
        <w:pStyle w:val="TextBody"/>
        <w:bidi w:val="0"/>
        <w:spacing w:before="240" w:after="0"/>
        <w:jc w:val="left"/>
        <w:rPr>
          <w:rFonts w:ascii="Times New Roman" w:hAnsi="Times New Roman"/>
          <w:sz w:val="20"/>
        </w:rPr>
      </w:pPr>
      <w:r>
        <w:rPr>
          <w:rFonts w:ascii="Times New Roman" w:hAnsi="Times New Roman"/>
          <w:sz w:val="20"/>
        </w:rPr>
        <w:t xml:space="preserve">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 </w:t>
      </w:r>
    </w:p>
    <w:p>
      <w:pPr>
        <w:pStyle w:val="TextBody"/>
        <w:bidi w:val="0"/>
        <w:spacing w:before="240" w:after="0"/>
        <w:jc w:val="left"/>
        <w:rPr>
          <w:rFonts w:ascii="Times New Roman" w:hAnsi="Times New Roman"/>
          <w:sz w:val="20"/>
        </w:rPr>
      </w:pPr>
      <w:r>
        <w:rPr>
          <w:rFonts w:ascii="Times New Roman" w:hAnsi="Times New Roman"/>
          <w:sz w:val="20"/>
        </w:rPr>
        <w:t xml:space="preserve">Premiums and discounts are amortized or accreted over the life of the related held-to-maturity security as an adjustment to yield using the effective-interest method. Such amortization and accretion are included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interest income line item in the unaudited condensed statements of operations. Interest income is recognized when earned. </w:t>
      </w:r>
    </w:p>
    <w:p>
      <w:pPr>
        <w:pStyle w:val="TextBody"/>
        <w:bidi w:val="0"/>
        <w:spacing w:before="240" w:after="0"/>
        <w:jc w:val="left"/>
        <w:rPr>
          <w:rFonts w:ascii="Times New Roman" w:hAnsi="Times New Roman"/>
          <w:sz w:val="20"/>
        </w:rPr>
      </w:pPr>
      <w:r>
        <w:rPr>
          <w:rFonts w:ascii="Times New Roman" w:hAnsi="Times New Roman"/>
          <w:sz w:val="20"/>
        </w:rPr>
        <w:t xml:space="preserve">There were no held to maturity securities on March 31, 2023. The carrying value, excluding gross unrealized holding loss, and fair value of held to maturity securities on September 30, 2022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80"/>
        <w:gridCol w:w="307"/>
        <w:gridCol w:w="151"/>
        <w:gridCol w:w="1376"/>
        <w:gridCol w:w="60"/>
        <w:gridCol w:w="307"/>
        <w:gridCol w:w="192"/>
        <w:gridCol w:w="946"/>
        <w:gridCol w:w="60"/>
        <w:gridCol w:w="307"/>
        <w:gridCol w:w="569"/>
        <w:gridCol w:w="569"/>
        <w:gridCol w:w="60"/>
        <w:gridCol w:w="307"/>
        <w:gridCol w:w="150"/>
        <w:gridCol w:w="1376"/>
        <w:gridCol w:w="71"/>
      </w:tblGrid>
      <w:tr>
        <w:trPr/>
        <w:tc>
          <w:tcPr>
            <w:tcW w:w="258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258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5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Value as of</w:t>
              <w:br/>
              <w:t>September 30,</w:t>
              <w:br/>
              <w:t>2022</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Gains</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Losses</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as of</w:t>
              <w:br/>
              <w:t>September 30,</w:t>
              <w:br/>
              <w:t>2022</w:t>
            </w:r>
          </w:p>
        </w:tc>
        <w:tc>
          <w:tcPr>
            <w:tcW w:w="71" w:type="dxa"/>
            <w:tcBorders/>
            <w:vAlign w:val="bottom"/>
          </w:tcPr>
          <w:p>
            <w:pPr>
              <w:pStyle w:val="TableContents"/>
              <w:bidi w:val="0"/>
              <w:spacing w:before="0" w:after="283"/>
              <w:jc w:val="left"/>
              <w:rPr/>
            </w:pPr>
            <w:r>
              <w:rPr/>
              <w:t> </w:t>
            </w:r>
          </w:p>
        </w:tc>
      </w:tr>
      <w:tr>
        <w:trPr/>
        <w:tc>
          <w:tcPr>
            <w:tcW w:w="25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0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76" w:type="dxa"/>
            <w:tcBorders/>
            <w:shd w:fill="CCEEFF" w:val="clear"/>
            <w:vAlign w:val="bottom"/>
          </w:tcPr>
          <w:p>
            <w:pPr>
              <w:pStyle w:val="TableContents"/>
              <w:bidi w:val="0"/>
              <w:spacing w:before="0" w:after="283"/>
              <w:jc w:val="right"/>
              <w:rPr/>
            </w:pPr>
            <w:r>
              <w:rPr/>
              <w:t>320</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376" w:type="dxa"/>
            <w:tcBorders/>
            <w:shd w:fill="CCEEFF" w:val="clear"/>
            <w:vAlign w:val="bottom"/>
          </w:tcPr>
          <w:p>
            <w:pPr>
              <w:pStyle w:val="TableContents"/>
              <w:bidi w:val="0"/>
              <w:spacing w:before="0" w:after="283"/>
              <w:jc w:val="right"/>
              <w:rPr/>
            </w:pPr>
            <w:r>
              <w:rPr/>
              <w:t>320</w:t>
            </w:r>
          </w:p>
        </w:tc>
        <w:tc>
          <w:tcPr>
            <w:tcW w:w="71" w:type="dxa"/>
            <w:tcBorders/>
            <w:shd w:fill="CCEEFF" w:val="clear"/>
            <w:vAlign w:val="bottom"/>
          </w:tcPr>
          <w:p>
            <w:pPr>
              <w:pStyle w:val="TableContents"/>
              <w:bidi w:val="0"/>
              <w:spacing w:before="0" w:after="283"/>
              <w:jc w:val="left"/>
              <w:rPr/>
            </w:pPr>
            <w:r>
              <w:rPr/>
              <w:t> </w:t>
            </w:r>
          </w:p>
        </w:tc>
      </w:tr>
      <w:tr>
        <w:trPr/>
        <w:tc>
          <w:tcPr>
            <w:tcW w:w="2580"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Bills</w:t>
            </w:r>
          </w:p>
        </w:tc>
        <w:tc>
          <w:tcPr>
            <w:tcW w:w="30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150,844,605</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19,242</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150,863,847</w:t>
            </w:r>
          </w:p>
        </w:tc>
        <w:tc>
          <w:tcPr>
            <w:tcW w:w="71" w:type="dxa"/>
            <w:tcBorders/>
            <w:vAlign w:val="bottom"/>
          </w:tcPr>
          <w:p>
            <w:pPr>
              <w:pStyle w:val="TableContents"/>
              <w:bidi w:val="0"/>
              <w:spacing w:before="0" w:after="283"/>
              <w:jc w:val="left"/>
              <w:rPr/>
            </w:pPr>
            <w:r>
              <w:rPr/>
              <w:t> </w:t>
            </w:r>
          </w:p>
        </w:tc>
      </w:tr>
      <w:tr>
        <w:trPr/>
        <w:tc>
          <w:tcPr>
            <w:tcW w:w="2580"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376"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2580" w:type="dxa"/>
            <w:tcBorders/>
            <w:shd w:fill="CCEEFF" w:val="clear"/>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76" w:type="dxa"/>
            <w:tcBorders/>
            <w:shd w:fill="CCEEFF" w:val="clear"/>
            <w:vAlign w:val="bottom"/>
          </w:tcPr>
          <w:p>
            <w:pPr>
              <w:pStyle w:val="TableContents"/>
              <w:bidi w:val="0"/>
              <w:spacing w:before="0" w:after="283"/>
              <w:jc w:val="right"/>
              <w:rPr/>
            </w:pPr>
            <w:r>
              <w:rPr/>
              <w:t>150,844,925</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46" w:type="dxa"/>
            <w:tcBorders/>
            <w:shd w:fill="CCEEFF" w:val="clear"/>
            <w:vAlign w:val="bottom"/>
          </w:tcPr>
          <w:p>
            <w:pPr>
              <w:pStyle w:val="TableContents"/>
              <w:bidi w:val="0"/>
              <w:spacing w:before="0" w:after="283"/>
              <w:jc w:val="right"/>
              <w:rPr/>
            </w:pPr>
            <w:r>
              <w:rPr/>
              <w:t>19,242</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376" w:type="dxa"/>
            <w:tcBorders/>
            <w:shd w:fill="CCEEFF" w:val="clear"/>
            <w:vAlign w:val="bottom"/>
          </w:tcPr>
          <w:p>
            <w:pPr>
              <w:pStyle w:val="TableContents"/>
              <w:bidi w:val="0"/>
              <w:spacing w:before="0" w:after="283"/>
              <w:jc w:val="right"/>
              <w:rPr/>
            </w:pPr>
            <w:r>
              <w:rPr/>
              <w:t>150,864,167</w:t>
            </w:r>
          </w:p>
        </w:tc>
        <w:tc>
          <w:tcPr>
            <w:tcW w:w="71" w:type="dxa"/>
            <w:tcBorders/>
            <w:shd w:fill="CCEEFF" w:val="clear"/>
            <w:vAlign w:val="bottom"/>
          </w:tcPr>
          <w:p>
            <w:pPr>
              <w:pStyle w:val="TableContents"/>
              <w:bidi w:val="0"/>
              <w:spacing w:before="0" w:after="283"/>
              <w:jc w:val="left"/>
              <w:rPr/>
            </w:pPr>
            <w:r>
              <w:rPr/>
              <w:t> </w:t>
            </w:r>
          </w:p>
        </w:tc>
      </w:tr>
      <w:tr>
        <w:trPr/>
        <w:tc>
          <w:tcPr>
            <w:tcW w:w="2580"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376"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Held to maturity investments (U.S. Treasury Bills) recorded as of September 30, 2022 matured on October 22, 2022 and the total amount of $151,046,320, including amortized interest, was reinvested in money market funds. </w:t>
      </w:r>
    </w:p>
    <w:p>
      <w:pPr>
        <w:pStyle w:val="TextBody"/>
        <w:bidi w:val="0"/>
        <w:spacing w:before="240" w:after="0"/>
        <w:jc w:val="left"/>
        <w:rPr>
          <w:rFonts w:ascii="Times New Roman" w:hAnsi="Times New Roman"/>
          <w:sz w:val="20"/>
        </w:rPr>
      </w:pPr>
      <w:r>
        <w:rPr>
          <w:rFonts w:ascii="Times New Roman" w:hAnsi="Times New Roman"/>
          <w:sz w:val="20"/>
        </w:rPr>
        <w:t xml:space="preserve">The estimated fair values of investments held in the Trust Account are determined using available market information and are characterized as Level 1 investments within the fair value hierarchy under ASC 820 (as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defined as observable inputs such as quoted prices (unadjusted) for identical instruments in active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defined as inputs other than quoted prices in active markets that are either directly or indirectly observable such as quoted prices for similar instruments in active markets or quoted prices for identical or similar instruments in markets that are not active;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defined as unobservable inputs in which little or no market data exists, therefore requiring an entity to develop its own assumptions, such as valuations derived from valuation techniques in which one or more significant inputs or significant value drivers are unobservable.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certain of the Companys assets and liabilities, which qualify as financial instruments under ASC 820, Fair Value Measurement approximates the carrying amounts represented in the condensed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of a cash account in a financial institution, which, at times, may exceed the Federal Depository Insurance Corporation limit of $250,000. At March 31, 2023 and September 30, 2022, the Company has not experienced losses on this account and management believes the Company is not exposed to significant risks on such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Offering Costs Associated with IPO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the requirements of ASC340-10-S99-1 and SEC Staff Accounting Bulletin Topic 5AExpenses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as of September 30, 2022, and 3,508,852 shares of common stock as of March 31, 2023 subject to possible redemption are presented at redemption value as temporary equity, outside of the stockholders deficit section of the Companys condensed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At March 31, 2023 and September 30, 2022, the common stock reflected in the balance sheets are reconciled in the following table: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270"/>
        <w:gridCol w:w="458"/>
        <w:gridCol w:w="148"/>
        <w:gridCol w:w="1353"/>
        <w:gridCol w:w="159"/>
      </w:tblGrid>
      <w:tr>
        <w:trPr/>
        <w:tc>
          <w:tcPr>
            <w:tcW w:w="7270"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Proceeds</w:t>
            </w:r>
          </w:p>
        </w:tc>
        <w:tc>
          <w:tcPr>
            <w:tcW w:w="45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353" w:type="dxa"/>
            <w:tcBorders/>
            <w:shd w:fill="CCEEFF" w:val="clear"/>
            <w:vAlign w:val="bottom"/>
          </w:tcPr>
          <w:p>
            <w:pPr>
              <w:pStyle w:val="TableContents"/>
              <w:bidi w:val="0"/>
              <w:spacing w:before="0" w:after="283"/>
              <w:jc w:val="right"/>
              <w:rPr/>
            </w:pPr>
            <w:r>
              <w:rPr/>
              <w:t>150,000,000</w:t>
            </w:r>
          </w:p>
        </w:tc>
        <w:tc>
          <w:tcPr>
            <w:tcW w:w="159" w:type="dxa"/>
            <w:tcBorders/>
            <w:shd w:fill="CCEEFF" w:val="clear"/>
            <w:vAlign w:val="bottom"/>
          </w:tcPr>
          <w:p>
            <w:pPr>
              <w:pStyle w:val="TableContents"/>
              <w:bidi w:val="0"/>
              <w:spacing w:before="0" w:after="283"/>
              <w:jc w:val="left"/>
              <w:rPr/>
            </w:pPr>
            <w:r>
              <w:rPr/>
              <w:t> </w:t>
            </w:r>
          </w:p>
        </w:tc>
      </w:tr>
      <w:tr>
        <w:trPr/>
        <w:tc>
          <w:tcPr>
            <w:tcW w:w="7270" w:type="dxa"/>
            <w:tcBorders/>
          </w:tcPr>
          <w:p>
            <w:pPr>
              <w:pStyle w:val="TableContents"/>
              <w:bidi w:val="0"/>
              <w:spacing w:before="0" w:after="0"/>
              <w:jc w:val="left"/>
              <w:rPr>
                <w:rFonts w:ascii="Times New Roman" w:hAnsi="Times New Roman"/>
                <w:sz w:val="20"/>
              </w:rPr>
            </w:pPr>
            <w:r>
              <w:rPr>
                <w:rFonts w:ascii="Times New Roman" w:hAnsi="Times New Roman"/>
                <w:sz w:val="20"/>
              </w:rPr>
              <w:t>Less: Proceeds allocated to Public Warrants</w:t>
            </w:r>
          </w:p>
        </w:tc>
        <w:tc>
          <w:tcPr>
            <w:tcW w:w="45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(11,700,000</w:t>
            </w:r>
          </w:p>
        </w:tc>
        <w:tc>
          <w:tcPr>
            <w:tcW w:w="159" w:type="dxa"/>
            <w:tcBorders/>
            <w:vAlign w:val="bottom"/>
          </w:tcPr>
          <w:p>
            <w:pPr>
              <w:pStyle w:val="TableContents"/>
              <w:bidi w:val="0"/>
              <w:spacing w:before="0" w:after="283"/>
              <w:jc w:val="left"/>
              <w:rPr/>
            </w:pPr>
            <w:r>
              <w:rPr/>
              <w:t>) </w:t>
            </w:r>
          </w:p>
        </w:tc>
      </w:tr>
      <w:tr>
        <w:trPr/>
        <w:tc>
          <w:tcPr>
            <w:tcW w:w="7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Issuance costs related to common stock</w:t>
            </w:r>
          </w:p>
        </w:tc>
        <w:tc>
          <w:tcPr>
            <w:tcW w:w="45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(3,261,589</w:t>
            </w:r>
          </w:p>
        </w:tc>
        <w:tc>
          <w:tcPr>
            <w:tcW w:w="159" w:type="dxa"/>
            <w:tcBorders/>
            <w:shd w:fill="CCEEFF" w:val="clear"/>
            <w:vAlign w:val="bottom"/>
          </w:tcPr>
          <w:p>
            <w:pPr>
              <w:pStyle w:val="TableContents"/>
              <w:bidi w:val="0"/>
              <w:spacing w:before="0" w:after="283"/>
              <w:jc w:val="left"/>
              <w:rPr/>
            </w:pPr>
            <w:r>
              <w:rPr/>
              <w:t>) </w:t>
            </w:r>
          </w:p>
        </w:tc>
      </w:tr>
      <w:tr>
        <w:trPr/>
        <w:tc>
          <w:tcPr>
            <w:tcW w:w="7270" w:type="dxa"/>
            <w:tcBorders/>
          </w:tcPr>
          <w:p>
            <w:pPr>
              <w:pStyle w:val="TableContents"/>
              <w:bidi w:val="0"/>
              <w:spacing w:before="0" w:after="0"/>
              <w:jc w:val="left"/>
              <w:rPr>
                <w:rFonts w:ascii="Times New Roman" w:hAnsi="Times New Roman"/>
                <w:sz w:val="20"/>
              </w:rPr>
            </w:pPr>
            <w:r>
              <w:rPr>
                <w:rFonts w:ascii="Times New Roman" w:hAnsi="Times New Roman"/>
                <w:sz w:val="20"/>
              </w:rPr>
              <w:t>Plus: Remeasurement of carrying value to redemption value</w:t>
            </w:r>
          </w:p>
        </w:tc>
        <w:tc>
          <w:tcPr>
            <w:tcW w:w="45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14,961,589</w:t>
            </w:r>
          </w:p>
        </w:tc>
        <w:tc>
          <w:tcPr>
            <w:tcW w:w="159" w:type="dxa"/>
            <w:tcBorders/>
            <w:vAlign w:val="bottom"/>
          </w:tcPr>
          <w:p>
            <w:pPr>
              <w:pStyle w:val="TableContents"/>
              <w:bidi w:val="0"/>
              <w:spacing w:before="0" w:after="283"/>
              <w:jc w:val="left"/>
              <w:rPr/>
            </w:pPr>
            <w:r>
              <w:rPr/>
              <w:t> </w:t>
            </w:r>
          </w:p>
        </w:tc>
      </w:tr>
      <w:tr>
        <w:trPr/>
        <w:tc>
          <w:tcPr>
            <w:tcW w:w="7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 Subsequent remeasurement of carrying value to redemption value  Trust interest income (excluding the amount that can be withdrawn from Trust Account)</w:t>
            </w:r>
          </w:p>
        </w:tc>
        <w:tc>
          <w:tcPr>
            <w:tcW w:w="45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548,862</w:t>
            </w:r>
          </w:p>
        </w:tc>
        <w:tc>
          <w:tcPr>
            <w:tcW w:w="159" w:type="dxa"/>
            <w:tcBorders/>
            <w:shd w:fill="CCEEFF" w:val="clear"/>
            <w:vAlign w:val="bottom"/>
          </w:tcPr>
          <w:p>
            <w:pPr>
              <w:pStyle w:val="TableContents"/>
              <w:bidi w:val="0"/>
              <w:spacing w:before="0" w:after="283"/>
              <w:jc w:val="left"/>
              <w:rPr/>
            </w:pPr>
            <w:r>
              <w:rPr/>
              <w:t> </w:t>
            </w:r>
          </w:p>
        </w:tc>
      </w:tr>
      <w:tr>
        <w:trPr/>
        <w:tc>
          <w:tcPr>
            <w:tcW w:w="727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Common stock subject to possible redemption  September 30, 2022</w:t>
            </w:r>
          </w:p>
        </w:tc>
        <w:tc>
          <w:tcPr>
            <w:tcW w:w="45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b/>
              </w:rPr>
            </w:pPr>
            <w:r>
              <w:rPr>
                <w:b/>
              </w:rPr>
              <w:t>$</w:t>
            </w:r>
          </w:p>
        </w:tc>
        <w:tc>
          <w:tcPr>
            <w:tcW w:w="1353" w:type="dxa"/>
            <w:tcBorders/>
            <w:vAlign w:val="bottom"/>
          </w:tcPr>
          <w:p>
            <w:pPr>
              <w:pStyle w:val="TableContents"/>
              <w:bidi w:val="0"/>
              <w:spacing w:before="0" w:after="283"/>
              <w:jc w:val="right"/>
              <w:rPr>
                <w:b/>
              </w:rPr>
            </w:pPr>
            <w:r>
              <w:rPr>
                <w:b/>
              </w:rPr>
              <w:t>150,548,862</w:t>
            </w:r>
          </w:p>
        </w:tc>
        <w:tc>
          <w:tcPr>
            <w:tcW w:w="159" w:type="dxa"/>
            <w:tcBorders/>
            <w:vAlign w:val="bottom"/>
          </w:tcPr>
          <w:p>
            <w:pPr>
              <w:pStyle w:val="TableContents"/>
              <w:bidi w:val="0"/>
              <w:spacing w:before="0" w:after="283"/>
              <w:jc w:val="left"/>
              <w:rPr/>
            </w:pPr>
            <w:r>
              <w:rPr/>
              <w:t> </w:t>
            </w:r>
          </w:p>
        </w:tc>
      </w:tr>
      <w:tr>
        <w:trPr/>
        <w:tc>
          <w:tcPr>
            <w:tcW w:w="727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Redemptions</w:t>
            </w:r>
          </w:p>
        </w:tc>
        <w:tc>
          <w:tcPr>
            <w:tcW w:w="45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(117,079,879</w:t>
            </w:r>
          </w:p>
        </w:tc>
        <w:tc>
          <w:tcPr>
            <w:tcW w:w="159" w:type="dxa"/>
            <w:tcBorders/>
            <w:shd w:fill="CCEEFF" w:val="clear"/>
            <w:vAlign w:val="bottom"/>
          </w:tcPr>
          <w:p>
            <w:pPr>
              <w:pStyle w:val="TableContents"/>
              <w:bidi w:val="0"/>
              <w:spacing w:before="0" w:after="283"/>
              <w:jc w:val="left"/>
              <w:rPr/>
            </w:pPr>
            <w:r>
              <w:rPr/>
              <w:t>) </w:t>
            </w:r>
          </w:p>
        </w:tc>
      </w:tr>
      <w:tr>
        <w:trPr/>
        <w:tc>
          <w:tcPr>
            <w:tcW w:w="7270" w:type="dxa"/>
            <w:tcBorders/>
          </w:tcPr>
          <w:p>
            <w:pPr>
              <w:pStyle w:val="TableContents"/>
              <w:bidi w:val="0"/>
              <w:spacing w:before="0" w:after="0"/>
              <w:jc w:val="left"/>
              <w:rPr>
                <w:rFonts w:ascii="Times New Roman" w:hAnsi="Times New Roman"/>
                <w:sz w:val="20"/>
              </w:rPr>
            </w:pPr>
            <w:r>
              <w:rPr>
                <w:rFonts w:ascii="Times New Roman" w:hAnsi="Times New Roman"/>
                <w:sz w:val="20"/>
              </w:rPr>
              <w:t>Plus: Remeasurement of carrying value to redemption value</w:t>
            </w:r>
          </w:p>
        </w:tc>
        <w:tc>
          <w:tcPr>
            <w:tcW w:w="45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3,148,417</w:t>
            </w:r>
          </w:p>
        </w:tc>
        <w:tc>
          <w:tcPr>
            <w:tcW w:w="159" w:type="dxa"/>
            <w:tcBorders/>
            <w:vAlign w:val="bottom"/>
          </w:tcPr>
          <w:p>
            <w:pPr>
              <w:pStyle w:val="TableContents"/>
              <w:bidi w:val="0"/>
              <w:spacing w:before="0" w:after="283"/>
              <w:jc w:val="left"/>
              <w:rPr/>
            </w:pPr>
            <w:r>
              <w:rPr/>
              <w:t> </w:t>
            </w:r>
          </w:p>
        </w:tc>
      </w:tr>
      <w:tr>
        <w:trPr/>
        <w:tc>
          <w:tcPr>
            <w:tcW w:w="727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Common stock subject to possible redemption  March 31, 2023</w:t>
            </w:r>
          </w:p>
        </w:tc>
        <w:tc>
          <w:tcPr>
            <w:tcW w:w="45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b/>
              </w:rPr>
            </w:pPr>
            <w:r>
              <w:rPr>
                <w:b/>
              </w:rPr>
              <w:t>$</w:t>
            </w:r>
          </w:p>
        </w:tc>
        <w:tc>
          <w:tcPr>
            <w:tcW w:w="1353" w:type="dxa"/>
            <w:tcBorders/>
            <w:shd w:fill="CCEEFF" w:val="clear"/>
            <w:vAlign w:val="bottom"/>
          </w:tcPr>
          <w:p>
            <w:pPr>
              <w:pStyle w:val="TableContents"/>
              <w:bidi w:val="0"/>
              <w:spacing w:before="0" w:after="283"/>
              <w:jc w:val="right"/>
              <w:rPr>
                <w:b/>
              </w:rPr>
            </w:pPr>
            <w:r>
              <w:rPr>
                <w:b/>
              </w:rPr>
              <w:t>36,617,400</w:t>
            </w:r>
          </w:p>
        </w:tc>
        <w:tc>
          <w:tcPr>
            <w:tcW w:w="159" w:type="dxa"/>
            <w:tcBorders/>
            <w:shd w:fill="CCEEFF" w:val="clear"/>
            <w:vAlign w:val="bottom"/>
          </w:tcPr>
          <w:p>
            <w:pPr>
              <w:pStyle w:val="TableContents"/>
              <w:bidi w:val="0"/>
              <w:spacing w:before="0" w:after="283"/>
              <w:jc w:val="left"/>
              <w:rPr/>
            </w:pPr>
            <w:r>
              <w:rPr/>
              <w:t> </w:t>
            </w:r>
          </w:p>
        </w:tc>
      </w:tr>
      <w:tr>
        <w:trPr/>
        <w:tc>
          <w:tcPr>
            <w:tcW w:w="727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35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Per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accounting and disclosure requirements of FASB ASC Topic 260, Earnings Per Share. Net income (loss) per common stock is computed by dividing net income (loss) by the weighted average number of common stock outstanding for the period. Remeasurement adjustments associated with the redeemable shares of common stock is excluded from earnings per share as the redemption value approximates fair value.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 of diluted income (loss) per share does not consider the effect of the warrants issued in connection with the IPO because the warrants are contingently exercisable, and the contingencies have not yet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been met. The warrants are exercisable to purchase 7,500,000 shares of common stock in the aggregate. As of March 31, 2023 and 2022, the Company did not have any dilutive securities or other contracts that could, potentially, be exercised or converted into common stock and then share in the earnings of the Company. As a result, diluted net income (loss) per common stock is the same as basic net income (loss) per common stock for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Accretion of the carrying value of common stock subject to redemption value is excluded from net income (loss) per common stock because the redemption value approximates fair value.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077"/>
        <w:gridCol w:w="224"/>
        <w:gridCol w:w="193"/>
        <w:gridCol w:w="1364"/>
        <w:gridCol w:w="155"/>
        <w:gridCol w:w="224"/>
        <w:gridCol w:w="140"/>
        <w:gridCol w:w="980"/>
        <w:gridCol w:w="155"/>
        <w:gridCol w:w="224"/>
        <w:gridCol w:w="175"/>
        <w:gridCol w:w="1381"/>
        <w:gridCol w:w="155"/>
        <w:gridCol w:w="224"/>
        <w:gridCol w:w="192"/>
        <w:gridCol w:w="1364"/>
        <w:gridCol w:w="161"/>
      </w:tblGrid>
      <w:tr>
        <w:trPr/>
        <w:tc>
          <w:tcPr>
            <w:tcW w:w="2077"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92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 March 31,</w:t>
            </w:r>
          </w:p>
        </w:tc>
        <w:tc>
          <w:tcPr>
            <w:tcW w:w="161" w:type="dxa"/>
            <w:tcBorders/>
            <w:vAlign w:val="bottom"/>
          </w:tcPr>
          <w:p>
            <w:pPr>
              <w:pStyle w:val="TableContents"/>
              <w:bidi w:val="0"/>
              <w:spacing w:before="0" w:after="283"/>
              <w:jc w:val="left"/>
              <w:rPr/>
            </w:pPr>
            <w:r>
              <w:rPr/>
              <w:t> </w:t>
            </w:r>
          </w:p>
        </w:tc>
      </w:tr>
      <w:tr>
        <w:trPr/>
        <w:tc>
          <w:tcPr>
            <w:tcW w:w="207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305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349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207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br/>
              <w:t>subject to</w:t>
              <w:br/>
              <w:t>redemption</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56" w:type="dxa"/>
            <w:gridSpan w:val="2"/>
            <w:tcBorders>
              <w:bottom w:val="single" w:sz="8" w:space="0" w:color="000000"/>
            </w:tcBorders>
            <w:tcMar>
              <w:bottom w:w="28" w:type="dxa"/>
            </w:tcMar>
            <w:vAlign w:val="bottom"/>
          </w:tcPr>
          <w:p>
            <w:pPr>
              <w:pStyle w:val="TableContents"/>
              <w:bidi w:val="0"/>
              <w:spacing w:before="0" w:after="283"/>
              <w:jc w:val="center"/>
              <w:rPr/>
            </w:pPr>
            <w:r>
              <w:rPr>
                <w:b/>
              </w:rPr>
              <w:t>Common stock</w:t>
            </w:r>
            <w:r>
              <w:rPr/>
              <w:br/>
            </w:r>
            <w:r>
              <w:rPr>
                <w:b/>
              </w:rPr>
              <w:t>subject to</w:t>
              <w:br/>
              <w:t>redemption</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5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61" w:type="dxa"/>
            <w:tcBorders/>
            <w:vAlign w:val="bottom"/>
          </w:tcPr>
          <w:p>
            <w:pPr>
              <w:pStyle w:val="TableContents"/>
              <w:bidi w:val="0"/>
              <w:spacing w:before="0" w:after="283"/>
              <w:jc w:val="left"/>
              <w:rPr/>
            </w:pPr>
            <w:r>
              <w:rPr/>
              <w:t> </w:t>
            </w:r>
          </w:p>
        </w:tc>
      </w:tr>
      <w:tr>
        <w:trPr/>
        <w:tc>
          <w:tcPr>
            <w:tcW w:w="2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net (loss) income per share</w:t>
            </w:r>
          </w:p>
        </w:tc>
        <w:tc>
          <w:tcPr>
            <w:tcW w:w="22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3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3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136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077"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22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3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3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36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(loss) income</w:t>
            </w:r>
          </w:p>
        </w:tc>
        <w:tc>
          <w:tcPr>
            <w:tcW w:w="22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364" w:type="dxa"/>
            <w:tcBorders/>
            <w:shd w:fill="CCEEFF" w:val="clear"/>
            <w:vAlign w:val="bottom"/>
          </w:tcPr>
          <w:p>
            <w:pPr>
              <w:pStyle w:val="TableContents"/>
              <w:bidi w:val="0"/>
              <w:spacing w:before="0" w:after="283"/>
              <w:jc w:val="right"/>
              <w:rPr/>
            </w:pPr>
            <w:r>
              <w:rPr/>
              <w:t>(15,605</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(11,538</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381" w:type="dxa"/>
            <w:tcBorders/>
            <w:shd w:fill="CCEEFF" w:val="clear"/>
            <w:vAlign w:val="bottom"/>
          </w:tcPr>
          <w:p>
            <w:pPr>
              <w:pStyle w:val="TableContents"/>
              <w:bidi w:val="0"/>
              <w:spacing w:before="0" w:after="283"/>
              <w:jc w:val="right"/>
              <w:rPr/>
            </w:pPr>
            <w:r>
              <w:rPr/>
              <w:t>269,721</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364" w:type="dxa"/>
            <w:tcBorders/>
            <w:shd w:fill="CCEEFF" w:val="clear"/>
            <w:vAlign w:val="bottom"/>
          </w:tcPr>
          <w:p>
            <w:pPr>
              <w:pStyle w:val="TableContents"/>
              <w:bidi w:val="0"/>
              <w:spacing w:before="0" w:after="283"/>
              <w:jc w:val="right"/>
              <w:rPr/>
            </w:pPr>
            <w:r>
              <w:rPr/>
              <w:t>102,665</w:t>
            </w:r>
          </w:p>
        </w:tc>
        <w:tc>
          <w:tcPr>
            <w:tcW w:w="161" w:type="dxa"/>
            <w:tcBorders/>
            <w:shd w:fill="CCEEFF" w:val="clear"/>
            <w:vAlign w:val="bottom"/>
          </w:tcPr>
          <w:p>
            <w:pPr>
              <w:pStyle w:val="TableContents"/>
              <w:bidi w:val="0"/>
              <w:spacing w:before="0" w:after="283"/>
              <w:jc w:val="left"/>
              <w:rPr/>
            </w:pPr>
            <w:r>
              <w:rPr/>
              <w:t> </w:t>
            </w:r>
          </w:p>
        </w:tc>
      </w:tr>
      <w:tr>
        <w:trPr/>
        <w:tc>
          <w:tcPr>
            <w:tcW w:w="207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077"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22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3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3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36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w:t>
            </w:r>
          </w:p>
        </w:tc>
        <w:tc>
          <w:tcPr>
            <w:tcW w:w="22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7,722,273</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5,709,500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283"/>
              <w:jc w:val="right"/>
              <w:rPr/>
            </w:pPr>
            <w:r>
              <w:rPr/>
              <w:t>15,000,000</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5,709,500</w:t>
            </w:r>
          </w:p>
        </w:tc>
        <w:tc>
          <w:tcPr>
            <w:tcW w:w="161" w:type="dxa"/>
            <w:tcBorders/>
            <w:shd w:fill="CCEEFF" w:val="clear"/>
            <w:vAlign w:val="bottom"/>
          </w:tcPr>
          <w:p>
            <w:pPr>
              <w:pStyle w:val="TableContents"/>
              <w:bidi w:val="0"/>
              <w:spacing w:before="0" w:after="283"/>
              <w:jc w:val="left"/>
              <w:rPr/>
            </w:pPr>
            <w:r>
              <w:rPr/>
              <w:t> </w:t>
            </w:r>
          </w:p>
        </w:tc>
      </w:tr>
      <w:tr>
        <w:trPr/>
        <w:tc>
          <w:tcPr>
            <w:tcW w:w="207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077"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(loss) income per share</w:t>
            </w:r>
          </w:p>
        </w:tc>
        <w:tc>
          <w:tcPr>
            <w:tcW w:w="22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1364" w:type="dxa"/>
            <w:tcBorders/>
            <w:vAlign w:val="bottom"/>
          </w:tcPr>
          <w:p>
            <w:pPr>
              <w:pStyle w:val="TableContents"/>
              <w:bidi w:val="0"/>
              <w:spacing w:before="0" w:after="283"/>
              <w:jc w:val="right"/>
              <w:rPr/>
            </w:pPr>
            <w:r>
              <w:rPr/>
              <w:t>(0.00</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(0.00</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381" w:type="dxa"/>
            <w:tcBorders/>
            <w:vAlign w:val="bottom"/>
          </w:tcPr>
          <w:p>
            <w:pPr>
              <w:pStyle w:val="TableContents"/>
              <w:bidi w:val="0"/>
              <w:spacing w:before="0" w:after="283"/>
              <w:jc w:val="right"/>
              <w:rPr/>
            </w:pPr>
            <w:r>
              <w:rPr/>
              <w:t>(0.02</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364" w:type="dxa"/>
            <w:tcBorders/>
            <w:vAlign w:val="bottom"/>
          </w:tcPr>
          <w:p>
            <w:pPr>
              <w:pStyle w:val="TableContents"/>
              <w:bidi w:val="0"/>
              <w:spacing w:before="0" w:after="283"/>
              <w:jc w:val="right"/>
              <w:rPr/>
            </w:pPr>
            <w:r>
              <w:rPr/>
              <w:t>(0.02</w:t>
            </w:r>
          </w:p>
        </w:tc>
        <w:tc>
          <w:tcPr>
            <w:tcW w:w="161" w:type="dxa"/>
            <w:tcBorders/>
            <w:vAlign w:val="bottom"/>
          </w:tcPr>
          <w:p>
            <w:pPr>
              <w:pStyle w:val="TableContents"/>
              <w:bidi w:val="0"/>
              <w:spacing w:before="0" w:after="283"/>
              <w:jc w:val="left"/>
              <w:rPr/>
            </w:pPr>
            <w:r>
              <w:rPr/>
              <w:t>) </w:t>
            </w:r>
          </w:p>
        </w:tc>
      </w:tr>
      <w:tr>
        <w:trPr/>
        <w:tc>
          <w:tcPr>
            <w:tcW w:w="207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14"/>
        <w:gridCol w:w="215"/>
        <w:gridCol w:w="175"/>
        <w:gridCol w:w="1377"/>
        <w:gridCol w:w="60"/>
        <w:gridCol w:w="215"/>
        <w:gridCol w:w="140"/>
        <w:gridCol w:w="981"/>
        <w:gridCol w:w="60"/>
        <w:gridCol w:w="215"/>
        <w:gridCol w:w="174"/>
        <w:gridCol w:w="1377"/>
        <w:gridCol w:w="155"/>
        <w:gridCol w:w="215"/>
        <w:gridCol w:w="193"/>
        <w:gridCol w:w="1361"/>
        <w:gridCol w:w="161"/>
      </w:tblGrid>
      <w:tr>
        <w:trPr/>
        <w:tc>
          <w:tcPr>
            <w:tcW w:w="2314"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69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Six Months Ended March 31,</w:t>
            </w:r>
          </w:p>
        </w:tc>
        <w:tc>
          <w:tcPr>
            <w:tcW w:w="161" w:type="dxa"/>
            <w:tcBorders/>
            <w:vAlign w:val="bottom"/>
          </w:tcPr>
          <w:p>
            <w:pPr>
              <w:pStyle w:val="TableContents"/>
              <w:bidi w:val="0"/>
              <w:spacing w:before="0" w:after="283"/>
              <w:jc w:val="left"/>
              <w:rPr/>
            </w:pPr>
            <w:r>
              <w:rPr/>
              <w:t> </w:t>
            </w:r>
          </w:p>
        </w:tc>
      </w:tr>
      <w:tr>
        <w:trPr/>
        <w:tc>
          <w:tcPr>
            <w:tcW w:w="23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9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4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2314"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br/>
              <w:t>subject to</w:t>
              <w:br/>
              <w:t>redemption</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551" w:type="dxa"/>
            <w:gridSpan w:val="2"/>
            <w:tcBorders>
              <w:bottom w:val="single" w:sz="8" w:space="0" w:color="000000"/>
            </w:tcBorders>
            <w:tcMar>
              <w:bottom w:w="28" w:type="dxa"/>
            </w:tcMar>
            <w:vAlign w:val="bottom"/>
          </w:tcPr>
          <w:p>
            <w:pPr>
              <w:pStyle w:val="TableContents"/>
              <w:bidi w:val="0"/>
              <w:spacing w:before="0" w:after="283"/>
              <w:jc w:val="center"/>
              <w:rPr/>
            </w:pPr>
            <w:r>
              <w:rPr>
                <w:b/>
              </w:rPr>
              <w:t>Common stock</w:t>
            </w:r>
            <w:r>
              <w:rPr/>
              <w:br/>
            </w:r>
            <w:r>
              <w:rPr>
                <w:b/>
              </w:rPr>
              <w:t>subject to</w:t>
              <w:br/>
              <w:t>redemption</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5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61" w:type="dxa"/>
            <w:tcBorders/>
            <w:vAlign w:val="bottom"/>
          </w:tcPr>
          <w:p>
            <w:pPr>
              <w:pStyle w:val="TableContents"/>
              <w:bidi w:val="0"/>
              <w:spacing w:before="0" w:after="283"/>
              <w:jc w:val="left"/>
              <w:rPr/>
            </w:pPr>
            <w:r>
              <w:rPr/>
              <w:t> </w:t>
            </w:r>
          </w:p>
        </w:tc>
      </w:tr>
      <w:tr>
        <w:trPr/>
        <w:tc>
          <w:tcPr>
            <w:tcW w:w="2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net income (loss) per share</w:t>
            </w:r>
          </w:p>
        </w:tc>
        <w:tc>
          <w:tcPr>
            <w:tcW w:w="21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3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3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36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314"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21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3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36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income (loss)</w:t>
            </w:r>
          </w:p>
        </w:tc>
        <w:tc>
          <w:tcPr>
            <w:tcW w:w="21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377" w:type="dxa"/>
            <w:tcBorders/>
            <w:shd w:fill="CCEEFF" w:val="clear"/>
            <w:vAlign w:val="bottom"/>
          </w:tcPr>
          <w:p>
            <w:pPr>
              <w:pStyle w:val="TableContents"/>
              <w:bidi w:val="0"/>
              <w:spacing w:before="0" w:after="283"/>
              <w:jc w:val="right"/>
              <w:rPr/>
            </w:pPr>
            <w:r>
              <w:rPr/>
              <w:t>386,387</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193,497</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377" w:type="dxa"/>
            <w:tcBorders/>
            <w:shd w:fill="CCEEFF" w:val="clear"/>
            <w:vAlign w:val="bottom"/>
          </w:tcPr>
          <w:p>
            <w:pPr>
              <w:pStyle w:val="TableContents"/>
              <w:bidi w:val="0"/>
              <w:spacing w:before="0" w:after="283"/>
              <w:jc w:val="right"/>
              <w:rPr/>
            </w:pPr>
            <w:r>
              <w:rPr/>
              <w:t>(1,744,489</w:t>
            </w:r>
          </w:p>
        </w:tc>
        <w:tc>
          <w:tcPr>
            <w:tcW w:w="15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361" w:type="dxa"/>
            <w:tcBorders/>
            <w:shd w:fill="CCEEFF" w:val="clear"/>
            <w:vAlign w:val="bottom"/>
          </w:tcPr>
          <w:p>
            <w:pPr>
              <w:pStyle w:val="TableContents"/>
              <w:bidi w:val="0"/>
              <w:spacing w:before="0" w:after="283"/>
              <w:jc w:val="right"/>
              <w:rPr/>
            </w:pPr>
            <w:r>
              <w:rPr/>
              <w:t>(664,011</w:t>
            </w:r>
          </w:p>
        </w:tc>
        <w:tc>
          <w:tcPr>
            <w:tcW w:w="161" w:type="dxa"/>
            <w:tcBorders/>
            <w:shd w:fill="CCEEFF" w:val="clear"/>
            <w:vAlign w:val="bottom"/>
          </w:tcPr>
          <w:p>
            <w:pPr>
              <w:pStyle w:val="TableContents"/>
              <w:bidi w:val="0"/>
              <w:spacing w:before="0" w:after="283"/>
              <w:jc w:val="left"/>
              <w:rPr/>
            </w:pPr>
            <w:r>
              <w:rPr/>
              <w:t>) </w:t>
            </w:r>
          </w:p>
        </w:tc>
      </w:tr>
      <w:tr>
        <w:trPr/>
        <w:tc>
          <w:tcPr>
            <w:tcW w:w="2314"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314"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21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3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36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w:t>
            </w:r>
          </w:p>
        </w:tc>
        <w:tc>
          <w:tcPr>
            <w:tcW w:w="21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11,401,124</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5,709,500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15,000,000</w:t>
            </w:r>
          </w:p>
        </w:tc>
        <w:tc>
          <w:tcPr>
            <w:tcW w:w="15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5,709,500</w:t>
            </w:r>
          </w:p>
        </w:tc>
        <w:tc>
          <w:tcPr>
            <w:tcW w:w="161" w:type="dxa"/>
            <w:tcBorders/>
            <w:shd w:fill="CCEEFF" w:val="clear"/>
            <w:vAlign w:val="bottom"/>
          </w:tcPr>
          <w:p>
            <w:pPr>
              <w:pStyle w:val="TableContents"/>
              <w:bidi w:val="0"/>
              <w:spacing w:before="0" w:after="283"/>
              <w:jc w:val="left"/>
              <w:rPr/>
            </w:pPr>
            <w:r>
              <w:rPr/>
              <w:t> </w:t>
            </w:r>
          </w:p>
        </w:tc>
      </w:tr>
      <w:tr>
        <w:trPr/>
        <w:tc>
          <w:tcPr>
            <w:tcW w:w="2314"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314"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income (loss) per share</w:t>
            </w:r>
          </w:p>
        </w:tc>
        <w:tc>
          <w:tcPr>
            <w:tcW w:w="21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377" w:type="dxa"/>
            <w:tcBorders/>
            <w:vAlign w:val="bottom"/>
          </w:tcPr>
          <w:p>
            <w:pPr>
              <w:pStyle w:val="TableContents"/>
              <w:bidi w:val="0"/>
              <w:spacing w:before="0" w:after="283"/>
              <w:jc w:val="right"/>
              <w:rPr/>
            </w:pPr>
            <w:r>
              <w:rPr/>
              <w:t>0.03</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0.03</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377" w:type="dxa"/>
            <w:tcBorders/>
            <w:vAlign w:val="bottom"/>
          </w:tcPr>
          <w:p>
            <w:pPr>
              <w:pStyle w:val="TableContents"/>
              <w:bidi w:val="0"/>
              <w:spacing w:before="0" w:after="283"/>
              <w:jc w:val="right"/>
              <w:rPr/>
            </w:pPr>
            <w:r>
              <w:rPr/>
              <w:t>(0.12</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1361" w:type="dxa"/>
            <w:tcBorders/>
            <w:vAlign w:val="bottom"/>
          </w:tcPr>
          <w:p>
            <w:pPr>
              <w:pStyle w:val="TableContents"/>
              <w:bidi w:val="0"/>
              <w:spacing w:before="0" w:after="283"/>
              <w:jc w:val="right"/>
              <w:rPr/>
            </w:pPr>
            <w:r>
              <w:rPr/>
              <w:t>(0.12</w:t>
            </w:r>
          </w:p>
        </w:tc>
        <w:tc>
          <w:tcPr>
            <w:tcW w:w="161" w:type="dxa"/>
            <w:tcBorders/>
            <w:vAlign w:val="bottom"/>
          </w:tcPr>
          <w:p>
            <w:pPr>
              <w:pStyle w:val="TableContents"/>
              <w:bidi w:val="0"/>
              <w:spacing w:before="0" w:after="283"/>
              <w:jc w:val="left"/>
              <w:rPr/>
            </w:pPr>
            <w:r>
              <w:rPr/>
              <w:t>) </w:t>
            </w:r>
          </w:p>
        </w:tc>
      </w:tr>
      <w:tr>
        <w:trPr/>
        <w:tc>
          <w:tcPr>
            <w:tcW w:w="2314"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136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 </w:t>
      </w:r>
    </w:p>
    <w:p>
      <w:pPr>
        <w:pStyle w:val="TextBody"/>
        <w:bidi w:val="0"/>
        <w:spacing w:before="240" w:after="0"/>
        <w:jc w:val="left"/>
        <w:rPr>
          <w:rFonts w:ascii="Times New Roman" w:hAnsi="Times New Roman"/>
          <w:sz w:val="20"/>
        </w:rPr>
      </w:pPr>
      <w:r>
        <w:rPr>
          <w:rFonts w:ascii="Times New Roman" w:hAnsi="Times New Roman"/>
          <w:sz w:val="20"/>
        </w:rPr>
        <w:t xml:space="preserve">On June 16, 2021, the Sponsor transferred 50,000 shares to each of its Chief Executive Officer and to its President and 35,000 shares to each of its three independent directors. The aforementioned transfer is in the scope of ASC 718. Under ASC 718, stock-based compensation associated with equity-classified awards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The Company recognized $55,926 of stock-based compensation for the six months ended March 31, 2023 and 2022. </w:t>
      </w:r>
    </w:p>
    <w:p>
      <w:pPr>
        <w:pStyle w:val="TextBody"/>
        <w:bidi w:val="0"/>
        <w:spacing w:before="240" w:after="0"/>
        <w:jc w:val="left"/>
        <w:rPr>
          <w:rFonts w:ascii="Times New Roman" w:hAnsi="Times New Roman"/>
          <w:sz w:val="20"/>
        </w:rPr>
      </w:pPr>
      <w:r>
        <w:rPr>
          <w:rFonts w:ascii="Times New Roman" w:hAnsi="Times New Roman"/>
          <w:sz w:val="20"/>
        </w:rPr>
        <w:t xml:space="preserve">At March 31, 2023, there are 55,928 shares that remain unvested. Total unrecognized compensation expense related to the unvested shares at March 31, 2023 amounted to $55,928 and is expected to be recognized over a period of 0.4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w:t>
      </w:r>
    </w:p>
    <w:p>
      <w:pPr>
        <w:pStyle w:val="TextBody"/>
        <w:bidi w:val="0"/>
        <w:spacing w:before="240" w:after="0"/>
        <w:jc w:val="left"/>
        <w:rPr>
          <w:rFonts w:ascii="Times New Roman" w:hAnsi="Times New Roman"/>
          <w:sz w:val="20"/>
        </w:rPr>
      </w:pPr>
      <w:r>
        <w:rPr>
          <w:rFonts w:ascii="Times New Roman" w:hAnsi="Times New Roman"/>
          <w:sz w:val="20"/>
        </w:rPr>
        <w:t xml:space="preserve">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accrued interest and penalties related to unrecognized tax benefits as income tax expense. There were no unrecognized tax benefits and no amounts accrued for interest and penalties as of March 31, 2023 and September 30, 2022.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2023, and September 30, 2022, the Companys deferred tax asset had a full valuation allowance recorded against it. Our effective tax rate 43.32% and 0.00% for the six months ended March 31, 2023 and 2022. The effective tax rate differs from the statutory tax rate of 21% for six months ended March 31, 2023, and 2022, due to the valuation allowance on the deferred tax assets and permanent differences related to the business acquisition expenses. </w:t>
      </w:r>
    </w:p>
    <w:p>
      <w:pPr>
        <w:pStyle w:val="TextBody"/>
        <w:bidi w:val="0"/>
        <w:spacing w:before="240" w:after="0"/>
        <w:jc w:val="left"/>
        <w:rPr>
          <w:rFonts w:ascii="Times New Roman" w:hAnsi="Times New Roman"/>
          <w:sz w:val="20"/>
        </w:rPr>
      </w:pPr>
      <w:r>
        <w:rPr>
          <w:rFonts w:ascii="Times New Roman" w:hAnsi="Times New Roman"/>
          <w:sz w:val="20"/>
        </w:rPr>
        <w:t xml:space="preserve">Management does not believe that any recently issued, but not effective, accounting standards, if currently adopted, would have a material effect on the Companys condensed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3  Related Party Transactions </w:t>
      </w:r>
    </w:p>
    <w:p>
      <w:pPr>
        <w:pStyle w:val="TextBody"/>
        <w:bidi w:val="0"/>
        <w:spacing w:before="120" w:after="0"/>
        <w:jc w:val="left"/>
        <w:rPr>
          <w:rFonts w:ascii="Times New Roman" w:hAnsi="Times New Roman"/>
          <w:b/>
          <w:sz w:val="20"/>
        </w:rPr>
      </w:pPr>
      <w:r>
        <w:rPr>
          <w:rFonts w:ascii="Times New Roman" w:hAnsi="Times New Roman"/>
          <w:b/>
          <w:sz w:val="20"/>
        </w:rPr>
        <w:t xml:space="preserve">Promissory Notes-Related Party </w:t>
      </w:r>
    </w:p>
    <w:p>
      <w:pPr>
        <w:pStyle w:val="TextBody"/>
        <w:bidi w:val="0"/>
        <w:spacing w:before="120" w:after="0"/>
        <w:jc w:val="left"/>
        <w:rPr>
          <w:rFonts w:ascii="Times New Roman" w:hAnsi="Times New Roman"/>
          <w:sz w:val="20"/>
        </w:rPr>
      </w:pPr>
      <w:r>
        <w:rPr>
          <w:rFonts w:ascii="Times New Roman" w:hAnsi="Times New Roman"/>
          <w:sz w:val="20"/>
        </w:rPr>
        <w:t xml:space="preserve">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On November 10, 2022 the Sponsor loaned the Company $1,500,000 in order to cover the additional contribution to the trust account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the automatic extension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w:t>
      </w:r>
    </w:p>
    <w:p>
      <w:pPr>
        <w:pStyle w:val="TextBody"/>
        <w:bidi w:val="0"/>
        <w:spacing w:before="240" w:after="0"/>
        <w:jc w:val="left"/>
        <w:rPr>
          <w:rFonts w:ascii="Times New Roman" w:hAnsi="Times New Roman"/>
          <w:sz w:val="20"/>
        </w:rPr>
      </w:pPr>
      <w:r>
        <w:rPr>
          <w:rFonts w:ascii="Times New Roman" w:hAnsi="Times New Roman"/>
          <w:sz w:val="20"/>
        </w:rPr>
        <w:t xml:space="preserve">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The aggregate balance outstanding under all promissory notes was $2,201,754 and $251,754 as of March 31, 2023 and September 30, 2022,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Working Capital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meet the Companys working capital needs following the consummation of the IPO, the Sponsor, officers, directors or their affiliates may, but are not obligated to, loan the Company funds (Working Capital Loans), from time to time or at any time, in whatever amount they deem reasonable in their sole discretion. Each loan would be non-interest bearing and be evidenced by a promissory note. The notes would either be paid upon consummation of the initial Business Combination, without interest, or, at holders discretion, up to $1,500,000 of the notes may be converted into shares at a price of $10.00 per share. The shares would be identical to the Private Shares. In the event that the initial Business Combination does not close, the Company may use a portion of the working capital held outside the Trust Account to repay such loaned amounts, but no proceeds from the Trust Account would be used for such repayment. As of March 31, 2023 and September 30, 2022, no such Working Capital Loans were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Administrative Service Fee </w:t>
      </w:r>
    </w:p>
    <w:p>
      <w:pPr>
        <w:pStyle w:val="TextBody"/>
        <w:bidi w:val="0"/>
        <w:spacing w:before="120" w:after="0"/>
        <w:jc w:val="left"/>
        <w:rPr>
          <w:rFonts w:ascii="Times New Roman" w:hAnsi="Times New Roman"/>
          <w:sz w:val="20"/>
        </w:rPr>
      </w:pPr>
      <w:r>
        <w:rPr>
          <w:rFonts w:ascii="Times New Roman" w:hAnsi="Times New Roman"/>
          <w:sz w:val="20"/>
        </w:rPr>
        <w:t xml:space="preserve">Commencing on the date of the IPO, the Company will pay the Sponsor $10,000 per month for office space, utilities and secretarial support. Upon completion of the initial Business Combination or the Companys liquidation, the Company will cease paying these monthly fees. For each of the three and six months ended March 31, 2023 and 2022, the Company incurred and paid $30,000 and $60,000, respectively, in administrative service fees. </w:t>
      </w:r>
    </w:p>
    <w:p>
      <w:pPr>
        <w:pStyle w:val="TextBody"/>
        <w:bidi w:val="0"/>
        <w:spacing w:before="360" w:after="0"/>
        <w:jc w:val="left"/>
        <w:rPr>
          <w:rFonts w:ascii="Times New Roman" w:hAnsi="Times New Roman"/>
          <w:b/>
          <w:sz w:val="20"/>
        </w:rPr>
      </w:pPr>
      <w:r>
        <w:rPr>
          <w:rFonts w:ascii="Times New Roman" w:hAnsi="Times New Roman"/>
          <w:b/>
          <w:sz w:val="20"/>
        </w:rPr>
        <w:t xml:space="preserve">Note 4 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Founder Shares issued and outstanding on the date of the IPO, as well as the holders of the representative shares, Private Shares and any shares the Companys Sponsor, officers, directors or their affiliates may issue in payment of Working Capital Loans made to the Company, will be entitled to registration rights pursuant to an agreement to be signed prior to or on the effective date of the IPO. The holders of a majority of these securities (other than the holders of the representative shares) are entitled to make up to two demands that the Company registers such securities. 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Companys Sponsor, officers, directors or their affiliates in payment of Working Capital Loans made to the Company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Advisory Fee </w:t>
      </w:r>
    </w:p>
    <w:p>
      <w:pPr>
        <w:pStyle w:val="TextBody"/>
        <w:bidi w:val="0"/>
        <w:spacing w:before="120" w:after="0"/>
        <w:jc w:val="left"/>
        <w:rPr>
          <w:rFonts w:ascii="Times New Roman" w:hAnsi="Times New Roman"/>
          <w:sz w:val="20"/>
        </w:rPr>
      </w:pPr>
      <w:r>
        <w:rPr>
          <w:rFonts w:ascii="Times New Roman" w:hAnsi="Times New Roman"/>
          <w:sz w:val="20"/>
        </w:rPr>
        <w:t xml:space="preserve">The Company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CCM has agreed to defer the payment of the portion of the advisory fee attributable to over-allotment option until the consummation of the initial Business Combination. CCM is engaged to represent the Companys interests only. The Company will also engage CCM as an advisor in connection with the initial Business Combination for which it will earn an advisory fee of 2.25% of the gross proceeds of the IPO, or $3,375,000, payable at closing of the Business Combination. On October 1, 2021 the underwriters over-allotment option expired unused resulting in no additional fees and commissions related to the over-allotment option to be not payable to CCM by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 Marketing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engaged the representative of the underwriter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upon the consummation of the initial Business Combination in an amount equal to 2.25% of the gross proceeds of the IPO, or $3,375,000. The Company will also pay the representative a separate capital market advisory fee of $2,500,000 upon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October 1, 2021 the underwriters over-allotment option expired unused resulting in no additional marketing fees related to the over-allotment option to be not payable to the representative on the underwriter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Non-Redemption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On January 20, 2023, the Company and its Sponsor, entered into one or more agreements (the Non-Redemption Agreements ) with one or more third parties in exchange for them agreeing not to redeem shares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common stock sold in its Initial Public Offering (the public shares) at the 2023 annual meeting of stockholders called by the Company (the Meeting) at which a proposal to approve an extension of time for the Company to consummate an initial business combination (the Extension Proposal) from February 17, 2023 to August 17, 2023 (the Extension) has also been submitted to the stockholders. The Non-Redemption Agreements provide for the allocation of up to 75,000 shares of common stock of the Company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founders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 of First Refusal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February 23, 2023, Armada, Rezolve and YA II PN, Ltd., a Cayman Islands exempted limited partnership (YA) entered into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Note 5  Recurring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2023, the assets held in the Trust Account were held in money market funds which invest in U.S. Treasury securities. As of September 30, 2022, the assets held in the Trust Account were held in U.S. Treasury Bills with a maturity of 185 days or less. </w:t>
      </w:r>
    </w:p>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between Levels 1, 2 or 3 during the six months ended March 31, 2023 and 2022. </w:t>
      </w:r>
    </w:p>
    <w:p>
      <w:pPr>
        <w:pStyle w:val="TextBody"/>
        <w:bidi w:val="0"/>
        <w:spacing w:before="360" w:after="0"/>
        <w:jc w:val="left"/>
        <w:rPr>
          <w:rFonts w:ascii="Times New Roman" w:hAnsi="Times New Roman"/>
          <w:b/>
          <w:sz w:val="20"/>
        </w:rPr>
      </w:pPr>
      <w:r>
        <w:rPr>
          <w:rFonts w:ascii="Times New Roman" w:hAnsi="Times New Roman"/>
          <w:b/>
          <w:sz w:val="20"/>
        </w:rPr>
        <w:t xml:space="preserve">Note 6 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balance sheet date up to the date that the condensed financial statements were issued. Based upon this review, the Company did not identify any subsequent events that would have required adjustment or disclosure in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20.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21. Exhibits and Financial Statement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9"/>
        <w:gridCol w:w="620"/>
        <w:gridCol w:w="8386"/>
      </w:tblGrid>
      <w:tr>
        <w:trPr/>
        <w:tc>
          <w:tcPr>
            <w:tcW w:w="1199" w:type="dxa"/>
            <w:tcBorders/>
            <w:vAlign w:val="center"/>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1199"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20" w:type="dxa"/>
            <w:tcBorders/>
            <w:vAlign w:val="bottom"/>
          </w:tcPr>
          <w:p>
            <w:pPr>
              <w:pStyle w:val="TableContents"/>
              <w:bidi w:val="0"/>
              <w:spacing w:before="0" w:after="283"/>
              <w:jc w:val="left"/>
              <w:rPr/>
            </w:pPr>
            <w:r>
              <w:rPr/>
              <w:t>  </w:t>
            </w:r>
          </w:p>
        </w:tc>
        <w:tc>
          <w:tcPr>
            <w:tcW w:w="83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2.1*</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Business Combination Agreement, dated December 17, 2021, as amended on November 10, 2022 and as further amended and restated on June 16, 2023, as amended on August 4, 2023.</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3.1*</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Second Amended and Restated Certificate of Incorporation of Armada</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3.2*</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Form of Amended and Restated Memorandum and Articles of Association of Rezolve (as they will be in effect at the Merger Effective Time) (included as Annex        to the proxy statement/prospectus).</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3.3*</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Bylaws of Armada</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4.1*</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Specimen Unit Certificate of Armada</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4.2*</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Specimen Common Stock Certificate of Armada</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4.3*</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Specimen Warrant Certificate of Armada</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4.4*</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Warrant Agreement, dated August 12, 2021, by and between Armada and Continental Stock Transfer &amp; Trust Company</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4.5*</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Form of Assignment, Assumption and Amendment Agreement (Warrant Agreement) between Armada, Rezolve and        .</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4.6*</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Specimen of Rezolve Ordinary Share Certificate</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5.1*</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Opinion of Taylor Wessing LLP</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5.2*</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Opinion of Wilson Sonsini Goodrich &amp; Rosati, P.C. regarding the binding obligation of the Warrants</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10.1*</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Private Placement Warrants Purchase Agreement, dated        , by and between Armada and Sponsor</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10.2*</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Registration Rights Agreement, dated</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10.3*</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Form of Subscription Agreement, by and among Armada and the subscribers party thereto.</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10.4*</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Form of Sponsor Lock-Up Agreement, by and among Rezolve and the shareholders party thereto</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10.5*</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Form of Rezolve Incentive Equity Plan and form agreements thereunder</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10.6*</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Nominee Agreement dated        , by and between        and Rezolve</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10.7*</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Form of Director and Officer Indemnification Agreement</w:t>
            </w:r>
          </w:p>
        </w:tc>
      </w:tr>
      <w:tr>
        <w:trPr>
          <w:trHeight w:val="120" w:hRule="atLeast"/>
        </w:trPr>
        <w:tc>
          <w:tcPr>
            <w:tcW w:w="1199" w:type="dxa"/>
            <w:tcBorders/>
            <w:vAlign w:val="center"/>
          </w:tcPr>
          <w:p>
            <w:pPr>
              <w:pStyle w:val="TableContents"/>
              <w:bidi w:val="0"/>
              <w:spacing w:before="0" w:after="283"/>
              <w:jc w:val="left"/>
              <w:rPr>
                <w:sz w:val="4"/>
                <w:szCs w:val="4"/>
              </w:rPr>
            </w:pPr>
            <w:r>
              <w:rPr>
                <w:sz w:val="4"/>
                <w:szCs w:val="4"/>
              </w:rPr>
            </w:r>
          </w:p>
        </w:tc>
        <w:tc>
          <w:tcPr>
            <w:tcW w:w="9006" w:type="dxa"/>
            <w:gridSpan w:val="2"/>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  </w:t>
            </w:r>
            <w:r>
              <w:rPr/>
              <w:t>10.8*</w:t>
            </w:r>
          </w:p>
        </w:tc>
        <w:tc>
          <w:tcPr>
            <w:tcW w:w="620" w:type="dxa"/>
            <w:tcBorders/>
            <w:vAlign w:val="bottom"/>
          </w:tcPr>
          <w:p>
            <w:pPr>
              <w:pStyle w:val="TableContents"/>
              <w:bidi w:val="0"/>
              <w:spacing w:before="0" w:after="283"/>
              <w:jc w:val="left"/>
              <w:rPr/>
            </w:pPr>
            <w:r>
              <w:rPr/>
              <w:t>  </w:t>
            </w:r>
          </w:p>
        </w:tc>
        <w:tc>
          <w:tcPr>
            <w:tcW w:w="8386" w:type="dxa"/>
            <w:tcBorders/>
          </w:tcPr>
          <w:p>
            <w:pPr>
              <w:pStyle w:val="TableContents"/>
              <w:bidi w:val="0"/>
              <w:spacing w:before="0" w:after="283"/>
              <w:jc w:val="left"/>
              <w:rPr/>
            </w:pPr>
            <w:r>
              <w:rPr/>
              <w:t>Form of Investor Rights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200"/>
        <w:gridCol w:w="644"/>
        <w:gridCol w:w="8361"/>
      </w:tblGrid>
      <w:tr>
        <w:trPr/>
        <w:tc>
          <w:tcPr>
            <w:tcW w:w="1200" w:type="dxa"/>
            <w:tcBorders/>
            <w:vAlign w:val="center"/>
          </w:tcPr>
          <w:p>
            <w:pPr>
              <w:pStyle w:val="TableContents"/>
              <w:bidi w:val="0"/>
              <w:spacing w:before="0" w:after="283"/>
              <w:jc w:val="left"/>
              <w:rPr>
                <w:sz w:val="4"/>
                <w:szCs w:val="4"/>
              </w:rPr>
            </w:pPr>
            <w:r>
              <w:rPr>
                <w:sz w:val="4"/>
                <w:szCs w:val="4"/>
              </w:rPr>
            </w:r>
          </w:p>
        </w:tc>
        <w:tc>
          <w:tcPr>
            <w:tcW w:w="644" w:type="dxa"/>
            <w:tcBorders/>
            <w:vAlign w:val="bottom"/>
          </w:tcPr>
          <w:p>
            <w:pPr>
              <w:pStyle w:val="TableContents"/>
              <w:bidi w:val="0"/>
              <w:spacing w:before="0" w:after="283"/>
              <w:jc w:val="left"/>
              <w:rPr>
                <w:sz w:val="4"/>
                <w:szCs w:val="4"/>
              </w:rPr>
            </w:pPr>
            <w:r>
              <w:rPr>
                <w:sz w:val="4"/>
                <w:szCs w:val="4"/>
              </w:rPr>
            </w:r>
          </w:p>
        </w:tc>
        <w:tc>
          <w:tcPr>
            <w:tcW w:w="8361" w:type="dxa"/>
            <w:tcBorders/>
            <w:vAlign w:val="center"/>
          </w:tcPr>
          <w:p>
            <w:pPr>
              <w:pStyle w:val="TableContents"/>
              <w:bidi w:val="0"/>
              <w:spacing w:before="0" w:after="283"/>
              <w:jc w:val="left"/>
              <w:rPr>
                <w:sz w:val="4"/>
                <w:szCs w:val="4"/>
              </w:rPr>
            </w:pPr>
            <w:r>
              <w:rPr>
                <w:sz w:val="4"/>
                <w:szCs w:val="4"/>
              </w:rPr>
            </w:r>
          </w:p>
        </w:tc>
      </w:tr>
      <w:tr>
        <w:trPr/>
        <w:tc>
          <w:tcPr>
            <w:tcW w:w="1200"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44" w:type="dxa"/>
            <w:tcBorders/>
            <w:vAlign w:val="bottom"/>
          </w:tcPr>
          <w:p>
            <w:pPr>
              <w:pStyle w:val="TableContents"/>
              <w:bidi w:val="0"/>
              <w:spacing w:before="0" w:after="283"/>
              <w:jc w:val="left"/>
              <w:rPr/>
            </w:pPr>
            <w:r>
              <w:rPr/>
              <w:t>  </w:t>
            </w:r>
          </w:p>
        </w:tc>
        <w:tc>
          <w:tcPr>
            <w:tcW w:w="83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10.9*</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r>
              <w:rPr/>
              <w:t>Service Agreement between Rezolve and Daniel Wagner, dated April 1, 2016</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10.10*</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r>
              <w:rPr/>
              <w:t>Service Agreement between Rezolve and Richard Burchill, dated September 6, 2021</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10.11*</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r>
              <w:rPr/>
              <w:t>Service Agreement between Rezolve and Peter Vesco, dated                     , 2023</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10.12*</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r>
              <w:rPr/>
              <w:t>Service Agreement between Rezolve and Sauvik Banerjjee, dated                     , 2023</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10.13*</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r>
              <w:rPr/>
              <w:t>Service Agreement between Rezolve and Salman Ahmad, dated                     , 2023</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10.14*</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r>
              <w:rPr/>
              <w:t>Form of Three-Year Term Non-Executive Director Appointment Letter</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10.15*</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r>
              <w:rPr/>
              <w:t>Form of One-Year Term Non-Executive Director Appointment Letter</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10.16*</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r>
              <w:rPr/>
              <w:t>Form of Transaction Support Agreement</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10.17*</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r>
              <w:rPr/>
              <w:t>Loan Note Instrument dated December 16, 2021, as amended and restated on November 21, 2022, and as further amended and restated on May 23, 2023</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10.18*</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r>
              <w:rPr/>
              <w:t>Letter Agreement, dated as of August 12, 2021, by and among Armada, its officers, its directors and Armada Sponsor LLC</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10.19*</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r>
              <w:rPr/>
              <w:t>Side Letter between Armada Sponsor LLC and Rezolve, dated March 28, 2022</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10.20</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hyperlink w:anchor="d309194dex1020.htm">
              <w:r>
                <w:rPr>
                  <w:rStyle w:val="InternetLink"/>
                </w:rPr>
                <w:t xml:space="preserve">Marketing Agreement by and between ANY Lifestyle Marketing GmbH and The Radio Group GmbH </w:t>
              </w:r>
            </w:hyperlink>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10.21</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hyperlink w:anchor="d309194dex1021.htm">
              <w:r>
                <w:rPr>
                  <w:rStyle w:val="InternetLink"/>
                </w:rPr>
                <w:t xml:space="preserve">ANY Share Purchase Agreement by and among Rezolve Limited, The Radio Group mbH and the other parties thereto </w:t>
              </w:r>
            </w:hyperlink>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21.1*</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r>
              <w:rPr/>
              <w:t>List of subsidiaries of Rezolve</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23.1</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hyperlink w:anchor="d309194dex231.htm">
              <w:r>
                <w:rPr>
                  <w:rStyle w:val="InternetLink"/>
                </w:rPr>
                <w:t xml:space="preserve">Consent of MSPC Certified Public Accountants and Advisors, A Professional Corporation </w:t>
              </w:r>
            </w:hyperlink>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23.2</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hyperlink w:anchor="d309194dex232.htm">
              <w:r>
                <w:rPr>
                  <w:rStyle w:val="InternetLink"/>
                </w:rPr>
                <w:t xml:space="preserve">Consent of Marcum LLP, independent registered accounting firm for Armada Acquisition Corp. I </w:t>
              </w:r>
            </w:hyperlink>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23.3</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hyperlink w:anchor="d309194dex233.htm">
              <w:r>
                <w:rPr>
                  <w:rStyle w:val="InternetLink"/>
                </w:rPr>
                <w:t xml:space="preserve">Consent of Marshall &amp; Stevens Transaction Advisory Services LLC </w:t>
              </w:r>
            </w:hyperlink>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23.4</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hyperlink w:anchor="d309194dex234.htm">
              <w:r>
                <w:rPr>
                  <w:rStyle w:val="InternetLink"/>
                </w:rPr>
                <w:t>Consent of Northland Securities, Inc.</w:t>
              </w:r>
            </w:hyperlink>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23.5*</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r>
              <w:rPr/>
              <w:t>Consent of Taylor Wessing LLP (included in Exhibit 5.1)</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23.6*</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r>
              <w:rPr/>
              <w:t>Consent of Wilson Sonsini Goodrich &amp; Rosati, Professional Corporation (included in Exhibit 5.2)</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24.1**</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r>
              <w:fldChar w:fldCharType="begin"/>
            </w:r>
            <w:r>
              <w:rPr>
                <w:rStyle w:val="InternetLink"/>
              </w:rPr>
              <w:instrText xml:space="preserve"> HYPERLINK "http://www.sec.gov/Archives/edgar/data/1920294/000119312523169136/d309194df4.htm" \l "sig"</w:instrText>
            </w:r>
            <w:r>
              <w:rPr>
                <w:rStyle w:val="InternetLink"/>
              </w:rPr>
              <w:fldChar w:fldCharType="separate"/>
            </w:r>
            <w:r>
              <w:rPr>
                <w:rStyle w:val="InternetLink"/>
              </w:rPr>
              <w:t xml:space="preserve">Power of Attorney (included on signature page of the initial filing of this Registration Statement) </w:t>
            </w:r>
            <w:r>
              <w:rPr>
                <w:rStyle w:val="InternetLink"/>
              </w:rPr>
              <w:fldChar w:fldCharType="end"/>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99.1*</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r>
              <w:rPr/>
              <w:t>Form of Proxy for Armada</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99.2**</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hyperlink r:id="rId19">
              <w:r>
                <w:rPr>
                  <w:rStyle w:val="InternetLink"/>
                </w:rPr>
                <w:t xml:space="preserve">Consent to be named a nominee director of Stephen Herbert </w:t>
              </w:r>
            </w:hyperlink>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  </w:t>
            </w:r>
            <w:r>
              <w:rPr/>
              <w:t>99.3**</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hyperlink r:id="rId20">
              <w:r>
                <w:rPr>
                  <w:rStyle w:val="InternetLink"/>
                </w:rPr>
                <w:t xml:space="preserve">Consent to be named a nominee director of Douglas Lurio </w:t>
              </w:r>
            </w:hyperlink>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107**</w:t>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pPr>
            <w:hyperlink r:id="rId21">
              <w:r>
                <w:rPr>
                  <w:rStyle w:val="InternetLink"/>
                </w:rPr>
                <w:t>Calculation of Fee Table</w:t>
              </w:r>
            </w:hyperlink>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sz w:val="4"/>
                <w:szCs w:val="4"/>
              </w:rPr>
            </w:pPr>
            <w:r>
              <w:rPr>
                <w:sz w:val="4"/>
                <w:szCs w:val="4"/>
              </w:rPr>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sz w:val="4"/>
                <w:szCs w:val="4"/>
              </w:rPr>
            </w:pPr>
            <w:r>
              <w:rPr>
                <w:sz w:val="4"/>
                <w:szCs w:val="4"/>
              </w:rPr>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sz w:val="4"/>
                <w:szCs w:val="4"/>
              </w:rPr>
            </w:pPr>
            <w:r>
              <w:rPr>
                <w:sz w:val="4"/>
                <w:szCs w:val="4"/>
              </w:rPr>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sz w:val="4"/>
                <w:szCs w:val="4"/>
              </w:rPr>
            </w:pPr>
            <w:r>
              <w:rPr>
                <w:sz w:val="4"/>
                <w:szCs w:val="4"/>
              </w:rPr>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sz w:val="4"/>
                <w:szCs w:val="4"/>
              </w:rPr>
            </w:pPr>
            <w:r>
              <w:rPr>
                <w:sz w:val="4"/>
                <w:szCs w:val="4"/>
              </w:rPr>
            </w:r>
          </w:p>
        </w:tc>
        <w:tc>
          <w:tcPr>
            <w:tcW w:w="644" w:type="dxa"/>
            <w:tcBorders/>
            <w:vAlign w:val="bottom"/>
          </w:tcPr>
          <w:p>
            <w:pPr>
              <w:pStyle w:val="TableContents"/>
              <w:bidi w:val="0"/>
              <w:spacing w:before="0" w:after="283"/>
              <w:jc w:val="left"/>
              <w:rPr/>
            </w:pPr>
            <w:r>
              <w:rPr/>
              <w:t>  </w:t>
            </w:r>
          </w:p>
        </w:tc>
        <w:tc>
          <w:tcPr>
            <w:tcW w:w="8361" w:type="dxa"/>
            <w:tcBorders/>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previously filed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22.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this Registration Statement or any material change to such information in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SEC by the registrant pursuant to Section 13 or Section 15(d) of the Securities Exchange Act of 1934 that are incorporated by reference in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every prospectus: (i) that is filed pursuant to the immediately preceding paragraph,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respond to requests for information that is incorporated by reference into the prospectus pursuant to Items 4, 10(b), 11, or 13 of this Form, within one business day of receipt of such request, and to send the incorporated documents by first class mail or other equally prompt means, and (ii) to arrange or provide for a facility in the United States for the purpose of responding to such requests. The undertaking in this paragraph includes information contained in documents filed subsequent to the effective date of the registration statement through the date of responding to the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supply by means of a post-effective amendment all information concerning this transaction, and the company being acquired involved therein, that was not the subject of and included in this Registration Statement when it became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2" w:name="sig"/>
      <w:bookmarkEnd w:id="6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on Form F-4 to be signed on its behalf by the undersigned, thereunto duly authorized, in the city of London, United Kingdom, on the 9th day of August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Rezolve AI Limited</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Daniel Wagner</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Daniel Wagner</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8"/>
        <w:gridCol w:w="121"/>
        <w:gridCol w:w="3899"/>
        <w:gridCol w:w="189"/>
        <w:gridCol w:w="1908"/>
      </w:tblGrid>
      <w:tr>
        <w:trPr/>
        <w:tc>
          <w:tcPr>
            <w:tcW w:w="408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899"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r>
      <w:tr>
        <w:trPr/>
        <w:tc>
          <w:tcPr>
            <w:tcW w:w="40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1" w:type="dxa"/>
            <w:tcBorders/>
            <w:vAlign w:val="bottom"/>
          </w:tcPr>
          <w:p>
            <w:pPr>
              <w:pStyle w:val="TableContents"/>
              <w:bidi w:val="0"/>
              <w:spacing w:before="0" w:after="283"/>
              <w:jc w:val="left"/>
              <w:rPr/>
            </w:pPr>
            <w:r>
              <w:rPr/>
              <w:t>  </w:t>
            </w:r>
          </w:p>
        </w:tc>
        <w:tc>
          <w:tcPr>
            <w:tcW w:w="38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89" w:type="dxa"/>
            <w:tcBorders/>
            <w:vAlign w:val="bottom"/>
          </w:tcPr>
          <w:p>
            <w:pPr>
              <w:pStyle w:val="TableContents"/>
              <w:bidi w:val="0"/>
              <w:spacing w:before="0" w:after="283"/>
              <w:jc w:val="left"/>
              <w:rPr/>
            </w:pPr>
            <w:r>
              <w:rPr/>
              <w:t> </w:t>
            </w:r>
          </w:p>
        </w:tc>
        <w:tc>
          <w:tcPr>
            <w:tcW w:w="19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088" w:type="dxa"/>
            <w:tcBorders/>
            <w:vAlign w:val="center"/>
          </w:tcPr>
          <w:p>
            <w:pPr>
              <w:pStyle w:val="TableContents"/>
              <w:bidi w:val="0"/>
              <w:spacing w:before="0" w:after="283"/>
              <w:jc w:val="left"/>
              <w:rPr>
                <w:sz w:val="4"/>
                <w:szCs w:val="4"/>
              </w:rPr>
            </w:pPr>
            <w:r>
              <w:rPr>
                <w:sz w:val="4"/>
                <w:szCs w:val="4"/>
              </w:rPr>
            </w:r>
          </w:p>
        </w:tc>
        <w:tc>
          <w:tcPr>
            <w:tcW w:w="4020" w:type="dxa"/>
            <w:gridSpan w:val="2"/>
            <w:tcBorders/>
            <w:vAlign w:val="center"/>
          </w:tcPr>
          <w:p>
            <w:pPr>
              <w:pStyle w:val="TableContents"/>
              <w:bidi w:val="0"/>
              <w:spacing w:before="0" w:after="283"/>
              <w:jc w:val="left"/>
              <w:rPr>
                <w:sz w:val="4"/>
                <w:szCs w:val="4"/>
              </w:rPr>
            </w:pPr>
            <w:r>
              <w:rPr>
                <w:sz w:val="4"/>
                <w:szCs w:val="4"/>
              </w:rPr>
            </w:r>
          </w:p>
        </w:tc>
        <w:tc>
          <w:tcPr>
            <w:tcW w:w="2097" w:type="dxa"/>
            <w:gridSpan w:val="2"/>
            <w:tcBorders/>
            <w:vAlign w:val="center"/>
          </w:tcPr>
          <w:p>
            <w:pPr>
              <w:pStyle w:val="TableContents"/>
              <w:bidi w:val="0"/>
              <w:spacing w:before="0" w:after="283"/>
              <w:jc w:val="left"/>
              <w:rPr>
                <w:sz w:val="4"/>
                <w:szCs w:val="4"/>
              </w:rPr>
            </w:pPr>
            <w:r>
              <w:rPr>
                <w:sz w:val="4"/>
                <w:szCs w:val="4"/>
              </w:rPr>
            </w:r>
          </w:p>
        </w:tc>
      </w:tr>
      <w:tr>
        <w:trPr/>
        <w:tc>
          <w:tcPr>
            <w:tcW w:w="4088" w:type="dxa"/>
            <w:tcBorders/>
          </w:tcPr>
          <w:p>
            <w:pPr>
              <w:pStyle w:val="TableContents"/>
              <w:pBdr>
                <w:bottom w:val="single" w:sz="2" w:space="1" w:color="000000"/>
              </w:pBdr>
              <w:bidi w:val="0"/>
              <w:spacing w:before="0" w:after="0"/>
              <w:jc w:val="center"/>
              <w:rPr>
                <w:rFonts w:ascii="Times New Roman" w:hAnsi="Times New Roman"/>
                <w:b/>
                <w:sz w:val="20"/>
              </w:rPr>
            </w:pPr>
            <w:r>
              <w:rPr>
                <w:rFonts w:ascii="Times New Roman" w:hAnsi="Times New Roman"/>
                <w:b/>
                <w:sz w:val="20"/>
              </w:rPr>
              <w:t>/s/ Daniel Wagner</w:t>
            </w:r>
          </w:p>
          <w:p>
            <w:pPr>
              <w:pStyle w:val="TableContents"/>
              <w:bidi w:val="0"/>
              <w:spacing w:before="0" w:after="20"/>
              <w:jc w:val="center"/>
              <w:rPr>
                <w:rFonts w:ascii="Times New Roman" w:hAnsi="Times New Roman"/>
                <w:b/>
                <w:sz w:val="20"/>
              </w:rPr>
            </w:pPr>
            <w:r>
              <w:rPr>
                <w:rFonts w:ascii="Times New Roman" w:hAnsi="Times New Roman"/>
                <w:b/>
                <w:sz w:val="20"/>
              </w:rPr>
              <w:t>Daniel Wagner</w:t>
            </w:r>
          </w:p>
        </w:tc>
        <w:tc>
          <w:tcPr>
            <w:tcW w:w="121" w:type="dxa"/>
            <w:tcBorders/>
            <w:vAlign w:val="bottom"/>
          </w:tcPr>
          <w:p>
            <w:pPr>
              <w:pStyle w:val="TableContents"/>
              <w:bidi w:val="0"/>
              <w:spacing w:before="0" w:after="283"/>
              <w:jc w:val="left"/>
              <w:rPr/>
            </w:pPr>
            <w:r>
              <w:rPr/>
              <w:t>  </w:t>
            </w:r>
          </w:p>
        </w:tc>
        <w:tc>
          <w:tcPr>
            <w:tcW w:w="3899"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c>
          <w:tcPr>
            <w:tcW w:w="189" w:type="dxa"/>
            <w:tcBorders/>
            <w:vAlign w:val="bottom"/>
          </w:tcPr>
          <w:p>
            <w:pPr>
              <w:pStyle w:val="TableContents"/>
              <w:bidi w:val="0"/>
              <w:spacing w:before="0" w:after="283"/>
              <w:jc w:val="left"/>
              <w:rPr/>
            </w:pPr>
            <w:r>
              <w:rPr/>
              <w:t> </w:t>
            </w:r>
          </w:p>
        </w:tc>
        <w:tc>
          <w:tcPr>
            <w:tcW w:w="1908" w:type="dxa"/>
            <w:tcBorders/>
          </w:tcPr>
          <w:p>
            <w:pPr>
              <w:pStyle w:val="TableContents"/>
              <w:bidi w:val="0"/>
              <w:spacing w:before="0" w:after="283"/>
              <w:jc w:val="center"/>
              <w:rPr/>
            </w:pPr>
            <w:r>
              <w:rPr/>
              <w:t>August 9, 2023</w:t>
            </w:r>
          </w:p>
        </w:tc>
      </w:tr>
      <w:tr>
        <w:trPr>
          <w:trHeight w:val="240" w:hRule="atLeast"/>
        </w:trPr>
        <w:tc>
          <w:tcPr>
            <w:tcW w:w="4088" w:type="dxa"/>
            <w:tcBorders/>
            <w:vAlign w:val="center"/>
          </w:tcPr>
          <w:p>
            <w:pPr>
              <w:pStyle w:val="TableContents"/>
              <w:bidi w:val="0"/>
              <w:spacing w:before="0" w:after="283"/>
              <w:jc w:val="left"/>
              <w:rPr>
                <w:sz w:val="4"/>
                <w:szCs w:val="4"/>
              </w:rPr>
            </w:pPr>
            <w:r>
              <w:rPr>
                <w:sz w:val="4"/>
                <w:szCs w:val="4"/>
              </w:rPr>
            </w:r>
          </w:p>
        </w:tc>
        <w:tc>
          <w:tcPr>
            <w:tcW w:w="4020" w:type="dxa"/>
            <w:gridSpan w:val="2"/>
            <w:tcBorders/>
            <w:vAlign w:val="center"/>
          </w:tcPr>
          <w:p>
            <w:pPr>
              <w:pStyle w:val="TableContents"/>
              <w:bidi w:val="0"/>
              <w:spacing w:before="0" w:after="283"/>
              <w:jc w:val="left"/>
              <w:rPr>
                <w:sz w:val="4"/>
                <w:szCs w:val="4"/>
              </w:rPr>
            </w:pPr>
            <w:r>
              <w:rPr>
                <w:sz w:val="4"/>
                <w:szCs w:val="4"/>
              </w:rPr>
            </w:r>
          </w:p>
        </w:tc>
        <w:tc>
          <w:tcPr>
            <w:tcW w:w="2097" w:type="dxa"/>
            <w:gridSpan w:val="2"/>
            <w:tcBorders/>
            <w:vAlign w:val="center"/>
          </w:tcPr>
          <w:p>
            <w:pPr>
              <w:pStyle w:val="TableContents"/>
              <w:bidi w:val="0"/>
              <w:spacing w:before="0" w:after="283"/>
              <w:jc w:val="left"/>
              <w:rPr>
                <w:sz w:val="4"/>
                <w:szCs w:val="4"/>
              </w:rPr>
            </w:pPr>
            <w:r>
              <w:rPr>
                <w:sz w:val="4"/>
                <w:szCs w:val="4"/>
              </w:rPr>
            </w:r>
          </w:p>
        </w:tc>
      </w:tr>
      <w:tr>
        <w:trPr/>
        <w:tc>
          <w:tcPr>
            <w:tcW w:w="4088" w:type="dxa"/>
            <w:tcBorders/>
          </w:tcPr>
          <w:p>
            <w:pPr>
              <w:pStyle w:val="TableContents"/>
              <w:pBdr>
                <w:bottom w:val="single" w:sz="2" w:space="1" w:color="000000"/>
              </w:pBdr>
              <w:bidi w:val="0"/>
              <w:spacing w:before="0" w:after="0"/>
              <w:jc w:val="center"/>
              <w:rPr>
                <w:rFonts w:ascii="Times New Roman" w:hAnsi="Times New Roman"/>
                <w:b/>
                <w:sz w:val="20"/>
              </w:rPr>
            </w:pPr>
            <w:r>
              <w:rPr>
                <w:rFonts w:ascii="Times New Roman" w:hAnsi="Times New Roman"/>
                <w:b/>
                <w:sz w:val="20"/>
              </w:rPr>
              <w:t>/s/ Richard Burchill</w:t>
            </w:r>
          </w:p>
          <w:p>
            <w:pPr>
              <w:pStyle w:val="TableContents"/>
              <w:bidi w:val="0"/>
              <w:spacing w:before="0" w:after="20"/>
              <w:jc w:val="center"/>
              <w:rPr>
                <w:rFonts w:ascii="Times New Roman" w:hAnsi="Times New Roman"/>
                <w:b/>
                <w:sz w:val="20"/>
              </w:rPr>
            </w:pPr>
            <w:r>
              <w:rPr>
                <w:rFonts w:ascii="Times New Roman" w:hAnsi="Times New Roman"/>
                <w:b/>
                <w:sz w:val="20"/>
              </w:rPr>
              <w:t>Richard Burchill</w:t>
            </w:r>
          </w:p>
        </w:tc>
        <w:tc>
          <w:tcPr>
            <w:tcW w:w="121" w:type="dxa"/>
            <w:tcBorders/>
            <w:vAlign w:val="bottom"/>
          </w:tcPr>
          <w:p>
            <w:pPr>
              <w:pStyle w:val="TableContents"/>
              <w:bidi w:val="0"/>
              <w:spacing w:before="0" w:after="283"/>
              <w:jc w:val="left"/>
              <w:rPr/>
            </w:pPr>
            <w:r>
              <w:rPr/>
              <w:t>  </w:t>
            </w:r>
          </w:p>
        </w:tc>
        <w:tc>
          <w:tcPr>
            <w:tcW w:w="3899"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and Accounting Officer)</w:t>
            </w:r>
          </w:p>
        </w:tc>
        <w:tc>
          <w:tcPr>
            <w:tcW w:w="189" w:type="dxa"/>
            <w:tcBorders/>
            <w:vAlign w:val="bottom"/>
          </w:tcPr>
          <w:p>
            <w:pPr>
              <w:pStyle w:val="TableContents"/>
              <w:bidi w:val="0"/>
              <w:spacing w:before="0" w:after="283"/>
              <w:jc w:val="left"/>
              <w:rPr/>
            </w:pPr>
            <w:r>
              <w:rPr/>
              <w:t> </w:t>
            </w:r>
          </w:p>
        </w:tc>
        <w:tc>
          <w:tcPr>
            <w:tcW w:w="1908" w:type="dxa"/>
            <w:tcBorders/>
          </w:tcPr>
          <w:p>
            <w:pPr>
              <w:pStyle w:val="TableContents"/>
              <w:bidi w:val="0"/>
              <w:spacing w:before="0" w:after="283"/>
              <w:jc w:val="center"/>
              <w:rPr/>
            </w:pPr>
            <w:r>
              <w:rPr/>
              <w:t>August 9,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 OF AUTHORIZED U.S. REPRESENTATIVE OF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on Form F-4 to be signed on its behalf by the undersigned, thereunto duly authorized, in the city of New York, New York, on the 9th day of August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2"/>
        <w:gridCol w:w="60"/>
        <w:gridCol w:w="3670"/>
      </w:tblGrid>
      <w:tr>
        <w:trPr/>
        <w:tc>
          <w:tcPr>
            <w:tcW w:w="3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Cogency Global Inc. </w:t>
            </w:r>
          </w:p>
        </w:tc>
      </w:tr>
      <w:tr>
        <w:trPr>
          <w:trHeight w:val="240" w:hRule="atLeast"/>
        </w:trPr>
        <w:tc>
          <w:tcPr>
            <w:tcW w:w="352" w:type="dxa"/>
            <w:tcBorders/>
            <w:vAlign w:val="center"/>
          </w:tcPr>
          <w:p>
            <w:pPr>
              <w:pStyle w:val="TableContents"/>
              <w:bidi w:val="0"/>
              <w:spacing w:before="0" w:after="283"/>
              <w:jc w:val="left"/>
              <w:rPr>
                <w:sz w:val="4"/>
                <w:szCs w:val="4"/>
              </w:rPr>
            </w:pPr>
            <w:r>
              <w:rPr>
                <w:sz w:val="4"/>
                <w:szCs w:val="4"/>
              </w:rPr>
            </w:r>
          </w:p>
        </w:tc>
        <w:tc>
          <w:tcPr>
            <w:tcW w:w="3730" w:type="dxa"/>
            <w:gridSpan w:val="2"/>
            <w:tcBorders/>
            <w:vAlign w:val="center"/>
          </w:tcPr>
          <w:p>
            <w:pPr>
              <w:pStyle w:val="TableContents"/>
              <w:bidi w:val="0"/>
              <w:spacing w:before="0" w:after="283"/>
              <w:jc w:val="left"/>
              <w:rPr>
                <w:sz w:val="4"/>
                <w:szCs w:val="4"/>
              </w:rPr>
            </w:pPr>
            <w:r>
              <w:rPr>
                <w:sz w:val="4"/>
                <w:szCs w:val="4"/>
              </w:rPr>
            </w:r>
          </w:p>
        </w:tc>
      </w:tr>
      <w:tr>
        <w:trPr/>
        <w:tc>
          <w:tcPr>
            <w:tcW w:w="35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0" w:type="dxa"/>
            <w:tcBorders>
              <w:bottom w:val="single" w:sz="2" w:space="0" w:color="000000"/>
            </w:tcBorders>
            <w:tcMar>
              <w:bottom w:w="28" w:type="dxa"/>
            </w:tcMar>
            <w:vAlign w:val="bottom"/>
          </w:tcPr>
          <w:p>
            <w:pPr>
              <w:pStyle w:val="TableContents"/>
              <w:bidi w:val="0"/>
              <w:spacing w:before="0" w:after="283"/>
              <w:jc w:val="left"/>
              <w:rPr/>
            </w:pPr>
            <w:r>
              <w:rPr/>
              <w:t>/s/ Colleen A. De Vries</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Colleen A. De Vries</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Senior Vice-President on behalf of Cogency Global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63" w:name="d309194dex1020.htm"/>
      <w:bookmarkStart w:id="64" w:name="ksd309194dex1020"/>
      <w:bookmarkEnd w:id="63"/>
      <w:bookmarkEnd w:id="64"/>
      <w:r>
        <w:rPr>
          <w:rFonts w:ascii="Times New Roman" w:hAnsi="Times New Roman"/>
          <w:b/>
          <w:sz w:val="20"/>
        </w:rPr>
        <w:t xml:space="preserve">Exhibit 10.20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Marketing contract </w:t>
      </w:r>
    </w:p>
    <w:p>
      <w:pPr>
        <w:pStyle w:val="TextBody"/>
        <w:bidi w:val="0"/>
        <w:spacing w:before="240" w:after="0"/>
        <w:jc w:val="center"/>
        <w:rPr>
          <w:rFonts w:ascii="Times New Roman" w:hAnsi="Times New Roman"/>
          <w:sz w:val="20"/>
        </w:rPr>
      </w:pPr>
      <w:r>
        <w:rPr>
          <w:rFonts w:ascii="Times New Roman" w:hAnsi="Times New Roman"/>
          <w:sz w:val="20"/>
        </w:rPr>
        <w:t xml:space="preserve">between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Lifestyle Marketing GmbH, Nibelungenplatz 3, 60318 Frankfurt am Main (hereinafter </w:t>
            </w:r>
            <w:r>
              <w:rPr>
                <w:rFonts w:ascii="Times New Roman" w:hAnsi="Times New Roman"/>
                <w:b/>
                <w:sz w:val="20"/>
              </w:rPr>
              <w:t>ANY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Radio Group GmbH, Am Altenhof 11-13, 67655 Kaiserslautern, Germany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Antenne Kaiserslautern, Am Altenhof 11, 67655 Kaiserslautern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Lokalradios RLP GmbH, Waffenstrasse 17, 76829 Landau in der Pfalz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Antenne Frankfurt GmbH, Nibelungenplatz 3, 60318 Frankfurt am Main, Germany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Funkhaus Saar, Am Altenhof 11-13, 67655 Kaiserslautern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parties under 2.) to 6.) hereinafter individually the </w:t>
      </w:r>
      <w:r>
        <w:rPr>
          <w:rFonts w:ascii="Times New Roman" w:hAnsi="Times New Roman"/>
          <w:b/>
          <w:sz w:val="20"/>
        </w:rPr>
        <w:t xml:space="preserve">Radio Company </w:t>
      </w:r>
      <w:r>
        <w:rPr>
          <w:rFonts w:ascii="Times New Roman" w:hAnsi="Times New Roman"/>
          <w:sz w:val="20"/>
        </w:rPr>
        <w:t xml:space="preserve">or collectively the </w:t>
      </w:r>
      <w:r>
        <w:rPr>
          <w:rFonts w:ascii="Times New Roman" w:hAnsi="Times New Roman"/>
          <w:b/>
          <w:sz w:val="20"/>
        </w:rPr>
        <w:t>Radio Companies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PREAMBLE </w:t>
      </w:r>
    </w:p>
    <w:p>
      <w:pPr>
        <w:pStyle w:val="TextBody"/>
        <w:bidi w:val="0"/>
        <w:spacing w:before="240" w:after="0"/>
        <w:jc w:val="left"/>
        <w:rPr>
          <w:rFonts w:ascii="Times New Roman" w:hAnsi="Times New Roman"/>
          <w:sz w:val="20"/>
        </w:rPr>
      </w:pPr>
      <w:r>
        <w:rPr>
          <w:rFonts w:ascii="Times New Roman" w:hAnsi="Times New Roman"/>
          <w:sz w:val="20"/>
        </w:rPr>
        <w:t xml:space="preserve">The radio companies are broadcasters and holders of various regional and national broadcasting licences. </w:t>
      </w:r>
    </w:p>
    <w:p>
      <w:pPr>
        <w:pStyle w:val="TextBody"/>
        <w:bidi w:val="0"/>
        <w:spacing w:before="240" w:after="0"/>
        <w:jc w:val="left"/>
        <w:rPr>
          <w:rFonts w:ascii="Times New Roman" w:hAnsi="Times New Roman"/>
          <w:sz w:val="20"/>
        </w:rPr>
      </w:pPr>
      <w:r>
        <w:rPr>
          <w:rFonts w:ascii="Times New Roman" w:hAnsi="Times New Roman"/>
          <w:sz w:val="20"/>
        </w:rPr>
        <w:t xml:space="preserve">ANY is a company specialising in the marketing of radio advertising and supports and advises radio stations and other programme providers in marketing to advertisers. </w:t>
      </w:r>
    </w:p>
    <w:p>
      <w:pPr>
        <w:pStyle w:val="TextBody"/>
        <w:bidi w:val="0"/>
        <w:spacing w:before="240" w:after="0"/>
        <w:jc w:val="left"/>
        <w:rPr>
          <w:rFonts w:ascii="Times New Roman" w:hAnsi="Times New Roman"/>
          <w:sz w:val="20"/>
        </w:rPr>
      </w:pPr>
      <w:r>
        <w:rPr>
          <w:rFonts w:ascii="Times New Roman" w:hAnsi="Times New Roman"/>
          <w:sz w:val="20"/>
        </w:rPr>
        <w:t xml:space="preserve">In order to bundle the marketing activities of the stations located under the umbrella of the Radio Group and to use resources more effectively, the radio companies transfer the marketing of airtime for advertising to ANY. This also applies in particular to the individual or bundled (combined) marketing of the stations vis-a-vis nationally operating advertisers. </w:t>
      </w:r>
    </w:p>
    <w:p>
      <w:pPr>
        <w:pStyle w:val="TextBody"/>
        <w:bidi w:val="0"/>
        <w:spacing w:before="240" w:after="0"/>
        <w:jc w:val="left"/>
        <w:rPr>
          <w:rFonts w:ascii="Times New Roman" w:hAnsi="Times New Roman"/>
          <w:sz w:val="20"/>
        </w:rPr>
      </w:pPr>
      <w:r>
        <w:rPr>
          <w:rFonts w:ascii="Times New Roman" w:hAnsi="Times New Roman"/>
          <w:sz w:val="20"/>
        </w:rPr>
        <w:t xml:space="preserve">ANY will in particular organise, bundle and implement the development of marketing structures for the radio companies in the areas of radio, digitised programmes and programme transmissions, podcasts, apps, influencing media, new technologies, events and similar areas. </w:t>
      </w:r>
    </w:p>
    <w:p>
      <w:pPr>
        <w:pStyle w:val="TextBody"/>
        <w:bidi w:val="0"/>
        <w:spacing w:before="240" w:after="0"/>
        <w:jc w:val="left"/>
        <w:rPr>
          <w:rFonts w:ascii="Times New Roman" w:hAnsi="Times New Roman"/>
          <w:sz w:val="20"/>
        </w:rPr>
      </w:pPr>
      <w:r>
        <w:rPr>
          <w:rFonts w:ascii="Times New Roman" w:hAnsi="Times New Roman"/>
          <w:sz w:val="20"/>
        </w:rPr>
        <w:t xml:space="preserve">The radio companies will continue to be responsible for the production of the programme and the fulfilment of the associated licensing requirements. </w:t>
      </w:r>
    </w:p>
    <w:p>
      <w:pPr>
        <w:pStyle w:val="TextBody"/>
        <w:bidi w:val="0"/>
        <w:spacing w:before="480" w:after="0"/>
        <w:jc w:val="center"/>
        <w:rPr>
          <w:rFonts w:ascii="Times New Roman" w:hAnsi="Times New Roman"/>
          <w:b/>
          <w:sz w:val="20"/>
        </w:rPr>
      </w:pPr>
      <w:r>
        <w:rPr>
          <w:rFonts w:ascii="Times New Roman" w:hAnsi="Times New Roman"/>
          <w:b/>
          <w:sz w:val="20"/>
        </w:rPr>
        <w:t xml:space="preserve">§1 </w:t>
      </w:r>
    </w:p>
    <w:p>
      <w:pPr>
        <w:pStyle w:val="TextBody"/>
        <w:bidi w:val="0"/>
        <w:spacing w:before="0" w:after="0"/>
        <w:jc w:val="center"/>
        <w:rPr>
          <w:rFonts w:ascii="Times New Roman" w:hAnsi="Times New Roman"/>
          <w:b/>
          <w:sz w:val="20"/>
        </w:rPr>
      </w:pPr>
      <w:r>
        <w:rPr>
          <w:rFonts w:ascii="Times New Roman" w:hAnsi="Times New Roman"/>
          <w:b/>
          <w:sz w:val="20"/>
        </w:rPr>
        <w:t xml:space="preserve">Subject of the contract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radio companies exclusively and exclusively commission ANY with the acquisition of advertising orders for the stations operated by them as well as with any other possible marketing of the respective station to nationally operating advertisers.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radio companies are and remain exclusively responsible for the production of the radio programmes and compliance with the licensing requirements. This includes, in particular, compliance with the applicable editorial statute, which ensures the independence of journalistic activity.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1</w:t>
      </w:r>
      <w:r>
        <w:rPr>
          <w:rFonts w:ascii="Times New Roman" w:hAnsi="Times New Roman"/>
          <w:sz w:val="20"/>
        </w:rPr>
        <w:t xml:space="preserve"> from </w:t>
      </w:r>
      <w:r>
        <w:rPr>
          <w:rFonts w:ascii="Times New Roman" w:hAnsi="Times New Roman"/>
          <w:b/>
          <w:sz w:val="20"/>
        </w:rPr>
        <w:t>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marketing offer includes classic radio advertising, special forms of advertising such as sponsoring, cross-media offers and sales promotions, but also offers from the marketing of apps, events, influencing media and new technologies to national and national advertisers.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takes over the coordination with the two marketing organisations Radio Marketing Services GmbH (RMS) and Studio Gong GmbH &amp; Co. Studiobetriebs KG (Studio Gong) for the radio companies. In this way, ANY can optimally coordinate and harmonise bookings and enquiries from national advertisers.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§2 </w:t>
      </w:r>
    </w:p>
    <w:p>
      <w:pPr>
        <w:pStyle w:val="TextBody"/>
        <w:bidi w:val="0"/>
        <w:spacing w:before="0" w:after="0"/>
        <w:jc w:val="center"/>
        <w:rPr>
          <w:rFonts w:ascii="Times New Roman" w:hAnsi="Times New Roman"/>
          <w:b/>
          <w:sz w:val="20"/>
        </w:rPr>
      </w:pPr>
      <w:r>
        <w:rPr>
          <w:rFonts w:ascii="Times New Roman" w:hAnsi="Times New Roman"/>
          <w:b/>
          <w:sz w:val="20"/>
        </w:rPr>
        <w:t xml:space="preserve">Transfer of assets </w:t>
      </w:r>
    </w:p>
    <w:p>
      <w:pPr>
        <w:pStyle w:val="TextBody"/>
        <w:bidi w:val="0"/>
        <w:spacing w:before="240" w:after="0"/>
        <w:jc w:val="left"/>
        <w:rPr>
          <w:rFonts w:ascii="Times New Roman" w:hAnsi="Times New Roman"/>
          <w:sz w:val="20"/>
        </w:rPr>
      </w:pPr>
      <w:r>
        <w:rPr>
          <w:rFonts w:ascii="Times New Roman" w:hAnsi="Times New Roman"/>
          <w:sz w:val="20"/>
        </w:rPr>
        <w:t xml:space="preserve">The radio companies undertake to transfer to ANY all assets required for the activities referred to in §1 (including technical equipment, hardware, software, furnishings) as well as the sales and marketing staff employed by the respective radio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§3 </w:t>
      </w:r>
    </w:p>
    <w:p>
      <w:pPr>
        <w:pStyle w:val="TextBody"/>
        <w:bidi w:val="0"/>
        <w:spacing w:before="0" w:after="0"/>
        <w:jc w:val="center"/>
        <w:rPr>
          <w:rFonts w:ascii="Times New Roman" w:hAnsi="Times New Roman"/>
          <w:b/>
          <w:sz w:val="20"/>
        </w:rPr>
      </w:pPr>
      <w:r>
        <w:rPr>
          <w:rFonts w:ascii="Times New Roman" w:hAnsi="Times New Roman"/>
          <w:b/>
          <w:sz w:val="20"/>
        </w:rPr>
        <w:t xml:space="preserve">General rights and obligations of the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shall exclusively take over any offer concepts, sales management and customer, closings for the radio companies. ANY shall exercise the due diligence of a prudent businessman in the performance of the owed activity.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carry out ANYs obligations under this Agreement, the Radio Companies hereby authorise and require ANY to enter into appropriate contracts with Advertisers on behalf of the respective Radio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Once a year, the radio price lists are coordinated between ANY and the respective radio society. ANY will submit a proposal for this. The respective parties will exchange views on this and reach a consensus within one week.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are realised by ANY through an external organisation. Sales marketing including media service is also carried out by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acquired advertising must comply with the respective legal and interstate treaty provisions.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2</w:t>
      </w:r>
      <w:r>
        <w:rPr>
          <w:rFonts w:ascii="Times New Roman" w:hAnsi="Times New Roman"/>
          <w:sz w:val="20"/>
        </w:rPr>
        <w:t xml:space="preserve"> from </w:t>
      </w:r>
      <w:r>
        <w:rPr>
          <w:rFonts w:ascii="Times New Roman" w:hAnsi="Times New Roman"/>
          <w:b/>
          <w:sz w:val="20"/>
        </w:rPr>
        <w:t>8</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§4 </w:t>
      </w:r>
    </w:p>
    <w:p>
      <w:pPr>
        <w:pStyle w:val="TextBody"/>
        <w:bidi w:val="0"/>
        <w:spacing w:before="0" w:after="0"/>
        <w:jc w:val="center"/>
        <w:rPr>
          <w:rFonts w:ascii="Times New Roman" w:hAnsi="Times New Roman"/>
          <w:b/>
          <w:sz w:val="20"/>
        </w:rPr>
      </w:pPr>
      <w:r>
        <w:rPr>
          <w:rFonts w:ascii="Times New Roman" w:hAnsi="Times New Roman"/>
          <w:b/>
          <w:sz w:val="20"/>
        </w:rPr>
        <w:t xml:space="preserve">ANY services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activities are carried out as part of the marketing carried out by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acceptance and forwarding of orders for the radio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support the radio companies in settling accounts with GEMA/ GVL,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prepare sales documents for marketing at their own expense, which include media data, price lists, presentations as well as individual offers,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undertakes to provide information about the marketing activities carried out at monthly intervals in an informal email at the end of each month.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§5 </w:t>
      </w:r>
    </w:p>
    <w:p>
      <w:pPr>
        <w:pStyle w:val="TextBody"/>
        <w:bidi w:val="0"/>
        <w:spacing w:before="0" w:after="0"/>
        <w:jc w:val="center"/>
        <w:rPr>
          <w:rFonts w:ascii="Times New Roman" w:hAnsi="Times New Roman"/>
          <w:b/>
          <w:sz w:val="20"/>
        </w:rPr>
      </w:pPr>
      <w:r>
        <w:rPr>
          <w:rFonts w:ascii="Times New Roman" w:hAnsi="Times New Roman"/>
          <w:b/>
          <w:sz w:val="20"/>
        </w:rPr>
        <w:t xml:space="preserve">Services of the radio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radio companies undertake to play back the advertising bookings.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Sufficient hourly advertising time will be made available for marketing.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radio companies will provide ANY with all programme-related information required for marketing.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interface is set up between ANYs sales control and the radio companies scheduling systems and its broadcasting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radio companies will send broadcast confirmations for the broadcast spots to the advertising customers on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radio companies independently register the radio programmes they broadcast for recording via the Media Analyse Audio in the Media Analyse Working Group. The costs for participation in Media Analyse Audio are borne by the respective radio company.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§6 </w:t>
      </w:r>
    </w:p>
    <w:p>
      <w:pPr>
        <w:pStyle w:val="TextBody"/>
        <w:bidi w:val="0"/>
        <w:spacing w:before="0" w:after="0"/>
        <w:jc w:val="center"/>
        <w:rPr>
          <w:rFonts w:ascii="Times New Roman" w:hAnsi="Times New Roman"/>
          <w:b/>
          <w:sz w:val="20"/>
        </w:rPr>
      </w:pPr>
      <w:r>
        <w:rPr>
          <w:rFonts w:ascii="Times New Roman" w:hAnsi="Times New Roman"/>
          <w:b/>
          <w:sz w:val="20"/>
        </w:rPr>
        <w:t xml:space="preserve">Remuneration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successful execution of the marketing activity, ANY receives all proceeds from the marketing (total proceeds less granted discounts, commissions and AE).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will invoice the respective radio company monthly for the remuneration claims arising from the marketing activity.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3</w:t>
      </w:r>
      <w:r>
        <w:rPr>
          <w:rFonts w:ascii="Times New Roman" w:hAnsi="Times New Roman"/>
          <w:sz w:val="20"/>
        </w:rPr>
        <w:t xml:space="preserve"> from </w:t>
      </w:r>
      <w:r>
        <w:rPr>
          <w:rFonts w:ascii="Times New Roman" w:hAnsi="Times New Roman"/>
          <w:b/>
          <w:sz w:val="20"/>
        </w:rPr>
        <w:t>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the framework of a budget for cost coverage to be agreed between the contracting parties, the ANY shall assume all costs incurred by the programme production of the respective radio company (including licence fees, personnel, rent). The respective radio company shall retain an annual profit, which shall be determined annually in agreement between the contracting parties. The reconciliation shall take place once a year at the beginning of a business year and shall be reviewed and, if necessary, adjusted on a quarterly basis. ANY shall provide the respective radio company with sufficient liquid funds on a monthly basis so that the broadcasting operations of the respective radio company can be maintained.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radio company shall check the statement without delay and assert any objections in text form against ANY within one month of receipt of the statement at the latest.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§7 </w:t>
      </w:r>
    </w:p>
    <w:p>
      <w:pPr>
        <w:pStyle w:val="TextBody"/>
        <w:bidi w:val="0"/>
        <w:spacing w:before="0" w:after="0"/>
        <w:jc w:val="center"/>
        <w:rPr>
          <w:rFonts w:ascii="Times New Roman" w:hAnsi="Times New Roman"/>
          <w:b/>
          <w:sz w:val="20"/>
        </w:rPr>
      </w:pPr>
      <w:r>
        <w:rPr>
          <w:rFonts w:ascii="Times New Roman" w:hAnsi="Times New Roman"/>
          <w:b/>
          <w:sz w:val="20"/>
        </w:rPr>
        <w:t xml:space="preserve">Exclusivity, competition protection and further representation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radio companies shall not commission any other company with the acquisition of advertising by way of individual marketing during the term of this contract. Existing marketing agreements with RMS and Gong are excluded from this.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is entitled to conclude barter transactions (compensation transactions) with third parties in consultation with the respective radio company. The radio companies shall make sufficient airtime available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may act for other principals. However, it may not, without the prior written consent of the Radio Companies, act for a competitor of the Radio Companies or directly or indirectly participate in or advise or in any other way assist a competitor of the Radio Companies.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§8 </w:t>
      </w:r>
    </w:p>
    <w:p>
      <w:pPr>
        <w:pStyle w:val="TextBody"/>
        <w:bidi w:val="0"/>
        <w:spacing w:before="0" w:after="0"/>
        <w:jc w:val="center"/>
        <w:rPr>
          <w:rFonts w:ascii="Times New Roman" w:hAnsi="Times New Roman"/>
          <w:b/>
          <w:sz w:val="20"/>
        </w:rPr>
      </w:pPr>
      <w:r>
        <w:rPr>
          <w:rFonts w:ascii="Times New Roman" w:hAnsi="Times New Roman"/>
          <w:b/>
          <w:sz w:val="20"/>
        </w:rPr>
        <w:t xml:space="preserve">Liability </w:t>
      </w:r>
    </w:p>
    <w:p>
      <w:pPr>
        <w:pStyle w:val="TextBody"/>
        <w:bidi w:val="0"/>
        <w:spacing w:before="240" w:after="0"/>
        <w:jc w:val="left"/>
        <w:rPr>
          <w:rFonts w:ascii="Times New Roman" w:hAnsi="Times New Roman"/>
          <w:sz w:val="20"/>
        </w:rPr>
      </w:pPr>
      <w:r>
        <w:rPr>
          <w:rFonts w:ascii="Times New Roman" w:hAnsi="Times New Roman"/>
          <w:sz w:val="20"/>
        </w:rPr>
        <w:t xml:space="preserve">Subject to each other, the contracting parties shall only be liable for intent and gross negligence. </w:t>
      </w:r>
    </w:p>
    <w:p>
      <w:pPr>
        <w:pStyle w:val="TextBody"/>
        <w:bidi w:val="0"/>
        <w:spacing w:before="480" w:after="0"/>
        <w:jc w:val="center"/>
        <w:rPr>
          <w:rFonts w:ascii="Times New Roman" w:hAnsi="Times New Roman"/>
          <w:b/>
          <w:sz w:val="20"/>
        </w:rPr>
      </w:pPr>
      <w:r>
        <w:rPr>
          <w:rFonts w:ascii="Times New Roman" w:hAnsi="Times New Roman"/>
          <w:b/>
          <w:sz w:val="20"/>
        </w:rPr>
        <w:t xml:space="preserve">§9 </w:t>
      </w:r>
    </w:p>
    <w:p>
      <w:pPr>
        <w:pStyle w:val="TextBody"/>
        <w:bidi w:val="0"/>
        <w:spacing w:before="0" w:after="0"/>
        <w:jc w:val="center"/>
        <w:rPr>
          <w:rFonts w:ascii="Times New Roman" w:hAnsi="Times New Roman"/>
          <w:b/>
          <w:sz w:val="20"/>
        </w:rPr>
      </w:pPr>
      <w:r>
        <w:rPr>
          <w:rFonts w:ascii="Times New Roman" w:hAnsi="Times New Roman"/>
          <w:b/>
          <w:sz w:val="20"/>
        </w:rPr>
        <w:t xml:space="preserve">Confidentiality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ANY shall maintain business and trade secrets of the radio companies which have been entrusted to it or have become known to it as such during its work for the respective radio company (confidential facts), even after termination of the contract.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4</w:t>
      </w:r>
      <w:r>
        <w:rPr>
          <w:rFonts w:ascii="Times New Roman" w:hAnsi="Times New Roman"/>
          <w:sz w:val="20"/>
        </w:rPr>
        <w:t xml:space="preserve"> from </w:t>
      </w:r>
      <w:r>
        <w:rPr>
          <w:rFonts w:ascii="Times New Roman" w:hAnsi="Times New Roman"/>
          <w:b/>
          <w:sz w:val="20"/>
        </w:rPr>
        <w:t>8</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Documents on confidential facts entrusted to the ANY shall be returned by the ANY to the respective radio company immediately after they have been used in accordance with the application, but at the latest upon termination of the contractual relationship. This obligation to return also extends to the customer file kept by the ANY during the term of this contract. Insofar as documents containing confidential facts have been provided in electronic form, this data must be deleted at the latest upon termination of this contract or - insofar as this is not technically possible - permanently blocked.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shall ensure that the aforementioned confidentiality obligations are also complied with by its employees, sub-agents or other auxiliary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Both parties shall treat the contents of this contract as confidential. Excluded from this is the disclosure to persons who are subject to a legal obligation of confidentiality, insofar as this disclosure is necessary for the proper management of the business or for the safeguarding of legitimate interests, in particular insofar as a judicial or official obligation exists.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§10 </w:t>
      </w:r>
    </w:p>
    <w:p>
      <w:pPr>
        <w:pStyle w:val="TextBody"/>
        <w:bidi w:val="0"/>
        <w:spacing w:before="0" w:after="0"/>
        <w:jc w:val="center"/>
        <w:rPr>
          <w:rFonts w:ascii="Times New Roman" w:hAnsi="Times New Roman"/>
          <w:b/>
          <w:sz w:val="20"/>
        </w:rPr>
      </w:pPr>
      <w:r>
        <w:rPr>
          <w:rFonts w:ascii="Times New Roman" w:hAnsi="Times New Roman"/>
          <w:b/>
          <w:sz w:val="20"/>
        </w:rPr>
        <w:t xml:space="preserve">Term and termination;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contract shall be concluded for the period during which the respective radio company is entitled to a broadcasting licence under media law which entitles it to broadcast a radio programme. If the media broadcasting licence granted to the respective radio company is extended, this contract with the respective radio company shall be extended accordingly.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terminate without notice for good cause remains unaffected. In particular, good cause exists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radio companys licence to broadcast radio programmes or the allocation of frequencies is withdrawn by the competent state media authorities or another competent supervisory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ANY does not provide a radio company with the required liquid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sale of more than 50 per cent of ANYs shares to a competitor of the radio companies. Competitors are companies or persons operating in the federal states of Hesse, Rhineland-Palatinate, Saarland, Berlin or Brandenburg who are active in the media industry or hold shares in other radio stations in Germany;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insolvency or comparable proceedings are instituted against the assets of ANY or the Company is dissolved or liquidation proceedings are carried out.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contract is retroactive to 1 August 2021.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5</w:t>
      </w:r>
      <w:r>
        <w:rPr>
          <w:rFonts w:ascii="Times New Roman" w:hAnsi="Times New Roman"/>
          <w:sz w:val="20"/>
        </w:rPr>
        <w:t xml:space="preserve"> from </w:t>
      </w:r>
      <w:r>
        <w:rPr>
          <w:rFonts w:ascii="Times New Roman" w:hAnsi="Times New Roman"/>
          <w:b/>
          <w:sz w:val="20"/>
        </w:rPr>
        <w:t>8</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sz w:val="20"/>
        </w:rPr>
        <w:t xml:space="preserve"> </w:t>
      </w:r>
      <w:r>
        <w:rPr>
          <w:rFonts w:ascii="Times New Roman" w:hAnsi="Times New Roman"/>
          <w:b/>
          <w:sz w:val="20"/>
        </w:rPr>
        <w:t>11</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Final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ancillary agreements have been made. Amendments or supplements to the contract must be made in writing. This also applies to the waiver of the written form requirement.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invalidity of individual provisions of this contract shall not affect the validity of the remaining provisions. The parties undertake to replace the invalid provision with a valid agreement that comes as close as possible to the invalid provision in terms of interests and meaning. This shall also apply in the event of a loophole.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shall endeavour to resolve any disputes arising from this contract out of court in the first instance.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of performance and jurisdiction is Frankfurt am Main.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law of the Federal Republic of Germany shall apply.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6</w:t>
      </w:r>
      <w:r>
        <w:rPr>
          <w:rFonts w:ascii="Times New Roman" w:hAnsi="Times New Roman"/>
          <w:sz w:val="20"/>
        </w:rPr>
        <w:t xml:space="preserve"> from </w:t>
      </w:r>
      <w:r>
        <w:rPr>
          <w:rFonts w:ascii="Times New Roman" w:hAnsi="Times New Roman"/>
          <w:b/>
          <w:sz w:val="20"/>
        </w:rPr>
        <w:t>8</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Frankfurt am Main, 3 September 2021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0"/>
        <w:gridCol w:w="127"/>
        <w:gridCol w:w="3364"/>
        <w:gridCol w:w="127"/>
        <w:gridCol w:w="3097"/>
      </w:tblGrid>
      <w:tr>
        <w:trPr/>
        <w:tc>
          <w:tcPr>
            <w:tcW w:w="349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r>
      <w:tr>
        <w:trPr/>
        <w:tc>
          <w:tcPr>
            <w:tcW w:w="3490"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364"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Stephan Schwenk</w:t>
            </w:r>
          </w:p>
        </w:tc>
        <w:tc>
          <w:tcPr>
            <w:tcW w:w="127" w:type="dxa"/>
            <w:tcBorders/>
            <w:vAlign w:val="bottom"/>
          </w:tcPr>
          <w:p>
            <w:pPr>
              <w:pStyle w:val="TableContents"/>
              <w:bidi w:val="0"/>
              <w:spacing w:before="0" w:after="283"/>
              <w:jc w:val="left"/>
              <w:rPr/>
            </w:pPr>
            <w:r>
              <w:rPr/>
              <w:t>  </w:t>
            </w:r>
          </w:p>
        </w:tc>
        <w:tc>
          <w:tcPr>
            <w:tcW w:w="30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Times New Roman" w:hAnsi="Times New Roman"/>
          <w:sz w:val="20"/>
        </w:rPr>
      </w:pPr>
      <w:r>
        <w:rPr>
          <w:rFonts w:ascii="Times New Roman" w:hAnsi="Times New Roman"/>
          <w:b/>
          <w:sz w:val="20"/>
        </w:rPr>
        <w:t>Any Lifestyle Marketing GmbH,</w:t>
      </w:r>
      <w:r>
        <w:rPr>
          <w:rFonts w:ascii="Times New Roman" w:hAnsi="Times New Roman"/>
          <w:sz w:val="20"/>
        </w:rPr>
        <w:t xml:space="preserve"> represented by its Managing Director, Mr Stephan Schwenk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6"/>
        <w:gridCol w:w="102"/>
        <w:gridCol w:w="408"/>
        <w:gridCol w:w="102"/>
        <w:gridCol w:w="4797"/>
      </w:tblGrid>
      <w:tr>
        <w:trPr/>
        <w:tc>
          <w:tcPr>
            <w:tcW w:w="479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479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Stephan Schwenk</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Stephan Schwenk</w:t>
            </w:r>
          </w:p>
        </w:tc>
      </w:tr>
      <w:tr>
        <w:trPr/>
        <w:tc>
          <w:tcPr>
            <w:tcW w:w="4796" w:type="dxa"/>
            <w:tcBorders/>
          </w:tcPr>
          <w:p>
            <w:pPr>
              <w:pStyle w:val="TableContents"/>
              <w:bidi w:val="0"/>
              <w:spacing w:before="0" w:after="283"/>
              <w:jc w:val="left"/>
              <w:rPr/>
            </w:pPr>
            <w:r>
              <w:rPr/>
              <w:t xml:space="preserve">The </w:t>
            </w:r>
            <w:r>
              <w:rPr>
                <w:b/>
              </w:rPr>
              <w:t>Radio Group GmbH,</w:t>
            </w:r>
            <w:r>
              <w:rPr/>
              <w:t xml:space="preserve"> represented by its</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b/>
              </w:rPr>
              <w:t>Antenne Kaisers [ILLEGIBLE] GmbH,</w:t>
            </w:r>
            <w:r>
              <w:rPr/>
              <w:t xml:space="preserve"> represented by its</w:t>
            </w:r>
          </w:p>
        </w:tc>
      </w:tr>
      <w:tr>
        <w:trPr/>
        <w:tc>
          <w:tcPr>
            <w:tcW w:w="4796" w:type="dxa"/>
            <w:tcBorders/>
          </w:tcPr>
          <w:p>
            <w:pPr>
              <w:pStyle w:val="TableContents"/>
              <w:bidi w:val="0"/>
              <w:spacing w:before="0" w:after="283"/>
              <w:jc w:val="left"/>
              <w:rPr/>
            </w:pPr>
            <w:r>
              <w:rPr/>
              <w:t>Managing Director, Mr Stephan Schwenk</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Managing Director, Mr Stephan Schwenk</w:t>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Stephan Schwenk</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Stephan Schwenk</w:t>
            </w:r>
          </w:p>
        </w:tc>
      </w:tr>
      <w:tr>
        <w:trPr/>
        <w:tc>
          <w:tcPr>
            <w:tcW w:w="4796" w:type="dxa"/>
            <w:tcBorders/>
          </w:tcPr>
          <w:p>
            <w:pPr>
              <w:pStyle w:val="TableContents"/>
              <w:bidi w:val="0"/>
              <w:spacing w:before="0" w:after="283"/>
              <w:jc w:val="left"/>
              <w:rPr/>
            </w:pPr>
            <w:r>
              <w:rPr/>
              <w:t xml:space="preserve">Lokalradios RLP </w:t>
            </w:r>
            <w:r>
              <w:rPr>
                <w:b/>
              </w:rPr>
              <w:t xml:space="preserve">GmbH, </w:t>
            </w:r>
            <w:r>
              <w:rPr/>
              <w:t>represented by its</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b/>
              </w:rPr>
              <w:t>Antenne Frankfurt GmbH,</w:t>
            </w:r>
            <w:r>
              <w:rPr/>
              <w:t xml:space="preserve"> represented by its</w:t>
            </w:r>
          </w:p>
        </w:tc>
      </w:tr>
      <w:tr>
        <w:trPr/>
        <w:tc>
          <w:tcPr>
            <w:tcW w:w="4796" w:type="dxa"/>
            <w:tcBorders/>
          </w:tcPr>
          <w:p>
            <w:pPr>
              <w:pStyle w:val="TableContents"/>
              <w:bidi w:val="0"/>
              <w:spacing w:before="0" w:after="283"/>
              <w:jc w:val="left"/>
              <w:rPr/>
            </w:pPr>
            <w:r>
              <w:rPr/>
              <w:t>Managing Director, Mr Stephan Schwenk</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Managing Director, Mr Stephan Schwenk</w:t>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Stephan Schwenk</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b/>
              </w:rPr>
              <w:t>Funkhaus Saar GmbH,</w:t>
            </w:r>
            <w:r>
              <w:rPr/>
              <w:t xml:space="preserve"> represented by its</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Managing Director, Mr Stephan Schwenk</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7</w:t>
      </w:r>
      <w:r>
        <w:rPr>
          <w:rFonts w:ascii="Times New Roman" w:hAnsi="Times New Roman"/>
          <w:sz w:val="20"/>
        </w:rPr>
        <w:t xml:space="preserve"> from </w:t>
      </w:r>
      <w:r>
        <w:rPr>
          <w:rFonts w:ascii="Times New Roman" w:hAnsi="Times New Roman"/>
          <w:b/>
          <w:sz w:val="20"/>
        </w:rPr>
        <w:t>8</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Mr. Peter Vesco, current CCO of Rezolve Limited, 3rd Floor 80, New Bond Street, Mayfair, London, England, WlS lSB has reviewed this Agreement and declares that the contents of the foregoing Marketing Agreement fully comply with the conditions set out in clause 1.2 of the Binding Term Sheet (Deed of Notary Dr. Tobias Kilian dated 30 August 2021, Cert. No. 197/2021).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center"/>
              <w:rPr/>
            </w:pPr>
            <w:r>
              <w:rPr/>
              <w:t>/s/ Peter Vesco</w:t>
            </w:r>
          </w:p>
        </w:tc>
      </w:tr>
      <w:tr>
        <w:trPr/>
        <w:tc>
          <w:tcPr>
            <w:tcW w:w="4082" w:type="dxa"/>
            <w:tcBorders/>
            <w:vAlign w:val="bottom"/>
          </w:tcPr>
          <w:p>
            <w:pPr>
              <w:pStyle w:val="TableContents"/>
              <w:bidi w:val="0"/>
              <w:spacing w:before="0" w:after="283"/>
              <w:jc w:val="center"/>
              <w:rPr/>
            </w:pPr>
            <w:r>
              <w:rPr/>
              <w:t>Peter Vesco</w:t>
            </w:r>
          </w:p>
        </w:tc>
      </w:tr>
      <w:tr>
        <w:trPr/>
        <w:tc>
          <w:tcPr>
            <w:tcW w:w="4082" w:type="dxa"/>
            <w:tcBorders/>
          </w:tcPr>
          <w:p>
            <w:pPr>
              <w:pStyle w:val="TableContents"/>
              <w:bidi w:val="0"/>
              <w:spacing w:before="0" w:after="283"/>
              <w:jc w:val="center"/>
              <w:rPr/>
            </w:pPr>
            <w:r>
              <w:rPr/>
              <w:t>[ILLEGIBLE]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8</w:t>
      </w:r>
      <w:r>
        <w:rPr>
          <w:rFonts w:ascii="Times New Roman" w:hAnsi="Times New Roman"/>
          <w:sz w:val="20"/>
        </w:rPr>
        <w:t xml:space="preserve"> from </w:t>
      </w:r>
      <w:r>
        <w:rPr>
          <w:rFonts w:ascii="Times New Roman" w:hAnsi="Times New Roman"/>
          <w:b/>
          <w:sz w:val="20"/>
        </w:rPr>
        <w:t>8</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65" w:name="d309194dex1021.htm"/>
      <w:bookmarkStart w:id="66" w:name="ksd309194dex1021"/>
      <w:bookmarkEnd w:id="65"/>
      <w:bookmarkEnd w:id="66"/>
      <w:r>
        <w:rPr>
          <w:rFonts w:ascii="Times New Roman" w:hAnsi="Times New Roman"/>
          <w:b/>
          <w:sz w:val="20"/>
        </w:rPr>
        <w:t xml:space="preserve">Exhibit 10.21 </w:t>
      </w:r>
      <w:r>
        <w:br w:type="page"/>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Deed-Register-No. 202/2023/MA </w:t>
      </w:r>
    </w:p>
    <w:p>
      <w:pPr>
        <w:pStyle w:val="TextBody"/>
        <w:bidi w:val="0"/>
        <w:spacing w:before="0" w:after="0"/>
        <w:jc w:val="left"/>
        <w:rPr/>
      </w:pPr>
      <w:r>
        <w:rPr/>
        <w:t> </w:t>
      </w:r>
    </w:p>
    <w:p>
      <w:pPr>
        <w:pStyle w:val="TextBody"/>
        <w:bidi w:val="0"/>
        <w:spacing w:before="0" w:after="0"/>
        <w:jc w:val="center"/>
        <w:rPr/>
      </w:pPr>
      <w:r>
        <w:rPr/>
        <w:drawing>
          <wp:inline distT="0" distB="0" distL="0" distR="0">
            <wp:extent cx="2028825" cy="2352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2"/>
                    <a:stretch>
                      <a:fillRect/>
                    </a:stretch>
                  </pic:blipFill>
                  <pic:spPr bwMode="auto">
                    <a:xfrm>
                      <a:off x="0" y="0"/>
                      <a:ext cx="2028825" cy="23526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Recorded </w:t>
      </w:r>
    </w:p>
    <w:p>
      <w:pPr>
        <w:pStyle w:val="TextBody"/>
        <w:bidi w:val="0"/>
        <w:spacing w:before="0" w:after="0"/>
        <w:jc w:val="center"/>
        <w:rPr>
          <w:rFonts w:ascii="Times New Roman" w:hAnsi="Times New Roman"/>
          <w:sz w:val="20"/>
        </w:rPr>
      </w:pPr>
      <w:r>
        <w:rPr>
          <w:rFonts w:ascii="Times New Roman" w:hAnsi="Times New Roman"/>
          <w:sz w:val="20"/>
        </w:rPr>
        <w:t xml:space="preserve">in Frankfurt am Main </w:t>
      </w:r>
    </w:p>
    <w:p>
      <w:pPr>
        <w:pStyle w:val="TextBody"/>
        <w:bidi w:val="0"/>
        <w:spacing w:before="0" w:after="0"/>
        <w:jc w:val="center"/>
        <w:rPr>
          <w:rFonts w:ascii="Times New Roman" w:hAnsi="Times New Roman"/>
          <w:sz w:val="20"/>
        </w:rPr>
      </w:pPr>
      <w:r>
        <w:rPr>
          <w:rFonts w:ascii="Times New Roman" w:hAnsi="Times New Roman"/>
          <w:sz w:val="20"/>
        </w:rPr>
        <w:t xml:space="preserve">on 24 May 2023 </w:t>
      </w:r>
    </w:p>
    <w:p>
      <w:pPr>
        <w:pStyle w:val="TextBody"/>
        <w:bidi w:val="0"/>
        <w:spacing w:before="120" w:after="0"/>
        <w:jc w:val="center"/>
        <w:rPr>
          <w:rFonts w:ascii="Times New Roman" w:hAnsi="Times New Roman"/>
          <w:sz w:val="20"/>
        </w:rPr>
      </w:pPr>
      <w:r>
        <w:rPr>
          <w:rFonts w:ascii="Times New Roman" w:hAnsi="Times New Roman"/>
          <w:sz w:val="20"/>
        </w:rPr>
        <w:t xml:space="preserve">Before me, the undersigned Notary </w:t>
      </w:r>
    </w:p>
    <w:p>
      <w:pPr>
        <w:pStyle w:val="TextBody"/>
        <w:bidi w:val="0"/>
        <w:spacing w:before="120" w:after="0"/>
        <w:jc w:val="center"/>
        <w:rPr>
          <w:rFonts w:ascii="Times New Roman" w:hAnsi="Times New Roman"/>
          <w:b/>
          <w:sz w:val="20"/>
        </w:rPr>
      </w:pPr>
      <w:r>
        <w:rPr>
          <w:rFonts w:ascii="Times New Roman" w:hAnsi="Times New Roman"/>
          <w:b/>
          <w:sz w:val="20"/>
        </w:rPr>
        <w:t xml:space="preserve">Matthias Apelt </w:t>
      </w:r>
    </w:p>
    <w:p>
      <w:pPr>
        <w:pStyle w:val="TextBody"/>
        <w:bidi w:val="0"/>
        <w:spacing w:before="120" w:after="0"/>
        <w:jc w:val="center"/>
        <w:rPr>
          <w:rFonts w:ascii="Times New Roman" w:hAnsi="Times New Roman"/>
          <w:sz w:val="20"/>
        </w:rPr>
      </w:pPr>
      <w:r>
        <w:rPr>
          <w:rFonts w:ascii="Times New Roman" w:hAnsi="Times New Roman"/>
          <w:sz w:val="20"/>
        </w:rPr>
        <w:t xml:space="preserve">in the district of the Higher Regional Court (Oberlandesgericht) Frankfurt am Main </w:t>
      </w:r>
    </w:p>
    <w:p>
      <w:pPr>
        <w:pStyle w:val="TextBody"/>
        <w:bidi w:val="0"/>
        <w:spacing w:before="0" w:after="0"/>
        <w:jc w:val="center"/>
        <w:rPr>
          <w:rFonts w:ascii="Times New Roman" w:hAnsi="Times New Roman"/>
          <w:sz w:val="20"/>
        </w:rPr>
      </w:pPr>
      <w:r>
        <w:rPr>
          <w:rFonts w:ascii="Times New Roman" w:hAnsi="Times New Roman"/>
          <w:sz w:val="20"/>
        </w:rPr>
        <w:t xml:space="preserve">practising in Frankfurt am Main </w:t>
      </w:r>
    </w:p>
    <w:p>
      <w:pPr>
        <w:pStyle w:val="TextBody"/>
        <w:bidi w:val="0"/>
        <w:spacing w:before="240" w:after="0"/>
        <w:jc w:val="left"/>
        <w:rPr>
          <w:rFonts w:ascii="Times New Roman" w:hAnsi="Times New Roman"/>
          <w:sz w:val="20"/>
        </w:rPr>
      </w:pPr>
      <w:r>
        <w:rPr>
          <w:rFonts w:ascii="Times New Roman" w:hAnsi="Times New Roman"/>
          <w:sz w:val="20"/>
        </w:rPr>
        <w:t xml:space="preserve">appeared today in the premises of Kubik Schaffner PartG mbB Rechtsanwalt Steuer-berater Notar, Mainzer Landstraße 55, 60329 Frankfurt am Main, where the Notary has betaken himself upon request of the persons appearing: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Mr.</w:t>
            </w:r>
            <w:r>
              <w:rPr>
                <w:rFonts w:ascii="Times New Roman" w:hAnsi="Times New Roman"/>
                <w:sz w:val="20"/>
              </w:rPr>
              <w:t> </w:t>
            </w:r>
            <w:r>
              <w:rPr>
                <w:rFonts w:ascii="Times New Roman" w:hAnsi="Times New Roman"/>
                <w:b/>
                <w:sz w:val="20"/>
              </w:rPr>
              <w:t>Stephan Schwenk</w:t>
            </w:r>
            <w:r>
              <w:rPr>
                <w:rFonts w:ascii="Times New Roman" w:hAnsi="Times New Roman"/>
                <w:sz w:val="20"/>
              </w:rPr>
              <w:t xml:space="preserve">, born on 18 October 1963, </w:t>
            </w:r>
          </w:p>
        </w:tc>
      </w:tr>
    </w:tbl>
    <w:p>
      <w:pPr>
        <w:pStyle w:val="TextBody"/>
        <w:bidi w:val="0"/>
        <w:spacing w:before="0" w:after="0"/>
        <w:jc w:val="left"/>
        <w:rPr>
          <w:rFonts w:ascii="Times New Roman" w:hAnsi="Times New Roman"/>
          <w:sz w:val="20"/>
        </w:rPr>
      </w:pPr>
      <w:r>
        <w:rPr>
          <w:rFonts w:ascii="Times New Roman" w:hAnsi="Times New Roman"/>
          <w:sz w:val="20"/>
        </w:rPr>
        <w:t xml:space="preserve">with business address: Nibelungenplatz 3, 60318 Frankfurt am Main, </w:t>
      </w:r>
    </w:p>
    <w:p>
      <w:pPr>
        <w:pStyle w:val="TextBody"/>
        <w:bidi w:val="0"/>
        <w:spacing w:before="0" w:after="0"/>
        <w:jc w:val="left"/>
        <w:rPr>
          <w:rFonts w:ascii="Times New Roman" w:hAnsi="Times New Roman"/>
          <w:sz w:val="20"/>
        </w:rPr>
      </w:pPr>
      <w:r>
        <w:rPr>
          <w:rFonts w:ascii="Times New Roman" w:hAnsi="Times New Roman"/>
          <w:sz w:val="20"/>
        </w:rPr>
        <w:t xml:space="preserve">identified by his German passport, </w:t>
      </w:r>
    </w:p>
    <w:p>
      <w:pPr>
        <w:pStyle w:val="TextBody"/>
        <w:bidi w:val="0"/>
        <w:spacing w:before="120" w:after="0"/>
        <w:jc w:val="left"/>
        <w:rPr>
          <w:rFonts w:ascii="Times New Roman" w:hAnsi="Times New Roman"/>
          <w:sz w:val="20"/>
        </w:rPr>
      </w:pPr>
      <w:r>
        <w:rPr>
          <w:rFonts w:ascii="Times New Roman" w:hAnsi="Times New Roman"/>
          <w:sz w:val="20"/>
        </w:rPr>
        <w:t xml:space="preserve">hereinafter acting not in his own name, but as managing director authorized to represent each company solely and exempt from the restrictions of Section 181 German Civil Code on behalf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The Radio Group GmbH</w:t>
            </w:r>
            <w:r>
              <w:rPr>
                <w:rFonts w:ascii="Times New Roman" w:hAnsi="Times New Roman"/>
                <w:sz w:val="20"/>
              </w:rPr>
              <w:t xml:space="preserve"> with registered office in Kaiserslautern, registered in the commercial register of the local court Kaiserslautern under HRB 33316, business address: Am Altenhof 11-13, 67655 Kaiserslautern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Lokalradios RLP GmbH</w:t>
            </w:r>
            <w:r>
              <w:rPr>
                <w:rFonts w:ascii="Times New Roman" w:hAnsi="Times New Roman"/>
                <w:sz w:val="20"/>
              </w:rPr>
              <w:t xml:space="preserve"> with registered office in Landau in der Pfalz, registered in the commercial register of the local court Landau in der Pfalz under HRB 33150, business address: Waffenstraße 17, 76829 Landau in der Pfalz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sz w:val="20"/>
              </w:rPr>
              <w:t>Radio Frankfurt Media GmbH</w:t>
            </w:r>
            <w:r>
              <w:rPr>
                <w:rFonts w:ascii="Times New Roman" w:hAnsi="Times New Roman"/>
                <w:sz w:val="20"/>
              </w:rPr>
              <w:t xml:space="preserve"> with registered office in Frankfurt am Main, registered in the commercial register of the local court Frankfurt am Main under HRB 96571, business address: Nibelungenplatz 3, 60318 Frankfurt am Main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together, parties in (a) to (c) inclusive being the </w:t>
      </w:r>
      <w:r>
        <w:rPr>
          <w:rFonts w:ascii="Times New Roman" w:hAnsi="Times New Roman"/>
          <w:b/>
          <w:sz w:val="20"/>
        </w:rPr>
        <w:t>Sellers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Mr.</w:t>
            </w:r>
            <w:r>
              <w:rPr>
                <w:rFonts w:ascii="Times New Roman" w:hAnsi="Times New Roman"/>
                <w:sz w:val="20"/>
              </w:rPr>
              <w:t> </w:t>
            </w:r>
            <w:r>
              <w:rPr>
                <w:rFonts w:ascii="Times New Roman" w:hAnsi="Times New Roman"/>
                <w:b/>
                <w:sz w:val="20"/>
              </w:rPr>
              <w:t>Peter Vesco</w:t>
            </w:r>
            <w:r>
              <w:rPr>
                <w:rFonts w:ascii="Times New Roman" w:hAnsi="Times New Roman"/>
                <w:sz w:val="20"/>
              </w:rPr>
              <w:t xml:space="preserve">, born on 5 February 1966, </w:t>
            </w:r>
          </w:p>
        </w:tc>
      </w:tr>
    </w:tbl>
    <w:p>
      <w:pPr>
        <w:pStyle w:val="TextBody"/>
        <w:bidi w:val="0"/>
        <w:spacing w:before="0" w:after="0"/>
        <w:jc w:val="left"/>
        <w:rPr>
          <w:rFonts w:ascii="Times New Roman" w:hAnsi="Times New Roman"/>
          <w:sz w:val="20"/>
        </w:rPr>
      </w:pPr>
      <w:r>
        <w:rPr>
          <w:rFonts w:ascii="Times New Roman" w:hAnsi="Times New Roman"/>
          <w:sz w:val="20"/>
        </w:rPr>
        <w:t xml:space="preserve">with business address: 3rd Floor 80 New Bond Street, Mayfair, London W1S1SB, </w:t>
      </w:r>
    </w:p>
    <w:p>
      <w:pPr>
        <w:pStyle w:val="TextBody"/>
        <w:bidi w:val="0"/>
        <w:spacing w:before="0" w:after="0"/>
        <w:jc w:val="left"/>
        <w:rPr>
          <w:rFonts w:ascii="Times New Roman" w:hAnsi="Times New Roman"/>
          <w:sz w:val="20"/>
        </w:rPr>
      </w:pPr>
      <w:r>
        <w:rPr>
          <w:rFonts w:ascii="Times New Roman" w:hAnsi="Times New Roman"/>
          <w:sz w:val="20"/>
        </w:rPr>
        <w:t xml:space="preserve">United Kingdom, identified by official picture identification, </w:t>
      </w:r>
    </w:p>
    <w:p>
      <w:pPr>
        <w:pStyle w:val="TextBody"/>
        <w:bidi w:val="0"/>
        <w:spacing w:before="120" w:after="0"/>
        <w:jc w:val="left"/>
        <w:rPr>
          <w:rFonts w:ascii="Times New Roman" w:hAnsi="Times New Roman"/>
          <w:sz w:val="20"/>
        </w:rPr>
      </w:pPr>
      <w:r>
        <w:rPr>
          <w:rFonts w:ascii="Times New Roman" w:hAnsi="Times New Roman"/>
          <w:sz w:val="20"/>
        </w:rPr>
        <w:t xml:space="preserve">hereinafter acting not in his own name but excluding any personal liability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certified and apostilled power of attorney dated 19 February 2022, the original of which was available at the recording and a copy of which is attached to this deed; the Notary hereby certifies the literal identity of this copy with the original document, on behalf of </w:t>
            </w:r>
          </w:p>
        </w:tc>
      </w:tr>
    </w:tbl>
    <w:p>
      <w:pPr>
        <w:pStyle w:val="TextBody"/>
        <w:bidi w:val="0"/>
        <w:spacing w:before="120" w:after="0"/>
        <w:jc w:val="left"/>
        <w:rPr>
          <w:rFonts w:ascii="Times New Roman" w:hAnsi="Times New Roman"/>
          <w:sz w:val="20"/>
        </w:rPr>
      </w:pPr>
      <w:r>
        <w:rPr>
          <w:rFonts w:ascii="Times New Roman" w:hAnsi="Times New Roman"/>
          <w:b/>
          <w:sz w:val="20"/>
        </w:rPr>
        <w:t>Rezolve Limited</w:t>
      </w:r>
      <w:r>
        <w:rPr>
          <w:rFonts w:ascii="Times New Roman" w:hAnsi="Times New Roman"/>
          <w:sz w:val="20"/>
        </w:rPr>
        <w:t xml:space="preserve">, a limited liability company, registered with the Companies House of London under number 09773823 whose registered address is at 3rd Floor 80 New Bond Street, Mayfair, London W1S1SB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proxy without power of attorney excluding all possible personal liability for the granting of authorization, on behalf of </w:t>
            </w:r>
          </w:p>
        </w:tc>
      </w:tr>
    </w:tbl>
    <w:p>
      <w:pPr>
        <w:pStyle w:val="TextBody"/>
        <w:bidi w:val="0"/>
        <w:spacing w:before="120" w:after="0"/>
        <w:jc w:val="left"/>
        <w:rPr>
          <w:rFonts w:ascii="Times New Roman" w:hAnsi="Times New Roman"/>
          <w:sz w:val="20"/>
        </w:rPr>
      </w:pPr>
      <w:r>
        <w:rPr>
          <w:rFonts w:ascii="Times New Roman" w:hAnsi="Times New Roman"/>
          <w:b/>
          <w:sz w:val="20"/>
        </w:rPr>
        <w:t>Rezolve Group Limited</w:t>
      </w:r>
      <w:r>
        <w:rPr>
          <w:rFonts w:ascii="Times New Roman" w:hAnsi="Times New Roman"/>
          <w:sz w:val="20"/>
        </w:rPr>
        <w:t xml:space="preserve">, a limited liability company, registered with the Companies House of London under number 14573691 whose registered address is at 5 New Street Square, London EC4A3TW. </w:t>
      </w:r>
    </w:p>
    <w:p>
      <w:pPr>
        <w:pStyle w:val="TextBody"/>
        <w:bidi w:val="0"/>
        <w:spacing w:before="240" w:after="0"/>
        <w:jc w:val="right"/>
        <w:rPr>
          <w:rFonts w:ascii="Times New Roman" w:hAnsi="Times New Roman"/>
          <w:sz w:val="20"/>
        </w:rPr>
      </w:pPr>
      <w:r>
        <w:rPr>
          <w:rFonts w:ascii="Times New Roman" w:hAnsi="Times New Roman"/>
          <w:sz w:val="20"/>
        </w:rPr>
        <w:t>parties in (a) and (b) </w:t>
      </w:r>
      <w:r>
        <w:rPr>
          <w:rFonts w:ascii="Times New Roman" w:hAnsi="Times New Roman"/>
          <w:b/>
          <w:sz w:val="20"/>
        </w:rPr>
        <w:t>Buyer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Reference in this Agreement to the Buyer shall refer to Rezolve Limited in relation to the period before the Demerger Completion and to Rezolve Group Limited from the Demerger Completion. </w:t>
      </w:r>
    </w:p>
    <w:p>
      <w:pPr>
        <w:pStyle w:val="TextBody"/>
        <w:bidi w:val="0"/>
        <w:spacing w:before="240" w:after="0"/>
        <w:jc w:val="left"/>
        <w:rPr>
          <w:rFonts w:ascii="Times New Roman" w:hAnsi="Times New Roman"/>
          <w:sz w:val="20"/>
        </w:rPr>
      </w:pPr>
      <w:r>
        <w:rPr>
          <w:rFonts w:ascii="Times New Roman" w:hAnsi="Times New Roman"/>
          <w:sz w:val="20"/>
        </w:rPr>
        <w:t>Sellers and Buyer hereinafter together as the </w:t>
      </w:r>
      <w:r>
        <w:rPr>
          <w:rFonts w:ascii="Times New Roman" w:hAnsi="Times New Roman"/>
          <w:b/>
          <w:sz w:val="20"/>
        </w:rPr>
        <w:t>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Based on inspection of the Electronic Commercial Register of the Local Court of Kaiserslautern to </w:t>
      </w:r>
      <w:r>
        <w:rPr>
          <w:rFonts w:ascii="Times New Roman" w:hAnsi="Times New Roman"/>
          <w:b/>
          <w:sz w:val="20"/>
        </w:rPr>
        <w:t>HRB 33316</w:t>
      </w:r>
      <w:r>
        <w:rPr>
          <w:rFonts w:ascii="Times New Roman" w:hAnsi="Times New Roman"/>
          <w:sz w:val="20"/>
        </w:rPr>
        <w:t>, dated 23 May 2023, I hereby certify that Stephan Schwenk is registered as Managing Director, released from the restrictions of sec. 181 German Civil Code (</w:t>
      </w:r>
      <w:r>
        <w:rPr>
          <w:rFonts w:ascii="Times New Roman" w:hAnsi="Times New Roman"/>
          <w:i/>
          <w:sz w:val="20"/>
        </w:rPr>
        <w:t>Burgerliches Gesetzbuch</w:t>
      </w:r>
      <w:r>
        <w:rPr>
          <w:rFonts w:ascii="Times New Roman" w:hAnsi="Times New Roman"/>
          <w:sz w:val="20"/>
        </w:rPr>
        <w:t>, </w:t>
      </w:r>
      <w:r>
        <w:rPr>
          <w:rFonts w:ascii="Times New Roman" w:hAnsi="Times New Roman"/>
          <w:b/>
          <w:sz w:val="20"/>
        </w:rPr>
        <w:t>BGB</w:t>
      </w:r>
      <w:r>
        <w:rPr>
          <w:rFonts w:ascii="Times New Roman" w:hAnsi="Times New Roman"/>
          <w:sz w:val="20"/>
        </w:rPr>
        <w:t xml:space="preserve">) and has the authority to solely represent The Radio Group GmbH with registered office in Kaiserslautern </w:t>
      </w:r>
    </w:p>
    <w:p>
      <w:pPr>
        <w:pStyle w:val="TextBody"/>
        <w:bidi w:val="0"/>
        <w:spacing w:before="240" w:after="0"/>
        <w:jc w:val="left"/>
        <w:rPr>
          <w:rFonts w:ascii="Times New Roman" w:hAnsi="Times New Roman"/>
          <w:sz w:val="20"/>
        </w:rPr>
      </w:pPr>
      <w:r>
        <w:rPr>
          <w:rFonts w:ascii="Times New Roman" w:hAnsi="Times New Roman"/>
          <w:sz w:val="20"/>
        </w:rPr>
        <w:t xml:space="preserve">Based on inspection of the Electronic Commercial Register of the Local Court of Landau in der Pfalz to </w:t>
      </w:r>
      <w:r>
        <w:rPr>
          <w:rFonts w:ascii="Times New Roman" w:hAnsi="Times New Roman"/>
          <w:b/>
          <w:sz w:val="20"/>
        </w:rPr>
        <w:t>HRB 33150</w:t>
      </w:r>
      <w:r>
        <w:rPr>
          <w:rFonts w:ascii="Times New Roman" w:hAnsi="Times New Roman"/>
          <w:sz w:val="20"/>
        </w:rPr>
        <w:t>, dated 23 May 2023, I hereby certify that Stephan Schwenk is registered as Managing Director, released from the restrictions of sec. 181 German Civil Code (</w:t>
      </w:r>
      <w:r>
        <w:rPr>
          <w:rFonts w:ascii="Times New Roman" w:hAnsi="Times New Roman"/>
          <w:i/>
          <w:sz w:val="20"/>
        </w:rPr>
        <w:t>Burgerliches Gesetzbuch</w:t>
      </w:r>
      <w:r>
        <w:rPr>
          <w:rFonts w:ascii="Times New Roman" w:hAnsi="Times New Roman"/>
          <w:sz w:val="20"/>
        </w:rPr>
        <w:t>, </w:t>
      </w:r>
      <w:r>
        <w:rPr>
          <w:rFonts w:ascii="Times New Roman" w:hAnsi="Times New Roman"/>
          <w:b/>
          <w:sz w:val="20"/>
        </w:rPr>
        <w:t>BGB</w:t>
      </w:r>
      <w:r>
        <w:rPr>
          <w:rFonts w:ascii="Times New Roman" w:hAnsi="Times New Roman"/>
          <w:sz w:val="20"/>
        </w:rPr>
        <w:t xml:space="preserve">) and has the authority to solely represent Lokalradios RLP GmbH with registered office in Landau in der Pfalz. </w:t>
      </w:r>
    </w:p>
    <w:p>
      <w:pPr>
        <w:pStyle w:val="TextBody"/>
        <w:bidi w:val="0"/>
        <w:spacing w:before="240" w:after="0"/>
        <w:jc w:val="left"/>
        <w:rPr>
          <w:rFonts w:ascii="Times New Roman" w:hAnsi="Times New Roman"/>
          <w:sz w:val="20"/>
        </w:rPr>
      </w:pPr>
      <w:r>
        <w:rPr>
          <w:rFonts w:ascii="Times New Roman" w:hAnsi="Times New Roman"/>
          <w:sz w:val="20"/>
        </w:rPr>
        <w:t xml:space="preserve">Based on inspection of the Electronic Commercial Register of the Local Court of Frankfurt am Main to </w:t>
      </w:r>
      <w:r>
        <w:rPr>
          <w:rFonts w:ascii="Times New Roman" w:hAnsi="Times New Roman"/>
          <w:b/>
          <w:sz w:val="20"/>
        </w:rPr>
        <w:t>HRB 96571</w:t>
      </w:r>
      <w:r>
        <w:rPr>
          <w:rFonts w:ascii="Times New Roman" w:hAnsi="Times New Roman"/>
          <w:sz w:val="20"/>
        </w:rPr>
        <w:t>, dated 23 May 2023, I hereby certify that Stephan Schwenk is registered as Managing Director, released from the restrictions of sec. 181 German Civil Code (</w:t>
      </w:r>
      <w:r>
        <w:rPr>
          <w:rFonts w:ascii="Times New Roman" w:hAnsi="Times New Roman"/>
          <w:i/>
          <w:sz w:val="20"/>
        </w:rPr>
        <w:t>Burgerliches Gesetzbuch</w:t>
      </w:r>
      <w:r>
        <w:rPr>
          <w:rFonts w:ascii="Times New Roman" w:hAnsi="Times New Roman"/>
          <w:sz w:val="20"/>
        </w:rPr>
        <w:t>, </w:t>
      </w:r>
      <w:r>
        <w:rPr>
          <w:rFonts w:ascii="Times New Roman" w:hAnsi="Times New Roman"/>
          <w:b/>
          <w:sz w:val="20"/>
        </w:rPr>
        <w:t>BGB</w:t>
      </w:r>
      <w:r>
        <w:rPr>
          <w:rFonts w:ascii="Times New Roman" w:hAnsi="Times New Roman"/>
          <w:sz w:val="20"/>
        </w:rPr>
        <w:t xml:space="preserve">) and has the authority to solely represent Radio Frankfurt Media GmbH with registered office in Frankfurt am Main.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Notary asked the persons appearing regarding a prior involvement according to section 3 para. 1 no. 7 German Notarization Act. After having been advised by the Notary the persons appearing answered this question in the negative. </w:t>
      </w:r>
    </w:p>
    <w:p>
      <w:pPr>
        <w:pStyle w:val="TextBody"/>
        <w:bidi w:val="0"/>
        <w:spacing w:before="240" w:after="0"/>
        <w:jc w:val="left"/>
        <w:rPr>
          <w:rFonts w:ascii="Times New Roman" w:hAnsi="Times New Roman"/>
          <w:sz w:val="20"/>
        </w:rPr>
      </w:pPr>
      <w:r>
        <w:rPr>
          <w:rFonts w:ascii="Times New Roman" w:hAnsi="Times New Roman"/>
          <w:sz w:val="20"/>
        </w:rPr>
        <w:t xml:space="preserve">The notary pointed out that the data of the parties involved are stored by him for the fulfilment of legal obligations or in the public interest. </w:t>
      </w:r>
    </w:p>
    <w:p>
      <w:pPr>
        <w:pStyle w:val="TextBody"/>
        <w:bidi w:val="0"/>
        <w:spacing w:before="240" w:after="0"/>
        <w:jc w:val="left"/>
        <w:rPr>
          <w:rFonts w:ascii="Times New Roman" w:hAnsi="Times New Roman"/>
          <w:sz w:val="20"/>
        </w:rPr>
      </w:pPr>
      <w:r>
        <w:rPr>
          <w:rFonts w:ascii="Times New Roman" w:hAnsi="Times New Roman"/>
          <w:sz w:val="20"/>
        </w:rPr>
        <w:t xml:space="preserve">Upon instruction on the duties of disclosure according to the German Money Laundering Act, the persons appearing declared, that the companies and persons represented by them act for their own account. </w:t>
      </w:r>
    </w:p>
    <w:p>
      <w:pPr>
        <w:pStyle w:val="TextBody"/>
        <w:bidi w:val="0"/>
        <w:spacing w:before="240" w:after="0"/>
        <w:jc w:val="left"/>
        <w:rPr>
          <w:rFonts w:ascii="Times New Roman" w:hAnsi="Times New Roman"/>
          <w:sz w:val="20"/>
        </w:rPr>
      </w:pPr>
      <w:r>
        <w:rPr>
          <w:rFonts w:ascii="Times New Roman" w:hAnsi="Times New Roman"/>
          <w:sz w:val="20"/>
        </w:rPr>
        <w:t xml:space="preserve">The persons appearing and the persons represented by them are and were in agreement with the sending of drafts, deeds and notices by unencrypted e-mails. This applies in particular to future communication with authorities in connection with the execution of this deed or within the scope of the notarys statutory notification obligations. If a party no longer wishes this, an informal written notification to the notary suffices. </w:t>
      </w:r>
    </w:p>
    <w:p>
      <w:pPr>
        <w:pStyle w:val="TextBody"/>
        <w:bidi w:val="0"/>
        <w:spacing w:before="240" w:after="0"/>
        <w:jc w:val="left"/>
        <w:rPr>
          <w:rFonts w:ascii="Times New Roman" w:hAnsi="Times New Roman"/>
          <w:sz w:val="20"/>
        </w:rPr>
      </w:pPr>
      <w:r>
        <w:rPr>
          <w:rFonts w:ascii="Times New Roman" w:hAnsi="Times New Roman"/>
          <w:sz w:val="20"/>
        </w:rPr>
        <w:t xml:space="preserve">The persons appearing requested that the written record of the notarisation be recorded in the English language. The Notary, who is in sufficient command of the English language, satisfied himself as to that the persons appearing are in sufficient command of the English language. </w:t>
      </w:r>
    </w:p>
    <w:p>
      <w:pPr>
        <w:pStyle w:val="TextBody"/>
        <w:bidi w:val="0"/>
        <w:spacing w:before="240" w:after="0"/>
        <w:jc w:val="left"/>
        <w:rPr>
          <w:rFonts w:ascii="Times New Roman" w:hAnsi="Times New Roman"/>
          <w:sz w:val="20"/>
        </w:rPr>
      </w:pPr>
      <w:r>
        <w:rPr>
          <w:rFonts w:ascii="Times New Roman" w:hAnsi="Times New Roman"/>
          <w:sz w:val="20"/>
        </w:rPr>
        <w:t xml:space="preserve">The persons appearing asked for the notarisation of the </w:t>
      </w:r>
    </w:p>
    <w:p>
      <w:pPr>
        <w:pStyle w:val="TextBody"/>
        <w:bidi w:val="0"/>
        <w:spacing w:before="480" w:after="0"/>
        <w:jc w:val="center"/>
        <w:rPr>
          <w:rFonts w:ascii="Times New Roman" w:hAnsi="Times New Roman"/>
          <w:b/>
          <w:sz w:val="20"/>
        </w:rPr>
      </w:pPr>
      <w:r>
        <w:rPr>
          <w:rFonts w:ascii="Times New Roman" w:hAnsi="Times New Roman"/>
          <w:b/>
          <w:sz w:val="20"/>
        </w:rPr>
        <w:t xml:space="preserve">SHARE PURCHASE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in ANY Lifestyle Marketing GmbH (Company) </w:t>
      </w:r>
    </w:p>
    <w:p>
      <w:pPr>
        <w:pStyle w:val="TextBody"/>
        <w:bidi w:val="0"/>
        <w:spacing w:before="240" w:after="0"/>
        <w:jc w:val="left"/>
        <w:rPr>
          <w:rFonts w:ascii="Times New Roman" w:hAnsi="Times New Roman"/>
          <w:sz w:val="20"/>
        </w:rPr>
      </w:pPr>
      <w:r>
        <w:rPr>
          <w:rFonts w:ascii="Times New Roman" w:hAnsi="Times New Roman"/>
          <w:sz w:val="20"/>
        </w:rPr>
        <w:t xml:space="preserve">which is attached as </w:t>
      </w:r>
      <w:r>
        <w:rPr>
          <w:rFonts w:ascii="Times New Roman" w:hAnsi="Times New Roman"/>
          <w:b/>
          <w:sz w:val="20"/>
        </w:rPr>
        <w:t>Annex A</w:t>
      </w:r>
      <w:r>
        <w:rPr>
          <w:rFonts w:ascii="Times New Roman" w:hAnsi="Times New Roman"/>
          <w:sz w:val="20"/>
        </w:rPr>
        <w:t xml:space="preserve"> to this Deed and declared: </w:t>
      </w:r>
    </w:p>
    <w:p>
      <w:pPr>
        <w:pStyle w:val="TextBody"/>
        <w:bidi w:val="0"/>
        <w:spacing w:before="120" w:after="0"/>
        <w:jc w:val="left"/>
        <w:rPr>
          <w:rFonts w:ascii="Times New Roman" w:hAnsi="Times New Roman"/>
          <w:sz w:val="20"/>
        </w:rPr>
      </w:pPr>
      <w:r>
        <w:rPr>
          <w:rFonts w:ascii="Times New Roman" w:hAnsi="Times New Roman"/>
          <w:sz w:val="20"/>
        </w:rPr>
        <w:t>A copy of the list of shareholders of ANY Lifestyle Marketing GmbH with seat in Frankfurt am Main, registered with the commercial register of the Local Court (</w:t>
      </w:r>
      <w:r>
        <w:rPr>
          <w:rFonts w:ascii="Times New Roman" w:hAnsi="Times New Roman"/>
          <w:i/>
          <w:sz w:val="20"/>
        </w:rPr>
        <w:t>Amtsgericht</w:t>
      </w:r>
      <w:r>
        <w:rPr>
          <w:rFonts w:ascii="Times New Roman" w:hAnsi="Times New Roman"/>
          <w:sz w:val="20"/>
        </w:rPr>
        <w:t xml:space="preserve">) of Frankfurt am Main under registration no. HRB 124269, dated 28 December 2022, was available at the notarization as a todays printout of the electronic commercial register and is attached to this Deed for purpose of evidence as </w:t>
      </w:r>
      <w:r>
        <w:rPr>
          <w:rFonts w:ascii="Times New Roman" w:hAnsi="Times New Roman"/>
          <w:b/>
          <w:sz w:val="20"/>
        </w:rPr>
        <w:t>Annex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Notary instructed the persons appearing especially 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notary pointed out that the declarations recorded in the present deed are provisionally invalid until the consent of Rezolve Group Limited is submitted to the Notary.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Notary cannot advise in foreign legislation as the English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are jointly and severally liable for any transfer tax and for the costs of notarisation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this Agreement, the Notary has not given any general tax advice, particularly not with regard to income tax or VAT. The Parties to this Agreement declare in this regard that they have reviewed the tax consequences themselves.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Notary advised that he will not issue certified copies of this Deed before the consent of the Rezolve Group Limited has been presented to him. A certified copy of the consent of the Rezolve Group Limited will be attached to this Deed. The contracting partners expressly agree to this procedure. </w:t>
      </w:r>
    </w:p>
    <w:p>
      <w:pPr>
        <w:pStyle w:val="TextBody"/>
        <w:bidi w:val="0"/>
        <w:spacing w:before="240" w:after="0"/>
        <w:jc w:val="left"/>
        <w:rPr>
          <w:rFonts w:ascii="Times New Roman" w:hAnsi="Times New Roman"/>
          <w:sz w:val="20"/>
        </w:rPr>
      </w:pPr>
      <w:r>
        <w:rPr>
          <w:rFonts w:ascii="Times New Roman" w:hAnsi="Times New Roman"/>
          <w:sz w:val="20"/>
        </w:rPr>
        <w:t xml:space="preserve">The above recording and the attached Share Purchase Agreement including Schedules 1 to 4 was read aloud by the Notary to the persons appearing, was submitted to them for inspection, was approved by them and was personally signed by them and by the Notary in their own hands as follows: </w:t>
      </w:r>
    </w:p>
    <w:p>
      <w:pPr>
        <w:pStyle w:val="TextBody"/>
        <w:bidi w:val="0"/>
        <w:spacing w:before="120" w:after="0"/>
        <w:jc w:val="left"/>
        <w:rPr>
          <w:rFonts w:ascii="Times New Roman" w:hAnsi="Times New Roman"/>
          <w:sz w:val="20"/>
        </w:rPr>
      </w:pPr>
      <w:r>
        <w:rPr>
          <w:rFonts w:ascii="Times New Roman" w:hAnsi="Times New Roman"/>
          <w:sz w:val="20"/>
        </w:rPr>
        <w:t xml:space="preserve">/s/ Stephan Schwenk </w:t>
      </w:r>
    </w:p>
    <w:p>
      <w:pPr>
        <w:pStyle w:val="TextBody"/>
        <w:bidi w:val="0"/>
        <w:spacing w:before="240" w:after="0"/>
        <w:jc w:val="left"/>
        <w:rPr>
          <w:rFonts w:ascii="Times New Roman" w:hAnsi="Times New Roman"/>
          <w:sz w:val="20"/>
        </w:rPr>
      </w:pPr>
      <w:r>
        <w:rPr>
          <w:rFonts w:ascii="Times New Roman" w:hAnsi="Times New Roman"/>
          <w:sz w:val="20"/>
        </w:rPr>
        <w:t xml:space="preserve">/s/ Peter Vesco </w:t>
      </w:r>
    </w:p>
    <w:p>
      <w:pPr>
        <w:pStyle w:val="TextBody"/>
        <w:bidi w:val="0"/>
        <w:spacing w:before="240" w:after="0"/>
        <w:jc w:val="left"/>
        <w:rPr>
          <w:rFonts w:ascii="Times New Roman" w:hAnsi="Times New Roman"/>
          <w:sz w:val="20"/>
        </w:rPr>
      </w:pPr>
      <w:r>
        <w:rPr>
          <w:rFonts w:ascii="Times New Roman" w:hAnsi="Times New Roman"/>
          <w:sz w:val="20"/>
        </w:rPr>
        <w:t xml:space="preserve">/s/ Matthias Apelt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A </w:t>
      </w:r>
    </w:p>
    <w:p>
      <w:pPr>
        <w:pStyle w:val="TextBody"/>
        <w:bidi w:val="0"/>
        <w:spacing w:before="240" w:after="0"/>
        <w:jc w:val="left"/>
        <w:rPr>
          <w:rFonts w:ascii="Times New Roman" w:hAnsi="Times New Roman"/>
          <w:sz w:val="20"/>
        </w:rPr>
      </w:pPr>
      <w:r>
        <w:rPr>
          <w:rFonts w:ascii="Times New Roman" w:hAnsi="Times New Roman"/>
          <w:sz w:val="20"/>
        </w:rPr>
        <w:t xml:space="preserve">This Binding Term Sheet is made the 24th day of May 2023 between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The Radio Group GmbH</w:t>
            </w:r>
            <w:r>
              <w:rPr>
                <w:rFonts w:ascii="Times New Roman" w:hAnsi="Times New Roman"/>
                <w:sz w:val="20"/>
              </w:rPr>
              <w:t xml:space="preserve">, registered in the commercial register at the local court of Kaiserslautern under HRB 33316;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Lokalradios RLP GmbH</w:t>
            </w:r>
            <w:r>
              <w:rPr>
                <w:rFonts w:ascii="Times New Roman" w:hAnsi="Times New Roman"/>
                <w:sz w:val="20"/>
              </w:rPr>
              <w:t xml:space="preserve">, registered in the commercial register at the local court of Landau under HRB 33150;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Radio Frankfurt Media GmbH</w:t>
            </w:r>
            <w:r>
              <w:rPr>
                <w:rFonts w:ascii="Times New Roman" w:hAnsi="Times New Roman"/>
                <w:sz w:val="20"/>
              </w:rPr>
              <w:t xml:space="preserve">, registered in the commercial register at the local court of Frankfurt I Main under HRB 96571, </w:t>
            </w:r>
          </w:p>
        </w:tc>
      </w:tr>
    </w:tbl>
    <w:p>
      <w:pPr>
        <w:pStyle w:val="TextBody"/>
        <w:bidi w:val="0"/>
        <w:spacing w:before="240" w:after="0"/>
        <w:jc w:val="right"/>
        <w:rPr>
          <w:rFonts w:ascii="Times New Roman" w:hAnsi="Times New Roman"/>
          <w:sz w:val="20"/>
        </w:rPr>
      </w:pPr>
      <w:r>
        <w:rPr>
          <w:rFonts w:ascii="Times New Roman" w:hAnsi="Times New Roman"/>
          <w:sz w:val="20"/>
        </w:rPr>
        <w:t>(together, parties in (a) to (c) inclusive being the </w:t>
      </w:r>
      <w:r>
        <w:rPr>
          <w:rFonts w:ascii="Times New Roman" w:hAnsi="Times New Roman"/>
          <w:b/>
          <w:sz w:val="20"/>
        </w:rPr>
        <w:t>Sellers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Stephan Schwenk</w:t>
            </w:r>
            <w:r>
              <w:rPr>
                <w:rFonts w:ascii="Times New Roman" w:hAnsi="Times New Roman"/>
                <w:sz w:val="20"/>
              </w:rPr>
              <w:t xml:space="preserve"> with business address at Nibelungenplatz 3, 60318 Frankfurt/Main, Germany;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Rezolve Limited</w:t>
            </w:r>
            <w:r>
              <w:rPr>
                <w:rFonts w:ascii="Times New Roman" w:hAnsi="Times New Roman"/>
                <w:sz w:val="20"/>
              </w:rPr>
              <w:t xml:space="preserve">, registered in England no. 09773823 whose registered office is at 3rd Floor 80 New Bond Street, Mayfair, London, United Kingdom, W1S 1SB;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Rezolve Group Limited</w:t>
            </w:r>
            <w:r>
              <w:rPr>
                <w:rFonts w:ascii="Times New Roman" w:hAnsi="Times New Roman"/>
                <w:sz w:val="20"/>
              </w:rPr>
              <w:t xml:space="preserve">, registered in England no. 14573691 whose registered office is at 5 New Street Square, London, United Kingdom, EC4A 3TW.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References in this Agreement to the Buyer shall refer to Rezolve Limited in relation to the period before the Demerger Completion and to Rezolve Group Limited from the Demerger Completion. </w:t>
      </w:r>
    </w:p>
    <w:p>
      <w:pPr>
        <w:pStyle w:val="TextBody"/>
        <w:bidi w:val="0"/>
        <w:spacing w:before="120" w:after="0"/>
        <w:jc w:val="left"/>
        <w:rPr>
          <w:rFonts w:ascii="Times New Roman" w:hAnsi="Times New Roman"/>
          <w:sz w:val="20"/>
        </w:rPr>
      </w:pPr>
      <w:r>
        <w:rPr>
          <w:rFonts w:ascii="Times New Roman" w:hAnsi="Times New Roman"/>
          <w:sz w:val="20"/>
        </w:rPr>
        <w:t>Sellers and Buyer hereinafter together as the </w:t>
      </w:r>
      <w:r>
        <w:rPr>
          <w:rFonts w:ascii="Times New Roman" w:hAnsi="Times New Roman"/>
          <w:b/>
          <w:sz w:val="20"/>
        </w:rPr>
        <w:t>Parties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Recitals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a)</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Radio Group GmbH, Lokalradios RLP GmbH, and Radio Frankfurt Media GmbH are the sole shareholders of </w:t>
            </w:r>
            <w:r>
              <w:rPr>
                <w:rFonts w:ascii="Times New Roman" w:hAnsi="Times New Roman"/>
                <w:b/>
                <w:sz w:val="20"/>
              </w:rPr>
              <w:t>ANY Lifestyle Marketing GmbH</w:t>
            </w:r>
            <w:r>
              <w:rPr>
                <w:rFonts w:ascii="Times New Roman" w:hAnsi="Times New Roman"/>
                <w:sz w:val="20"/>
              </w:rPr>
              <w:t>, registered in the commercial register at the local court of Frankfurt am Main under HRB 124269 (the </w:t>
            </w:r>
            <w:r>
              <w:rPr>
                <w:rFonts w:ascii="Times New Roman" w:hAnsi="Times New Roman"/>
                <w:b/>
                <w:sz w:val="20"/>
              </w:rPr>
              <w:t>Company</w:t>
            </w:r>
            <w:r>
              <w:rPr>
                <w:rFonts w:ascii="Times New Roman" w:hAnsi="Times New Roman"/>
                <w:sz w:val="20"/>
              </w:rPr>
              <w:t>), with a registered share capital of total EUR 25,000.00 divided into 25,000 shares with a nominal value of EUR 1.00 per share having the no. 1 to 25,000 (the </w:t>
            </w:r>
            <w:r>
              <w:rPr>
                <w:rFonts w:ascii="Times New Roman" w:hAnsi="Times New Roman"/>
                <w:b/>
                <w:sz w:val="20"/>
              </w:rPr>
              <w:t>Sale Shares</w:t>
            </w:r>
            <w:r>
              <w:rPr>
                <w:rFonts w:ascii="Times New Roman" w:hAnsi="Times New Roman"/>
                <w:sz w:val="20"/>
              </w:rPr>
              <w:t xml:space="preserve">). The shareholders holdings in the Company are as to The Radio Group GmbH 60% of the Companys shares, as to Lokalradios RLP GmbH 20% of the Companys shares and as to Radio Frankfurt Media GmbH 20% of the Companys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an operative company whose business is the all-round marketing of new media, especially radio stations, apps and social media channels.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Buyer is a company engaged in the business of digital advertisement, marketing and sales of products, e.g. instant purchasing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Rezolve Limited and Rezolve Group Limited are evaluating an initial public offering of Rezolve Group Limited which is anticipated to take place in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Buyer seeks to acquire the entire issued share capital of the Company, subject to Listing.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f)</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It is noted that the Sellers, among others, and Rezolve Limited entered into a binding term sheet on 30 August 2021 (the </w:t>
            </w:r>
            <w:r>
              <w:rPr>
                <w:rFonts w:ascii="Times New Roman" w:hAnsi="Times New Roman"/>
                <w:b/>
                <w:sz w:val="20"/>
              </w:rPr>
              <w:t>Original Term Sheet</w:t>
            </w:r>
            <w:r>
              <w:rPr>
                <w:rFonts w:ascii="Times New Roman" w:hAnsi="Times New Roman"/>
                <w:sz w:val="20"/>
              </w:rPr>
              <w:t xml:space="preserve">), under which Rezolve Limited agreed to buy the Sale Shares (as defined therein) which acquisition was completed on 11 February 2022. On 9 December 2022 the Sale Shares were, under the terms of the Original Term Sheet, transferred back to the Sellers (as defined therein). The Sellers and Rezolve Limited have agreed that the Sale Shares be transferred back to the Buyer on the terms set out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g)</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course of implementation of the Original Term Sheet the Sellers received 14,427,185 ordinary shares in Rezolve Limited. When the Original Term Sheet was reversed on 9 December 2022 these ordinary shares were reclassified as deferred shares, having the rights set out in the articles of association of Rezolve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h)</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have agreed to set out the terms of their agreement in this term sheet which is intended to be binding.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said, it is agreed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Sale and purchase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Sellers shall sell with full title guarantee and free from all encumbrances the Sale Shares and the Buyer shall buy the Sale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shall occur upon or as soon as practicable after Listing or if later upon satisfaction of the conditions in clause 7.2.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Consideration </w:t>
            </w:r>
          </w:p>
        </w:tc>
      </w:tr>
    </w:tbl>
    <w:p>
      <w:pPr>
        <w:pStyle w:val="TextBody"/>
        <w:bidi w:val="0"/>
        <w:spacing w:before="120" w:after="0"/>
        <w:jc w:val="left"/>
        <w:rPr>
          <w:rFonts w:ascii="Times New Roman" w:hAnsi="Times New Roman"/>
          <w:sz w:val="20"/>
        </w:rPr>
      </w:pPr>
      <w:r>
        <w:rPr>
          <w:rFonts w:ascii="Times New Roman" w:hAnsi="Times New Roman"/>
          <w:sz w:val="20"/>
        </w:rPr>
        <w:t>The total value of the consideration for the sale of the Sale Shares shall be 12.9 Mio. (in words: Euros twelve million nine hundred thousand) (the </w:t>
      </w:r>
      <w:r>
        <w:rPr>
          <w:rFonts w:ascii="Times New Roman" w:hAnsi="Times New Roman"/>
          <w:b/>
          <w:sz w:val="20"/>
        </w:rPr>
        <w:t>Consideration</w:t>
      </w:r>
      <w:r>
        <w:rPr>
          <w:rFonts w:ascii="Times New Roman" w:hAnsi="Times New Roman"/>
          <w:sz w:val="20"/>
        </w:rPr>
        <w:t>) to consist of and be satisfied by (a) the reclassification on Completion of the deferred shares in the Buyer held by the Sellers as ordinary shares of the Buyer (the </w:t>
      </w:r>
      <w:r>
        <w:rPr>
          <w:rFonts w:ascii="Times New Roman" w:hAnsi="Times New Roman"/>
          <w:b/>
          <w:sz w:val="20"/>
        </w:rPr>
        <w:t>Consideration Shares</w:t>
      </w:r>
      <w:r>
        <w:rPr>
          <w:rFonts w:ascii="Times New Roman" w:hAnsi="Times New Roman"/>
          <w:sz w:val="20"/>
        </w:rPr>
        <w:t xml:space="preserve">), (to which reclassification the Sellers agree), the Consideration Shares to be attributed to the Sellers in the Seller Proportions (being 20% of the Consideration Shares to Radio Frankfurt Media GmbH, 20% to Lokalradios RLP GmbH and 60% to The Radio Group GmbH) and (b) any payments pursuant to and on the terms of the Election Notice 2m and the Election Notice 5m.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Lock up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Sellers are subject to a lock up of the Consideration Shares for 6 months post Listing, meaning the Sellers would not be able to sell their shares in the Buyer until the end of that period. Irrespective of this lock-up period, the Sellers are allowed to sell the shares in the then listed Buyer after the Listing subject to applicable legal requirements up to a maximum number of Consideration Shares as have a market value equal to EUR2,000,000 (or for the purposes of this Agreement US$2,161,600 by reference to the Relevant Exchange Rate) to then existing shareholders of the Buyer as approved by the Board of the Buyer or in the event that these Consideration Shares as have a market value equal to EUR2,000,000 (or for the purposes of this Agreement US$2,161,600 by reference to the Relevant Exchange Rate) could not be sold to the then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existing shareholders for whatever reason within 60 days after Listing the Sellers shall be entitled to elect by notice in writing (an </w:t>
            </w:r>
            <w:r>
              <w:rPr>
                <w:b/>
              </w:rPr>
              <w:t>Election Notice 2m</w:t>
            </w:r>
            <w:r>
              <w:rPr/>
              <w:t xml:space="preserve">) to the Buyer within 14 calendar days after expiry of such 60 day period that the Buyer pays the Sellers EUR2,000,000 (or for the purposes of this Agreement US$2,161,600 by reference to the Relevant Exchange Rate) (to be attributed to the Sellers in the Seller Proportions) and such payment shall be made on the day falling 10 Business Days after the service of the Election Notice 2m (or the next Business Day thereafter) and upon such payment being made 14.546% of the Consideration Shares (such percentage currently representing 2,098,640 of the Consideration Shares, which is based on the exchange rate used in the Original Term Sheet) but such number to be adjusted as determined by the board of the Buyer acting reasonably with effect from the Demerger Completion to reflect the adjusted total number of shares to be in issue in the Buyer post the Demerger) shall be reclassified as worthless deferred shares (such reclassification to be effected as between the Sellers in the Seller proportions), such reclassification occurring automatically and becoming effective upon such payment without the requirement for any further consent or approval. The Buyer shall bear all costs in relation to the reclassification of the Consideration Shares under this clause 2.1. The Buyer will provide to the Sellers (or any of them on behalf of them all) details of the basis on which the number of Consideration Shares to be reclassified as deferred shares has been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If the Buyer does not pay EUR2,000,000 (or for the purposes of this Agreement US$2,161,600 by reference to the Relevant Exchange Rate) to the Sellers on or before the date falling 10 days after the date of service of the Election Notice 2m (the </w:t>
            </w:r>
            <w:r>
              <w:rPr>
                <w:rFonts w:ascii="Times New Roman" w:hAnsi="Times New Roman"/>
                <w:b/>
                <w:sz w:val="20"/>
              </w:rPr>
              <w:t>Final Date 2m</w:t>
            </w:r>
            <w:r>
              <w:rPr>
                <w:rFonts w:ascii="Times New Roman" w:hAnsi="Times New Roman"/>
                <w:sz w:val="20"/>
              </w:rPr>
              <w:t>) in accordance with clause 2.1(a), the Sellers may subject to the payment referred to in clause 2.1(c) elect by notice in writing from any of the Sellers to the Buyer (the </w:t>
            </w:r>
            <w:r>
              <w:rPr>
                <w:rFonts w:ascii="Times New Roman" w:hAnsi="Times New Roman"/>
                <w:b/>
                <w:sz w:val="20"/>
              </w:rPr>
              <w:t>2m Re-Transfer Notice</w:t>
            </w:r>
            <w:r>
              <w:rPr>
                <w:rFonts w:ascii="Times New Roman" w:hAnsi="Times New Roman"/>
                <w:sz w:val="20"/>
              </w:rPr>
              <w:t xml:space="preserve">) to reverse the transfer of the Sale Shares so that they are re-transferred to the Sellers in accordance with clause 3. In this case, the Consideration Shares held by the Sellers shall subject to the re-transfer of the Sale Shares to the Sellers becoming effective and the correspondent updated shareholders list of the Company being published in the commercial register be reclassified as worthless deferred shares and the Sellers agree that in that event such reclassification shall happen automatically on the date the re-transfer of the Sale Shares to the Sellers becomes effective without the requirement for any further consent or approval. The Buyer shall bear all notarial or transfer costs in relation to the transfer of the Sale Shares and the reclassification of the Consideration Shares under this clause 2.1(b).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Sellers shall upon service of a 2m Re-Transfer Notice repay to the Buyer any payment of US$5,000,000 already made pursuant to clause 2.3(a).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 economic date of the transaction under the Original Term Sheet was 1 August 2021, the consideration under the Original Term Sheet having been calculated by reference to the financial position of the business carried on by the Sellers as at that date (and subsequently transferred to the Company) and it is the intention of the parties that the economic benefits of the business of the Company should have accrued to the Buyer since that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ordinary shares of the Buyer being admitted to listing or trading on an internationally recognised stock exchange (including without limitation the NYSE, NASDAQ or the London Stock Exchange (including AiM)) (</w:t>
            </w:r>
            <w:r>
              <w:rPr>
                <w:rFonts w:ascii="Times New Roman" w:hAnsi="Times New Roman"/>
                <w:b/>
                <w:sz w:val="20"/>
              </w:rPr>
              <w:t>Listing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Sellers shall be entitled to elect by notice in writing (an </w:t>
            </w:r>
            <w:r>
              <w:rPr>
                <w:rFonts w:ascii="Times New Roman" w:hAnsi="Times New Roman"/>
                <w:b/>
                <w:sz w:val="20"/>
              </w:rPr>
              <w:t>Election Notice 5m</w:t>
            </w:r>
            <w:r>
              <w:rPr>
                <w:rFonts w:ascii="Times New Roman" w:hAnsi="Times New Roman"/>
                <w:sz w:val="20"/>
              </w:rPr>
              <w:t>) to the Buyer within 14 calendar days after such Listing that the Buyer pays the Sellers USS5,000,000 (to he attributed to the Sellers in the Seller Proportions) and such payment shall be made on the day falling 60 Calendar Days after the service of the Election Notice 5m (or the next Business Day thereafter) (the </w:t>
            </w:r>
            <w:r>
              <w:rPr>
                <w:rFonts w:ascii="Times New Roman" w:hAnsi="Times New Roman"/>
                <w:b/>
                <w:sz w:val="20"/>
              </w:rPr>
              <w:t>Settlement Date 5m</w:t>
            </w:r>
            <w:r>
              <w:rPr>
                <w:rFonts w:ascii="Times New Roman" w:hAnsi="Times New Roman"/>
                <w:sz w:val="20"/>
              </w:rPr>
              <w:t xml:space="preserve">) and upon such payment being made 33.647% of the Consideration Shares (such percentage currently representing 4,854,368 of the Consideration Shares, which is based on the exchange rate used in the Original Term Sheet) but such number to be adjusted as determined by the board of the Buyer acting reasonably with effect from the Demerger Completion to reflect the adjusted total number of shares to be in issue in the Buyer post the Demerger) shall be reclassified as worthless deferred shares (such reclassification to be effected as between the Sellers in the Seller Proportions). such reclassification occurring automatically and becoming effective upon such payment without the requirement for any further consent or approval; the Buyer shall bear all costs in relation to the reclassification of the Consideration Shares under this clause 2.3(a). The Buyer will provide to the Sellers (or any of them on behalf of them all) details of the basis on which the number of Consideration Shares to be reclassified as deferred shares has been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if the Buyer does not pay US$5,000,000 to the Sellers on or before the Settlement Date 5m in accordance with clause 2.3(a), the Sellers may subject to the payment referred to in clause 2.3(c) elect by notice in writing from any of the Sellers to the Buyer (the </w:t>
            </w:r>
            <w:r>
              <w:rPr>
                <w:rFonts w:ascii="Times New Roman" w:hAnsi="Times New Roman"/>
                <w:b/>
                <w:sz w:val="20"/>
              </w:rPr>
              <w:t>5m Re-Transfer Notice</w:t>
            </w:r>
            <w:r>
              <w:rPr>
                <w:rFonts w:ascii="Times New Roman" w:hAnsi="Times New Roman"/>
                <w:sz w:val="20"/>
              </w:rPr>
              <w:t xml:space="preserve">) to reverse the transfer of the Sale Shares so that they are re-transferred to the Sellers in accordance with clause 3. In this case, the Consideration Shares held by the Sellers shall subject to the re-transfer of the Sale Shares to the Sellers becoming effective and the correspondent updated shareholders list of the Company being published in the commercial register and subject to the repayment by the Sellers of any payment of EUR2,000,000 (or for the purposes of this Agreement US$2,161,600) already made pursuant to clause 2.1, be reclassified as worthless deferred shares and the Sellers agree that in that event such reclassification shall happen automatically on the date the re-transfer of the Sale Shares to the Sellers becomes effective without the requirement for any further consent or approval. The Buyer shall bear all notarial or transfer costs in relation to the transfer of the Sale Shares and the reclassification of the Consideration Shares under this clause 2.3(b).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Sellers shall upon service of a 5m Re-Transfer Notice pursuant to clause 2.3(b) repay to the Buyer any payment of EUR2,000,000 (or for the purposes of this Agreement US$2,161,600 by reference to the Relevant Exchange Rate) already made pursuant to clause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In the event that Listing has not occurred by 30 November 2023 (</w:t>
            </w:r>
            <w:r>
              <w:rPr>
                <w:rFonts w:ascii="Times New Roman" w:hAnsi="Times New Roman"/>
                <w:b/>
                <w:sz w:val="20"/>
              </w:rPr>
              <w:t>Long-Stop Date</w:t>
            </w:r>
            <w:r>
              <w:rPr>
                <w:rFonts w:ascii="Times New Roman" w:hAnsi="Times New Roman"/>
                <w:sz w:val="20"/>
              </w:rPr>
              <w:t>) the Sellers may give written notification (a </w:t>
            </w:r>
            <w:r>
              <w:rPr>
                <w:rFonts w:ascii="Times New Roman" w:hAnsi="Times New Roman"/>
                <w:b/>
                <w:sz w:val="20"/>
              </w:rPr>
              <w:t>Seller Cancellation Notice</w:t>
            </w:r>
            <w:r>
              <w:rPr>
                <w:rFonts w:ascii="Times New Roman" w:hAnsi="Times New Roman"/>
                <w:sz w:val="20"/>
              </w:rPr>
              <w:t xml:space="preserve">) to the Buyer on or before Completion that the transaction the subject of this document is to not to proceed to Completion and in such event the obligations of the parties under this document shall cease and the parties shall have no further obligations under this document but without prejudice to any breaches committed on or prior to the date of termination and provided that each of the Sellers and the Buyer shall keep confidential the terms of this document and any confidential information it has acquired about the other save to the extent that disclosure is required by law, court order, applicable regulation or regulatory authority (including the rules of any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Re-Transfer of Sale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Buyer hereby declares its consent to the reassignment (</w:t>
            </w:r>
            <w:r>
              <w:rPr>
                <w:rFonts w:ascii="Times New Roman" w:hAnsi="Times New Roman"/>
                <w:i/>
                <w:sz w:val="20"/>
              </w:rPr>
              <w:t>dingliche Ruckubertragung</w:t>
            </w:r>
            <w:r>
              <w:rPr>
                <w:rFonts w:ascii="Times New Roman" w:hAnsi="Times New Roman"/>
                <w:sz w:val="20"/>
              </w:rPr>
              <w:t xml:space="preserve">, reassignment in rem) of the Sale Shares to the Sellers in the event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Buyer fails to pay US$5,000,000 under clause 2.3(a) on or before the Settlement Date 5m and a 5m Re-Transfer Notice is validly served by the Sellers under clause 2.3(b)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Buyer fails to pay EUR2,000,000 under clause 2.1 on or before the Final Date 2m and a 2m Re-Transfer Notice is validly served by the Sellers under clause 2.1(b).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acceptance required for this by the Sellers shall be declared to the undersigned notary public or his deputy, who is hereby unilaterally and irrevocably designated to receive the acceptance declaration for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circumstances specified in clause 3.1 the undersigned notary is instructed in a unilaterally and irrevocable manner to submit the updated list of shareholders (as regards the Seller Shares) to the competent commercial register only 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notary has sent a notice to the Buyers last known address by registered mail or international courier service, in which he has referred to the Sellers declaration of acceptance of the cancellation of this Agreement and the reassignment of the Seller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Buyer has not provided evidence that (i) (provided that clause 2.3(b) applies) the amount of US$5,000,000 has been paid in full within two weeks of the dispatch of the notice referred to in clause 3.3(a) and I or (ii) (provided that clause 2.1(b) applies) the amount of EUR2,000,000 (or for the purposes of this agreement US$2,161,600 has been paid in full within two weeks of the dispatch of the notice referred to in clause 3.3(a).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Sellers serve a 2m Re-Transfer Notice pursuant to clause 2.1(b) or a 5m Re-Transfer Notice pursuant to clause 2.3(b) and the Sale Shares are reassigned to the Sellers pursuant to clause 3.1 or in the event of a Seller Cancellation Notice pursuant to clause 2.4, the Buyer agrees that it shall waive the outstanding amount of EUR200,000 owing by the Company to the Buyer, and the Company shall have no further liability in respect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Management Team of the Company consists of Stephan Schwenk.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Completion Rezolve has the right to appoint an additional managing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Completion, the Company and Management will provide to the Buyer timely and accurate (preliminary) monthly financial statements within five Business Days following each month-end and finalised financial statements within 30 days following each month-end, in each case in a format agreed with the Buyer, and such accounts will have included a review by the Companys tax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Buyer and Radio Group GmbH will agree within 30 calendar days of the date of this Agreement, the charging mechanism and formula between Radio Group GmbH and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shall provide all other necessary information, financial or otherwise, to the Buyer as the Buyer may request from time to time, including support for audits with timely responses to information requests, interviews and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Sellers will conclude a management service contract for the services rendered by the Management Team to the Company for a minimum period of 36 months. Buyer undertakes not to terminate the Management Team contracts before the end of the minimum period of 36 months. The management service agreements will provide inter alia a fixed annual remuneration of each Management Team member of at least EUR 350,000.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Seller and Stephan Schwenk agrees that it/he will not directly or indirectly: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the date hereof and for a three year period after Completion (or until earlier termination of this document under clause 7.7 or 7.8)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carry on or become involved with (whether as shareholder, employee or consultant) a company, entity or other business that carries on activities that compete with the marketing business of the Company or of the Buyer as carried on at Completion within Germany (and for this purpose the Company shall be deemed to carry on the marketing business which and in the territories in which the Sellers carried on business within the 12 months prior to Completion}. other than in the Excepted Cases;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the custom of any of the customers of the Company being persons who are customers of the Company at Completion or have been customers of the Company in the 12 months prior to Completion;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the date hereof and for 12 months after Completion (or until earlier termination of this document under clause 7.7 or 7.8) solicit or attempt to solicit the service or employment of any employee of any of the Group Companies as of the date hereof for the benefit of any of the Sellers, or any legal entity owned or partially owned by any Seller except that a Seller shall not be precluded from considering and accepting an application from such an individual who approaches it (i) without having been so solicited, or (ii) in response to a recruitment advertisement published generally.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clause 4.7(a) the Excepted Cases 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Stephan Schwenk may continue to be a shareholder of and be a director of the following companies provided that such companies do not undertake any activities which would compete (i) with the marketing business of the Company where Stephan Schwenk or one of his companies is carrying on or proposing to carry on such activities in a region of Germany in which the Company is running its marketing business at Completion or (ii) with the activities or business of the Buyer as carried on at Completion within Germany, and subject thereto the companies listed below may continue their existing activities as at the date of the Original Term Sheet (with their existing activities and future permitted activities after the date hereof being identified in brackets next to the name of each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Schwenk Medien Holding GmbH, local court Frankfurt/Main, HRB 119160 (solely a holding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Radio Group Holding GmbH, local court Frankfurt/Main, HRB 97649 (licence holder and holding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Radio Group GmbH, local court Kaiserslautern, HRB 33316 (radio licence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Antenne Koblenz GmbH, local court Koblenz, HRB 6780 (licence holder and marketing);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Lokalradios RLP GmbH, local court Landau, HRB 33150 (marketing);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Lokal-Radio Cottbus GmbH, local court Cottbus, HRB 6482 (licence holder and marketing);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Radio Frankfurt Media GmbH, local court Frankfurt/Main, HRB 96571 (marketing);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Brandenburger Lokalradios GmbH, local court Potsdam, HRB 27697 (licence holder and marketing);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(ix)</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Frankfurt Business Radio GmbH &amp; Co. Betriebs KG, local court Frankfurt/Main, HRA 30140 (radio licence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(x)</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SHB Horfunkbeteiligungsgesellschaft mbH, local court Saarbrucken, HRB 107269;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(xi)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RADIO SALU  Euro-Radio Saar GmbH, local court Saarbrucken, HRB 8919;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Radio 4 in 1 Geschaftsfuhrungs GmbH, local court Frankfurt/Main, HRB 58800 (management for Frankfurt Business Radio GmbH &amp; Co. Betriebs KG).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by Stephan Schwenk (or a company he controls) of an on-demand audio app- similar to Spotify. All investment costs (if any) shall be borne by Stephan Schwenk personally or by a company he controls (at his own economic risk). It is the Parties common understanding, that the development and the exploration of this app does not violate the provisions in this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Buyer concludes that Stephan Schwenk or one of his companies is in breach of clause 4.7, the Buyer shall notify the Sellers of the breach of contract and allow the Sellers a period of 14 days in which to explain and to clarify the activities concerned before taking further legal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5.</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Warranties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Sellers and Stephan Schwenk warrants to the Buyer as at the date hereof and as at Completion that the Seller Warranties set out in Schedule 2 are true and accurate. Payments made by the Sellers (or any of them) to the Buyer in respect of claims under the Seller Warranties shall so far as possible be treated by the parties as a reduction in the consideration for the Sale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limitations in this clause 5.2 shall not apply to a claim against the Sellers which is the consequence of fraud or dishonesty on the part of any of the Sellers or which is the result of a breach of a Seller Warranty in Part 1 of Schedule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rights of the Buyer in respect of any claim for breach of a Seller Warranty (other than a Seller Warranty in relation to taxation) shall only be enforceable, if the Buyer gives written notice to the Sellers (or any of them on behalf of them all) (giving so far as practicable the amount and details of the claim) on or before the second anniversary of the date hereof (or if later of Completion) or in the case of a Seller Warranty related to taxation all claims arising out of or in connection with such a Seller Warranty shall become time-barred six (6) months following the date the tax assessment of the respective tax became finally and legally binding (</w:t>
            </w:r>
            <w:r>
              <w:rPr>
                <w:rFonts w:ascii="Times New Roman" w:hAnsi="Times New Roman"/>
                <w:i/>
                <w:sz w:val="20"/>
              </w:rPr>
              <w:t>formell und materiell bestandskraftig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there have been breaches of the Seller Warranties then (subject to clause 5.2(a)), the Buyer shall not be entitled to recover under the Seller Warranties in respect of such breaches or claim, more than EUR200,000 (or for the purposes of this agreement US$216,000).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6.</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Buyer Warranties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Buyer warrants to the Sellers that the Buyer Warranties as set out in Schedule 4 hereof at the date hereof and as at Completion are true and accurate.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limitations in this clause 6.2 shall not apply to a claim against the Buyer which is the consequence of fraud or dishonesty on the part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the Sellers in respect of any claim for breach of a Buyer Warranty shall only be enforceable, if the Sellers give written notice to the Buyer (giving so far as practicable the amount and details of the claim) on or before the second anniversary of the date hereof or if later of the date of Completion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there have been breaches of the Buyer Warranties, then (subject to clause 6.2(a), the Sellers shall not be entitled to recover, under the Buyer Warranties in respect of such breaches or claim, more than EUR200,000 (or for the purposes of this agreement US$216,000).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Merger control and Completion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purchase of the Sale Shares is subject to a foreign direct investment notification obligation to the Federal Ministry of Economics and Technology (Bundeswirtschaftsministerium, BMW1). The parties will assess whether the proposed purchase of the Sale Shares is also subject to merger control notification obligations and, if notification obligations exist, notify the purchase of the Sale Shares to the competent competition authorities. The Sellers will provide all information to the Buyer required for fulfilling notification obligations. The parties will observe the prohibition on implementation before clearance. To the extent that the conclusion of the marketing agreements is subject to any consents or approvals (including without limitation any clearance certificate, Unbedenklichkeitsbescheinigung, under the broadcasting laws of the respective German Federal States), the Sellers will procure that there are made all required notifications and that all necessary consents approvals and clearances are obtained to the satisfaction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and purchase of the Sale Shares shall be subject to and conditional upon clearance or approval being received or deemed received from BMWi, the competent competition authorities and any other necessary consents approvals and clearances in all cases on terms satisfactory to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Completion the Sellers shall deliver to the Buyer a completed and signed notarial transfer deed regarding the transfer of the Sale Shares as duly executed by the Sellers and the Buyer in front of a German Public Notary (via powers of attorney as the case may be) and shall execute the marketing agreements in a form agreed with the Buyer and the Company. All notarial costs in connection with the Completion will be borne by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7.4.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transfer of the Sale Shares to the Buyer in accordance with clause 7.3 and compliance with clause 7.3, on Completion the Buyer shall procure the reclassification of the deferred shares held by the Sellers in the Buyer as ordinary shares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Parties hereto shall execute a closing memorandum on Completion confirming the consummation of the transactions as contemplated hereunder (</w:t>
            </w:r>
            <w:r>
              <w:rPr>
                <w:rFonts w:ascii="Times New Roman" w:hAnsi="Times New Roman"/>
                <w:b/>
                <w:sz w:val="20"/>
              </w:rPr>
              <w:t>Closing Memorandum</w:t>
            </w:r>
            <w:r>
              <w:rPr>
                <w:rFonts w:ascii="Times New Roman" w:hAnsi="Times New Roman"/>
                <w:sz w:val="20"/>
              </w:rPr>
              <w:t xml:space="preserve">). The execution of the Closing Memorandum shall serve as irrefutable evidence that the Completion has occurred and that all conditions as set forth herein for the transfer of the Sale Shares have occurred.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occurrence of Completion each of the Sellers hereby grants to the Buyer a power of attorney to exercise all shareholder rights pertaining to the respective Sale Shares, and each of the Sellers agrees not to exercise any shareholder rights with regard to the Sale Shares until the registration of the revised shareholders list has been included in the commercial register for each of the respective companies. This power of attorney shall expire automatically when the Buyer has been entered as new shareholder of the Sale Shares in the respective shareholders list as registered with the commercial register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In the event that either (i) the BMWi or (ii) the relevant competition authorities do not approve the acquisition of the Sale Shares or it is not deemed being approved, or (iii) any other necessary consents approvals and clearances (including without limitation any clearance certificate, Unbedenklichkeitsbescheinigung, under the broadcasting laws of the respective German Federal States in relation to the grant of the marketing licences) are not obtained or are deemed not being required by statement of the respective authority, in each case to the satisfaction of the Buyer then the Buyer shall have the option to serve a notice on the Sellers or any of them immediately before, on or at any time after Listing and on or before the date falling 30 days after the Long-Stop Date (</w:t>
            </w:r>
            <w:r>
              <w:rPr>
                <w:rFonts w:ascii="Times New Roman" w:hAnsi="Times New Roman"/>
                <w:b/>
                <w:sz w:val="20"/>
              </w:rPr>
              <w:t>Buyer Cancellation Notice</w:t>
            </w:r>
            <w:r>
              <w:rPr>
                <w:rFonts w:ascii="Times New Roman" w:hAnsi="Times New Roman"/>
                <w:sz w:val="20"/>
              </w:rPr>
              <w:t xml:space="preserve">) that the transaction which is the subject of this document is to not to proceed to Completion and in such event the obligations of the parties to complete the transaction which is the subject of this document shall cease and the parties shall have no further obligations under this document but without prejudice to any breaches committed prior to the date of cancellation pursuant to such Buyer Cancellation Notice and provided that each of the Sellers and the Buyer shall keep confidential the terms of this document and any confidential information it has acquired about the other save to the extent that disclosure is required by law, court order, applicable regulation or regulatory authority (including the rules of any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In the event that the Buyer notifies the Sellers (or any of them on behalf of them all) before Completion of a claim for a breach of a Seller Warranty or Seller Warranties (or that there would be a breach of such Seller Warranty or Warranties if repeated on any date on or prior to Completion) or otherwise for breach of this document then the Buyer shall be entitled to serve a notice (a </w:t>
            </w:r>
            <w:r>
              <w:rPr>
                <w:rFonts w:ascii="Times New Roman" w:hAnsi="Times New Roman"/>
                <w:b/>
                <w:sz w:val="20"/>
              </w:rPr>
              <w:t>Buyer Cancellation Notice</w:t>
            </w:r>
            <w:r>
              <w:rPr>
                <w:rFonts w:ascii="Times New Roman" w:hAnsi="Times New Roman"/>
                <w:sz w:val="20"/>
              </w:rPr>
              <w:t xml:space="preserve">) on the Sellers or any of them on or before Completion that the transaction the subject of this document is to not to proceed to Completion and in such event the obligations of the parties under this document shall cease and the parties shall have no further obligations under this document but without prejudice to any breaches committed on or prior to the date of termination and provided that each of the Sellers and the Buyer shall keep confidential the terms of this document and any confidential information it has acquired about the other save to the extent that disclosure is required by law, court order, applicable regulation or regulatory authority (including the rules of any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7.9.</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date hereof and pending Completion the Sellers shall continue to run the business in the ordinary course and shall require the consent of the Buyer, in this instance being Dan Wagner and Peter Vesco, for any of the acts in Schedule 3 in relation to the Company or any Subsidiary Undertaking (not to be unreasonably withheld or delayed but for this purpose the Buyer shall be entitled to take account of the financial condition and business plans of the Company and its Subsidiary Undertakings in deciding whether or not to consent), until otherwise agreed, e.g. in the service agreements pursuant to clause 4.6.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Group Confidential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Each of the Sellers and Stephan Schwenk shall keep secret and shall not use or disclose to any person for a Sellers or Stephan Schwenks or anothers benefit, any Group Confidential Information and/or any confidential information relating to the Buyer which has come to his knowledge before Completion nor the terms of this document. </w:t>
            </w:r>
            <w:r>
              <w:rPr>
                <w:rFonts w:ascii="Times New Roman" w:hAnsi="Times New Roman"/>
                <w:b/>
                <w:sz w:val="20"/>
              </w:rPr>
              <w:t>Group Confidential Information</w:t>
            </w:r>
            <w:r>
              <w:rPr>
                <w:rFonts w:ascii="Times New Roman" w:hAnsi="Times New Roman"/>
                <w:sz w:val="20"/>
              </w:rPr>
              <w:t xml:space="preserve"> means all confidential technical, commercial and other information and techniques relating to the business of the Buyer or any Buyer Group Company or owned, required for, or used by any of the Buyer or any Buyer Group Company. The Buyer shall keep secret and shall not use or disclose to any person any confidential technical, commercial and other information and techniques relating to the business of the Sellers or any Seller Group Company or owned, required for, or used by any of the Sellers or any Seller Group Company which has come to the Buyers knowledge.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in clause 8.1 shall not apply to any use or disclosure of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authorised in writing by the Buyer or made by Stephan Schwenk in the proper course of his service agreement with the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information related to the Sellers) authorised by the Sellers or Stephan Schwenk;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required by the order of a court of competent jurisdiction or an appropriate regulatory authority;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in the public domain otherwise than as a result of a breach of this clause 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document the following definitions shall apply: </w:t>
            </w:r>
          </w:p>
        </w:tc>
      </w:tr>
    </w:tbl>
    <w:p>
      <w:pPr>
        <w:pStyle w:val="TextBody"/>
        <w:bidi w:val="0"/>
        <w:spacing w:before="120" w:after="0"/>
        <w:jc w:val="left"/>
        <w:rPr>
          <w:rFonts w:ascii="Times New Roman" w:hAnsi="Times New Roman"/>
          <w:sz w:val="20"/>
        </w:rPr>
      </w:pPr>
      <w:r>
        <w:rPr>
          <w:rFonts w:ascii="Times New Roman" w:hAnsi="Times New Roman"/>
          <w:b/>
          <w:sz w:val="20"/>
        </w:rPr>
        <w:t>Associate</w:t>
      </w:r>
      <w:r>
        <w:rPr>
          <w:rFonts w:ascii="Times New Roman" w:hAnsi="Times New Roman"/>
          <w:sz w:val="20"/>
        </w:rPr>
        <w:t xml:space="preserve"> means in relation to any person (A) an associate of A and the question of whether a person is an associate of A shall be determined in accordance with section 435 of the Insolvency Act 1986 provided in any case that no Group Company shall be treated as an Associate of the Seller; </w:t>
      </w:r>
    </w:p>
    <w:p>
      <w:pPr>
        <w:pStyle w:val="TextBody"/>
        <w:bidi w:val="0"/>
        <w:spacing w:before="120" w:after="0"/>
        <w:jc w:val="left"/>
        <w:rPr>
          <w:rFonts w:ascii="Times New Roman" w:hAnsi="Times New Roman"/>
          <w:sz w:val="20"/>
        </w:rPr>
      </w:pPr>
      <w:r>
        <w:rPr>
          <w:rFonts w:ascii="Times New Roman" w:hAnsi="Times New Roman"/>
          <w:b/>
          <w:sz w:val="20"/>
        </w:rPr>
        <w:t>Business Day</w:t>
      </w:r>
      <w:r>
        <w:rPr>
          <w:rFonts w:ascii="Times New Roman" w:hAnsi="Times New Roman"/>
          <w:sz w:val="20"/>
        </w:rPr>
        <w:t xml:space="preserve"> means a day other than a day which is a Saturday, Sunday or public holiday in England or Frankfurt am Main, Germany; </w:t>
      </w:r>
    </w:p>
    <w:p>
      <w:pPr>
        <w:pStyle w:val="TextBody"/>
        <w:bidi w:val="0"/>
        <w:spacing w:before="120" w:after="0"/>
        <w:jc w:val="left"/>
        <w:rPr>
          <w:rFonts w:ascii="Times New Roman" w:hAnsi="Times New Roman"/>
          <w:sz w:val="20"/>
        </w:rPr>
      </w:pPr>
      <w:r>
        <w:rPr>
          <w:rFonts w:ascii="Times New Roman" w:hAnsi="Times New Roman"/>
          <w:b/>
          <w:sz w:val="20"/>
        </w:rPr>
        <w:t>Buyer Group Company</w:t>
      </w:r>
      <w:r>
        <w:rPr>
          <w:rFonts w:ascii="Times New Roman" w:hAnsi="Times New Roman"/>
          <w:sz w:val="20"/>
        </w:rPr>
        <w:t xml:space="preserve"> means the Buyer and any Subsidiary Undertaking of the Buyer from time to time, including after Completion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Completion</w:t>
      </w:r>
      <w:r>
        <w:rPr>
          <w:rFonts w:ascii="Times New Roman" w:hAnsi="Times New Roman"/>
          <w:sz w:val="20"/>
        </w:rPr>
        <w:t xml:space="preserve"> subject to Listing and satisfaction of the conditions in clause 7.2 means completion of the sale and purchase and transfer </w:t>
      </w:r>
      <w:r>
        <w:rPr>
          <w:rFonts w:ascii="Times New Roman" w:hAnsi="Times New Roman"/>
          <w:i/>
          <w:sz w:val="20"/>
        </w:rPr>
        <w:t>in rem (dingliche Clbertragung)</w:t>
      </w:r>
      <w:r>
        <w:rPr>
          <w:rFonts w:ascii="Times New Roman" w:hAnsi="Times New Roman"/>
          <w:sz w:val="20"/>
        </w:rPr>
        <w:t xml:space="preserve"> of the Sale Shares in accordance with clauses 7.3, 7.4 and 7.5; </w:t>
      </w:r>
    </w:p>
    <w:p>
      <w:pPr>
        <w:pStyle w:val="TextBody"/>
        <w:bidi w:val="0"/>
        <w:spacing w:before="120" w:after="0"/>
        <w:jc w:val="left"/>
        <w:rPr>
          <w:rFonts w:ascii="Times New Roman" w:hAnsi="Times New Roman"/>
          <w:sz w:val="20"/>
        </w:rPr>
      </w:pPr>
      <w:r>
        <w:rPr>
          <w:rFonts w:ascii="Times New Roman" w:hAnsi="Times New Roman"/>
          <w:b/>
          <w:sz w:val="20"/>
        </w:rPr>
        <w:t>Demerger</w:t>
      </w:r>
      <w:r>
        <w:rPr>
          <w:rFonts w:ascii="Times New Roman" w:hAnsi="Times New Roman"/>
          <w:sz w:val="20"/>
        </w:rPr>
        <w:t xml:space="preserve"> bears the meaning attributed thereto in clause 11.1; </w:t>
      </w:r>
    </w:p>
    <w:p>
      <w:pPr>
        <w:pStyle w:val="TextBody"/>
        <w:bidi w:val="0"/>
        <w:spacing w:before="120" w:after="0"/>
        <w:jc w:val="left"/>
        <w:rPr>
          <w:rFonts w:ascii="Times New Roman" w:hAnsi="Times New Roman"/>
          <w:sz w:val="20"/>
        </w:rPr>
      </w:pPr>
      <w:r>
        <w:rPr>
          <w:rFonts w:ascii="Times New Roman" w:hAnsi="Times New Roman"/>
          <w:b/>
          <w:sz w:val="20"/>
        </w:rPr>
        <w:t>Demerger Completion</w:t>
      </w:r>
      <w:r>
        <w:rPr>
          <w:rFonts w:ascii="Times New Roman" w:hAnsi="Times New Roman"/>
          <w:sz w:val="20"/>
        </w:rPr>
        <w:t xml:space="preserve"> means completion of the Demerger; </w:t>
      </w:r>
    </w:p>
    <w:p>
      <w:pPr>
        <w:pStyle w:val="TextBody"/>
        <w:bidi w:val="0"/>
        <w:spacing w:before="120" w:after="0"/>
        <w:jc w:val="left"/>
        <w:rPr>
          <w:rFonts w:ascii="Times New Roman" w:hAnsi="Times New Roman"/>
          <w:sz w:val="20"/>
        </w:rPr>
      </w:pPr>
      <w:r>
        <w:rPr>
          <w:rFonts w:ascii="Times New Roman" w:hAnsi="Times New Roman"/>
          <w:b/>
          <w:sz w:val="20"/>
        </w:rPr>
        <w:t>Group Companies</w:t>
      </w:r>
      <w:r>
        <w:rPr>
          <w:rFonts w:ascii="Times New Roman" w:hAnsi="Times New Roman"/>
          <w:sz w:val="20"/>
        </w:rPr>
        <w:t xml:space="preserve"> means the Company and any Subsidiary Undertakings from time to time and Group Company means any of them; </w:t>
      </w:r>
    </w:p>
    <w:p>
      <w:pPr>
        <w:pStyle w:val="TextBody"/>
        <w:bidi w:val="0"/>
        <w:spacing w:before="120" w:after="0"/>
        <w:jc w:val="left"/>
        <w:rPr>
          <w:rFonts w:ascii="Times New Roman" w:hAnsi="Times New Roman"/>
          <w:sz w:val="20"/>
        </w:rPr>
      </w:pPr>
      <w:r>
        <w:rPr>
          <w:rFonts w:ascii="Times New Roman" w:hAnsi="Times New Roman"/>
          <w:b/>
          <w:sz w:val="20"/>
        </w:rPr>
        <w:t>Intellectual Property</w:t>
      </w:r>
      <w:r>
        <w:rPr>
          <w:rFonts w:ascii="Times New Roman" w:hAnsi="Times New Roman"/>
          <w:sz w:val="20"/>
        </w:rPr>
        <w:t xml:space="preserve"> means patents, utility models, petty patents, trade and service marks, design rights, trade names, service names, business names, copyrights, rights in the nature of copyright, resale rights, rental rights, lending rights, moral rights, database rights, domain names, social media accounts, semi-conductor, know-how, rights in trade secrets and confidential information, rights protecting reputation and goodwill, rights in unfair competition and all other intellectual property rights and analogous rights and all registrations and pending applications and registrations; </w:t>
      </w:r>
    </w:p>
    <w:p>
      <w:pPr>
        <w:pStyle w:val="TextBody"/>
        <w:bidi w:val="0"/>
        <w:spacing w:before="120" w:after="0"/>
        <w:jc w:val="left"/>
        <w:rPr>
          <w:rFonts w:ascii="Times New Roman" w:hAnsi="Times New Roman"/>
          <w:sz w:val="20"/>
        </w:rPr>
      </w:pPr>
      <w:r>
        <w:rPr>
          <w:rFonts w:ascii="Times New Roman" w:hAnsi="Times New Roman"/>
          <w:b/>
          <w:sz w:val="20"/>
        </w:rPr>
        <w:t>Listing Price</w:t>
      </w:r>
      <w:r>
        <w:rPr>
          <w:rFonts w:ascii="Times New Roman" w:hAnsi="Times New Roman"/>
          <w:sz w:val="20"/>
        </w:rPr>
        <w:t xml:space="preserve"> means the initial price per share of each of the Consideration Shares on Listing of US$10 (being the price per share after the Demerger). </w:t>
      </w:r>
    </w:p>
    <w:p>
      <w:pPr>
        <w:pStyle w:val="TextBody"/>
        <w:bidi w:val="0"/>
        <w:spacing w:before="120" w:after="0"/>
        <w:jc w:val="left"/>
        <w:rPr>
          <w:rFonts w:ascii="Times New Roman" w:hAnsi="Times New Roman"/>
          <w:sz w:val="20"/>
        </w:rPr>
      </w:pPr>
      <w:r>
        <w:rPr>
          <w:rFonts w:ascii="Times New Roman" w:hAnsi="Times New Roman"/>
          <w:b/>
          <w:sz w:val="20"/>
        </w:rPr>
        <w:t>Radio Licences</w:t>
      </w:r>
      <w:r>
        <w:rPr>
          <w:rFonts w:ascii="Times New Roman" w:hAnsi="Times New Roman"/>
          <w:sz w:val="20"/>
        </w:rPr>
        <w:t xml:space="preserve"> means the radio licences in respect of which the Sellers have the benefit of marketing arrangements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licence for the following station in respect of which Frankfurt Business Radio GmbH &amp; Co. Betriebs KG has a marketing service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7"/>
        <w:gridCol w:w="8371"/>
      </w:tblGrid>
      <w:tr>
        <w:trPr/>
        <w:tc>
          <w:tcPr>
            <w:tcW w:w="132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Radio Frankfurt 95,1 (name of radio station)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licence for the following station in respect of which The Radio Group GmbH has a marketing service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7"/>
        <w:gridCol w:w="8373"/>
      </w:tblGrid>
      <w:tr>
        <w:trPr/>
        <w:tc>
          <w:tcPr>
            <w:tcW w:w="132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(i)</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Antenne Kaiserslautern 96,9 (radio station)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Antenne Landau 94,2 (radio station)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Antenne Pfalz 94,8 (radio station)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Antenne Trier 88,4 (radio station)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Radio Germany One (online radio station)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Antenne Pirmasens 88,3 (radio station)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Antenne ZweibrOcken 91,6 (radio station)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City Radio Saarbrucken 99,6 (radio station)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(ix)</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City Radio Homburg 89,6 (radio station)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(x)</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City Radio Neunkirchen 94,6 (radio station)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City Radio St. Wendel 92,6 (radio station)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City Radio Saarlouis 99,0 (radio station)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licence for the following station in respect of which Antenne Koblenz GmbH has a marketing service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Antenne Koblenz 98,0 (radio station); </w:t>
            </w:r>
          </w:p>
        </w:tc>
      </w:tr>
    </w:tbl>
    <w:p>
      <w:pPr>
        <w:pStyle w:val="TextBody"/>
        <w:bidi w:val="0"/>
        <w:spacing w:before="120" w:after="0"/>
        <w:jc w:val="left"/>
        <w:rPr>
          <w:rFonts w:ascii="Times New Roman" w:hAnsi="Times New Roman"/>
          <w:sz w:val="20"/>
        </w:rPr>
      </w:pPr>
      <w:r>
        <w:rPr>
          <w:rFonts w:ascii="Times New Roman" w:hAnsi="Times New Roman"/>
          <w:b/>
          <w:sz w:val="20"/>
        </w:rPr>
        <w:t>Relevant Exchange Rate</w:t>
      </w:r>
      <w:r>
        <w:rPr>
          <w:rFonts w:ascii="Times New Roman" w:hAnsi="Times New Roman"/>
          <w:sz w:val="20"/>
        </w:rPr>
        <w:t xml:space="preserve"> means the rate of exchange as between Dollars and Euros being 1.0808 Euros:US$1 and US$0.9253:1 Euro; </w:t>
      </w:r>
    </w:p>
    <w:p>
      <w:pPr>
        <w:pStyle w:val="TextBody"/>
        <w:bidi w:val="0"/>
        <w:spacing w:before="120" w:after="0"/>
        <w:jc w:val="left"/>
        <w:rPr>
          <w:rFonts w:ascii="Times New Roman" w:hAnsi="Times New Roman"/>
          <w:sz w:val="20"/>
        </w:rPr>
      </w:pPr>
      <w:r>
        <w:rPr>
          <w:rFonts w:ascii="Times New Roman" w:hAnsi="Times New Roman"/>
          <w:b/>
          <w:sz w:val="20"/>
        </w:rPr>
        <w:t>Seller Proportions</w:t>
      </w:r>
      <w:r>
        <w:rPr>
          <w:rFonts w:ascii="Times New Roman" w:hAnsi="Times New Roman"/>
          <w:sz w:val="20"/>
        </w:rPr>
        <w:t xml:space="preserve"> means in relation to The Radio Group GmbH 60%, Lokalradios RLP GmbH 20% and Radio Frankfurt Media GmbH 20%; </w:t>
      </w:r>
    </w:p>
    <w:p>
      <w:pPr>
        <w:pStyle w:val="TextBody"/>
        <w:bidi w:val="0"/>
        <w:spacing w:before="120" w:after="0"/>
        <w:jc w:val="left"/>
        <w:rPr>
          <w:rFonts w:ascii="Times New Roman" w:hAnsi="Times New Roman"/>
          <w:sz w:val="20"/>
        </w:rPr>
      </w:pPr>
      <w:r>
        <w:rPr>
          <w:rFonts w:ascii="Times New Roman" w:hAnsi="Times New Roman"/>
          <w:b/>
          <w:sz w:val="20"/>
        </w:rPr>
        <w:t>Subsidiary Undertaking</w:t>
      </w:r>
      <w:r>
        <w:rPr>
          <w:rFonts w:ascii="Times New Roman" w:hAnsi="Times New Roman"/>
          <w:sz w:val="20"/>
        </w:rPr>
        <w:t xml:space="preserve"> means any subsidiary undertaking as defined in s.1162 of the Companies Act 2006; </w:t>
      </w:r>
    </w:p>
    <w:p>
      <w:pPr>
        <w:pStyle w:val="TextBody"/>
        <w:bidi w:val="0"/>
        <w:spacing w:before="120" w:after="0"/>
        <w:jc w:val="left"/>
        <w:rPr>
          <w:rFonts w:ascii="Times New Roman" w:hAnsi="Times New Roman"/>
          <w:sz w:val="20"/>
        </w:rPr>
      </w:pPr>
      <w:r>
        <w:rPr>
          <w:rFonts w:ascii="Times New Roman" w:hAnsi="Times New Roman"/>
          <w:b/>
          <w:sz w:val="20"/>
        </w:rPr>
        <w:t>Seller Warranty</w:t>
      </w:r>
      <w:r>
        <w:rPr>
          <w:rFonts w:ascii="Times New Roman" w:hAnsi="Times New Roman"/>
          <w:sz w:val="20"/>
        </w:rPr>
        <w:t xml:space="preserve"> means a warranty set out in Schedule 2; and </w:t>
      </w:r>
    </w:p>
    <w:p>
      <w:pPr>
        <w:pStyle w:val="TextBody"/>
        <w:bidi w:val="0"/>
        <w:spacing w:before="120" w:after="0"/>
        <w:jc w:val="left"/>
        <w:rPr>
          <w:rFonts w:ascii="Times New Roman" w:hAnsi="Times New Roman"/>
          <w:sz w:val="20"/>
        </w:rPr>
      </w:pPr>
      <w:r>
        <w:rPr>
          <w:rFonts w:ascii="Times New Roman" w:hAnsi="Times New Roman"/>
          <w:b/>
          <w:sz w:val="20"/>
        </w:rPr>
        <w:t>Transaction Document</w:t>
      </w:r>
      <w:r>
        <w:rPr>
          <w:rFonts w:ascii="Times New Roman" w:hAnsi="Times New Roman"/>
          <w:sz w:val="20"/>
        </w:rPr>
        <w:t xml:space="preserve"> means this agreement and each other agreement entered into pursuant to it or in connection with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Notices and other communications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notice or communication to be given or made under or in connection with this document shall be in writing in English and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delivered or sent by hand to (i) the Buyer or the Sellers at their respective address set out on page 1 of this document (such addresses being referred to below as the </w:t>
            </w:r>
            <w:r>
              <w:rPr>
                <w:rFonts w:ascii="Times New Roman" w:hAnsi="Times New Roman"/>
                <w:b/>
                <w:sz w:val="20"/>
              </w:rPr>
              <w:t>Address</w:t>
            </w:r>
            <w:r>
              <w:rPr>
                <w:rFonts w:ascii="Times New Roman" w:hAnsi="Times New Roman"/>
                <w:sz w:val="20"/>
              </w:rPr>
              <w:t xml:space="preserve"> of the relevant party);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sent by email, to the Buyer at dan@rezolve.com or to any of the Sellers at schwenk@radiogroup.de.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notice or other communication so delivered or sent shall be deemed to have been served at the time when (in the case of hand delivery) it is delivered to the address to which it is delivered or in the case of email one hour after sending provided a notification of non-receipt is not received within that hour; except that if that time is between 5.30 p.m. on a Relevant Day and 9.00 a.m. on the next Relevant Day in the place of receipt it shall be deemed to have been served at 9.00 a.m. on the second of such Relevant Days. </w:t>
            </w:r>
            <w:r>
              <w:rPr>
                <w:rFonts w:ascii="Times New Roman" w:hAnsi="Times New Roman"/>
                <w:b/>
                <w:sz w:val="20"/>
              </w:rPr>
              <w:t>Relevant Day</w:t>
            </w:r>
            <w:r>
              <w:rPr>
                <w:rFonts w:ascii="Times New Roman" w:hAnsi="Times New Roman"/>
                <w:sz w:val="20"/>
              </w:rPr>
              <w:t xml:space="preserve"> means any day other than a Saturday, Sunday or a day which is a public holiday at the Address of the receiving party. Delivery or Service to any Seller shall be deemed to be delivery or service on all Sellers.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Rezolve Group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Buyer is intending that a demerger (the </w:t>
            </w:r>
            <w:r>
              <w:rPr>
                <w:rFonts w:ascii="Times New Roman" w:hAnsi="Times New Roman"/>
                <w:b/>
                <w:sz w:val="20"/>
              </w:rPr>
              <w:t>Demerger</w:t>
            </w:r>
            <w:r>
              <w:rPr>
                <w:rFonts w:ascii="Times New Roman" w:hAnsi="Times New Roman"/>
                <w:sz w:val="20"/>
              </w:rPr>
              <w:t xml:space="preserve">) of Rezolve Limited pursuant to section 110 Insolvency Act 1986 will be effected before Listing under which Rezolve Limited is to enter into a voluntary winding up procedure and part of the Rezolve Limiteds business and assets, being all of its business and assets except for certain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shares in the following entities, namely Rezolve Information Technology (Shanghai) Co Ltd and its wholly owned subsidiary Nine Stone (Shanghai) Ltd and Rezolve Information Technology (Shanghai) Co Ltd Beijing Branch and certain other excluded assets are to be transferred to Rezolve Group Limited in exchange for the issue of shares of the same classes in Rezolve Group Limited for distribution amongst the shareholders of Rezolve Limited in proportion to their holdings of shares in Rezolve Limited of each class such that the economic rights of the shareholders in Rezolve Group Limited are in all material respects the same as they were in Rezolve Limited prior to the Demerger. In such event Rezolve Limited shall provide to the Sellers such information related to the Demerger as is provided to all other shareholders in Rezolve Limited and at the same time. The steps set out in (a) and (b) below shall be followed in connection with the Demerger in the event of the Demerger occurring, namely: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Sellers as holders of shares in Rezolve Limited (being deferred shares, or ordinary shares if their current deferred shares in Rezolve Limited have been reclassified as ordinary shares at or before the time of the Demerger) to receive shares of the same class in Rezolve Group Limited and in equivalent proportions to the proportions in which they held of shares of that class in Rezolve Limited immediately before the Demerger;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effect from the Demerger Completion this agreement is to take effect between the Sellers, Stephan Schwenk and Rezolve Group Limited as though Rezolve Group Limited is the Buyer for the purpose of this document and on the basis that the Consideration Shares are ordinary shares in Rezolve Group Limited with equivalent share rights to those applying to the other ordinary shares in Rezolve Group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Buyer shall inform the Sellers regularly, at least once per calendar quarter, on the progress of the contemplated initial public offering of the Buyer and the Demerger and shall provide such further information related thereto as the Sellers may reasonably request and as the Buyer and its advisers reasonably consider appropriate. The obligations in this clause shall not apply to the extent contrary to or inconsistent with applicable law, regulation or obligations of confidentiality.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Sellers and Stephan Schwenk shall and shall procure that any other necessary party shall execute all such documents and deeds and do all such acts and things as the Buyer may from time to time reasonably require to transfer to the Buyer the legal and beneficial ownership of the Sale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provided to any one Seller shall be deemed validly provided to all Sellers. Any Seller may give consent on behalf of all Sellers.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Buyer is to make payment to the Sellers or perform an obligation to the Sellers the Buyer may make such payment to any of the Sellers and may satisfy such obligation in favour of any of the Sellers and shall then have discharged its relevant payment or other obligation to all the Sellers.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any obligation expressed to be owed to any Group Company no term of this document is enforceable by a person who is not a party.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document constitutes the entire agreement between the parties about the subject matter of this document and supersede and extinguish all earlier discussions, understandings and agreements between any of the parties. No failure or delay by Buyer in exercising any right under this document shall operate as a waiver of such right nor shall any single or partial exercise of any right preclude the exercise of any other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explicitly set forth otherwise in this document, each Party hereto shall bear its own counsels and other advisors fees and other expenses and all costs incurred by it in connection with the preparation, negotiation and execution of this document by itself. Unless explicitly set forth otherwise in this document, all notarial and registration fees shall be borne by the Buyer. The costs, fees and expenses relating to merger control or foreign direct investment filings shall be borne equally by the Sellers and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the exemption of clause 3 which is governed by German law, this document is governed by English law and the parties submit to the jurisdiction of the English courts.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Seller agrees to the service of proceedings on it by email and appoints Nikolaj Kubik, MAINLEGALTAX, Mainzer Landstralle 55, 60329 Frankfurt/Main, Germany (email: nkubik@mainlegaltax.com) as its agent for service of any process under this document or any document executed pursuant to it or in connection with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91"/>
        <w:gridCol w:w="9208"/>
      </w:tblGrid>
      <w:tr>
        <w:trPr/>
        <w:tc>
          <w:tcPr>
            <w:tcW w:w="406" w:type="dxa"/>
            <w:tcBorders/>
            <w:vAlign w:val="center"/>
          </w:tcPr>
          <w:p>
            <w:pPr>
              <w:pStyle w:val="TableContents"/>
              <w:bidi w:val="0"/>
              <w:spacing w:before="0" w:after="283"/>
              <w:jc w:val="left"/>
              <w:rPr/>
            </w:pPr>
            <w:r>
              <w:rPr/>
              <w:t> </w:t>
            </w:r>
          </w:p>
        </w:tc>
        <w:tc>
          <w:tcPr>
            <w:tcW w:w="591" w:type="dxa"/>
            <w:tcBorders/>
          </w:tcPr>
          <w:p>
            <w:pPr>
              <w:pStyle w:val="TableContents"/>
              <w:bidi w:val="0"/>
              <w:spacing w:before="0" w:after="283"/>
              <w:jc w:val="left"/>
              <w:rPr/>
            </w:pPr>
            <w:r>
              <w:rPr/>
              <w:t>12.10.</w:t>
            </w:r>
          </w:p>
        </w:tc>
        <w:tc>
          <w:tcPr>
            <w:tcW w:w="920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notarial costs in connection with this deed shall be borne by the Buyer.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120" w:after="0"/>
        <w:jc w:val="center"/>
        <w:rPr>
          <w:rFonts w:ascii="Times New Roman" w:hAnsi="Times New Roman"/>
          <w:b/>
          <w:sz w:val="20"/>
        </w:rPr>
      </w:pPr>
      <w:r>
        <w:rPr>
          <w:rFonts w:ascii="Times New Roman" w:hAnsi="Times New Roman"/>
          <w:b/>
          <w:sz w:val="20"/>
        </w:rPr>
        <w:t xml:space="preserve">Details of the Companies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73"/>
        <w:gridCol w:w="122"/>
        <w:gridCol w:w="7110"/>
      </w:tblGrid>
      <w:tr>
        <w:trPr/>
        <w:tc>
          <w:tcPr>
            <w:tcW w:w="29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10" w:type="dxa"/>
            <w:tcBorders/>
            <w:vAlign w:val="center"/>
          </w:tcPr>
          <w:p>
            <w:pPr>
              <w:pStyle w:val="TableContents"/>
              <w:bidi w:val="0"/>
              <w:spacing w:before="0" w:after="283"/>
              <w:jc w:val="left"/>
              <w:rPr>
                <w:sz w:val="4"/>
                <w:szCs w:val="4"/>
              </w:rPr>
            </w:pPr>
            <w:r>
              <w:rPr>
                <w:sz w:val="4"/>
                <w:szCs w:val="4"/>
              </w:rPr>
            </w:r>
          </w:p>
        </w:tc>
      </w:tr>
      <w:tr>
        <w:trPr/>
        <w:tc>
          <w:tcPr>
            <w:tcW w:w="2973" w:type="dxa"/>
            <w:tcBorders/>
          </w:tcPr>
          <w:p>
            <w:pPr>
              <w:pStyle w:val="TableContents"/>
              <w:bidi w:val="0"/>
              <w:spacing w:before="0" w:after="283"/>
              <w:jc w:val="left"/>
              <w:rPr/>
            </w:pPr>
            <w:r>
              <w:rPr/>
              <w:t>Name:</w:t>
            </w:r>
          </w:p>
        </w:tc>
        <w:tc>
          <w:tcPr>
            <w:tcW w:w="122"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283"/>
              <w:jc w:val="left"/>
              <w:rPr>
                <w:b/>
              </w:rPr>
            </w:pPr>
            <w:r>
              <w:rPr>
                <w:b/>
              </w:rPr>
              <w:t>ANY Lifestyle Marketing GmbH</w:t>
            </w:r>
          </w:p>
        </w:tc>
      </w:tr>
      <w:tr>
        <w:trPr>
          <w:trHeight w:val="120" w:hRule="atLeast"/>
        </w:trPr>
        <w:tc>
          <w:tcPr>
            <w:tcW w:w="2973" w:type="dxa"/>
            <w:tcBorders/>
            <w:vAlign w:val="center"/>
          </w:tcPr>
          <w:p>
            <w:pPr>
              <w:pStyle w:val="TableContents"/>
              <w:bidi w:val="0"/>
              <w:spacing w:before="0" w:after="283"/>
              <w:jc w:val="left"/>
              <w:rPr>
                <w:sz w:val="4"/>
                <w:szCs w:val="4"/>
              </w:rPr>
            </w:pPr>
            <w:r>
              <w:rPr>
                <w:sz w:val="4"/>
                <w:szCs w:val="4"/>
              </w:rPr>
            </w:r>
          </w:p>
        </w:tc>
        <w:tc>
          <w:tcPr>
            <w:tcW w:w="7232" w:type="dxa"/>
            <w:gridSpan w:val="2"/>
            <w:tcBorders/>
            <w:vAlign w:val="center"/>
          </w:tcPr>
          <w:p>
            <w:pPr>
              <w:pStyle w:val="TableContents"/>
              <w:bidi w:val="0"/>
              <w:spacing w:before="0" w:after="283"/>
              <w:jc w:val="left"/>
              <w:rPr>
                <w:sz w:val="4"/>
                <w:szCs w:val="4"/>
              </w:rPr>
            </w:pPr>
            <w:r>
              <w:rPr>
                <w:sz w:val="4"/>
                <w:szCs w:val="4"/>
              </w:rPr>
            </w:r>
          </w:p>
        </w:tc>
      </w:tr>
      <w:tr>
        <w:trPr/>
        <w:tc>
          <w:tcPr>
            <w:tcW w:w="2973" w:type="dxa"/>
            <w:tcBorders/>
          </w:tcPr>
          <w:p>
            <w:pPr>
              <w:pStyle w:val="TableContents"/>
              <w:bidi w:val="0"/>
              <w:spacing w:before="0" w:after="283"/>
              <w:jc w:val="left"/>
              <w:rPr/>
            </w:pPr>
            <w:r>
              <w:rPr/>
              <w:t>Number:</w:t>
            </w:r>
          </w:p>
        </w:tc>
        <w:tc>
          <w:tcPr>
            <w:tcW w:w="122"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283"/>
              <w:jc w:val="left"/>
              <w:rPr/>
            </w:pPr>
            <w:r>
              <w:rPr/>
              <w:t>HRB 124269</w:t>
            </w:r>
          </w:p>
        </w:tc>
      </w:tr>
      <w:tr>
        <w:trPr>
          <w:trHeight w:val="120" w:hRule="atLeast"/>
        </w:trPr>
        <w:tc>
          <w:tcPr>
            <w:tcW w:w="2973" w:type="dxa"/>
            <w:tcBorders/>
            <w:vAlign w:val="center"/>
          </w:tcPr>
          <w:p>
            <w:pPr>
              <w:pStyle w:val="TableContents"/>
              <w:bidi w:val="0"/>
              <w:spacing w:before="0" w:after="283"/>
              <w:jc w:val="left"/>
              <w:rPr>
                <w:sz w:val="4"/>
                <w:szCs w:val="4"/>
              </w:rPr>
            </w:pPr>
            <w:r>
              <w:rPr>
                <w:sz w:val="4"/>
                <w:szCs w:val="4"/>
              </w:rPr>
            </w:r>
          </w:p>
        </w:tc>
        <w:tc>
          <w:tcPr>
            <w:tcW w:w="7232" w:type="dxa"/>
            <w:gridSpan w:val="2"/>
            <w:tcBorders/>
            <w:vAlign w:val="center"/>
          </w:tcPr>
          <w:p>
            <w:pPr>
              <w:pStyle w:val="TableContents"/>
              <w:bidi w:val="0"/>
              <w:spacing w:before="0" w:after="283"/>
              <w:jc w:val="left"/>
              <w:rPr>
                <w:sz w:val="4"/>
                <w:szCs w:val="4"/>
              </w:rPr>
            </w:pPr>
            <w:r>
              <w:rPr>
                <w:sz w:val="4"/>
                <w:szCs w:val="4"/>
              </w:rPr>
            </w:r>
          </w:p>
        </w:tc>
      </w:tr>
      <w:tr>
        <w:trPr/>
        <w:tc>
          <w:tcPr>
            <w:tcW w:w="2973" w:type="dxa"/>
            <w:tcBorders/>
          </w:tcPr>
          <w:p>
            <w:pPr>
              <w:pStyle w:val="TableContents"/>
              <w:bidi w:val="0"/>
              <w:spacing w:before="0" w:after="283"/>
              <w:jc w:val="left"/>
              <w:rPr/>
            </w:pPr>
            <w:r>
              <w:rPr/>
              <w:t>Date of incorporation:</w:t>
            </w:r>
          </w:p>
        </w:tc>
        <w:tc>
          <w:tcPr>
            <w:tcW w:w="122"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283"/>
              <w:jc w:val="left"/>
              <w:rPr/>
            </w:pPr>
            <w:r>
              <w:rPr/>
              <w:t>13th August 2021</w:t>
            </w:r>
          </w:p>
        </w:tc>
      </w:tr>
      <w:tr>
        <w:trPr>
          <w:trHeight w:val="120" w:hRule="atLeast"/>
        </w:trPr>
        <w:tc>
          <w:tcPr>
            <w:tcW w:w="2973" w:type="dxa"/>
            <w:tcBorders/>
            <w:vAlign w:val="center"/>
          </w:tcPr>
          <w:p>
            <w:pPr>
              <w:pStyle w:val="TableContents"/>
              <w:bidi w:val="0"/>
              <w:spacing w:before="0" w:after="283"/>
              <w:jc w:val="left"/>
              <w:rPr>
                <w:sz w:val="4"/>
                <w:szCs w:val="4"/>
              </w:rPr>
            </w:pPr>
            <w:r>
              <w:rPr>
                <w:sz w:val="4"/>
                <w:szCs w:val="4"/>
              </w:rPr>
            </w:r>
          </w:p>
        </w:tc>
        <w:tc>
          <w:tcPr>
            <w:tcW w:w="7232" w:type="dxa"/>
            <w:gridSpan w:val="2"/>
            <w:tcBorders/>
            <w:vAlign w:val="center"/>
          </w:tcPr>
          <w:p>
            <w:pPr>
              <w:pStyle w:val="TableContents"/>
              <w:bidi w:val="0"/>
              <w:spacing w:before="0" w:after="283"/>
              <w:jc w:val="left"/>
              <w:rPr>
                <w:sz w:val="4"/>
                <w:szCs w:val="4"/>
              </w:rPr>
            </w:pPr>
            <w:r>
              <w:rPr>
                <w:sz w:val="4"/>
                <w:szCs w:val="4"/>
              </w:rPr>
            </w:r>
          </w:p>
        </w:tc>
      </w:tr>
      <w:tr>
        <w:trPr/>
        <w:tc>
          <w:tcPr>
            <w:tcW w:w="2973" w:type="dxa"/>
            <w:tcBorders/>
          </w:tcPr>
          <w:p>
            <w:pPr>
              <w:pStyle w:val="TableContents"/>
              <w:bidi w:val="0"/>
              <w:spacing w:before="0" w:after="283"/>
              <w:jc w:val="left"/>
              <w:rPr/>
            </w:pPr>
            <w:r>
              <w:rPr/>
              <w:t>Registered office:</w:t>
            </w:r>
          </w:p>
        </w:tc>
        <w:tc>
          <w:tcPr>
            <w:tcW w:w="122"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283"/>
              <w:jc w:val="left"/>
              <w:rPr/>
            </w:pPr>
            <w:r>
              <w:rPr/>
              <w:t>Frankfurt I Main</w:t>
            </w:r>
          </w:p>
        </w:tc>
      </w:tr>
      <w:tr>
        <w:trPr>
          <w:trHeight w:val="120" w:hRule="atLeast"/>
        </w:trPr>
        <w:tc>
          <w:tcPr>
            <w:tcW w:w="2973" w:type="dxa"/>
            <w:tcBorders/>
            <w:vAlign w:val="center"/>
          </w:tcPr>
          <w:p>
            <w:pPr>
              <w:pStyle w:val="TableContents"/>
              <w:bidi w:val="0"/>
              <w:spacing w:before="0" w:after="283"/>
              <w:jc w:val="left"/>
              <w:rPr>
                <w:sz w:val="4"/>
                <w:szCs w:val="4"/>
              </w:rPr>
            </w:pPr>
            <w:r>
              <w:rPr>
                <w:sz w:val="4"/>
                <w:szCs w:val="4"/>
              </w:rPr>
            </w:r>
          </w:p>
        </w:tc>
        <w:tc>
          <w:tcPr>
            <w:tcW w:w="7232" w:type="dxa"/>
            <w:gridSpan w:val="2"/>
            <w:tcBorders/>
            <w:vAlign w:val="center"/>
          </w:tcPr>
          <w:p>
            <w:pPr>
              <w:pStyle w:val="TableContents"/>
              <w:bidi w:val="0"/>
              <w:spacing w:before="0" w:after="283"/>
              <w:jc w:val="left"/>
              <w:rPr>
                <w:sz w:val="4"/>
                <w:szCs w:val="4"/>
              </w:rPr>
            </w:pPr>
            <w:r>
              <w:rPr>
                <w:sz w:val="4"/>
                <w:szCs w:val="4"/>
              </w:rPr>
            </w:r>
          </w:p>
        </w:tc>
      </w:tr>
      <w:tr>
        <w:trPr/>
        <w:tc>
          <w:tcPr>
            <w:tcW w:w="2973" w:type="dxa"/>
            <w:tcBorders/>
          </w:tcPr>
          <w:p>
            <w:pPr>
              <w:pStyle w:val="TableContents"/>
              <w:bidi w:val="0"/>
              <w:spacing w:before="0" w:after="283"/>
              <w:jc w:val="left"/>
              <w:rPr/>
            </w:pPr>
            <w:r>
              <w:rPr/>
              <w:t>Issued share capital:</w:t>
            </w:r>
          </w:p>
        </w:tc>
        <w:tc>
          <w:tcPr>
            <w:tcW w:w="122"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283"/>
              <w:jc w:val="left"/>
              <w:rPr/>
            </w:pPr>
            <w:r>
              <w:rPr/>
              <w:t>25,000</w:t>
            </w:r>
          </w:p>
        </w:tc>
      </w:tr>
      <w:tr>
        <w:trPr>
          <w:trHeight w:val="120" w:hRule="atLeast"/>
        </w:trPr>
        <w:tc>
          <w:tcPr>
            <w:tcW w:w="2973" w:type="dxa"/>
            <w:tcBorders/>
            <w:vAlign w:val="center"/>
          </w:tcPr>
          <w:p>
            <w:pPr>
              <w:pStyle w:val="TableContents"/>
              <w:bidi w:val="0"/>
              <w:spacing w:before="0" w:after="283"/>
              <w:jc w:val="left"/>
              <w:rPr>
                <w:sz w:val="4"/>
                <w:szCs w:val="4"/>
              </w:rPr>
            </w:pPr>
            <w:r>
              <w:rPr>
                <w:sz w:val="4"/>
                <w:szCs w:val="4"/>
              </w:rPr>
            </w:r>
          </w:p>
        </w:tc>
        <w:tc>
          <w:tcPr>
            <w:tcW w:w="7232" w:type="dxa"/>
            <w:gridSpan w:val="2"/>
            <w:tcBorders/>
            <w:vAlign w:val="center"/>
          </w:tcPr>
          <w:p>
            <w:pPr>
              <w:pStyle w:val="TableContents"/>
              <w:bidi w:val="0"/>
              <w:spacing w:before="0" w:after="283"/>
              <w:jc w:val="left"/>
              <w:rPr>
                <w:sz w:val="4"/>
                <w:szCs w:val="4"/>
              </w:rPr>
            </w:pPr>
            <w:r>
              <w:rPr>
                <w:sz w:val="4"/>
                <w:szCs w:val="4"/>
              </w:rPr>
            </w:r>
          </w:p>
        </w:tc>
      </w:tr>
      <w:tr>
        <w:trPr/>
        <w:tc>
          <w:tcPr>
            <w:tcW w:w="2973" w:type="dxa"/>
            <w:tcBorders/>
          </w:tcPr>
          <w:p>
            <w:pPr>
              <w:pStyle w:val="TableContents"/>
              <w:bidi w:val="0"/>
              <w:spacing w:before="0" w:after="0"/>
              <w:jc w:val="left"/>
              <w:rPr>
                <w:rFonts w:ascii="Times New Roman" w:hAnsi="Times New Roman"/>
                <w:sz w:val="20"/>
              </w:rPr>
            </w:pPr>
            <w:r>
              <w:rPr>
                <w:rFonts w:ascii="Times New Roman" w:hAnsi="Times New Roman"/>
                <w:sz w:val="20"/>
              </w:rPr>
              <w:t>Shareholder</w:t>
            </w:r>
          </w:p>
          <w:p>
            <w:pPr>
              <w:pStyle w:val="TableContents"/>
              <w:bidi w:val="0"/>
              <w:spacing w:before="0" w:after="20"/>
              <w:jc w:val="left"/>
              <w:rPr>
                <w:rFonts w:ascii="Times New Roman" w:hAnsi="Times New Roman"/>
                <w:sz w:val="20"/>
              </w:rPr>
            </w:pPr>
            <w:r>
              <w:rPr>
                <w:rFonts w:ascii="Times New Roman" w:hAnsi="Times New Roman"/>
                <w:sz w:val="20"/>
              </w:rPr>
              <w:t>(and number of shares held):</w:t>
            </w:r>
          </w:p>
        </w:tc>
        <w:tc>
          <w:tcPr>
            <w:tcW w:w="122"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283"/>
              <w:jc w:val="left"/>
              <w:rPr>
                <w:sz w:val="4"/>
                <w:szCs w:val="4"/>
              </w:rPr>
            </w:pPr>
            <w:r>
              <w:rPr>
                <w:sz w:val="4"/>
                <w:szCs w:val="4"/>
              </w:rPr>
            </w:r>
          </w:p>
        </w:tc>
      </w:tr>
      <w:tr>
        <w:trPr>
          <w:trHeight w:val="120" w:hRule="atLeast"/>
        </w:trPr>
        <w:tc>
          <w:tcPr>
            <w:tcW w:w="2973" w:type="dxa"/>
            <w:tcBorders/>
            <w:vAlign w:val="center"/>
          </w:tcPr>
          <w:p>
            <w:pPr>
              <w:pStyle w:val="TableContents"/>
              <w:bidi w:val="0"/>
              <w:spacing w:before="0" w:after="283"/>
              <w:jc w:val="left"/>
              <w:rPr>
                <w:sz w:val="4"/>
                <w:szCs w:val="4"/>
              </w:rPr>
            </w:pPr>
            <w:r>
              <w:rPr>
                <w:sz w:val="4"/>
                <w:szCs w:val="4"/>
              </w:rPr>
            </w:r>
          </w:p>
        </w:tc>
        <w:tc>
          <w:tcPr>
            <w:tcW w:w="7232" w:type="dxa"/>
            <w:gridSpan w:val="2"/>
            <w:tcBorders/>
            <w:vAlign w:val="center"/>
          </w:tcPr>
          <w:p>
            <w:pPr>
              <w:pStyle w:val="TableContents"/>
              <w:bidi w:val="0"/>
              <w:spacing w:before="0" w:after="283"/>
              <w:jc w:val="left"/>
              <w:rPr>
                <w:sz w:val="4"/>
                <w:szCs w:val="4"/>
              </w:rPr>
            </w:pPr>
            <w:r>
              <w:rPr>
                <w:sz w:val="4"/>
                <w:szCs w:val="4"/>
              </w:rPr>
            </w:r>
          </w:p>
        </w:tc>
      </w:tr>
      <w:tr>
        <w:trPr/>
        <w:tc>
          <w:tcPr>
            <w:tcW w:w="2973" w:type="dxa"/>
            <w:tcBorders/>
          </w:tcPr>
          <w:p>
            <w:pPr>
              <w:pStyle w:val="TableContents"/>
              <w:bidi w:val="0"/>
              <w:spacing w:before="0" w:after="0"/>
              <w:jc w:val="left"/>
              <w:rPr>
                <w:rFonts w:ascii="Times New Roman" w:hAnsi="Times New Roman"/>
                <w:sz w:val="20"/>
              </w:rPr>
            </w:pPr>
            <w:r>
              <w:rPr>
                <w:rFonts w:ascii="Times New Roman" w:hAnsi="Times New Roman"/>
                <w:sz w:val="20"/>
              </w:rPr>
              <w:t>  The Radio Group GmbH:</w:t>
            </w:r>
          </w:p>
          <w:p>
            <w:pPr>
              <w:pStyle w:val="TableContents"/>
              <w:bidi w:val="0"/>
              <w:spacing w:before="0" w:after="0"/>
              <w:jc w:val="left"/>
              <w:rPr>
                <w:rFonts w:ascii="Times New Roman" w:hAnsi="Times New Roman"/>
                <w:sz w:val="20"/>
              </w:rPr>
            </w:pPr>
            <w:r>
              <w:rPr>
                <w:rFonts w:ascii="Times New Roman" w:hAnsi="Times New Roman"/>
                <w:sz w:val="20"/>
              </w:rPr>
              <w:t>  Lokalradios RLP GmbH:</w:t>
            </w:r>
          </w:p>
          <w:p>
            <w:pPr>
              <w:pStyle w:val="TableContents"/>
              <w:bidi w:val="0"/>
              <w:spacing w:before="0" w:after="20"/>
              <w:jc w:val="left"/>
              <w:rPr>
                <w:rFonts w:ascii="Times New Roman" w:hAnsi="Times New Roman"/>
                <w:sz w:val="20"/>
              </w:rPr>
            </w:pPr>
            <w:r>
              <w:rPr>
                <w:rFonts w:ascii="Times New Roman" w:hAnsi="Times New Roman"/>
                <w:sz w:val="20"/>
              </w:rPr>
              <w:t>  Radio Frankfurt Media GmbH</w:t>
            </w:r>
          </w:p>
        </w:tc>
        <w:tc>
          <w:tcPr>
            <w:tcW w:w="122"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0"/>
              <w:jc w:val="left"/>
              <w:rPr>
                <w:rFonts w:ascii="Times New Roman" w:hAnsi="Times New Roman"/>
                <w:sz w:val="20"/>
              </w:rPr>
            </w:pPr>
            <w:r>
              <w:rPr>
                <w:rFonts w:ascii="Times New Roman" w:hAnsi="Times New Roman"/>
                <w:sz w:val="20"/>
              </w:rPr>
              <w:t>15,000 shares (1 to 10,000, 20,001 to 25,000)</w:t>
            </w:r>
          </w:p>
          <w:p>
            <w:pPr>
              <w:pStyle w:val="TableContents"/>
              <w:bidi w:val="0"/>
              <w:spacing w:before="0" w:after="0"/>
              <w:jc w:val="left"/>
              <w:rPr>
                <w:rFonts w:ascii="Times New Roman" w:hAnsi="Times New Roman"/>
                <w:sz w:val="20"/>
              </w:rPr>
            </w:pPr>
            <w:r>
              <w:rPr>
                <w:rFonts w:ascii="Times New Roman" w:hAnsi="Times New Roman"/>
                <w:sz w:val="20"/>
              </w:rPr>
              <w:t>5,000 shares (10,001 to 15,000)</w:t>
            </w:r>
          </w:p>
          <w:p>
            <w:pPr>
              <w:pStyle w:val="TableContents"/>
              <w:bidi w:val="0"/>
              <w:spacing w:before="0" w:after="20"/>
              <w:jc w:val="left"/>
              <w:rPr>
                <w:rFonts w:ascii="Times New Roman" w:hAnsi="Times New Roman"/>
                <w:sz w:val="20"/>
              </w:rPr>
            </w:pPr>
            <w:r>
              <w:rPr>
                <w:rFonts w:ascii="Times New Roman" w:hAnsi="Times New Roman"/>
                <w:sz w:val="20"/>
              </w:rPr>
              <w:t>5,000 shares (15,001 to 20,000)</w:t>
            </w:r>
          </w:p>
        </w:tc>
      </w:tr>
      <w:tr>
        <w:trPr>
          <w:trHeight w:val="120" w:hRule="atLeast"/>
        </w:trPr>
        <w:tc>
          <w:tcPr>
            <w:tcW w:w="2973" w:type="dxa"/>
            <w:tcBorders/>
            <w:vAlign w:val="center"/>
          </w:tcPr>
          <w:p>
            <w:pPr>
              <w:pStyle w:val="TableContents"/>
              <w:bidi w:val="0"/>
              <w:spacing w:before="0" w:after="283"/>
              <w:jc w:val="left"/>
              <w:rPr>
                <w:sz w:val="4"/>
                <w:szCs w:val="4"/>
              </w:rPr>
            </w:pPr>
            <w:r>
              <w:rPr>
                <w:sz w:val="4"/>
                <w:szCs w:val="4"/>
              </w:rPr>
            </w:r>
          </w:p>
        </w:tc>
        <w:tc>
          <w:tcPr>
            <w:tcW w:w="7232" w:type="dxa"/>
            <w:gridSpan w:val="2"/>
            <w:tcBorders/>
            <w:vAlign w:val="center"/>
          </w:tcPr>
          <w:p>
            <w:pPr>
              <w:pStyle w:val="TableContents"/>
              <w:bidi w:val="0"/>
              <w:spacing w:before="0" w:after="283"/>
              <w:jc w:val="left"/>
              <w:rPr>
                <w:sz w:val="4"/>
                <w:szCs w:val="4"/>
              </w:rPr>
            </w:pPr>
            <w:r>
              <w:rPr>
                <w:sz w:val="4"/>
                <w:szCs w:val="4"/>
              </w:rPr>
            </w:r>
          </w:p>
        </w:tc>
      </w:tr>
      <w:tr>
        <w:trPr/>
        <w:tc>
          <w:tcPr>
            <w:tcW w:w="2973" w:type="dxa"/>
            <w:tcBorders/>
          </w:tcPr>
          <w:p>
            <w:pPr>
              <w:pStyle w:val="TableContents"/>
              <w:bidi w:val="0"/>
              <w:spacing w:before="0" w:after="283"/>
              <w:jc w:val="left"/>
              <w:rPr/>
            </w:pPr>
            <w:r>
              <w:rPr/>
              <w:t>Directors:</w:t>
            </w:r>
          </w:p>
        </w:tc>
        <w:tc>
          <w:tcPr>
            <w:tcW w:w="122"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283"/>
              <w:jc w:val="left"/>
              <w:rPr/>
            </w:pPr>
            <w:r>
              <w:rPr/>
              <w:t>Stephan Schwenk (with sole power to represent the company and released from the restrictions of Section 181 German Civil Code (</w:t>
            </w:r>
            <w:r>
              <w:rPr>
                <w:b/>
              </w:rPr>
              <w:t>BGB</w:t>
            </w:r>
            <w:r>
              <w:rPr/>
              <w:t>) to represent the company in transactions with himself and as a representative of a third party)</w:t>
            </w:r>
          </w:p>
        </w:tc>
      </w:tr>
      <w:tr>
        <w:trPr>
          <w:trHeight w:val="120" w:hRule="atLeast"/>
        </w:trPr>
        <w:tc>
          <w:tcPr>
            <w:tcW w:w="2973" w:type="dxa"/>
            <w:tcBorders/>
            <w:vAlign w:val="center"/>
          </w:tcPr>
          <w:p>
            <w:pPr>
              <w:pStyle w:val="TableContents"/>
              <w:bidi w:val="0"/>
              <w:spacing w:before="0" w:after="283"/>
              <w:jc w:val="left"/>
              <w:rPr>
                <w:sz w:val="4"/>
                <w:szCs w:val="4"/>
              </w:rPr>
            </w:pPr>
            <w:r>
              <w:rPr>
                <w:sz w:val="4"/>
                <w:szCs w:val="4"/>
              </w:rPr>
            </w:r>
          </w:p>
        </w:tc>
        <w:tc>
          <w:tcPr>
            <w:tcW w:w="7232" w:type="dxa"/>
            <w:gridSpan w:val="2"/>
            <w:tcBorders/>
            <w:vAlign w:val="center"/>
          </w:tcPr>
          <w:p>
            <w:pPr>
              <w:pStyle w:val="TableContents"/>
              <w:bidi w:val="0"/>
              <w:spacing w:before="0" w:after="283"/>
              <w:jc w:val="left"/>
              <w:rPr>
                <w:sz w:val="4"/>
                <w:szCs w:val="4"/>
              </w:rPr>
            </w:pPr>
            <w:r>
              <w:rPr>
                <w:sz w:val="4"/>
                <w:szCs w:val="4"/>
              </w:rPr>
            </w:r>
          </w:p>
        </w:tc>
      </w:tr>
      <w:tr>
        <w:trPr/>
        <w:tc>
          <w:tcPr>
            <w:tcW w:w="2973" w:type="dxa"/>
            <w:tcBorders/>
          </w:tcPr>
          <w:p>
            <w:pPr>
              <w:pStyle w:val="TableContents"/>
              <w:bidi w:val="0"/>
              <w:spacing w:before="0" w:after="283"/>
              <w:jc w:val="left"/>
              <w:rPr/>
            </w:pPr>
            <w:r>
              <w:rPr/>
              <w:t>Accounting reference date:</w:t>
            </w:r>
          </w:p>
        </w:tc>
        <w:tc>
          <w:tcPr>
            <w:tcW w:w="122"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283"/>
              <w:jc w:val="left"/>
              <w:rPr/>
            </w:pPr>
            <w:r>
              <w:rPr/>
              <w:t>calendar year (1 January  31 December)</w:t>
            </w:r>
          </w:p>
        </w:tc>
      </w:tr>
      <w:tr>
        <w:trPr>
          <w:trHeight w:val="120" w:hRule="atLeast"/>
        </w:trPr>
        <w:tc>
          <w:tcPr>
            <w:tcW w:w="2973" w:type="dxa"/>
            <w:tcBorders/>
            <w:vAlign w:val="center"/>
          </w:tcPr>
          <w:p>
            <w:pPr>
              <w:pStyle w:val="TableContents"/>
              <w:bidi w:val="0"/>
              <w:spacing w:before="0" w:after="283"/>
              <w:jc w:val="left"/>
              <w:rPr>
                <w:sz w:val="4"/>
                <w:szCs w:val="4"/>
              </w:rPr>
            </w:pPr>
            <w:r>
              <w:rPr>
                <w:sz w:val="4"/>
                <w:szCs w:val="4"/>
              </w:rPr>
            </w:r>
          </w:p>
        </w:tc>
        <w:tc>
          <w:tcPr>
            <w:tcW w:w="7232" w:type="dxa"/>
            <w:gridSpan w:val="2"/>
            <w:tcBorders/>
            <w:vAlign w:val="center"/>
          </w:tcPr>
          <w:p>
            <w:pPr>
              <w:pStyle w:val="TableContents"/>
              <w:bidi w:val="0"/>
              <w:spacing w:before="0" w:after="283"/>
              <w:jc w:val="left"/>
              <w:rPr>
                <w:sz w:val="4"/>
                <w:szCs w:val="4"/>
              </w:rPr>
            </w:pPr>
            <w:r>
              <w:rPr>
                <w:sz w:val="4"/>
                <w:szCs w:val="4"/>
              </w:rPr>
            </w:r>
          </w:p>
        </w:tc>
      </w:tr>
      <w:tr>
        <w:trPr/>
        <w:tc>
          <w:tcPr>
            <w:tcW w:w="2973" w:type="dxa"/>
            <w:tcBorders/>
          </w:tcPr>
          <w:p>
            <w:pPr>
              <w:pStyle w:val="TableContents"/>
              <w:bidi w:val="0"/>
              <w:spacing w:before="0" w:after="283"/>
              <w:jc w:val="left"/>
              <w:rPr/>
            </w:pPr>
            <w:r>
              <w:rPr/>
              <w:t>Last accounts:</w:t>
            </w:r>
          </w:p>
        </w:tc>
        <w:tc>
          <w:tcPr>
            <w:tcW w:w="122"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283"/>
              <w:jc w:val="left"/>
              <w:rPr/>
            </w:pPr>
            <w:r>
              <w:rPr/>
              <w:t>31 December 2022</w:t>
            </w:r>
          </w:p>
        </w:tc>
      </w:tr>
      <w:tr>
        <w:trPr>
          <w:trHeight w:val="120" w:hRule="atLeast"/>
        </w:trPr>
        <w:tc>
          <w:tcPr>
            <w:tcW w:w="2973" w:type="dxa"/>
            <w:tcBorders/>
            <w:vAlign w:val="center"/>
          </w:tcPr>
          <w:p>
            <w:pPr>
              <w:pStyle w:val="TableContents"/>
              <w:bidi w:val="0"/>
              <w:spacing w:before="0" w:after="283"/>
              <w:jc w:val="left"/>
              <w:rPr>
                <w:sz w:val="4"/>
                <w:szCs w:val="4"/>
              </w:rPr>
            </w:pPr>
            <w:r>
              <w:rPr>
                <w:sz w:val="4"/>
                <w:szCs w:val="4"/>
              </w:rPr>
            </w:r>
          </w:p>
        </w:tc>
        <w:tc>
          <w:tcPr>
            <w:tcW w:w="7232" w:type="dxa"/>
            <w:gridSpan w:val="2"/>
            <w:tcBorders/>
            <w:vAlign w:val="center"/>
          </w:tcPr>
          <w:p>
            <w:pPr>
              <w:pStyle w:val="TableContents"/>
              <w:bidi w:val="0"/>
              <w:spacing w:before="0" w:after="283"/>
              <w:jc w:val="left"/>
              <w:rPr>
                <w:sz w:val="4"/>
                <w:szCs w:val="4"/>
              </w:rPr>
            </w:pPr>
            <w:r>
              <w:rPr>
                <w:sz w:val="4"/>
                <w:szCs w:val="4"/>
              </w:rPr>
            </w:r>
          </w:p>
        </w:tc>
      </w:tr>
      <w:tr>
        <w:trPr/>
        <w:tc>
          <w:tcPr>
            <w:tcW w:w="2973" w:type="dxa"/>
            <w:tcBorders/>
          </w:tcPr>
          <w:p>
            <w:pPr>
              <w:pStyle w:val="TableContents"/>
              <w:bidi w:val="0"/>
              <w:spacing w:before="0" w:after="283"/>
              <w:jc w:val="left"/>
              <w:rPr/>
            </w:pPr>
            <w:r>
              <w:rPr/>
              <w:t>Charges:</w:t>
            </w:r>
          </w:p>
        </w:tc>
        <w:tc>
          <w:tcPr>
            <w:tcW w:w="122"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283"/>
              <w:jc w:val="left"/>
              <w:rPr/>
            </w:pPr>
            <w:r>
              <w:rPr/>
              <w:t>None.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2 </w:t>
      </w:r>
    </w:p>
    <w:p>
      <w:pPr>
        <w:pStyle w:val="TextBody"/>
        <w:bidi w:val="0"/>
        <w:spacing w:before="120" w:after="0"/>
        <w:jc w:val="center"/>
        <w:rPr>
          <w:rFonts w:ascii="Times New Roman" w:hAnsi="Times New Roman"/>
          <w:b/>
          <w:sz w:val="20"/>
        </w:rPr>
      </w:pPr>
      <w:r>
        <w:rPr>
          <w:rFonts w:ascii="Times New Roman" w:hAnsi="Times New Roman"/>
          <w:b/>
          <w:sz w:val="20"/>
        </w:rPr>
        <w:t xml:space="preserve">Warranties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Part 1  Title and authorisation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Title and matters affecting the Sale Shares and shares in Subsidiary</w:t>
            </w:r>
            <w:r>
              <w:rPr>
                <w:rFonts w:ascii="Times New Roman" w:hAnsi="Times New Roman"/>
                <w:sz w:val="20"/>
              </w:rPr>
              <w:t xml:space="preserve"> </w:t>
            </w:r>
            <w:r>
              <w:rPr>
                <w:rFonts w:ascii="Times New Roman" w:hAnsi="Times New Roman"/>
                <w:i/>
                <w:sz w:val="20"/>
              </w:rPr>
              <w:t>Undertakings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Sellers are the sole legal and beneficial owners of and are entitled to transfer legal and beneficial title to, the Sale Shares all of which are fully paid and have not been repaid in any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Shares constitute the whole of the issued share capital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person has any right to call for the allotment, conversion, or transfer of any share or loan capital and there are no encumbrances on the shares of the Company. No Claim has been made by any person to be entitled to any of the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not reduced, redeemed or purchased any of its own share capital or passed any resolutions authorising such reduction, redemption or purchase.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Sellers has power to enter into and to perform its obligations under this document and each document to be executed pursuant to it or in connection with it to which he is party which will, when executed, constitute binding obligations on him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and delivery of, and the performance by each of the Sellers of its obligations under, each Transaction Document to which it is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require the consent of any third party save as specified in clause 7.1;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result in a breach of or entitle any third party to terminate or avoid any agreement, arrangement, order, judgment or decree of any court or any governmental agency to which he is a party or by which it or any of its assets is bound or from which he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Part 2Accounting and financial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The Accounts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audited (and where relevant consolidated) accounts (the </w:t>
            </w:r>
            <w:r>
              <w:rPr>
                <w:rFonts w:ascii="Times New Roman" w:hAnsi="Times New Roman"/>
                <w:b/>
                <w:sz w:val="20"/>
              </w:rPr>
              <w:t>Accounts</w:t>
            </w:r>
            <w:r>
              <w:rPr>
                <w:rFonts w:ascii="Times New Roman" w:hAnsi="Times New Roman"/>
                <w:sz w:val="20"/>
              </w:rPr>
              <w:t>) of the Company for the financial year ended 31 December 2022 (the </w:t>
            </w:r>
            <w:r>
              <w:rPr>
                <w:rFonts w:ascii="Times New Roman" w:hAnsi="Times New Roman"/>
                <w:b/>
                <w:sz w:val="20"/>
              </w:rPr>
              <w:t>Accounts Date</w:t>
            </w:r>
            <w:r>
              <w:rPr>
                <w:rFonts w:ascii="Times New Roman" w:hAnsi="Times New Roman"/>
                <w:sz w:val="20"/>
              </w:rPr>
              <w:t xml:space="preserve">) have been prepared in accordance with all applicable laws and applicable accounting standards give a true and fair view of the assets and the liabilities of the Company at the Accounts Date and of the profits or losses for the periods concerned.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rPr>
              <w:t>Accounting and other records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statutory books, books of account and other records of the Company have been maintained in accordance with all applicable legal requirements and they are and all documents of title and copies of all subsisting agreements to which the Company is a party are in its possession or control.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Indebtedness, liabilities and solvency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no liabilities (including contingent) except liabilities for which provision has been made in the Accounts or incurred in the ordinary course since the Accounts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not outstanding any guarantee, indemnity, suretyship or comfort (whether or not legally binding) given by or for the benefit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not entered into or is likely to enter into any insolvency related procedure and no arrangement with creditors of the Company has been proposed.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debts owing to the Company from the Sellers, any director of the Company or from any Associate of the Seller or of any such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3.</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Part 3  General commercial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Information Provided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information contained in the introduction and in Schedule 1 of this document is accurate and complete.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Assets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assets and rights owned or leased by the Company comprise all of the assets and rights needed for the carrying on of the business of the Company as currently carried on and as carried on by the Sellers in the last 12 months and by the Sellers and/or the Company in the 12 months prior to and as at Completion.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Business and contractual arrangements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capital commitments have been entered into by the Company involving capital expenditure of over EUR150,000.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or has not, outside the ordinary course of business of the Company, in the three years ending on the date of this document been party to any commitment, contract or arrangement: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which is unusual, long-term (namely taking more than six months to perform or not terminable on six months notice or less), onerous, not wholly on an arms length basis or not in the ordinary course of day-to-day trading;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contracts, leases, tenancies, licences, concessions to which the Company is a party create binding and enforceable obligations of the parties to them and there are no grounds for rescission, avoidance or repudiation of any of them and no notice of termination or of an intention to terminate has been received in respect of any of them. The Company </w:t>
            </w:r>
            <w:r>
              <w:rPr>
                <w:rFonts w:ascii="Times New Roman" w:hAnsi="Times New Roman"/>
                <w:sz w:val="20"/>
                <w:u w:val="single"/>
              </w:rPr>
              <w:t>does</w:t>
            </w:r>
            <w:r>
              <w:rPr>
                <w:rFonts w:ascii="Times New Roman" w:hAnsi="Times New Roman"/>
                <w:sz w:val="20"/>
              </w:rPr>
              <w:t xml:space="preserve"> not own any real estate.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not received any loans from any governmental authority in the period from 1 January 2018 until the date of this document, including any loans within the context of the Corona virus pandemic.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Legal compliance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or has not been in breach of any applicable law or regulations or its constitutional documents and there is no investigation or enquiry by, or order, decree, decision or judgment of, any court, tribunal, arbitrator, governmental agency or regulatory body outstanding or anticipated against the Company, with respect to an alleged failure to comply with any such applicable law, regulation or constitutional document.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approvals and authorities needed for the carrying on of the businesses and operations of the Company as now carried are in force, are not limited in duration nor subject to onerous conditions, have been complied with and are not likely to be suspended, cancelled or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Insurance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required insurances for the operations of the business of the Company are in place and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all such insurances: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policies are in force and no circumstances exist which would render any of them void or unenforceable, nor is there anything entitling insurers to decline to any claim made under the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claim is outstanding, and no circumstance exists which is likely to give rise to any such claim.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Litigation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 not involved in any claim, prosecution, investigation, enquiry or arbitration exceeding an amount of EUR20,000 and none is pending or threatened by or against any Group Company. The Sellers declare to be liable for any unforeseen claim against the Company exceeding the threshold of EUR20,000, but only for the amount exceeding EUR20,000.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Conduct of business since the Accounts Date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Since the Accounts Date as regards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no material adverse change in its financial position or trading prospects, profits or turnover and nothing has occurred or is likely to occur which will give rise to such a change;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day to day trading has been carried on in its ordinary course so as to maintain the business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not entered into any transaction or assumed or incurred any material liabilities or made any payment not provided for in the Accounts otherwise than in the ordinary course of carrying on its day to day 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dividend or other distribution has been declared, made or paid to its members nor has any payment been made of the purchase or redemption of any share or loan capital, or the payment of any other nature to any Seller or any Associate of any Seller (including without limitation bonuses or other compensation save as provided for in the Accounts or Management Accounts) there has been no guarantee or indemnity given for the benefit of any Seller or an Associate and no waiver or release of any amount owing by any Seller or an Associate.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Consequence of share acquisition by the Buyer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Seller is aware that the sale of the Sale Shares by the Sellers (or any of them)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the Company to lose the benefit of any material licence, consent, permit, approval or authorisation (public or private) or any right (including any Intellectual Property right) or privilege it presently enjoys or relieve any person of any obligation to the Company or enable any person to terminate or modify any material contractual right or benefit now enjoyed by the Company or to exercise any right against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 in a breach of, or constitute a default under any order, judgment or decree by which the Company is bound;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 in a breach of, or constitute a default under any material agreement, understanding, arrangement or instrument to which the Company is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Seller has not been informed or is otherwise aware that any person who now has business dealings with the Company may cease to do so following the sale of the Sale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Part 4Intellectual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Ownership, title and adequacy of Intellectual Property rights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Intellectual Property used or exploited by the Company (other than the Radio Licences) is either legally and beneficially owned by or validly licensed in writing to the Company and, where owned,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subsisting and 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infringed or attacked or opposed by any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subject to anything restricting its use by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claims have been made and so far as the Sellers are aware, no claims are pending which if pursued or granted might be material to the accuracy of any of the statements made in this Warranty 4.1(a).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not done or omitted to do any act which has resulted, or which may result in a breach or infringement of a third partys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not granted any licence, right or permission under or in respect of any of the Intellectual Property rights used in connection with the business of the Company to any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have not been any claims or allegations made by or against any third party alleging infringement of any of the Intellectual Property rights owned or used by any Company and there are no facts matters or circumstances, which could give rise to any such claim or allegation.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no breach by any party of any agreement to which the Company is a party and under which Intellectual Property is licensed to or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owns all Intellectual Property (other than the Radio Licences) which the Company will require in order fully to carry on the business and deal with the assets of the Company in the manner and places it has been carried on and dealt with up to the date of this document and up to Completion and by the Sellers in the 12 months prior to the date of this document and between the date hereof and Completion.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Data protection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complies and has at all relevant times complied with all Data Protection Laws. </w:t>
            </w:r>
            <w:r>
              <w:rPr>
                <w:rFonts w:ascii="Times New Roman" w:hAnsi="Times New Roman"/>
                <w:b/>
                <w:sz w:val="20"/>
              </w:rPr>
              <w:t>Data Protection Laws</w:t>
            </w:r>
            <w:r>
              <w:rPr>
                <w:rFonts w:ascii="Times New Roman" w:hAnsi="Times New Roman"/>
                <w:sz w:val="20"/>
              </w:rPr>
              <w:t xml:space="preserve"> means (i) the General Data Protection Regulation 2016 (EU) 2016/679 and (ii) all other applicable laws and regulations relating to data protection and privacy, and (iii) all related statutory codes of practice and guidance issued by any body (governmental, regulatory or otherwise) with authority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not received any notice or complaint from any individual or regulatory authority alleging non-compliance with any Data Protection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Part 5Employees and consultants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Particulars of the identity, job title and position, dates of commencement of employment and/or appointment to office, age, notice period, salary, benefits, confidentiality obligations and all other terms and conditions of employment or engagement of each director, consultant and employee of the Company have been supplied to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not involved in, and there are no circumstances likely to give rise to, any industrial or trade dispute or any dispute or negotiation with any trade union or other body representing any of the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not in existence nor is it proposed to introduce any share incentive, share option, profit sharing, bonus or other incentive, arrangements for or affecting any employees or former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person has been or is employed or engaged by the Company who, at any time during employment or engagement, did not or does not have appropriate immigration permission to work in any country in which they work or is otherwise in breach of any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Part 6  Taxation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notices, returns, reports, accounts, computations, statements, assessments, claims, disclaimers, elections and registrations and any other necessary information which have, or should have, been submitted by the Company or any Subsidiary Undertaking to any tax authority for the purposes of tax have been made on a proper basis, were submitted within applicable time limits and were accurate and complete in all material respects. None of the above is, or is likely to be, the subject of any material dispute with any tax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tax (whether of Germany or elsewhere), for which the Company has been liable to account, has been duly and timely paid (insofar as such tax ought to have been paid) and no penalties, fines, surcharges or interest have been incurred.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maintains complete and accurate records, invoices and other information in relation to tax, that meet all legal requirements and enable the tax liabilities of the Company to be calculated accurately in all material respects.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3 </w:t>
      </w:r>
    </w:p>
    <w:p>
      <w:pPr>
        <w:pStyle w:val="TextBody"/>
        <w:bidi w:val="0"/>
        <w:spacing w:before="120" w:after="0"/>
        <w:jc w:val="center"/>
        <w:rPr>
          <w:rFonts w:ascii="Times New Roman" w:hAnsi="Times New Roman"/>
          <w:b/>
          <w:sz w:val="20"/>
        </w:rPr>
      </w:pPr>
      <w:r>
        <w:rPr>
          <w:rFonts w:ascii="Times New Roman" w:hAnsi="Times New Roman"/>
          <w:b/>
          <w:sz w:val="20"/>
        </w:rPr>
        <w:t xml:space="preserve">Acts requiring consent of the Buyer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extending, granting or issuing or agreeing to create, extend or issue any mortgage, charge, debenture or other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or allotting or agreeing to create or allot any share or loan capital or other security or giving or agreeing to give any option in respect of such share or loan capital or other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or agreeing to enter into or terminate any contract which is material to the business of the Company being a contract under which costs payable by the Company or attributable to the contract and expected to be incurred by the Company are reasonably expected to be in excess of EUR50,000 per annum.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Departing from the scope or manner of conducting its day-to-day 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Setting the budget for the period after the date hereof and after Completion or making any change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or agreeing to pay to its directors, officers, or employees or consultants or any of them any remuneration or other emoluments or benefits or entering into any agreement with any member of the Management Team or any Affiliate of any of them other than as agreed with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Acquiring any assets on hire-purchase or deferred terms otherwise than in the ordinary course of day-to-day 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Disposing of any part of its fixed assets having a value greater than EUR50,000.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Permitting any liens to arise on any of its assets otherwise than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Writing off or releasing any debt in excess of EUR20,000.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Knowingly permitting any of its normal insurances to lapse or doing anything to make any of its policies of insurance void or voidable.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Declaring any dividend or making any distribution whether of capital or of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Borrowing any money or incurring any credit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Compromising or settling any legal or arbitration proceedings exceeding an amount of EUR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any loan or other advance to any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Dismissing any sales or marketing employee or asking or requiring such employee to work on terms which will result in that employee being entitled to claim that they have been constructively dismissed.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Disposing or attempting to dispose of any interest in any share or other security in the share capital of any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Capitalising, repaying or making any other form of distribution of any amount standing to the credit of any reserve or redeeming or purchasing any of its own shares or making any other reorganisation of share capital or change to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Admitting any person whether by subscription or transfer as a new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Selling or disposing of or granting any option in respect of any part of its business or assets save in the ordinary course of 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Granting a licence to any Intellectual Property or varying the terms of any agreement related to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Amalgamating or merging with any other company or concern or acquiring any shares in any other company or being party to any merger, contribution or spin off or participating in any partnerships or joint venture.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Acquiring or disposing of any interest in any freehold or leasehold property or granting or acquiring any option relating to any such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Assigning, factoring or otherwise disposing of any of its book debts.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Giving any guarantee or indemnity exceeding EUR50,000 or guarantees or indemnities exceeding EUR200,000 in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Altering any mandate given to its bankers relating to any matter concerning the operation of the bank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Delegating any of the powers or duties of the relevant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Appointing new auditors or removing the existing auditors.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Permitting any insurance policy of any Group Company to expire without being renewed or replaced by another policy of insurance on terms that are reasonable in light of current insurance market conditions.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4 </w:t>
      </w:r>
    </w:p>
    <w:p>
      <w:pPr>
        <w:pStyle w:val="TextBody"/>
        <w:bidi w:val="0"/>
        <w:spacing w:before="120" w:after="0"/>
        <w:jc w:val="center"/>
        <w:rPr>
          <w:rFonts w:ascii="Times New Roman" w:hAnsi="Times New Roman"/>
          <w:b/>
          <w:sz w:val="20"/>
        </w:rPr>
      </w:pPr>
      <w:r>
        <w:rPr>
          <w:rFonts w:ascii="Times New Roman" w:hAnsi="Times New Roman"/>
          <w:b/>
          <w:sz w:val="20"/>
        </w:rPr>
        <w:t xml:space="preserve">Buyer Warranties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Buyer is duly incorporated and validly existing under the laws of England and Wales and has all requisite corporate power and authority to own its assets and to carry out its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Buyer has all requisite corporate power and authority and has been duly authorized by all necessary corporate actions to enter into and perform this agreement and the legal transactions (</w:t>
            </w:r>
            <w:r>
              <w:rPr>
                <w:rFonts w:ascii="Times New Roman" w:hAnsi="Times New Roman"/>
                <w:i/>
                <w:sz w:val="20"/>
              </w:rPr>
              <w:t>Rechtsgeschafte</w:t>
            </w:r>
            <w:r>
              <w:rPr>
                <w:rFonts w:ascii="Times New Roman" w:hAnsi="Times New Roman"/>
                <w:sz w:val="20"/>
              </w:rPr>
              <w:t xml:space="preserve">) contemplated herein (other than the Demerger).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and performance by the Buyer of this agreement and the consummation of the legal transactions contemplated herein do not violate the Buyers articles of association, by-laws or internal rules of management and do not violate any applicable statutory provision, judgment, injunction or other rule binding upon the Buyer, and there are no legal, investigation or other proceedings pending against, or to the Buyers knowledge threatened against, the Buyer before any court, arbitration tribunal or governmental authority which in any manner challenges or seeks to prevent, alter or delay the legal transaction contemplated in this agreement but subject to and without prejudice to clauses 7.1 and 7.2 and without giving any warranty as to the applicability or not of merger control and/or foreign direct investment notification or other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Completion the Consideration Shares shall be validly allotted and issued by the Buyer in accordance with and subject to the articles of association or equivalent constitutional documents of the Buyer and otherwise free from any liens or encumbrances imposed by the Buyer (other than as may arise or exist by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p>
    <w:p>
      <w:pPr>
        <w:pStyle w:val="TextBody"/>
        <w:bidi w:val="0"/>
        <w:spacing w:before="0" w:after="0"/>
        <w:jc w:val="right"/>
        <w:rPr>
          <w:rFonts w:ascii="Times New Roman" w:hAnsi="Times New Roman"/>
          <w:b/>
          <w:sz w:val="20"/>
        </w:rPr>
      </w:pPr>
      <w:bookmarkStart w:id="67" w:name="d309194dex231.htm"/>
      <w:bookmarkStart w:id="68" w:name="ksd309194dex231"/>
      <w:bookmarkEnd w:id="67"/>
      <w:bookmarkEnd w:id="68"/>
      <w:r>
        <w:rPr>
          <w:rFonts w:ascii="Times New Roman" w:hAnsi="Times New Roman"/>
          <w:b/>
          <w:sz w:val="20"/>
        </w:rPr>
        <w:t xml:space="preserve">Exhibit 23.1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7058025" cy="9334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3"/>
                    <a:stretch>
                      <a:fillRect/>
                    </a:stretch>
                  </pic:blipFill>
                  <pic:spPr bwMode="auto">
                    <a:xfrm>
                      <a:off x="0" y="0"/>
                      <a:ext cx="7058025" cy="93345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in this Registration Statement on Form F-4 of Rezolve AI Limited of our report dated June 13, 2023, relating to the carve-out consolidated financial statements of Rezolve AI Limited. We also consent to the reference to us under the heading Experts in such Registration Statement. </w:t>
      </w:r>
    </w:p>
    <w:p>
      <w:pPr>
        <w:pStyle w:val="TextBody"/>
        <w:bidi w:val="0"/>
        <w:spacing w:before="0" w:after="0"/>
        <w:jc w:val="left"/>
        <w:rPr/>
      </w:pPr>
      <w:r>
        <w:rPr/>
        <w:t> </w:t>
      </w:r>
    </w:p>
    <w:p>
      <w:pPr>
        <w:pStyle w:val="TextBody"/>
        <w:bidi w:val="0"/>
        <w:spacing w:before="0" w:after="0"/>
        <w:jc w:val="left"/>
        <w:rPr/>
      </w:pPr>
      <w:r>
        <w:rPr/>
        <w:drawing>
          <wp:inline distT="0" distB="0" distL="0" distR="0">
            <wp:extent cx="3095625" cy="1333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4"/>
                    <a:stretch>
                      <a:fillRect/>
                    </a:stretch>
                  </pic:blipFill>
                  <pic:spPr bwMode="auto">
                    <a:xfrm>
                      <a:off x="0" y="0"/>
                      <a:ext cx="3095625" cy="13335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left"/>
              <w:rPr>
                <w:rFonts w:ascii="Times New Roman" w:hAnsi="Times New Roman"/>
                <w:sz w:val="20"/>
              </w:rPr>
            </w:pPr>
            <w:r>
              <w:rPr>
                <w:rFonts w:ascii="Times New Roman" w:hAnsi="Times New Roman"/>
                <w:sz w:val="20"/>
              </w:rPr>
              <w:t>New York, New York</w:t>
            </w:r>
          </w:p>
          <w:p>
            <w:pPr>
              <w:pStyle w:val="TableContents"/>
              <w:bidi w:val="0"/>
              <w:spacing w:before="0" w:after="20"/>
              <w:jc w:val="left"/>
              <w:rPr>
                <w:rFonts w:ascii="Times New Roman" w:hAnsi="Times New Roman"/>
                <w:sz w:val="20"/>
              </w:rPr>
            </w:pPr>
            <w:r>
              <w:rPr>
                <w:rFonts w:ascii="Times New Roman" w:hAnsi="Times New Roman"/>
                <w:sz w:val="20"/>
              </w:rPr>
              <w:t>August 9, 2023</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0"/>
              <w:jc w:val="left"/>
              <w:rPr/>
            </w:pPr>
            <w:r>
              <w:rPr/>
              <w:drawing>
                <wp:inline distT="0" distB="0" distL="0" distR="0">
                  <wp:extent cx="2619375" cy="10763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5"/>
                          <a:stretch>
                            <a:fillRect/>
                          </a:stretch>
                        </pic:blipFill>
                        <pic:spPr bwMode="auto">
                          <a:xfrm>
                            <a:off x="0" y="0"/>
                            <a:ext cx="2619375" cy="10763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6772275" cy="8858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6"/>
                    <a:stretch>
                      <a:fillRect/>
                    </a:stretch>
                  </pic:blipFill>
                  <pic:spPr bwMode="auto">
                    <a:xfrm>
                      <a:off x="0" y="0"/>
                      <a:ext cx="6772275" cy="885825"/>
                    </a:xfrm>
                    <a:prstGeom prst="rect">
                      <a:avLst/>
                    </a:prstGeom>
                  </pic:spPr>
                </pic:pic>
              </a:graphicData>
            </a:graphic>
          </wp:inline>
        </w:drawing>
      </w:r>
      <w:r>
        <w:rPr/>
        <w:t xml:space="preserve"> </w:t>
      </w:r>
    </w:p>
    <w:p>
      <w:pPr>
        <w:pStyle w:val="TextBody"/>
        <w:bidi w:val="0"/>
        <w:spacing w:before="0" w:after="0"/>
        <w:jc w:val="right"/>
        <w:rPr>
          <w:rFonts w:ascii="Times New Roman" w:hAnsi="Times New Roman"/>
          <w:b/>
          <w:sz w:val="20"/>
        </w:rPr>
      </w:pPr>
      <w:bookmarkStart w:id="69" w:name="d309194dex232.htm"/>
      <w:bookmarkStart w:id="70" w:name="ksd309194dex232"/>
      <w:bookmarkEnd w:id="69"/>
      <w:bookmarkEnd w:id="70"/>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INDEPENDENT REGISTERED PUBLIC ACCOUNTING FIRMS CONSENT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inclusion in this Registration Statement of Armada Acquisition Corp. I on Amendment No. 1 to Form F-4 of our report dated December 21, 2022, which includes an explanatory paragraph as to the Armada Acquisition Corp. Is ability to continue as a going concern, with respect to our audits of the financial statements of Armada Acquisition Corp. I as of September 30, 2022 and 2021 and for the year ended September 30, 2022 and for the period from November 5, 2020 (inception) through September 30, 2021, which report appears in the Prospectus, which is part of this Registration Statement. We also consent to the reference to our Firm under the heading Experts in such Prospectus. </w:t>
      </w:r>
    </w:p>
    <w:p>
      <w:pPr>
        <w:pStyle w:val="TextBody"/>
        <w:bidi w:val="0"/>
        <w:spacing w:before="240" w:after="0"/>
        <w:jc w:val="left"/>
        <w:rPr>
          <w:rFonts w:ascii="Times New Roman" w:hAnsi="Times New Roman"/>
          <w:sz w:val="20"/>
        </w:rPr>
      </w:pPr>
      <w:r>
        <w:rPr>
          <w:rFonts w:ascii="Times New Roman" w:hAnsi="Times New Roman"/>
          <w:sz w:val="20"/>
        </w:rPr>
        <w:t xml:space="preserve">/s/ Marcum LLP </w:t>
      </w:r>
    </w:p>
    <w:p>
      <w:pPr>
        <w:pStyle w:val="TextBody"/>
        <w:bidi w:val="0"/>
        <w:spacing w:before="240" w:after="0"/>
        <w:jc w:val="left"/>
        <w:rPr>
          <w:rFonts w:ascii="Times New Roman" w:hAnsi="Times New Roman"/>
          <w:sz w:val="20"/>
        </w:rPr>
      </w:pPr>
      <w:r>
        <w:rPr>
          <w:rFonts w:ascii="Times New Roman" w:hAnsi="Times New Roman"/>
          <w:sz w:val="20"/>
        </w:rPr>
        <w:t xml:space="preserve">Marcum LLP </w:t>
      </w:r>
    </w:p>
    <w:p>
      <w:pPr>
        <w:pStyle w:val="TextBody"/>
        <w:bidi w:val="0"/>
        <w:spacing w:before="0" w:after="0"/>
        <w:jc w:val="left"/>
        <w:rPr>
          <w:rFonts w:ascii="Times New Roman" w:hAnsi="Times New Roman"/>
          <w:sz w:val="20"/>
        </w:rPr>
      </w:pPr>
      <w:r>
        <w:rPr>
          <w:rFonts w:ascii="Times New Roman" w:hAnsi="Times New Roman"/>
          <w:sz w:val="20"/>
        </w:rPr>
        <w:t xml:space="preserve">East Hanover, NJ </w:t>
      </w:r>
    </w:p>
    <w:p>
      <w:pPr>
        <w:pStyle w:val="TextBody"/>
        <w:bidi w:val="0"/>
        <w:spacing w:before="0" w:after="0"/>
        <w:jc w:val="left"/>
        <w:rPr>
          <w:rFonts w:ascii="Times New Roman" w:hAnsi="Times New Roman"/>
          <w:sz w:val="20"/>
        </w:rPr>
      </w:pPr>
      <w:r>
        <w:rPr>
          <w:rFonts w:ascii="Times New Roman" w:hAnsi="Times New Roman"/>
          <w:sz w:val="20"/>
        </w:rPr>
        <w:t xml:space="preserve">August 9, 2023 </w:t>
      </w:r>
    </w:p>
    <w:p>
      <w:pPr>
        <w:pStyle w:val="TextBody"/>
        <w:bidi w:val="0"/>
        <w:spacing w:before="0" w:after="0"/>
        <w:jc w:val="right"/>
        <w:rPr>
          <w:rFonts w:ascii="Times New Roman" w:hAnsi="Times New Roman"/>
          <w:b/>
          <w:sz w:val="20"/>
        </w:rPr>
      </w:pPr>
      <w:bookmarkStart w:id="71" w:name="d309194dex233.htm"/>
      <w:bookmarkStart w:id="72" w:name="ksd309194dex233"/>
      <w:bookmarkEnd w:id="71"/>
      <w:bookmarkEnd w:id="72"/>
      <w:r>
        <w:rPr>
          <w:rFonts w:ascii="Times New Roman" w:hAnsi="Times New Roman"/>
          <w:b/>
          <w:sz w:val="20"/>
        </w:rPr>
        <w:t xml:space="preserve">EXHIBIT 23.3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Consent of Marshall &amp; Stevens Transaction Advisory Services LLC </w:t>
      </w:r>
    </w:p>
    <w:p>
      <w:pPr>
        <w:pStyle w:val="TextBody"/>
        <w:bidi w:val="0"/>
        <w:spacing w:before="120" w:after="0"/>
        <w:jc w:val="left"/>
        <w:rPr>
          <w:rFonts w:ascii="Times New Roman" w:hAnsi="Times New Roman"/>
          <w:sz w:val="20"/>
        </w:rPr>
      </w:pPr>
      <w:r>
        <w:rPr>
          <w:rFonts w:ascii="Times New Roman" w:hAnsi="Times New Roman"/>
          <w:sz w:val="20"/>
        </w:rPr>
        <w:t xml:space="preserve">We hereby consent to the quotation and summarization of our opinion letter to the Board of Directors of Armada Acquisition Corp. I (Armada) in the proxy statement/prospectus contained in the registration statement on Form F-4 relating to the proposed business combination between Armada, Rezolve AI Limited and Rezolve Limited (the Registration Statement), as well as to the references to our firm and such opinion letter contained therein. In giving this consent, we do not admit, and we understand that does not contend,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It is understood that we will not be held out by Armada in the Registration Statement or in any other disclosure document, filing or communication as such an expert. </w:t>
      </w:r>
    </w:p>
    <w:p>
      <w:pPr>
        <w:pStyle w:val="TextBody"/>
        <w:bidi w:val="0"/>
        <w:spacing w:before="0" w:after="0"/>
        <w:jc w:val="left"/>
        <w:rPr/>
      </w:pPr>
      <w:r>
        <w:rPr/>
        <w:t> </w:t>
      </w:r>
    </w:p>
    <w:p>
      <w:pPr>
        <w:pStyle w:val="TextBody"/>
        <w:bidi w:val="0"/>
        <w:spacing w:before="0" w:after="0"/>
        <w:jc w:val="left"/>
        <w:rPr/>
      </w:pPr>
      <w:r>
        <w:rPr/>
        <w:drawing>
          <wp:inline distT="0" distB="0" distL="0" distR="0">
            <wp:extent cx="2286000" cy="514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7"/>
                    <a:stretch>
                      <a:fillRect/>
                    </a:stretch>
                  </pic:blipFill>
                  <pic:spPr bwMode="auto">
                    <a:xfrm>
                      <a:off x="0" y="0"/>
                      <a:ext cx="2286000" cy="514350"/>
                    </a:xfrm>
                    <a:prstGeom prst="rect">
                      <a:avLst/>
                    </a:prstGeom>
                  </pic:spPr>
                </pic:pic>
              </a:graphicData>
            </a:graphic>
          </wp:inline>
        </w:drawing>
      </w:r>
      <w:r>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 Marshall &amp; Stevens Transaction Advisory Services LLC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 xml:space="preserve">August 9, 2023 </w:t>
      </w:r>
    </w:p>
    <w:p>
      <w:pPr>
        <w:pStyle w:val="TextBody"/>
        <w:bidi w:val="0"/>
        <w:spacing w:before="0" w:after="0"/>
        <w:jc w:val="right"/>
        <w:rPr>
          <w:rFonts w:ascii="Times New Roman" w:hAnsi="Times New Roman"/>
          <w:b/>
          <w:sz w:val="20"/>
        </w:rPr>
      </w:pPr>
      <w:bookmarkStart w:id="73" w:name="d309194dex234.htm"/>
      <w:bookmarkStart w:id="74" w:name="ksd309194dex234"/>
      <w:bookmarkEnd w:id="73"/>
      <w:bookmarkEnd w:id="74"/>
      <w:r>
        <w:rPr>
          <w:rFonts w:ascii="Times New Roman" w:hAnsi="Times New Roman"/>
          <w:b/>
          <w:sz w:val="20"/>
        </w:rPr>
        <w:t xml:space="preserve">Exhibit 23.4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NORTHLAND CAPITAL MARKETS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inclusion of our opinion letter, dated March 31, 2022, to the Board of Directors of Armada Acquisition Corp. I as Annex                  to the Proxy Statement/Prospectus which forms a part of the Registration Statement on Form F-4 relating to the proposed business combination between Armada Acquisition Corp. I and Rezolve Limited and to the references to such opinion therein. </w:t>
      </w:r>
    </w:p>
    <w:p>
      <w:pPr>
        <w:pStyle w:val="TextBody"/>
        <w:bidi w:val="0"/>
        <w:spacing w:before="240" w:after="0"/>
        <w:jc w:val="left"/>
        <w:rPr>
          <w:rFonts w:ascii="Times New Roman" w:hAnsi="Times New Roman"/>
          <w:sz w:val="20"/>
        </w:rPr>
      </w:pPr>
      <w:r>
        <w:rPr>
          <w:rFonts w:ascii="Times New Roman" w:hAnsi="Times New Roman"/>
          <w:sz w:val="20"/>
        </w:rPr>
        <w:t xml:space="preserve">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or the rules and regulations of the Securities and Exchange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Northland Capital Markets is the trade name for certain capital markets and investment banking activities of Northland Securities, Inc., member FINRA/SIPC.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Jeff Peterson</w:t>
            </w:r>
          </w:p>
        </w:tc>
      </w:tr>
      <w:tr>
        <w:trPr/>
        <w:tc>
          <w:tcPr>
            <w:tcW w:w="4082" w:type="dxa"/>
            <w:tcBorders/>
          </w:tcPr>
          <w:p>
            <w:pPr>
              <w:pStyle w:val="TableContents"/>
              <w:bidi w:val="0"/>
              <w:spacing w:before="0" w:after="283"/>
              <w:jc w:val="left"/>
              <w:rPr/>
            </w:pPr>
            <w:r>
              <w:rPr/>
              <w:t>NORTHLAND SECURITIES, INC.</w:t>
            </w:r>
          </w:p>
        </w:tc>
      </w:tr>
      <w:tr>
        <w:trPr/>
        <w:tc>
          <w:tcPr>
            <w:tcW w:w="4082" w:type="dxa"/>
            <w:tcBorders/>
          </w:tcPr>
          <w:p>
            <w:pPr>
              <w:pStyle w:val="TableContents"/>
              <w:bidi w:val="0"/>
              <w:spacing w:before="0" w:after="283"/>
              <w:jc w:val="left"/>
              <w:rPr/>
            </w:pPr>
            <w:r>
              <w:rPr/>
              <w:t>Dated: August 9, 2023</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hyperlink" Target="http://www.sec.gov/Archives/edgar/data/1920294/000119312523169136/d309194dex992.htm" TargetMode="External"/><Relationship Id="rId20" Type="http://schemas.openxmlformats.org/officeDocument/2006/relationships/hyperlink" Target="http://www.sec.gov/Archives/edgar/data/1920294/000119312523169136/d309194dex993.htm" TargetMode="External"/><Relationship Id="rId21" Type="http://schemas.openxmlformats.org/officeDocument/2006/relationships/hyperlink" Target="http://www.sec.gov/Archives/edgar/data/1920294/000119312523169136/d309194dexfilingfees.htm" TargetMode="External"/><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435</Pages>
  <Words>241684</Words>
  <Characters>1279593</Characters>
  <CharactersWithSpaces>1531283</CharactersWithSpaces>
  <Paragraphs>26889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EX-23.4</dc:title>
</cp:coreProperties>
</file>