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Penny Minna</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650 S. Exeter Street #1100,</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Baltimore, MD, 21202</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410 580 3000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Wagner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4,698,505.00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4,698,505.00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53,429,933.00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25.65 %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(i) 4,698,505 shares directly held by Daniel Wagner (ii) 37,052,254 shares directly held by DBLP Sea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Cow Limited ("DBLP"); and (iii) 11,679,174 shares issuable to DBLP upon conversion of certain options granted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under the Issuer's Long Term Incentive Plan ("LTIP"). Excludes 3,592,193 shares directly held by DBLP that are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subject to a call option currently exercisable by Brad Wickens, in which DBLP has no voting or investment power over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such shares. Legal title to the shares of DBLP are held solely by Daniel Wagner and beneficially held by John Wagner.</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Daniel Wagner and John Wagner each serves as a director on the board of directors of DBLP and, therefore, may be deemed to share voting and investment power over the shares held by DBLP. (2) All percentage calculations herein are based on 208,295,754 Ordinary Shares outstanding as of January 28, 2025, as disclosed in the Issuer's Form F-1/A filed January 29,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Wagner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815,989.00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815,989.00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49,547,417.00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23.79 %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(i) 815,989 shares directly held by John Wagner (ii) 37,052,254 shares directly held by DBLP; and (iii)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11,679,174 shares issuable to DBLP upon exercise of certain options granted under the LTIP. Excludes 3,592,193</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shares directly held by DBLP that are subject to a call option currently exercisable by Brad Wickens, in which DBLP</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has no voting or investment power over such shares. Legal title to the shares of DBLP are held solely by Daniel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Wagner and beneficially held by John Wagner. Daniel Wagner and John Wagner each serves as a director on the board</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of directors of DBLP and, therefore, may be deemed to share voting and investment power over the shares held by DBLP. (2) All percentage calculations herein are based on 208,295,754 Ordinary Shares outstanding as of January 28, 2025, as disclosed in the Issuer's Form F-1/A filed January 29,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DBLP Sea Cow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355" w:right="339" w:bottom="62"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62" w:gutter="0" w:footer="0" w:header="0"/>
          <w:type w:val="continuous"/>
        </w:sectPr>
      </w:pPr>
    </w:p>
    <w:bookmarkStart w:id="3" w:name="page4"/>
    <w:bookmarkEnd w:id="3"/>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48,731,428.00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Excludes 3,592,193 shares directly held by DBLP that are subject to a call option currently exercisable by Brad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Wickens, in which DBLP has no voting or investment power over such shares. Legal title to the shares of DBLP are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held solely by Daniel Wagner and beneficially held by John Wagner. Daniel Wagner and John Wagner each serves as a</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director on the board of directors of DBLP and, therefore, may be deemed to share voting and investment power over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the shares held by DBLP. (2) All percentage calculations herein are based on 208,295,754 Ordinary Shares outstanding</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of January 28, 2025, as disclosed in the Issuer's Form F-1/A filed January 29,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Rezolve AI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21 Sackville Street, London, UNITED KINGDOM , WIS 3DN.</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(the "Amendment") amends and supplements the Schedule 13D filed with</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United States Securities and Exchange Commission ("SEC") on August 15, 2024 (the "Original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the Amendment, the "Schedule 13D"), relating to the ordinary shares, par value 0.0001 per share (the "Ordinary Shares"), of Rezolve AI Limited, a private limited liability company registered under the laws of England and Wales with the registration number 14573691 (the "Issuer"), whose principal executive offices are located at 21 Sackville Street, London, WIS 3DN, United Kingdom. Except as specifically provided herein, this Amendment does not modify any of the information previously provided in the Original Schedule 13D. All disclosures in respect of items contained in the Original Schedule 13D where no new information is provided for such item in this Amendment is incorporated herein by reference. Capitalized terms used but not defined in this Amendment shall have the meanings ascribed to such terms in the Original Schedule 13D. This Amendment is being filed to report the following matters: (1) on November 7, 2024, DBLP was granted 11,679,174 options to purchase 11,679,174 shares pursuant to an Option Grant Agreement, dated October 25, 2024 (the "Grant Agreement"), which such award was granted under the LTIP; (2) on December 17, 2024, DBLP was issued 4,150,000 Ordinary Shares of the Issuer upon conversion of that certain previously disclosed Advanced Subscription Agreement between the Issuer and DBLP; (3) on February 20, 2025, DBLP received 819,737 Ordinary Shares of the Issuer in connection with that</w:t>
      </w:r>
    </w:p>
    <w:p>
      <w:pPr>
        <w:sectPr>
          <w:pgSz w:w="11900" w:h="16838" w:orient="portrait"/>
          <w:cols w:equalWidth="0" w:num="1">
            <w:col w:w="11240"/>
          </w:cols>
          <w:pgMar w:left="320" w:top="112" w:right="339" w:bottom="0" w:gutter="0" w:footer="0" w:header="0"/>
        </w:sectPr>
      </w:pPr>
    </w:p>
    <w:bookmarkStart w:id="4" w:name="page5"/>
    <w:bookmarkEnd w:id="4"/>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certain previously disclosed Purchase Agreement between the Issuer and DBLP for the purchase of the entire issued and to be issued share capital of each of Bluedot Industries, Inc., a Delaware corporation, and Bluedot Industries Pty. Ltd., an Australian proprietary limited company registered in Victoria on 7 December 2013 with Australian Company Number 165 206 566 (the "Bluedot Purchase Agreement"); (4) on February 21, 2025, Daniel Wagner executed that certain Deed of Voting Undertaking (the "Voting Agreement") whereby he agreed to vote all of his shares in the Issuer in favor of the Company authorizing the sale of a new series of convertible notes in connection with that certain previously disclosed Securities Purchase Agreement between the Issuer and each of the investors listed on the Schedule of Buyers attached thereto, dated February 21, 2025 (the "Securities Purchase Agreement"); and (5) on March 5, 2025, DBLP purchased 407,994 Ordinary Shares of the Issuer for an aggregate purchase price of $1,221,000. The foregoing description of the Bluedot Purchase Agreement, the Voting Agreement, the Securities Purchase Agreement and the Award Agreement does not purport to be complete and is qualified in its entirety by the full text of the Bluedot Purchase Agreement, the Voting Agreement, the Securities Purchase Agreement and the Award Agreement, which are incorporated by reference herein and are attached as exhibits to this Schedule 13D.</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5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Amendment is being filed jointly by (i) Daniel Wagner; (ii) John Wagner; and (iii) DBLP Sea Cow Limited (each individually, a "Reporting Person", and collectively,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320" w:hanging="912"/>
        <w:spacing w:after="0"/>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2 of the Original Schedule 13D is hereby incorporated by reference in its entirety herein</w:t>
      </w:r>
    </w:p>
    <w:p>
      <w:pPr>
        <w:spacing w:after="0" w:line="91" w:lineRule="exact"/>
        <w:rPr>
          <w:rFonts w:ascii="Times New Roman" w:cs="Times New Roman" w:eastAsia="Times New Roman" w:hAnsi="Times New Roman"/>
          <w:sz w:val="39"/>
          <w:szCs w:val="39"/>
          <w:color w:val="auto"/>
          <w:vertAlign w:val="subscript"/>
        </w:rPr>
      </w:pPr>
    </w:p>
    <w:p>
      <w:pPr>
        <w:ind w:left="920" w:right="320" w:hanging="912"/>
        <w:spacing w:after="0"/>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2 of the Original Schedule 13D is hereby incorporated by reference in its entirety herein</w:t>
      </w:r>
    </w:p>
    <w:p>
      <w:pPr>
        <w:spacing w:after="0" w:line="91" w:lineRule="exact"/>
        <w:rPr>
          <w:rFonts w:ascii="Times New Roman" w:cs="Times New Roman" w:eastAsia="Times New Roman" w:hAnsi="Times New Roman"/>
          <w:sz w:val="39"/>
          <w:szCs w:val="39"/>
          <w:color w:val="auto"/>
          <w:vertAlign w:val="subscript"/>
        </w:rPr>
      </w:pPr>
    </w:p>
    <w:p>
      <w:pPr>
        <w:ind w:left="920" w:right="320" w:hanging="912"/>
        <w:spacing w:after="0"/>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2 of the Original Schedule 13D is hereby incorporated by reference in its entirety herein</w:t>
      </w:r>
    </w:p>
    <w:p>
      <w:pPr>
        <w:spacing w:after="0" w:line="91" w:lineRule="exact"/>
        <w:rPr>
          <w:rFonts w:ascii="Times New Roman" w:cs="Times New Roman" w:eastAsia="Times New Roman" w:hAnsi="Times New Roman"/>
          <w:sz w:val="39"/>
          <w:szCs w:val="39"/>
          <w:color w:val="auto"/>
          <w:vertAlign w:val="subscript"/>
        </w:rPr>
      </w:pPr>
    </w:p>
    <w:p>
      <w:pPr>
        <w:ind w:left="920" w:right="320" w:hanging="912"/>
        <w:spacing w:after="0"/>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2 of the Original Schedule 13D is hereby incorporated by reference in its entirety herein</w:t>
      </w:r>
    </w:p>
    <w:p>
      <w:pPr>
        <w:spacing w:after="0" w:line="91" w:lineRule="exact"/>
        <w:rPr>
          <w:rFonts w:ascii="Times New Roman" w:cs="Times New Roman" w:eastAsia="Times New Roman" w:hAnsi="Times New Roman"/>
          <w:sz w:val="39"/>
          <w:szCs w:val="39"/>
          <w:color w:val="auto"/>
          <w:vertAlign w:val="subscript"/>
        </w:rPr>
      </w:pPr>
    </w:p>
    <w:p>
      <w:pPr>
        <w:ind w:left="920" w:right="320" w:hanging="912"/>
        <w:spacing w:after="0"/>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2 of the Original Schedule 13D is hereby incorporated by reference in its entirety herein</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3" w:lineRule="auto"/>
        <w:rPr>
          <w:sz w:val="20"/>
          <w:szCs w:val="20"/>
          <w:color w:val="auto"/>
        </w:rPr>
      </w:pPr>
      <w:r>
        <w:rPr>
          <w:rFonts w:ascii="Times New Roman" w:cs="Times New Roman" w:eastAsia="Times New Roman" w:hAnsi="Times New Roman"/>
          <w:sz w:val="22"/>
          <w:szCs w:val="22"/>
          <w:color w:val="auto"/>
        </w:rPr>
        <w:t>Item 3 of the Schedule 13D is hereby supplemented as follows: The responses to Items 1, 2, 4, 5 and 6 of this Amendment are incorporated into this Item 3 by reference in their entirety. On November 7, 2024, DBLP was granted 11,679,174 options to purchase 11,679,174 Ordinary Shares of the Issuer pursuant to the Grant Agreement, which such award was granted under the LTIP. The options are currently exercisable within 60 days at an exercise price of 0.0001 per share. On December 17, 2024, DBLP made a subscription of $500,000 to the Issuer pursuant to the Advanced Subscription Agreement. On February 20, 2025 (the "Bluedot Closing Date"), the Issuer closed the previously disclosed transactions in connection with the Bluedot Purchase Agreement. In connection with such transactions, and as consideration for the DBLP's sale of 100% of the issued and outstanding shares of each of Bluedot Industries, Inc. and Bluedot Industries Pty. Ltd. (together, the "Bluedot Companies") to the Issuer, the Issuer issued 819,737 of its Ordinary Shares in a private placement to DBLP. The foregoing description of the Bluedot Purchase Agreement is not complete and is qualified in its entirety by the full text of the Bluedot Purchase Agreement, a copy of which is filed as an exhibit hereto. On March 5, 2025, DBLP purchased 407,994 Ordinary Shares of the Issuer for an aggregate purchase price of $1,221,000.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3" w:lineRule="auto"/>
        <w:rPr>
          <w:sz w:val="20"/>
          <w:szCs w:val="20"/>
          <w:color w:val="auto"/>
        </w:rPr>
      </w:pPr>
      <w:r>
        <w:rPr>
          <w:rFonts w:ascii="Times New Roman" w:cs="Times New Roman" w:eastAsia="Times New Roman" w:hAnsi="Times New Roman"/>
          <w:sz w:val="21"/>
          <w:szCs w:val="21"/>
          <w:color w:val="auto"/>
        </w:rPr>
        <w:t>Item 4 of the Schedule 13D is hereby supplemented as follows: The responses set forth in Items 1, 2, 3, 5 and 6 hereof are incorporated by reference in their entirety.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of Directors with respect to the business and affairs of the Issuer and may from time to time consider pursuing or proposing such matters with advisors, the Issuer, or other persons. On the Bluedot Closing Date, the Issuer closed the transactions pursuant to the Bluedot Purchase Agreement. In connection with such transactions, and as consideration for DBLP's sale of 100% of the issued and outstanding shares of the Bluedot Companies to the Issuer, the Issuer issued to DBLP 819,737 of its Ordinary Shares. The Voting Agreement was entered into in connection with the transactions described in the Securities Purchase Agreement (the "Convertible Note Transaction"). Pursuant to the Voting Agreement, Daniel Wagner, as the beneficial owner of 41,342,765 Ordinary Shares, which represents approximately 19.85% of the Issuer's Ordinary Shares deemed to be outstanding, has agreed to vote, or cause to be voted, all issued and outstanding securities of the Issuer owned or record or beneficially owned by him in favor of (i) the resolutions of the shareholders of the Issuer required to authorize allotment of securities in connection with the Convertible Note Transaction and to disapply pre-emption rights in relation thereto, and (ii) any other resolutions required to implement the Convertible Note Transaction at the Issuer's general shareholders meeting.</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relating to the beneficial ownership of Common Stock by each of the Reporting Persons set forth in Rows 7 through 13 of the cover pages hereto (including the footnotes thereto)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right="1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relating to the beneficial ownership of Common Stock by each of the Reporting Persons set forth in Rows 7 through 13 of the cover pages hereto (including the footnotes thereto) is incorporated by reference.</w:t>
      </w:r>
    </w:p>
    <w:p>
      <w:pPr>
        <w:sectPr>
          <w:pgSz w:w="11900" w:h="16838" w:orient="portrait"/>
          <w:cols w:equalWidth="0" w:num="1">
            <w:col w:w="11160"/>
          </w:cols>
          <w:pgMar w:left="360" w:top="112" w:right="379" w:bottom="0" w:gutter="0" w:footer="0" w:header="0"/>
        </w:sectPr>
      </w:pPr>
    </w:p>
    <w:bookmarkStart w:id="5" w:name="page6"/>
    <w:bookmarkEnd w:id="5"/>
    <w:p>
      <w:pPr>
        <w:ind w:left="920" w:right="340" w:hanging="912"/>
        <w:spacing w:after="0" w:line="256"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have not effected any transactions in the Ordinary Shares during the past 60 days except as disclosed in this Amendment, which information is incorporated by reference in this Item 5(c).</w:t>
      </w: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Items 1 and 2 is incorporated by reference into this Item 5(d).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8" w:lineRule="auto"/>
        <w:rPr>
          <w:sz w:val="20"/>
          <w:szCs w:val="20"/>
          <w:color w:val="auto"/>
        </w:rPr>
      </w:pPr>
      <w:r>
        <w:rPr>
          <w:rFonts w:ascii="Times New Roman" w:cs="Times New Roman" w:eastAsia="Times New Roman" w:hAnsi="Times New Roman"/>
          <w:sz w:val="21"/>
          <w:szCs w:val="21"/>
          <w:color w:val="auto"/>
        </w:rPr>
        <w:t>The information furnished in Items 1, 2, 4, and 5 is incorporated into this Item 6 by reference. Copies of the Purchase Agreement, the Voting Agreement and the Securities Purchase Agreement are attached as exhibits to this Amendment and is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Exhibit 99.1 Option Grant Agreement, dated October 25, 2024 Exhibit 99.2 Purchase Agreement, dated February 4, 2025, by and between Rezolve AI Limited and DBLP Sea Cow Ltd. (incorporated by reference to Exhibit 10.1 of the Issuer's Report on Form 6-K filed with the SEC on February 7, 2025) Exhibit 99.3 Voting agreement between Daniel Wagner and the buyers listed therewith. Exhibit 99.4 Form of Securities Purchase Agreement, dated February 21, 2025, between Rezolve AI Ltd., and each of the investors listed on the Schedule of Buyers attached thereto (incorporated by reference to Exhibit 10.1 of the Issuer's Report on Form 6-K filed with the SEC on February 25, 2025).</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Daniel Wagner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Wagner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Daniel Wagner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John Wagner</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Wagner</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John Wagner</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DBLP Sea Cow Limited</w:t>
      </w:r>
    </w:p>
    <w:p>
      <w:pPr>
        <w:spacing w:after="0" w:line="152"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Wagner</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Daniel Wagner, Chief Executive Officer</w:t>
      </w:r>
    </w:p>
    <w:p>
      <w:pPr>
        <w:spacing w:after="0" w:line="44"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ectPr>
          <w:pgSz w:w="11900" w:h="16838" w:orient="portrait"/>
          <w:cols w:equalWidth="0" w:num="1">
            <w:col w:w="11140"/>
          </w:cols>
          <w:pgMar w:left="360" w:top="111" w:right="399" w:bottom="1440" w:gutter="0" w:footer="0" w:header="0"/>
        </w:sectPr>
      </w:pPr>
    </w:p>
    <w:bookmarkStart w:id="6" w:name="page7"/>
    <w:bookmarkEnd w:id="6"/>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 GRANT AGREEMENT</w:t>
      </w:r>
    </w:p>
    <w:p>
      <w:pPr>
        <w:spacing w:after="0" w:line="9" w:lineRule="exact"/>
        <w:rPr>
          <w:sz w:val="20"/>
          <w:szCs w:val="20"/>
          <w:color w:val="auto"/>
        </w:rPr>
      </w:pPr>
    </w:p>
    <w:p>
      <w:pPr>
        <w:ind w:right="340" w:hanging="9"/>
        <w:spacing w:after="0" w:line="255" w:lineRule="auto"/>
        <w:rPr>
          <w:sz w:val="20"/>
          <w:szCs w:val="20"/>
          <w:color w:val="auto"/>
        </w:rPr>
      </w:pPr>
      <w:r>
        <w:rPr>
          <w:rFonts w:ascii="Times New Roman" w:cs="Times New Roman" w:eastAsia="Times New Roman" w:hAnsi="Times New Roman"/>
          <w:sz w:val="18"/>
          <w:szCs w:val="18"/>
          <w:color w:val="auto"/>
        </w:rPr>
        <w:t>Option agreement dated 25th October 2024 between REZOLVE AI PLC, a company incorporated in England with company number 14573691, whose registered office is at 5 New Street Square, London, United Kingdom, EC4A 3TW (the “</w:t>
      </w:r>
      <w:r>
        <w:rPr>
          <w:rFonts w:ascii="Times New Roman" w:cs="Times New Roman" w:eastAsia="Times New Roman" w:hAnsi="Times New Roman"/>
          <w:sz w:val="18"/>
          <w:szCs w:val="18"/>
          <w:b w:val="1"/>
          <w:bCs w:val="1"/>
          <w:color w:val="auto"/>
        </w:rPr>
        <w:t>Compan</w:t>
      </w:r>
      <w:r>
        <w:rPr>
          <w:rFonts w:ascii="Times New Roman" w:cs="Times New Roman" w:eastAsia="Times New Roman" w:hAnsi="Times New Roman"/>
          <w:sz w:val="18"/>
          <w:szCs w:val="18"/>
          <w:color w:val="auto"/>
        </w:rPr>
        <w:t>y”) and DBLP Seacow, a Company residing in the Seychelles (the “Participant”).</w:t>
      </w:r>
    </w:p>
    <w:p>
      <w:pPr>
        <w:spacing w:after="0" w:line="209" w:lineRule="exact"/>
        <w:rPr>
          <w:sz w:val="20"/>
          <w:szCs w:val="20"/>
          <w:color w:val="auto"/>
        </w:rPr>
      </w:pPr>
    </w:p>
    <w:p>
      <w:pPr>
        <w:ind w:right="280" w:firstLine="103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has adopted a Long Term Incentive Plan (annex B]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it may be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Plan provides for the granting of Options to Option Participants (as defined in the Plan), entitling Option Participants, at their option, to exercise such Option (to the extent permitted by the Plan and this Option Grant Agreement) and receive on settlement of exercised Options, an Option Cash Equivalent (as defined in the Plan), Shares in the capital of the Company or a combination thereof;</w:t>
      </w:r>
    </w:p>
    <w:p>
      <w:pPr>
        <w:spacing w:after="0" w:line="217" w:lineRule="exact"/>
        <w:rPr>
          <w:sz w:val="20"/>
          <w:szCs w:val="20"/>
          <w:color w:val="auto"/>
        </w:rPr>
      </w:pPr>
    </w:p>
    <w:p>
      <w:pPr>
        <w:ind w:right="260" w:firstLine="10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Company desires to continue to receive the benefit of the services of the Participant and to more fully align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interest with the Company’s and its Group Companies' future success;</w:t>
      </w:r>
    </w:p>
    <w:p>
      <w:pPr>
        <w:spacing w:after="0" w:line="182" w:lineRule="exact"/>
        <w:rPr>
          <w:sz w:val="20"/>
          <w:szCs w:val="20"/>
          <w:color w:val="auto"/>
        </w:rPr>
      </w:pPr>
    </w:p>
    <w:p>
      <w:pPr>
        <w:ind w:right="420" w:firstLine="103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the granting of Options to the Participant,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hereinafter provided;</w:t>
      </w:r>
    </w:p>
    <w:p>
      <w:pPr>
        <w:spacing w:after="0" w:line="19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Company desires to grant to the Participant Options upon the terms and conditions hereinafter provided;</w:t>
      </w:r>
    </w:p>
    <w:p>
      <w:pPr>
        <w:spacing w:after="0" w:line="2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capitalized terms used and not otherwise defined in this Grant Agreement shall have the meanings set forth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43" w:lineRule="exact"/>
        <w:rPr>
          <w:sz w:val="20"/>
          <w:szCs w:val="20"/>
          <w:color w:val="auto"/>
        </w:rPr>
      </w:pPr>
    </w:p>
    <w:p>
      <w:pPr>
        <w:ind w:right="740" w:firstLine="103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the mutual agreements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0" w:right="680" w:hanging="488"/>
        <w:spacing w:after="0" w:line="233"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grants to the Participant, as of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2024, subject to the terms and conditions hereinafter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11,679,174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vesting in accordance with</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terms of this Grant Agreement and in accordance with the Plan and with an Option Price of £0.0001 per Share.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000</w:t>
      </w:r>
    </w:p>
    <w:p>
      <w:pPr>
        <w:spacing w:after="0" w:line="310" w:lineRule="exact"/>
        <w:rPr>
          <w:sz w:val="20"/>
          <w:szCs w:val="20"/>
          <w:color w:val="auto"/>
        </w:rPr>
      </w:pPr>
    </w:p>
    <w:p>
      <w:pPr>
        <w:ind w:left="800" w:right="1480" w:hanging="468"/>
        <w:spacing w:after="0" w:line="286"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the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Options shall vest in full and become exercisable according [to the following table. For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the "Vesting Commencement Date"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-49530</wp:posOffset>
            </wp:positionV>
            <wp:extent cx="787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740" cy="8255"/>
                    </a:xfrm>
                    <a:prstGeom prst="rect">
                      <a:avLst/>
                    </a:prstGeom>
                    <a:noFill/>
                  </pic:spPr>
                </pic:pic>
              </a:graphicData>
            </a:graphic>
          </wp:anchor>
        </w:drawing>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7"/>
        </w:trPr>
        <w:tc>
          <w:tcPr>
            <w:tcW w:w="2340" w:type="dxa"/>
            <w:vAlign w:val="bottom"/>
            <w:shd w:val="clear" w:color="auto" w:fill="B4C5E7"/>
          </w:tcPr>
          <w:p>
            <w:pPr>
              <w:jc w:val="center"/>
              <w:ind w:left="150"/>
              <w:spacing w:after="0"/>
              <w:rPr>
                <w:sz w:val="20"/>
                <w:szCs w:val="20"/>
                <w:color w:val="auto"/>
              </w:rPr>
            </w:pPr>
            <w:r>
              <w:rPr>
                <w:rFonts w:ascii="Calibri" w:cs="Calibri" w:eastAsia="Calibri" w:hAnsi="Calibri"/>
                <w:sz w:val="18"/>
                <w:szCs w:val="18"/>
                <w:b w:val="1"/>
                <w:bCs w:val="1"/>
                <w:color w:val="auto"/>
                <w:w w:val="98"/>
              </w:rPr>
              <w:t>20th September 2024</w:t>
            </w:r>
          </w:p>
        </w:tc>
        <w:tc>
          <w:tcPr>
            <w:tcW w:w="2340" w:type="dxa"/>
            <w:vAlign w:val="bottom"/>
            <w:shd w:val="clear" w:color="auto" w:fill="B4C5E7"/>
          </w:tcPr>
          <w:p>
            <w:pPr>
              <w:jc w:val="right"/>
              <w:ind w:right="410"/>
              <w:spacing w:after="0"/>
              <w:rPr>
                <w:sz w:val="20"/>
                <w:szCs w:val="20"/>
                <w:color w:val="auto"/>
              </w:rPr>
            </w:pPr>
            <w:r>
              <w:rPr>
                <w:rFonts w:ascii="Calibri" w:cs="Calibri" w:eastAsia="Calibri" w:hAnsi="Calibri"/>
                <w:sz w:val="18"/>
                <w:szCs w:val="18"/>
                <w:b w:val="1"/>
                <w:bCs w:val="1"/>
                <w:color w:val="auto"/>
              </w:rPr>
              <w:t>30th September 2025</w:t>
            </w:r>
          </w:p>
        </w:tc>
        <w:tc>
          <w:tcPr>
            <w:tcW w:w="2780" w:type="dxa"/>
            <w:vAlign w:val="bottom"/>
            <w:shd w:val="clear" w:color="auto" w:fill="B4C5E7"/>
          </w:tcPr>
          <w:p>
            <w:pPr>
              <w:jc w:val="right"/>
              <w:ind w:right="606"/>
              <w:spacing w:after="0"/>
              <w:rPr>
                <w:sz w:val="20"/>
                <w:szCs w:val="20"/>
                <w:color w:val="auto"/>
              </w:rPr>
            </w:pPr>
            <w:r>
              <w:rPr>
                <w:rFonts w:ascii="Calibri" w:cs="Calibri" w:eastAsia="Calibri" w:hAnsi="Calibri"/>
                <w:sz w:val="18"/>
                <w:szCs w:val="18"/>
                <w:b w:val="1"/>
                <w:bCs w:val="1"/>
                <w:color w:val="auto"/>
              </w:rPr>
              <w:t>30th September 2026</w:t>
            </w:r>
          </w:p>
        </w:tc>
        <w:tc>
          <w:tcPr>
            <w:tcW w:w="2760" w:type="dxa"/>
            <w:vAlign w:val="bottom"/>
            <w:shd w:val="clear" w:color="auto" w:fill="B4C5E7"/>
          </w:tcPr>
          <w:p>
            <w:pPr>
              <w:jc w:val="center"/>
              <w:ind w:left="126"/>
              <w:spacing w:after="0"/>
              <w:rPr>
                <w:sz w:val="20"/>
                <w:szCs w:val="20"/>
                <w:color w:val="auto"/>
              </w:rPr>
            </w:pPr>
            <w:r>
              <w:rPr>
                <w:rFonts w:ascii="Calibri" w:cs="Calibri" w:eastAsia="Calibri" w:hAnsi="Calibri"/>
                <w:sz w:val="18"/>
                <w:szCs w:val="18"/>
                <w:b w:val="1"/>
                <w:bCs w:val="1"/>
                <w:color w:val="auto"/>
                <w:w w:val="98"/>
              </w:rPr>
              <w:t>30th September 2027</w:t>
            </w:r>
          </w:p>
        </w:tc>
      </w:tr>
      <w:tr>
        <w:trPr>
          <w:trHeight w:val="64"/>
        </w:trPr>
        <w:tc>
          <w:tcPr>
            <w:tcW w:w="2340" w:type="dxa"/>
            <w:vAlign w:val="bottom"/>
            <w:shd w:val="clear" w:color="auto" w:fill="B4C5E7"/>
          </w:tcPr>
          <w:p>
            <w:pPr>
              <w:spacing w:after="0"/>
              <w:rPr>
                <w:sz w:val="5"/>
                <w:szCs w:val="5"/>
                <w:color w:val="auto"/>
              </w:rPr>
            </w:pPr>
          </w:p>
        </w:tc>
        <w:tc>
          <w:tcPr>
            <w:tcW w:w="2340" w:type="dxa"/>
            <w:vAlign w:val="bottom"/>
            <w:shd w:val="clear" w:color="auto" w:fill="B4C5E7"/>
          </w:tcPr>
          <w:p>
            <w:pPr>
              <w:spacing w:after="0"/>
              <w:rPr>
                <w:sz w:val="5"/>
                <w:szCs w:val="5"/>
                <w:color w:val="auto"/>
              </w:rPr>
            </w:pPr>
          </w:p>
        </w:tc>
        <w:tc>
          <w:tcPr>
            <w:tcW w:w="2780" w:type="dxa"/>
            <w:vAlign w:val="bottom"/>
            <w:shd w:val="clear" w:color="auto" w:fill="B4C5E7"/>
          </w:tcPr>
          <w:p>
            <w:pPr>
              <w:spacing w:after="0"/>
              <w:rPr>
                <w:sz w:val="5"/>
                <w:szCs w:val="5"/>
                <w:color w:val="auto"/>
              </w:rPr>
            </w:pPr>
          </w:p>
        </w:tc>
        <w:tc>
          <w:tcPr>
            <w:tcW w:w="2760" w:type="dxa"/>
            <w:vAlign w:val="bottom"/>
            <w:shd w:val="clear" w:color="auto" w:fill="B4C5E7"/>
          </w:tcPr>
          <w:p>
            <w:pPr>
              <w:spacing w:after="0"/>
              <w:rPr>
                <w:sz w:val="5"/>
                <w:szCs w:val="5"/>
                <w:color w:val="auto"/>
              </w:rPr>
            </w:pPr>
          </w:p>
        </w:tc>
      </w:tr>
      <w:tr>
        <w:trPr>
          <w:trHeight w:val="270"/>
        </w:trPr>
        <w:tc>
          <w:tcPr>
            <w:tcW w:w="2340" w:type="dxa"/>
            <w:vAlign w:val="bottom"/>
            <w:shd w:val="clear" w:color="auto" w:fill="D9E0F1"/>
          </w:tcPr>
          <w:p>
            <w:pPr>
              <w:jc w:val="right"/>
              <w:ind w:right="550"/>
              <w:spacing w:after="0"/>
              <w:rPr>
                <w:sz w:val="20"/>
                <w:szCs w:val="20"/>
                <w:color w:val="auto"/>
              </w:rPr>
            </w:pPr>
            <w:r>
              <w:rPr>
                <w:rFonts w:ascii="Times New Roman" w:cs="Times New Roman" w:eastAsia="Times New Roman" w:hAnsi="Times New Roman"/>
                <w:sz w:val="18"/>
                <w:szCs w:val="18"/>
                <w:color w:val="auto"/>
              </w:rPr>
              <w:t>11,679,174</w:t>
            </w:r>
          </w:p>
        </w:tc>
        <w:tc>
          <w:tcPr>
            <w:tcW w:w="2340" w:type="dxa"/>
            <w:vAlign w:val="bottom"/>
            <w:shd w:val="clear" w:color="auto" w:fill="D9E0F1"/>
          </w:tcPr>
          <w:p>
            <w:pPr>
              <w:jc w:val="right"/>
              <w:ind w:right="770"/>
              <w:spacing w:after="0"/>
              <w:rPr>
                <w:sz w:val="20"/>
                <w:szCs w:val="20"/>
                <w:color w:val="auto"/>
              </w:rPr>
            </w:pPr>
            <w:r>
              <w:rPr>
                <w:rFonts w:ascii="Times New Roman" w:cs="Times New Roman" w:eastAsia="Times New Roman" w:hAnsi="Times New Roman"/>
                <w:sz w:val="18"/>
                <w:szCs w:val="18"/>
                <w:color w:val="auto"/>
              </w:rPr>
              <w:t>0</w:t>
            </w:r>
          </w:p>
        </w:tc>
        <w:tc>
          <w:tcPr>
            <w:tcW w:w="2780" w:type="dxa"/>
            <w:vAlign w:val="bottom"/>
            <w:shd w:val="clear" w:color="auto" w:fill="D9E0F1"/>
          </w:tcPr>
          <w:p>
            <w:pPr>
              <w:jc w:val="right"/>
              <w:ind w:right="966"/>
              <w:spacing w:after="0"/>
              <w:rPr>
                <w:sz w:val="20"/>
                <w:szCs w:val="20"/>
                <w:color w:val="auto"/>
              </w:rPr>
            </w:pPr>
            <w:r>
              <w:rPr>
                <w:rFonts w:ascii="Calibri" w:cs="Calibri" w:eastAsia="Calibri" w:hAnsi="Calibri"/>
                <w:sz w:val="20"/>
                <w:szCs w:val="20"/>
                <w:color w:val="auto"/>
              </w:rPr>
              <w:t>0</w:t>
            </w:r>
          </w:p>
        </w:tc>
        <w:tc>
          <w:tcPr>
            <w:tcW w:w="2760" w:type="dxa"/>
            <w:vAlign w:val="bottom"/>
            <w:shd w:val="clear" w:color="auto" w:fill="D9E0F1"/>
          </w:tcPr>
          <w:p>
            <w:pPr>
              <w:jc w:val="right"/>
              <w:ind w:right="1126"/>
              <w:spacing w:after="0"/>
              <w:rPr>
                <w:sz w:val="20"/>
                <w:szCs w:val="20"/>
                <w:color w:val="auto"/>
              </w:rPr>
            </w:pPr>
            <w:r>
              <w:rPr>
                <w:rFonts w:ascii="Calibri" w:cs="Calibri" w:eastAsia="Calibri" w:hAnsi="Calibri"/>
                <w:sz w:val="20"/>
                <w:szCs w:val="20"/>
                <w:color w:val="auto"/>
              </w:rPr>
              <w:t>0</w:t>
            </w:r>
          </w:p>
        </w:tc>
      </w:tr>
      <w:tr>
        <w:trPr>
          <w:trHeight w:val="40"/>
        </w:trPr>
        <w:tc>
          <w:tcPr>
            <w:tcW w:w="2340" w:type="dxa"/>
            <w:vAlign w:val="bottom"/>
            <w:shd w:val="clear" w:color="auto" w:fill="D9E0F1"/>
          </w:tcPr>
          <w:p>
            <w:pPr>
              <w:spacing w:after="0"/>
              <w:rPr>
                <w:sz w:val="3"/>
                <w:szCs w:val="3"/>
                <w:color w:val="auto"/>
              </w:rPr>
            </w:pPr>
          </w:p>
        </w:tc>
        <w:tc>
          <w:tcPr>
            <w:tcW w:w="2340" w:type="dxa"/>
            <w:vAlign w:val="bottom"/>
            <w:shd w:val="clear" w:color="auto" w:fill="D9E0F1"/>
          </w:tcPr>
          <w:p>
            <w:pPr>
              <w:spacing w:after="0"/>
              <w:rPr>
                <w:sz w:val="3"/>
                <w:szCs w:val="3"/>
                <w:color w:val="auto"/>
              </w:rPr>
            </w:pPr>
          </w:p>
        </w:tc>
        <w:tc>
          <w:tcPr>
            <w:tcW w:w="2780" w:type="dxa"/>
            <w:vAlign w:val="bottom"/>
            <w:shd w:val="clear" w:color="auto" w:fill="D9E0F1"/>
          </w:tcPr>
          <w:p>
            <w:pPr>
              <w:spacing w:after="0"/>
              <w:rPr>
                <w:sz w:val="3"/>
                <w:szCs w:val="3"/>
                <w:color w:val="auto"/>
              </w:rPr>
            </w:pPr>
          </w:p>
        </w:tc>
        <w:tc>
          <w:tcPr>
            <w:tcW w:w="2760" w:type="dxa"/>
            <w:vAlign w:val="bottom"/>
            <w:shd w:val="clear" w:color="auto" w:fill="D9E0F1"/>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821055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7" w:name="page8"/>
    <w:bookmarkEnd w:id="7"/>
    <w:p>
      <w:pPr>
        <w:spacing w:after="0" w:line="1" w:lineRule="exact"/>
        <w:rPr>
          <w:sz w:val="20"/>
          <w:szCs w:val="20"/>
          <w:color w:val="auto"/>
        </w:rPr>
      </w:pPr>
    </w:p>
    <w:p>
      <w:pPr>
        <w:ind w:left="711" w:right="240" w:hanging="488"/>
        <w:spacing w:after="0" w:line="286" w:lineRule="auto"/>
        <w:tabs>
          <w:tab w:leader="none" w:pos="7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Subject to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Options shall be subject in all respects to the provisions of the Plan, the terms and conditions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incorporated by reference, as same may be amended from</w:t>
      </w:r>
    </w:p>
    <w:p>
      <w:pPr>
        <w:spacing w:after="0" w:line="172" w:lineRule="exact"/>
        <w:rPr>
          <w:sz w:val="20"/>
          <w:szCs w:val="20"/>
          <w:color w:val="auto"/>
        </w:rPr>
      </w:pPr>
    </w:p>
    <w:p>
      <w:pPr>
        <w:ind w:left="671" w:hanging="9"/>
        <w:spacing w:after="0" w:line="282" w:lineRule="auto"/>
        <w:rPr>
          <w:sz w:val="20"/>
          <w:szCs w:val="20"/>
          <w:color w:val="auto"/>
        </w:rPr>
      </w:pPr>
      <w:r>
        <w:rPr>
          <w:rFonts w:ascii="Times New Roman" w:cs="Times New Roman" w:eastAsia="Times New Roman" w:hAnsi="Times New Roman"/>
          <w:sz w:val="18"/>
          <w:szCs w:val="18"/>
          <w:color w:val="auto"/>
        </w:rPr>
        <w:t>time to time in accordance therewith. A copy of the Plan shall be provided to the Participant upon his or her reasonable request from time to time.</w:t>
      </w:r>
    </w:p>
    <w:p>
      <w:pPr>
        <w:spacing w:after="0" w:line="200" w:lineRule="exact"/>
        <w:rPr>
          <w:sz w:val="20"/>
          <w:szCs w:val="20"/>
          <w:color w:val="auto"/>
        </w:rPr>
      </w:pPr>
    </w:p>
    <w:p>
      <w:pPr>
        <w:spacing w:after="0" w:line="349" w:lineRule="exact"/>
        <w:rPr>
          <w:sz w:val="20"/>
          <w:szCs w:val="20"/>
          <w:color w:val="auto"/>
        </w:rPr>
      </w:pPr>
    </w:p>
    <w:p>
      <w:pPr>
        <w:ind w:left="731" w:hanging="508"/>
        <w:spacing w:after="0"/>
        <w:tabs>
          <w:tab w:leader="none" w:pos="7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termination on Option</w:t>
      </w:r>
      <w:r>
        <w:rPr>
          <w:rFonts w:ascii="Times New Roman" w:cs="Times New Roman" w:eastAsia="Times New Roman" w:hAnsi="Times New Roman"/>
          <w:sz w:val="18"/>
          <w:szCs w:val="18"/>
          <w:u w:val="single" w:color="auto"/>
          <w:color w:val="auto"/>
        </w:rPr>
        <w:t>.</w:t>
      </w:r>
    </w:p>
    <w:p>
      <w:pPr>
        <w:spacing w:after="0" w:line="270" w:lineRule="exact"/>
        <w:rPr>
          <w:sz w:val="20"/>
          <w:szCs w:val="20"/>
          <w:color w:val="auto"/>
        </w:rPr>
      </w:pPr>
    </w:p>
    <w:p>
      <w:pPr>
        <w:jc w:val="both"/>
        <w:ind w:left="811" w:right="240" w:hanging="9"/>
        <w:spacing w:after="0" w:line="256" w:lineRule="auto"/>
        <w:rPr>
          <w:sz w:val="20"/>
          <w:szCs w:val="20"/>
          <w:color w:val="auto"/>
        </w:rPr>
      </w:pPr>
      <w:r>
        <w:rPr>
          <w:rFonts w:ascii="Times New Roman" w:cs="Times New Roman" w:eastAsia="Times New Roman" w:hAnsi="Times New Roman"/>
          <w:sz w:val="18"/>
          <w:szCs w:val="18"/>
          <w:color w:val="auto"/>
        </w:rPr>
        <w:t>Except as the Board may otherwise determine and regardless of any adverse or potentially adverse tax or other consequences resulting from the following, if an Option Participant ceases to be an Eligible Person for any reason, such Participant shall no longer be eligible for a further grant of Options. To the extent any Option subsists, it may, subject to its Expiring earlier in accordance with the terms of the Plan, be exercised within six months of the Option Termination Date, save (subject to Section 9.5 of the Plan) in the case of death where the Option may be exercised within 18 months of the date of death, following which the Option shall, to the extent unexercised, Expire and cease to be capable of exercise.</w:t>
      </w:r>
    </w:p>
    <w:p>
      <w:pPr>
        <w:spacing w:after="0" w:line="183" w:lineRule="exact"/>
        <w:rPr>
          <w:sz w:val="20"/>
          <w:szCs w:val="20"/>
          <w:color w:val="auto"/>
        </w:rPr>
      </w:pPr>
    </w:p>
    <w:p>
      <w:pPr>
        <w:ind w:left="511" w:right="100" w:hanging="511"/>
        <w:spacing w:after="0" w:line="252" w:lineRule="auto"/>
        <w:tabs>
          <w:tab w:leader="none" w:pos="3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Grant Agreement, "cause" shall have the meaning given to such term in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service agreement or similar agreement between the Company (or the Participant's employer or engaging company, if different) and such Participant, or if no such agreement exists or if “cause” is not defined therein, “cause” means (i) the Participant’s material act or acts of personal dishonesty taken in connection with the Participant’s responsibilities that has, or could be reasonably expected to have, an adverse impact on the performance of the Participant’s duties to the Company or any of its Group Companies or otherwise result in material injury to the reputation or business of the Company or any of its Affiliates or Group Companies; (ii) the Participant’s act(s) of gross negligence or wilful misconduct in the course of the Participant’s service; (iii) wilful failure or refusal by the Participant to perform in any material respect the Participant’s duties or responsibilities, (iv) misappropriation (or attempted misappropriation) by the Participant of any assets or material business opportunities of the Company or any of its Affiliates or Group Companies, (v) embezzlement or fraud committed (or attempted) by the Participant, at the Participant’s direction, or with the Participant’s prior actual knowledge, (vi) the Participant’s conviction of any criminal charge (other than a road traffic offence for which no custodial sentence is imposed), that has, or could be reasonably expected to have, an adverse impact on the performance of the Participant’s duties to the Company or any of its Group Companies or otherwise result in a material injury to the reputation or business of the Company or any of its Affiliates or Group Companies, (vii) any material violation by the Participant of the written policies of the Company, including but not limited to those relating to sexual harassment or business conduct, and those otherwise set forth in the manuals or statements of policy of the Company that has, or could be reasonably expected to have, a material adverse impact on the performance of the Participant’s duties to the Company or any of its Affiliates or otherwise result in material injury to the reputation or business of the Company or any of its Affiliates or Group Companies, or (viii) the Participant’s material breach of any restrictive covenants to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808990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31"/>
          </w:cols>
          <w:pgMar w:left="569" w:top="1440" w:right="599" w:bottom="1440" w:gutter="0" w:footer="0" w:header="0"/>
        </w:sectPr>
      </w:pPr>
    </w:p>
    <w:bookmarkStart w:id="8" w:name="page9"/>
    <w:bookmarkEnd w:id="8"/>
    <w:p>
      <w:pPr>
        <w:spacing w:after="0" w:line="5" w:lineRule="exact"/>
        <w:rPr>
          <w:sz w:val="20"/>
          <w:szCs w:val="20"/>
          <w:color w:val="auto"/>
        </w:rPr>
      </w:pPr>
    </w:p>
    <w:p>
      <w:pPr>
        <w:ind w:left="858" w:right="60"/>
        <w:spacing w:after="0" w:line="256" w:lineRule="auto"/>
        <w:rPr>
          <w:sz w:val="20"/>
          <w:szCs w:val="20"/>
          <w:color w:val="auto"/>
        </w:rPr>
      </w:pPr>
      <w:r>
        <w:rPr>
          <w:rFonts w:ascii="Times New Roman" w:cs="Times New Roman" w:eastAsia="Times New Roman" w:hAnsi="Times New Roman"/>
          <w:sz w:val="18"/>
          <w:szCs w:val="18"/>
          <w:color w:val="auto"/>
        </w:rPr>
        <w:t>Participant is subject. If, within ninety (90) days subsequent to the Participant’s termination for any reason other than by the Company for cause, the Company determines that the Participant’s service could have been terminated for cause, such Participant’s employment or provisions of services, as applicable, will be deemed to have been terminated for cause for all purposes. For purposes of this Plan, “cause” shall also include a resignation by the Participant (without good reason, as defined in this Grant Agreement) at a time at which the Company could have terminated such Participant for cause. The existence or non-existence of cause with respect to such Participant shall be determined in good faith by the Board.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8" w:right="160" w:hanging="509"/>
        <w:spacing w:after="0" w:line="262" w:lineRule="auto"/>
        <w:tabs>
          <w:tab w:leader="none" w:pos="4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"good reason</w:t>
      </w:r>
      <w:r>
        <w:rPr>
          <w:rFonts w:ascii="Times New Roman" w:cs="Times New Roman" w:eastAsia="Times New Roman" w:hAnsi="Times New Roman"/>
          <w:sz w:val="18"/>
          <w:szCs w:val="18"/>
          <w:color w:val="auto"/>
        </w:rPr>
        <w:t>". For the purposes of this Grant Agreement, "good reason" shall have the meaning given to such term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employment or service agreement or similar agreement between the Company (or the Participant's employer or engaging company, if different); or such circumstances (if no such agreement exists or if “good reason” is not defined therein) or (if such agreement exists and contains such definition) such other circumstances as the Board may in its absolute discretion determine.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78" w:firstLine="1"/>
        <w:spacing w:after="0" w:line="257"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"Applicable Withholding Tax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Grant Agreement, the term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Tax Liability" shall include Employer NICs, and accordingly, without prejudice to the provisions of the Plan, the Participant irrevocably agrees to reimburse the Relevant Company for any Employer's NICs arising in relation to the Options (whether on grant, vesting, exercise, settlement or otherwise). In addition, the Participant agrees to enter into an election with the Relevant Company to assume the liability for any Employer's NICs, payable on the exercise of the Option, including an election under paragraph 3B of Schedule 1 to the Social Security Contributions and Benefits Act 1992.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558" w:hanging="378"/>
        <w:spacing w:after="0"/>
        <w:tabs>
          <w:tab w:leader="none" w:pos="55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Shareholder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shall have no rights whatsoever as a shareholder</w:t>
      </w:r>
    </w:p>
    <w:p>
      <w:pPr>
        <w:spacing w:after="0" w:line="23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8"/>
          <w:szCs w:val="18"/>
          <w:color w:val="auto"/>
        </w:rPr>
        <w:t>in respect of any of the Options.</w:t>
      </w:r>
    </w:p>
    <w:p>
      <w:pPr>
        <w:spacing w:after="0" w:line="200" w:lineRule="exact"/>
        <w:rPr>
          <w:sz w:val="20"/>
          <w:szCs w:val="20"/>
          <w:color w:val="auto"/>
        </w:rPr>
      </w:pPr>
    </w:p>
    <w:p>
      <w:pPr>
        <w:spacing w:after="0" w:line="264" w:lineRule="exact"/>
        <w:rPr>
          <w:sz w:val="20"/>
          <w:szCs w:val="20"/>
          <w:color w:val="auto"/>
        </w:rPr>
      </w:pPr>
    </w:p>
    <w:p>
      <w:pPr>
        <w:ind w:left="698" w:right="4140" w:hanging="413"/>
        <w:spacing w:after="0" w:line="559" w:lineRule="auto"/>
        <w:tabs>
          <w:tab w:leader="none" w:pos="65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u w:val="single" w:color="auto"/>
          <w:color w:val="auto"/>
        </w:rPr>
        <w:t>Transfer of 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Options granted pursuant to this Agreement shall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assignable or transferable by the Participant, except in accordance with the Plan.</w:t>
      </w:r>
    </w:p>
    <w:p>
      <w:pPr>
        <w:spacing w:after="0" w:line="129" w:lineRule="exact"/>
        <w:rPr>
          <w:rFonts w:ascii="Times New Roman" w:cs="Times New Roman" w:eastAsia="Times New Roman" w:hAnsi="Times New Roman"/>
          <w:sz w:val="21"/>
          <w:szCs w:val="21"/>
          <w:color w:val="auto"/>
        </w:rPr>
      </w:pPr>
    </w:p>
    <w:p>
      <w:pPr>
        <w:ind w:left="698" w:right="4180" w:hanging="338"/>
        <w:spacing w:after="0" w:line="515" w:lineRule="auto"/>
        <w:tabs>
          <w:tab w:leader="none" w:pos="729"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required or permitted to be given hereunder shall be given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and subject to, the provisions of the Plan.</w:t>
      </w:r>
    </w:p>
    <w:p>
      <w:pPr>
        <w:spacing w:after="0" w:line="132"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Options shall be governed by and interpreted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810260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8"/>
          </w:cols>
          <w:pgMar w:left="522" w:top="1440" w:right="679" w:bottom="1440" w:gutter="0" w:footer="0" w:header="0"/>
        </w:sectPr>
      </w:pPr>
    </w:p>
    <w:bookmarkStart w:id="9" w:name="page10"/>
    <w:bookmarkEnd w:id="9"/>
    <w:p>
      <w:pPr>
        <w:ind w:left="160"/>
        <w:spacing w:after="0"/>
        <w:rPr>
          <w:sz w:val="20"/>
          <w:szCs w:val="20"/>
          <w:color w:val="auto"/>
        </w:rPr>
      </w:pPr>
      <w:r>
        <w:rPr>
          <w:rFonts w:ascii="Times New Roman" w:cs="Times New Roman" w:eastAsia="Times New Roman" w:hAnsi="Times New Roman"/>
          <w:sz w:val="22"/>
          <w:szCs w:val="22"/>
          <w:color w:val="auto"/>
        </w:rPr>
        <w:t>and enforced in accordance with the laws of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executed as a deed and unconditionally delivered on the date first above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SIGNED as a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REZOLVE AI PLC</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acting by a director Stephen Perry (director)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080" w:val="left"/>
        </w:tabs>
        <w:rPr>
          <w:sz w:val="20"/>
          <w:szCs w:val="20"/>
          <w:color w:val="auto"/>
        </w:rPr>
      </w:pPr>
      <w:r>
        <w:rPr>
          <w:rFonts w:ascii="Arial" w:cs="Arial" w:eastAsia="Arial" w:hAnsi="Arial"/>
          <w:sz w:val="19"/>
          <w:szCs w:val="19"/>
          <w:color w:val="auto"/>
        </w:rPr>
        <w:t>Signature of Witness:</w:t>
      </w:r>
      <w:r>
        <w:rPr>
          <w:sz w:val="20"/>
          <w:szCs w:val="20"/>
          <w:color w:val="auto"/>
        </w:rPr>
        <w:tab/>
      </w:r>
      <w:r>
        <w:rPr>
          <w:rFonts w:ascii="Arial" w:cs="Arial" w:eastAsia="Arial" w:hAnsi="Arial"/>
          <w:sz w:val="18"/>
          <w:szCs w:val="18"/>
          <w:color w:val="auto"/>
        </w:rPr>
        <w:t>/s/ Richard Burchill</w:t>
      </w:r>
    </w:p>
    <w:p>
      <w:pPr>
        <w:spacing w:after="0" w:line="214"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color w:val="auto"/>
        </w:rPr>
        <w:t>Name of Witness:</w:t>
      </w:r>
      <w:r>
        <w:rPr>
          <w:sz w:val="20"/>
          <w:szCs w:val="20"/>
          <w:color w:val="auto"/>
        </w:rPr>
        <w:tab/>
      </w:r>
      <w:r>
        <w:rPr>
          <w:rFonts w:ascii="Arial" w:cs="Arial" w:eastAsia="Arial" w:hAnsi="Arial"/>
          <w:sz w:val="18"/>
          <w:szCs w:val="18"/>
          <w:color w:val="auto"/>
        </w:rPr>
        <w:t>Richard Burchill</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Address: HP7 9NL</w:t>
      </w:r>
    </w:p>
    <w:p>
      <w:pPr>
        <w:spacing w:after="0" w:line="227" w:lineRule="exact"/>
        <w:rPr>
          <w:sz w:val="20"/>
          <w:szCs w:val="20"/>
          <w:color w:val="auto"/>
        </w:rPr>
      </w:pPr>
    </w:p>
    <w:p>
      <w:pPr>
        <w:spacing w:after="0"/>
        <w:tabs>
          <w:tab w:leader="none" w:pos="1240" w:val="left"/>
        </w:tabs>
        <w:rPr>
          <w:sz w:val="20"/>
          <w:szCs w:val="20"/>
          <w:color w:val="auto"/>
        </w:rPr>
      </w:pPr>
      <w:r>
        <w:rPr>
          <w:rFonts w:ascii="Arial" w:cs="Arial" w:eastAsia="Arial" w:hAnsi="Arial"/>
          <w:sz w:val="19"/>
          <w:szCs w:val="19"/>
          <w:color w:val="auto"/>
        </w:rPr>
        <w:t>Occupation:</w:t>
        <w:tab/>
        <w:t>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2520" w:val="left"/>
        </w:tabs>
        <w:rPr>
          <w:sz w:val="20"/>
          <w:szCs w:val="20"/>
          <w:color w:val="auto"/>
        </w:rPr>
      </w:pPr>
      <w:r>
        <w:rPr>
          <w:rFonts w:ascii="Arial" w:cs="Arial" w:eastAsia="Arial" w:hAnsi="Arial"/>
          <w:sz w:val="19"/>
          <w:szCs w:val="19"/>
          <w:color w:val="auto"/>
        </w:rPr>
        <w:t>The Participant</w:t>
      </w:r>
      <w:r>
        <w:rPr>
          <w:sz w:val="20"/>
          <w:szCs w:val="20"/>
          <w:color w:val="auto"/>
        </w:rPr>
        <w:tab/>
      </w:r>
      <w:r>
        <w:rPr>
          <w:rFonts w:ascii="Arial" w:cs="Arial" w:eastAsia="Arial" w:hAnsi="Arial"/>
          <w:sz w:val="18"/>
          <w:szCs w:val="18"/>
          <w:color w:val="auto"/>
        </w:rPr>
        <w:t>/s/ Daniel Wagner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2100" w:val="left"/>
        </w:tabs>
        <w:rPr>
          <w:sz w:val="20"/>
          <w:szCs w:val="20"/>
          <w:color w:val="auto"/>
        </w:rPr>
      </w:pPr>
      <w:r>
        <w:rPr>
          <w:rFonts w:ascii="Arial" w:cs="Arial" w:eastAsia="Arial" w:hAnsi="Arial"/>
          <w:sz w:val="19"/>
          <w:szCs w:val="19"/>
          <w:color w:val="auto"/>
        </w:rPr>
        <w:t>Signature of Witness:</w:t>
      </w:r>
      <w:r>
        <w:rPr>
          <w:sz w:val="20"/>
          <w:szCs w:val="20"/>
          <w:color w:val="auto"/>
        </w:rPr>
        <w:tab/>
      </w:r>
      <w:r>
        <w:rPr>
          <w:rFonts w:ascii="Arial" w:cs="Arial" w:eastAsia="Arial" w:hAnsi="Arial"/>
          <w:sz w:val="18"/>
          <w:szCs w:val="18"/>
          <w:color w:val="auto"/>
        </w:rPr>
        <w:t>/s/ Richard Burchill</w:t>
      </w:r>
    </w:p>
    <w:p>
      <w:pPr>
        <w:spacing w:after="0" w:line="214"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9"/>
          <w:szCs w:val="19"/>
          <w:color w:val="auto"/>
        </w:rPr>
        <w:t>Name of Witness:</w:t>
      </w:r>
      <w:r>
        <w:rPr>
          <w:sz w:val="20"/>
          <w:szCs w:val="20"/>
          <w:color w:val="auto"/>
        </w:rPr>
        <w:tab/>
      </w:r>
      <w:r>
        <w:rPr>
          <w:rFonts w:ascii="Arial" w:cs="Arial" w:eastAsia="Arial" w:hAnsi="Arial"/>
          <w:sz w:val="18"/>
          <w:szCs w:val="18"/>
          <w:color w:val="auto"/>
        </w:rPr>
        <w:t>Richard Burchill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Address: HP7 9NL</w:t>
      </w:r>
    </w:p>
    <w:p>
      <w:pPr>
        <w:spacing w:after="0" w:line="21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9"/>
          <w:szCs w:val="19"/>
          <w:color w:val="auto"/>
        </w:rPr>
        <w:t>Occupation:</w:t>
        <w:tab/>
        <w:t>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817245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35" w:right="1440" w:bottom="1440" w:gutter="0" w:footer="0" w:header="0"/>
        </w:sectPr>
      </w:pPr>
    </w:p>
    <w:bookmarkStart w:id="10" w:name="page11"/>
    <w:bookmarkEnd w:id="10"/>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NOTICE OF EXERCISE OF OPTION</w:t>
      </w:r>
    </w:p>
    <w:p>
      <w:pPr>
        <w:spacing w:after="0" w:line="283"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I,</w:t>
        <w:tab/>
        <w:t>, in respect of the</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(print name)</w:t>
      </w:r>
    </w:p>
    <w:p>
      <w:pPr>
        <w:spacing w:after="0" w:line="262" w:lineRule="exact"/>
        <w:rPr>
          <w:sz w:val="20"/>
          <w:szCs w:val="20"/>
          <w:color w:val="auto"/>
        </w:rPr>
      </w:pPr>
    </w:p>
    <w:p>
      <w:pPr>
        <w:ind w:left="20" w:right="160" w:hanging="9"/>
        <w:spacing w:after="0" w:line="286" w:lineRule="auto"/>
        <w:rPr>
          <w:sz w:val="20"/>
          <w:szCs w:val="20"/>
          <w:color w:val="auto"/>
        </w:rPr>
      </w:pPr>
      <w:r>
        <w:rPr>
          <w:rFonts w:ascii="Times New Roman" w:cs="Times New Roman" w:eastAsia="Times New Roman" w:hAnsi="Times New Roman"/>
          <w:sz w:val="18"/>
          <w:szCs w:val="18"/>
          <w:color w:val="auto"/>
        </w:rPr>
        <w:t>Option that was granted to me on by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Annex B to the the Company’s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 hereby exercise such Option in respect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-49530</wp:posOffset>
            </wp:positionV>
            <wp:extent cx="1085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585" cy="8255"/>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further hereby elect upon settlement of the Option to receive (check one):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8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 (i) the Option Cash Equivalent, calculated in accordance with Section 10.2 of the Plan; (</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 (ii) Shares; or</w:t>
            </w:r>
          </w:p>
        </w:tc>
      </w:tr>
      <w:tr>
        <w:trPr>
          <w:trHeight w:val="194"/>
        </w:trPr>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5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 (iii) the Option Cash Equivalent in respect of</w:t>
            </w:r>
          </w:p>
        </w:tc>
        <w:tc>
          <w:tcPr>
            <w:tcW w:w="200" w:type="dxa"/>
            <w:vAlign w:val="bottom"/>
          </w:tcPr>
          <w:p>
            <w:pPr>
              <w:spacing w:after="0"/>
              <w:rPr>
                <w:sz w:val="16"/>
                <w:szCs w:val="16"/>
                <w:color w:val="auto"/>
              </w:rPr>
            </w:pPr>
          </w:p>
        </w:tc>
        <w:tc>
          <w:tcPr>
            <w:tcW w:w="304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Shares and Shares for   Shares.</w:t>
            </w:r>
          </w:p>
        </w:tc>
        <w:tc>
          <w:tcPr>
            <w:tcW w:w="130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200" w:hanging="9"/>
        <w:spacing w:after="0" w:line="282" w:lineRule="auto"/>
        <w:rPr>
          <w:sz w:val="20"/>
          <w:szCs w:val="20"/>
          <w:color w:val="auto"/>
        </w:rPr>
      </w:pPr>
      <w:r>
        <w:rPr>
          <w:rFonts w:ascii="Times New Roman" w:cs="Times New Roman" w:eastAsia="Times New Roman" w:hAnsi="Times New Roman"/>
          <w:sz w:val="18"/>
          <w:szCs w:val="18"/>
          <w:color w:val="auto"/>
        </w:rPr>
        <w:t>If I elect to receive the Option Cash Equivalent, I acknowledge that the Company will deduct an amount equal to the Applicable Withholding Tax Liability from such payment in accordance with the Plan.</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I elect to receive any Shares, I (check as appropriate):</w:t>
      </w:r>
    </w:p>
    <w:p>
      <w:pPr>
        <w:spacing w:after="0" w:line="266" w:lineRule="exact"/>
        <w:rPr>
          <w:sz w:val="20"/>
          <w:szCs w:val="20"/>
          <w:color w:val="auto"/>
        </w:rPr>
      </w:pPr>
    </w:p>
    <w:p>
      <w:pPr>
        <w:ind w:left="20" w:right="2760"/>
        <w:spacing w:after="0" w:line="297"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 enclose cash, a certified cheque, bank draft or money order payable to the Company in the amount of $ as full payment for the Applicable Withholding Tax Liability and the Option Price;</w:t>
      </w:r>
    </w:p>
    <w:p>
      <w:pPr>
        <w:spacing w:after="0" w:line="190" w:lineRule="exact"/>
        <w:rPr>
          <w:sz w:val="20"/>
          <w:szCs w:val="20"/>
          <w:color w:val="auto"/>
        </w:rPr>
      </w:pPr>
    </w:p>
    <w:p>
      <w:pPr>
        <w:ind w:left="20" w:hanging="2"/>
        <w:spacing w:after="0" w:line="266" w:lineRule="auto"/>
        <w:tabs>
          <w:tab w:leader="none" w:pos="3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 undertake to direct that such number of Shares are to be sold, and the proceeds of such Shares delivered to the Company, as is necessary to put the Company in funds equal to the amount that would have otherwise been required in (i) above in respect of the Applicable Withholding Tax Liability only; or</w:t>
      </w:r>
    </w:p>
    <w:p>
      <w:pPr>
        <w:spacing w:after="0" w:line="216" w:lineRule="exact"/>
        <w:rPr>
          <w:sz w:val="20"/>
          <w:szCs w:val="20"/>
          <w:color w:val="auto"/>
        </w:rPr>
      </w:pPr>
    </w:p>
    <w:p>
      <w:pPr>
        <w:ind w:left="20" w:right="400" w:hanging="2"/>
        <w:spacing w:after="0" w:line="282" w:lineRule="auto"/>
        <w:tabs>
          <w:tab w:leader="none" w:pos="3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elect to settle the Option for cash to the extent necessary to rads sufficient to cover such withholding taxes and the Option Price with such amount being withheld by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hereby covenant to pay the Company any amount of Applicable Withholding Tax Liability (including any Employer's NICs).</w:t>
      </w:r>
    </w:p>
    <w:p>
      <w:pPr>
        <w:spacing w:after="0" w:line="266" w:lineRule="exact"/>
        <w:rPr>
          <w:sz w:val="20"/>
          <w:szCs w:val="20"/>
          <w:color w:val="auto"/>
        </w:rPr>
      </w:pPr>
    </w:p>
    <w:p>
      <w:pPr>
        <w:jc w:val="both"/>
        <w:ind w:left="20" w:right="120" w:hanging="9"/>
        <w:spacing w:after="0" w:line="266" w:lineRule="auto"/>
        <w:rPr>
          <w:sz w:val="20"/>
          <w:szCs w:val="20"/>
          <w:color w:val="auto"/>
        </w:rPr>
      </w:pPr>
      <w:r>
        <w:rPr>
          <w:rFonts w:ascii="Times New Roman" w:cs="Times New Roman" w:eastAsia="Times New Roman" w:hAnsi="Times New Roman"/>
          <w:sz w:val="18"/>
          <w:szCs w:val="18"/>
          <w:color w:val="auto"/>
        </w:rPr>
        <w:t>Where I have elected to receive Shares, I authorise and request you to enter my name in the Company's Register of Members as the holder(s) of the Shares, subject to the Company's articles of association; and request you to send a share certificate in respect of the Shares not sold pursuant to the authority given above to 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Participant’s Signature</w:t>
      </w:r>
    </w:p>
    <w:p>
      <w:pPr>
        <w:spacing w:after="0" w:line="33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827405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40" w:top="1440" w:right="719" w:bottom="1440" w:gutter="0" w:footer="0" w:header="0"/>
        </w:sectPr>
      </w:pPr>
    </w:p>
    <w:bookmarkStart w:id="11" w:name="page12"/>
    <w:bookmarkEnd w:id="11"/>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REZOLVE AI LTD - LONG TERM INCENTIVE PLAN</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Effective as September 17, 2024</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 INTERPRETATION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329" w:lineRule="exact"/>
        <w:rPr>
          <w:sz w:val="20"/>
          <w:szCs w:val="20"/>
          <w:color w:val="auto"/>
        </w:rPr>
      </w:pPr>
    </w:p>
    <w:p>
      <w:pPr>
        <w:ind w:left="1440" w:right="280" w:hanging="1063"/>
        <w:spacing w:after="0" w:line="286" w:lineRule="auto"/>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181" w:lineRule="exact"/>
        <w:rPr>
          <w:rFonts w:ascii="Times New Roman" w:cs="Times New Roman" w:eastAsia="Times New Roman" w:hAnsi="Times New Roman"/>
          <w:sz w:val="18"/>
          <w:szCs w:val="18"/>
          <w:color w:val="auto"/>
        </w:rPr>
      </w:pPr>
    </w:p>
    <w:p>
      <w:pPr>
        <w:ind w:left="1440" w:right="240" w:hanging="1063"/>
        <w:spacing w:after="0" w:line="286" w:lineRule="auto"/>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181" w:lineRule="exact"/>
        <w:rPr>
          <w:rFonts w:ascii="Times New Roman" w:cs="Times New Roman" w:eastAsia="Times New Roman" w:hAnsi="Times New Roman"/>
          <w:sz w:val="18"/>
          <w:szCs w:val="18"/>
          <w:color w:val="auto"/>
        </w:rPr>
      </w:pPr>
    </w:p>
    <w:p>
      <w:pPr>
        <w:ind w:left="900" w:hanging="508"/>
        <w:spacing w:after="0" w:line="259"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w:t>
      </w:r>
    </w:p>
    <w:p>
      <w:pPr>
        <w:jc w:val="both"/>
        <w:ind w:left="900" w:right="260" w:firstLine="566"/>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200" w:lineRule="exact"/>
        <w:rPr>
          <w:rFonts w:ascii="Times New Roman" w:cs="Times New Roman" w:eastAsia="Times New Roman" w:hAnsi="Times New Roman"/>
          <w:sz w:val="18"/>
          <w:szCs w:val="18"/>
          <w:color w:val="auto"/>
        </w:rPr>
      </w:pPr>
    </w:p>
    <w:p>
      <w:pPr>
        <w:spacing w:after="0" w:line="319" w:lineRule="exact"/>
        <w:rPr>
          <w:rFonts w:ascii="Times New Roman" w:cs="Times New Roman" w:eastAsia="Times New Roman" w:hAnsi="Times New Roman"/>
          <w:sz w:val="18"/>
          <w:szCs w:val="18"/>
          <w:color w:val="auto"/>
        </w:rPr>
      </w:pPr>
    </w:p>
    <w:p>
      <w:pPr>
        <w:jc w:val="both"/>
        <w:ind w:left="900" w:right="360" w:hanging="508"/>
        <w:spacing w:after="0" w:line="291" w:lineRule="auto"/>
        <w:tabs>
          <w:tab w:leader="none" w:pos="9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Withholding Tax Liability</w:t>
      </w:r>
      <w:r>
        <w:rPr>
          <w:rFonts w:ascii="Times New Roman" w:cs="Times New Roman" w:eastAsia="Times New Roman" w:hAnsi="Times New Roman"/>
          <w:sz w:val="17"/>
          <w:szCs w:val="17"/>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liability arising after the termination of the Participant's employment for whatever reason and which:</w:t>
      </w:r>
    </w:p>
    <w:p>
      <w:pPr>
        <w:spacing w:after="0" w:line="27" w:lineRule="exact"/>
        <w:rPr>
          <w:sz w:val="20"/>
          <w:szCs w:val="20"/>
          <w:color w:val="auto"/>
        </w:rPr>
      </w:pPr>
    </w:p>
    <w:p>
      <w:pPr>
        <w:ind w:left="1480" w:hanging="623"/>
        <w:spacing w:after="0"/>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9" w:lineRule="exact"/>
        <w:rPr>
          <w:rFonts w:ascii="Times New Roman" w:cs="Times New Roman" w:eastAsia="Times New Roman" w:hAnsi="Times New Roman"/>
          <w:sz w:val="18"/>
          <w:szCs w:val="18"/>
          <w:color w:val="auto"/>
        </w:rPr>
      </w:pPr>
    </w:p>
    <w:p>
      <w:pPr>
        <w:ind w:left="1360" w:hanging="503"/>
        <w:spacing w:after="0"/>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324" w:lineRule="exact"/>
        <w:rPr>
          <w:rFonts w:ascii="Times New Roman" w:cs="Times New Roman" w:eastAsia="Times New Roman" w:hAnsi="Times New Roman"/>
          <w:sz w:val="18"/>
          <w:szCs w:val="18"/>
          <w:color w:val="auto"/>
        </w:rPr>
      </w:pPr>
    </w:p>
    <w:p>
      <w:pPr>
        <w:ind w:left="920" w:hanging="528"/>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xml:space="preserve"> means any award of Units or an Option under the Plan;</w:t>
      </w:r>
    </w:p>
    <w:p>
      <w:pPr>
        <w:spacing w:after="0" w:line="252" w:lineRule="exact"/>
        <w:rPr>
          <w:rFonts w:ascii="Times New Roman" w:cs="Times New Roman" w:eastAsia="Times New Roman" w:hAnsi="Times New Roman"/>
          <w:sz w:val="18"/>
          <w:szCs w:val="18"/>
          <w:color w:val="auto"/>
        </w:rPr>
      </w:pPr>
    </w:p>
    <w:p>
      <w:pPr>
        <w:ind w:left="860" w:right="280" w:hanging="468"/>
        <w:spacing w:after="0" w:line="268"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795655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60" w:top="1440"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June 2023 pursuant to a deed of release, amendment and restatement entered into by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835025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39"/>
          </w:cols>
          <w:pgMar w:left="1320" w:top="1363" w:right="1440" w:bottom="1440" w:gutter="0" w:footer="0" w:header="0"/>
        </w:sectPr>
      </w:pPr>
    </w:p>
    <w:bookmarkStart w:id="13" w:name="page14"/>
    <w:bookmarkEnd w:id="13"/>
    <w:p>
      <w:pPr>
        <w:spacing w:after="0" w:line="5"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8"/>
          <w:szCs w:val="18"/>
          <w:color w:val="auto"/>
        </w:rPr>
        <w:t>New Company, CaymanCo, MergerSub, and Armada (each as defined in such deed) on 16 June 2023;</w:t>
      </w:r>
    </w:p>
    <w:p>
      <w:pPr>
        <w:spacing w:after="0" w:line="329" w:lineRule="exact"/>
        <w:rPr>
          <w:sz w:val="20"/>
          <w:szCs w:val="20"/>
          <w:color w:val="auto"/>
        </w:rPr>
      </w:pPr>
    </w:p>
    <w:p>
      <w:pPr>
        <w:ind w:left="1063" w:right="80" w:hanging="1063"/>
        <w:spacing w:after="0" w:line="263" w:lineRule="auto"/>
        <w:tabs>
          <w:tab w:leader="none" w:pos="10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w:t>
      </w:r>
    </w:p>
    <w:p>
      <w:pPr>
        <w:spacing w:after="0" w:line="1"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8"/>
          <w:szCs w:val="18"/>
          <w:color w:val="auto"/>
        </w:rPr>
        <w:t>to any particular functions of the board of directors, as set forth herein;</w:t>
      </w:r>
    </w:p>
    <w:p>
      <w:pPr>
        <w:spacing w:after="0" w:line="311" w:lineRule="exact"/>
        <w:rPr>
          <w:sz w:val="20"/>
          <w:szCs w:val="20"/>
          <w:color w:val="auto"/>
        </w:rPr>
      </w:pPr>
    </w:p>
    <w:p>
      <w:pPr>
        <w:ind w:left="443" w:right="660" w:hanging="428"/>
        <w:spacing w:after="0" w:line="286"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168" w:lineRule="exact"/>
        <w:rPr>
          <w:rFonts w:ascii="Times New Roman" w:cs="Times New Roman" w:eastAsia="Times New Roman" w:hAnsi="Times New Roman"/>
          <w:sz w:val="18"/>
          <w:szCs w:val="18"/>
          <w:color w:val="auto"/>
        </w:rPr>
      </w:pPr>
    </w:p>
    <w:p>
      <w:pPr>
        <w:ind w:left="443" w:right="340" w:hanging="428"/>
        <w:spacing w:after="0" w:line="268" w:lineRule="auto"/>
        <w:tabs>
          <w:tab w:leader="none" w:pos="8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w:t>
      </w:r>
      <w:r>
        <w:rPr>
          <w:rFonts w:ascii="Times New Roman" w:cs="Times New Roman" w:eastAsia="Times New Roman" w:hAnsi="Times New Roman"/>
          <w:sz w:val="18"/>
          <w:szCs w:val="18"/>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278" w:lineRule="exact"/>
        <w:rPr>
          <w:rFonts w:ascii="Times New Roman" w:cs="Times New Roman" w:eastAsia="Times New Roman" w:hAnsi="Times New Roman"/>
          <w:sz w:val="18"/>
          <w:szCs w:val="18"/>
          <w:color w:val="auto"/>
        </w:rPr>
      </w:pPr>
    </w:p>
    <w:p>
      <w:pPr>
        <w:ind w:left="-277" w:right="620" w:firstLine="292"/>
        <w:spacing w:after="0" w:line="286" w:lineRule="auto"/>
        <w:tabs>
          <w:tab w:leader="none" w:pos="4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253" w:lineRule="exact"/>
        <w:rPr>
          <w:rFonts w:ascii="Times New Roman" w:cs="Times New Roman" w:eastAsia="Times New Roman" w:hAnsi="Times New Roman"/>
          <w:sz w:val="18"/>
          <w:szCs w:val="18"/>
          <w:color w:val="auto"/>
        </w:rPr>
      </w:pPr>
    </w:p>
    <w:p>
      <w:pPr>
        <w:ind w:left="943" w:right="80" w:hanging="449"/>
        <w:spacing w:after="0" w:line="258" w:lineRule="auto"/>
        <w:tabs>
          <w:tab w:leader="none" w:pos="9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277" w:lineRule="exact"/>
        <w:rPr>
          <w:rFonts w:ascii="Times New Roman" w:cs="Times New Roman" w:eastAsia="Times New Roman" w:hAnsi="Times New Roman"/>
          <w:sz w:val="18"/>
          <w:szCs w:val="18"/>
          <w:color w:val="auto"/>
        </w:rPr>
      </w:pPr>
    </w:p>
    <w:p>
      <w:pPr>
        <w:ind w:left="943" w:hanging="449"/>
        <w:spacing w:after="0" w:line="254" w:lineRule="auto"/>
        <w:tabs>
          <w:tab w:leader="none" w:pos="9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 (A)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272" w:lineRule="exact"/>
        <w:rPr>
          <w:rFonts w:ascii="Times New Roman" w:cs="Times New Roman" w:eastAsia="Times New Roman" w:hAnsi="Times New Roman"/>
          <w:sz w:val="18"/>
          <w:szCs w:val="18"/>
          <w:color w:val="auto"/>
        </w:rPr>
      </w:pPr>
    </w:p>
    <w:p>
      <w:pPr>
        <w:ind w:left="943" w:right="120" w:hanging="449"/>
        <w:spacing w:after="0" w:line="266" w:lineRule="auto"/>
        <w:tabs>
          <w:tab w:leader="none" w:pos="9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w:t>
      </w:r>
    </w:p>
    <w:p>
      <w:pPr>
        <w:spacing w:after="0" w:line="202" w:lineRule="exact"/>
        <w:rPr>
          <w:rFonts w:ascii="Times New Roman" w:cs="Times New Roman" w:eastAsia="Times New Roman" w:hAnsi="Times New Roman"/>
          <w:sz w:val="18"/>
          <w:szCs w:val="18"/>
          <w:color w:val="auto"/>
        </w:rPr>
      </w:pPr>
    </w:p>
    <w:p>
      <w:pPr>
        <w:ind w:left="963" w:right="60" w:hanging="1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256" w:lineRule="exact"/>
        <w:rPr>
          <w:rFonts w:ascii="Times New Roman" w:cs="Times New Roman" w:eastAsia="Times New Roman" w:hAnsi="Times New Roman"/>
          <w:sz w:val="18"/>
          <w:szCs w:val="18"/>
          <w:color w:val="auto"/>
        </w:rPr>
      </w:pPr>
    </w:p>
    <w:p>
      <w:pPr>
        <w:ind w:left="943" w:right="100" w:hanging="449"/>
        <w:spacing w:after="0" w:line="258" w:lineRule="auto"/>
        <w:tabs>
          <w:tab w:leader="none" w:pos="9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192" w:lineRule="exact"/>
        <w:rPr>
          <w:rFonts w:ascii="Times New Roman" w:cs="Times New Roman" w:eastAsia="Times New Roman" w:hAnsi="Times New Roman"/>
          <w:sz w:val="18"/>
          <w:szCs w:val="18"/>
          <w:color w:val="auto"/>
        </w:rPr>
      </w:pPr>
    </w:p>
    <w:p>
      <w:pPr>
        <w:ind w:left="943" w:right="460" w:hanging="449"/>
        <w:spacing w:after="0" w:line="286" w:lineRule="auto"/>
        <w:tabs>
          <w:tab w:leader="none" w:pos="9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785495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3"/>
          </w:cols>
          <w:pgMar w:left="837" w:top="1440" w:right="539" w:bottom="1440" w:gutter="0" w:footer="0" w:header="0"/>
        </w:sectPr>
      </w:pPr>
    </w:p>
    <w:bookmarkStart w:id="14" w:name="page15"/>
    <w:bookmarkEnd w:id="14"/>
    <w:p>
      <w:pPr>
        <w:spacing w:after="0" w:line="5" w:lineRule="exact"/>
        <w:rPr>
          <w:sz w:val="20"/>
          <w:szCs w:val="20"/>
          <w:color w:val="auto"/>
        </w:rPr>
      </w:pPr>
    </w:p>
    <w:p>
      <w:pPr>
        <w:jc w:val="both"/>
        <w:ind w:left="1220" w:right="100"/>
        <w:spacing w:after="0" w:line="266" w:lineRule="auto"/>
        <w:rPr>
          <w:sz w:val="20"/>
          <w:szCs w:val="20"/>
          <w:color w:val="auto"/>
        </w:rPr>
      </w:pPr>
      <w:r>
        <w:rPr>
          <w:rFonts w:ascii="Times New Roman" w:cs="Times New Roman" w:eastAsia="Times New Roman" w:hAnsi="Times New Roman"/>
          <w:sz w:val="18"/>
          <w:szCs w:val="18"/>
          <w:color w:val="auto"/>
        </w:rPr>
        <w:t>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203" w:lineRule="exact"/>
        <w:rPr>
          <w:sz w:val="20"/>
          <w:szCs w:val="20"/>
          <w:color w:val="auto"/>
        </w:rPr>
      </w:pPr>
    </w:p>
    <w:p>
      <w:pPr>
        <w:ind w:left="1220" w:right="20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and solely for the purpose of determining the timing of payment or timing of distribution of any compensation or benefit that constitutes “nonqualified deferred compensation” within the meaning of Section 409A of the US Internal Revenue Code of 1986, as amended, a Change of Control shall not be deemed to occur under this Plan unless the Change of Control also constitutes a “change in the ownership” of the Company, a “change in effective control” of the Company, or a “change in the ownership of a substantial portion of the assets” of the Company under U.S. Treasury Regulations § 1.409A3( i)(5), or any successor provision;</w:t>
      </w:r>
    </w:p>
    <w:p>
      <w:pPr>
        <w:spacing w:after="0" w:line="8" w:lineRule="exact"/>
        <w:rPr>
          <w:sz w:val="20"/>
          <w:szCs w:val="20"/>
          <w:color w:val="auto"/>
        </w:rPr>
      </w:pPr>
    </w:p>
    <w:p>
      <w:pPr>
        <w:ind w:left="1240" w:hanging="484"/>
        <w:spacing w:after="0"/>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252" w:lineRule="exact"/>
        <w:rPr>
          <w:rFonts w:ascii="Times New Roman" w:cs="Times New Roman" w:eastAsia="Times New Roman" w:hAnsi="Times New Roman"/>
          <w:sz w:val="18"/>
          <w:szCs w:val="18"/>
          <w:color w:val="auto"/>
        </w:rPr>
      </w:pPr>
    </w:p>
    <w:p>
      <w:pPr>
        <w:ind w:left="920" w:hanging="643"/>
        <w:spacing w:after="0" w:line="28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Plc, a company incorporated in England with company number 14573691, whose registered office is at 5 New Street Square, London, United Kingdom, EC4A 3TW;</w:t>
      </w:r>
    </w:p>
    <w:p>
      <w:pPr>
        <w:spacing w:after="0" w:line="182" w:lineRule="exact"/>
        <w:rPr>
          <w:sz w:val="20"/>
          <w:szCs w:val="20"/>
          <w:color w:val="auto"/>
        </w:rPr>
      </w:pPr>
    </w:p>
    <w:p>
      <w:pPr>
        <w:ind w:left="740" w:right="560" w:hanging="448"/>
        <w:spacing w:after="0" w:line="286"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collectively: (i) the series A preferred shares, designated as “Series A Shares” pursuant to the Company Articles of Association; and (ii) the ordinary shares designated as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"Ordinary Shares" pursuant to the Company's Articles of Association;</w:t>
      </w:r>
    </w:p>
    <w:p>
      <w:pPr>
        <w:spacing w:after="0" w:line="248" w:lineRule="exact"/>
        <w:rPr>
          <w:sz w:val="20"/>
          <w:szCs w:val="20"/>
          <w:color w:val="auto"/>
        </w:rPr>
      </w:pPr>
    </w:p>
    <w:p>
      <w:pPr>
        <w:ind w:left="820" w:hanging="528"/>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720" w:right="340" w:hanging="428"/>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right="240" w:firstLine="292"/>
        <w:spacing w:after="0" w:line="286" w:lineRule="auto"/>
        <w:tabs>
          <w:tab w:leader="none" w:pos="7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the Grant Agreement pursuant to which the applicable Award was granted;</w:t>
      </w:r>
    </w:p>
    <w:p>
      <w:pPr>
        <w:spacing w:after="0" w:line="249" w:lineRule="exact"/>
        <w:rPr>
          <w:rFonts w:ascii="Times New Roman" w:cs="Times New Roman" w:eastAsia="Times New Roman" w:hAnsi="Times New Roman"/>
          <w:sz w:val="18"/>
          <w:szCs w:val="18"/>
          <w:color w:val="auto"/>
        </w:rPr>
      </w:pPr>
    </w:p>
    <w:p>
      <w:pPr>
        <w:ind w:right="400" w:firstLine="292"/>
        <w:spacing w:after="0" w:line="286" w:lineRule="auto"/>
        <w:tabs>
          <w:tab w:leader="none" w:pos="7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249" w:lineRule="exact"/>
        <w:rPr>
          <w:rFonts w:ascii="Times New Roman" w:cs="Times New Roman" w:eastAsia="Times New Roman" w:hAnsi="Times New Roman"/>
          <w:sz w:val="18"/>
          <w:szCs w:val="18"/>
          <w:color w:val="auto"/>
        </w:rPr>
      </w:pPr>
    </w:p>
    <w:p>
      <w:pPr>
        <w:ind w:left="800" w:right="780" w:hanging="508"/>
        <w:spacing w:after="0" w:line="286" w:lineRule="auto"/>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agreed to participate in the Plan and to whom Deferred Share Units have or will be granted thereunder;</w:t>
      </w:r>
    </w:p>
    <w:p>
      <w:pPr>
        <w:spacing w:after="0" w:line="329" w:lineRule="exact"/>
        <w:rPr>
          <w:sz w:val="20"/>
          <w:szCs w:val="20"/>
          <w:color w:val="auto"/>
        </w:rPr>
      </w:pPr>
    </w:p>
    <w:p>
      <w:pPr>
        <w:ind w:left="1340" w:hanging="1063"/>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Fiscal Year following the Fiscal Year in which the DSU</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Termination Date occurred;</w:t>
      </w:r>
    </w:p>
    <w:p>
      <w:pPr>
        <w:spacing w:after="0" w:line="311" w:lineRule="exact"/>
        <w:rPr>
          <w:sz w:val="20"/>
          <w:szCs w:val="20"/>
          <w:color w:val="auto"/>
        </w:rPr>
      </w:pPr>
    </w:p>
    <w:p>
      <w:pPr>
        <w:ind w:right="160" w:firstLine="292"/>
        <w:spacing w:after="0" w:line="286" w:lineRule="auto"/>
        <w:tabs>
          <w:tab w:leader="none" w:pos="7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249" w:lineRule="exact"/>
        <w:rPr>
          <w:rFonts w:ascii="Times New Roman" w:cs="Times New Roman" w:eastAsia="Times New Roman" w:hAnsi="Times New Roman"/>
          <w:sz w:val="18"/>
          <w:szCs w:val="18"/>
          <w:color w:val="auto"/>
        </w:rPr>
      </w:pPr>
    </w:p>
    <w:p>
      <w:pPr>
        <w:ind w:left="800" w:right="300" w:hanging="508"/>
        <w:spacing w:after="0" w:line="263"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of the Company for any reason including, without limiting the generality of the foregoing,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824865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60" w:top="1440"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result of retirement, death, voluntary or involuntary termination without cause, or Incapacity;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835025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59"/>
          </w:cols>
          <w:pgMar w:left="1300" w:top="1377" w:right="1440" w:bottom="1440" w:gutter="0" w:footer="0" w:header="0"/>
        </w:sectPr>
      </w:pPr>
    </w:p>
    <w:bookmarkStart w:id="16" w:name="page17"/>
    <w:bookmarkEnd w:id="16"/>
    <w:p>
      <w:pPr>
        <w:spacing w:after="0" w:line="311" w:lineRule="exact"/>
        <w:rPr>
          <w:sz w:val="20"/>
          <w:szCs w:val="20"/>
          <w:color w:val="auto"/>
        </w:rPr>
      </w:pPr>
    </w:p>
    <w:p>
      <w:pPr>
        <w:ind w:left="543" w:hanging="528"/>
        <w:spacing w:after="0"/>
        <w:tabs>
          <w:tab w:leader="none" w:pos="5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333" w:lineRule="exact"/>
        <w:rPr>
          <w:rFonts w:ascii="Times New Roman" w:cs="Times New Roman" w:eastAsia="Times New Roman" w:hAnsi="Times New Roman"/>
          <w:sz w:val="18"/>
          <w:szCs w:val="18"/>
          <w:color w:val="auto"/>
        </w:rPr>
      </w:pPr>
    </w:p>
    <w:p>
      <w:pPr>
        <w:ind w:left="543" w:hanging="528"/>
        <w:spacing w:after="0"/>
        <w:tabs>
          <w:tab w:leader="none" w:pos="5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292" w:lineRule="exact"/>
        <w:rPr>
          <w:rFonts w:ascii="Times New Roman" w:cs="Times New Roman" w:eastAsia="Times New Roman" w:hAnsi="Times New Roman"/>
          <w:sz w:val="18"/>
          <w:szCs w:val="18"/>
          <w:color w:val="auto"/>
        </w:rPr>
      </w:pPr>
    </w:p>
    <w:p>
      <w:pPr>
        <w:ind w:left="543" w:hanging="528"/>
        <w:spacing w:after="0"/>
        <w:tabs>
          <w:tab w:leader="none" w:pos="5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90" w:lineRule="exact"/>
        <w:rPr>
          <w:rFonts w:ascii="Times New Roman" w:cs="Times New Roman" w:eastAsia="Times New Roman" w:hAnsi="Times New Roman"/>
          <w:sz w:val="18"/>
          <w:szCs w:val="18"/>
          <w:color w:val="auto"/>
        </w:rPr>
      </w:pPr>
    </w:p>
    <w:p>
      <w:pPr>
        <w:ind w:left="423" w:right="1320" w:hanging="423"/>
        <w:spacing w:after="0" w:line="273" w:lineRule="auto"/>
        <w:tabs>
          <w:tab w:leader="none" w:pos="4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1" w:lineRule="exact"/>
        <w:rPr>
          <w:rFonts w:ascii="Times New Roman" w:cs="Times New Roman" w:eastAsia="Times New Roman" w:hAnsi="Times New Roman"/>
          <w:sz w:val="18"/>
          <w:szCs w:val="18"/>
          <w:color w:val="auto"/>
        </w:rPr>
      </w:pPr>
    </w:p>
    <w:p>
      <w:pPr>
        <w:ind w:left="543" w:hanging="528"/>
        <w:spacing w:after="0"/>
        <w:tabs>
          <w:tab w:leader="none" w:pos="5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200" w:lineRule="exact"/>
        <w:rPr>
          <w:sz w:val="20"/>
          <w:szCs w:val="20"/>
          <w:color w:val="auto"/>
        </w:rPr>
      </w:pPr>
    </w:p>
    <w:p>
      <w:pPr>
        <w:spacing w:after="0" w:line="295" w:lineRule="exact"/>
        <w:rPr>
          <w:sz w:val="20"/>
          <w:szCs w:val="20"/>
          <w:color w:val="auto"/>
        </w:rPr>
      </w:pPr>
    </w:p>
    <w:p>
      <w:pPr>
        <w:ind w:left="1023" w:right="340" w:hanging="1023"/>
        <w:spacing w:after="0" w:line="263" w:lineRule="auto"/>
        <w:tabs>
          <w:tab w:leader="none" w:pos="10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w:t>
      </w:r>
    </w:p>
    <w:p>
      <w:pPr>
        <w:spacing w:after="0" w:line="1"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8"/>
          <w:szCs w:val="18"/>
          <w:color w:val="auto"/>
        </w:rPr>
        <w:t>appreciation, phantom stock, profit participation or similar rights);</w:t>
      </w:r>
    </w:p>
    <w:p>
      <w:pPr>
        <w:spacing w:after="0" w:line="284" w:lineRule="exact"/>
        <w:rPr>
          <w:sz w:val="20"/>
          <w:szCs w:val="20"/>
          <w:color w:val="auto"/>
        </w:rPr>
      </w:pPr>
    </w:p>
    <w:p>
      <w:pPr>
        <w:ind w:left="543" w:hanging="532"/>
        <w:spacing w:after="0" w:line="263" w:lineRule="auto"/>
        <w:tabs>
          <w:tab w:leader="none" w:pos="3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Expire</w:t>
      </w:r>
      <w:r>
        <w:rPr>
          <w:rFonts w:ascii="Times New Roman" w:cs="Times New Roman" w:eastAsia="Times New Roman" w:hAnsi="Times New Roman"/>
          <w:sz w:val="18"/>
          <w:szCs w:val="18"/>
          <w:color w:val="auto"/>
        </w:rPr>
        <w:t>” means, with respect to a Unit, the termination of such Unit, on the occurrence of which such Unit is void, incapable of settlement, and of no value whatsoever; and with respect to an Option, the</w:t>
      </w:r>
    </w:p>
    <w:p>
      <w:pPr>
        <w:spacing w:after="0" w:line="1" w:lineRule="exact"/>
        <w:rPr>
          <w:sz w:val="20"/>
          <w:szCs w:val="20"/>
          <w:color w:val="auto"/>
        </w:rPr>
      </w:pPr>
    </w:p>
    <w:p>
      <w:pPr>
        <w:ind w:left="463" w:right="720" w:hanging="739"/>
        <w:spacing w:after="0" w:line="276" w:lineRule="auto"/>
        <w:rPr>
          <w:sz w:val="20"/>
          <w:szCs w:val="20"/>
          <w:color w:val="auto"/>
        </w:rPr>
      </w:pPr>
      <w:r>
        <w:rPr>
          <w:rFonts w:ascii="Times New Roman" w:cs="Times New Roman" w:eastAsia="Times New Roman" w:hAnsi="Times New Roman"/>
          <w:sz w:val="18"/>
          <w:szCs w:val="18"/>
          <w:color w:val="auto"/>
        </w:rPr>
        <w:t>termination or lapsing of such Option, on the occurrence of which such Option is void, incapable of exercise or settlement, and of no value whatsoever; and Expires and Expired have a similar meaning;</w:t>
      </w:r>
    </w:p>
    <w:p>
      <w:pPr>
        <w:spacing w:after="0" w:line="244" w:lineRule="exact"/>
        <w:rPr>
          <w:sz w:val="20"/>
          <w:szCs w:val="20"/>
          <w:color w:val="auto"/>
        </w:rPr>
      </w:pPr>
    </w:p>
    <w:p>
      <w:pPr>
        <w:ind w:left="-277" w:right="20" w:firstLine="281"/>
        <w:spacing w:after="0" w:line="273" w:lineRule="auto"/>
        <w:tabs>
          <w:tab w:leader="none" w:pos="3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1" w:lineRule="exact"/>
        <w:rPr>
          <w:rFonts w:ascii="Times New Roman" w:cs="Times New Roman" w:eastAsia="Times New Roman" w:hAnsi="Times New Roman"/>
          <w:sz w:val="18"/>
          <w:szCs w:val="18"/>
          <w:color w:val="auto"/>
        </w:rPr>
      </w:pPr>
    </w:p>
    <w:p>
      <w:pPr>
        <w:ind w:left="343" w:hanging="332"/>
        <w:spacing w:after="0"/>
        <w:tabs>
          <w:tab w:leader="none" w:pos="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31" w:lineRule="exact"/>
        <w:rPr>
          <w:rFonts w:ascii="Times New Roman" w:cs="Times New Roman" w:eastAsia="Times New Roman" w:hAnsi="Times New Roman"/>
          <w:sz w:val="18"/>
          <w:szCs w:val="18"/>
          <w:color w:val="auto"/>
        </w:rPr>
      </w:pPr>
    </w:p>
    <w:p>
      <w:pPr>
        <w:ind w:left="363" w:hanging="352"/>
        <w:spacing w:after="0"/>
        <w:tabs>
          <w:tab w:leader="none" w:pos="3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54" w:lineRule="exact"/>
        <w:rPr>
          <w:rFonts w:ascii="Times New Roman" w:cs="Times New Roman" w:eastAsia="Times New Roman" w:hAnsi="Times New Roman"/>
          <w:sz w:val="18"/>
          <w:szCs w:val="18"/>
          <w:color w:val="auto"/>
        </w:rPr>
      </w:pPr>
    </w:p>
    <w:p>
      <w:pPr>
        <w:ind w:left="543" w:right="340" w:hanging="532"/>
        <w:spacing w:after="0" w:line="286" w:lineRule="auto"/>
        <w:tabs>
          <w:tab w:leader="none" w:pos="3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235" w:lineRule="exact"/>
        <w:rPr>
          <w:rFonts w:ascii="Times New Roman" w:cs="Times New Roman" w:eastAsia="Times New Roman" w:hAnsi="Times New Roman"/>
          <w:sz w:val="18"/>
          <w:szCs w:val="18"/>
          <w:color w:val="auto"/>
        </w:rPr>
      </w:pPr>
    </w:p>
    <w:p>
      <w:pPr>
        <w:ind w:left="363" w:hanging="352"/>
        <w:spacing w:after="0"/>
        <w:tabs>
          <w:tab w:leader="none" w:pos="3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252"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ISU</w:t>
      </w:r>
      <w:r>
        <w:rPr>
          <w:rFonts w:ascii="Times New Roman" w:cs="Times New Roman" w:eastAsia="Times New Roman" w:hAnsi="Times New Roman"/>
          <w:sz w:val="18"/>
          <w:szCs w:val="18"/>
          <w:color w:val="auto"/>
        </w:rPr>
        <w:t>” means a unit granted or credited to a ISU Participant’s notional (gg) account pursuant to the terms of</w:t>
      </w:r>
    </w:p>
    <w:p>
      <w:pPr>
        <w:sectPr>
          <w:pgSz w:w="11900" w:h="16838" w:orient="portrait"/>
          <w:cols w:equalWidth="0" w:num="1">
            <w:col w:w="10443"/>
          </w:cols>
          <w:pgMar w:left="837" w:top="1440" w:right="619" w:bottom="1440" w:gutter="0" w:footer="0" w:header="0"/>
        </w:sectPr>
      </w:pPr>
    </w:p>
    <w:p>
      <w:pPr>
        <w:spacing w:after="0" w:line="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this Plan that, subject to the provisions hereof, entitles a ISU</w:t>
      </w:r>
    </w:p>
    <w:p>
      <w:pPr>
        <w:spacing w:after="0" w:line="9" w:lineRule="exact"/>
        <w:rPr>
          <w:sz w:val="20"/>
          <w:szCs w:val="20"/>
          <w:color w:val="auto"/>
        </w:rPr>
      </w:pPr>
    </w:p>
    <w:p>
      <w:pPr>
        <w:ind w:left="1103"/>
        <w:spacing w:after="0"/>
        <w:rPr>
          <w:sz w:val="20"/>
          <w:szCs w:val="20"/>
          <w:color w:val="auto"/>
        </w:rPr>
      </w:pPr>
      <w:r>
        <w:rPr>
          <w:rFonts w:ascii="Times New Roman" w:cs="Times New Roman" w:eastAsia="Times New Roman" w:hAnsi="Times New Roman"/>
          <w:sz w:val="17"/>
          <w:szCs w:val="17"/>
          <w:color w:val="auto"/>
        </w:rPr>
        <w:t>Participant to receive one Share or the Cash Equivalent in accordance with the terms set forth 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Plan;</w:t>
      </w:r>
    </w:p>
    <w:p>
      <w:pPr>
        <w:spacing w:after="0" w:line="218" w:lineRule="exact"/>
        <w:rPr>
          <w:sz w:val="20"/>
          <w:szCs w:val="20"/>
          <w:color w:val="auto"/>
        </w:rPr>
      </w:pPr>
    </w:p>
    <w:p>
      <w:pPr>
        <w:sectPr>
          <w:pgSz w:w="11900" w:h="16838" w:orient="portrait"/>
          <w:cols w:equalWidth="0" w:num="2">
            <w:col w:w="8003" w:space="300"/>
            <w:col w:w="2140"/>
          </w:cols>
          <w:pgMar w:left="837" w:top="1440" w:right="619" w:bottom="1440" w:gutter="0" w:footer="0" w:header="0"/>
          <w:type w:val="continuous"/>
        </w:sectPr>
      </w:pPr>
    </w:p>
    <w:p>
      <w:pPr>
        <w:spacing w:after="0" w:line="41" w:lineRule="exact"/>
        <w:rPr>
          <w:sz w:val="20"/>
          <w:szCs w:val="20"/>
          <w:color w:val="auto"/>
        </w:rPr>
      </w:pPr>
    </w:p>
    <w:p>
      <w:pPr>
        <w:ind w:left="1103" w:right="100" w:hanging="1088"/>
        <w:spacing w:after="0" w:line="263"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b w:val="1"/>
          <w:bCs w:val="1"/>
          <w:color w:val="auto"/>
        </w:rPr>
        <w:t>ISU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w:t>
      </w:r>
    </w:p>
    <w:p>
      <w:pPr>
        <w:spacing w:after="0" w:line="1"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8"/>
          <w:szCs w:val="18"/>
          <w:color w:val="auto"/>
        </w:rPr>
        <w:t>Incentive Share Unit has been granted or will be granted thereunder;</w:t>
      </w:r>
    </w:p>
    <w:p>
      <w:pPr>
        <w:spacing w:after="0" w:line="230" w:lineRule="exact"/>
        <w:rPr>
          <w:sz w:val="20"/>
          <w:szCs w:val="20"/>
          <w:color w:val="auto"/>
        </w:rPr>
      </w:pPr>
    </w:p>
    <w:p>
      <w:pPr>
        <w:ind w:left="543" w:hanging="528"/>
        <w:spacing w:after="0"/>
        <w:tabs>
          <w:tab w:leader="none" w:pos="5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 has the meaning given to that term in Section 7.1(1);</w:t>
      </w:r>
    </w:p>
    <w:p>
      <w:pPr>
        <w:spacing w:after="0" w:line="252" w:lineRule="exact"/>
        <w:rPr>
          <w:rFonts w:ascii="Times New Roman" w:cs="Times New Roman" w:eastAsia="Times New Roman" w:hAnsi="Times New Roman"/>
          <w:sz w:val="18"/>
          <w:szCs w:val="18"/>
          <w:color w:val="auto"/>
        </w:rPr>
      </w:pPr>
    </w:p>
    <w:p>
      <w:pPr>
        <w:ind w:left="343" w:right="1320" w:hanging="334"/>
        <w:spacing w:after="0" w:line="286" w:lineRule="auto"/>
        <w:tabs>
          <w:tab w:leader="none" w:pos="7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Notice</w:t>
      </w:r>
      <w:r>
        <w:rPr>
          <w:rFonts w:ascii="Times New Roman" w:cs="Times New Roman" w:eastAsia="Times New Roman" w:hAnsi="Times New Roman"/>
          <w:sz w:val="18"/>
          <w:szCs w:val="18"/>
          <w:color w:val="auto"/>
        </w:rPr>
        <w:t>” means a notice, in a form determined by the Board, by an ISU Participant to the Company electing the desired form of settlement of vested Incentive Share Units;</w:t>
      </w:r>
    </w:p>
    <w:p>
      <w:pPr>
        <w:spacing w:after="0" w:line="182"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means the date on which an ISU Participant ceases to be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829945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837" w:top="1440" w:right="619" w:bottom="1440" w:gutter="0" w:footer="0" w:header="0"/>
          <w:type w:val="continuous"/>
        </w:sectPr>
      </w:pPr>
    </w:p>
    <w:bookmarkStart w:id="17" w:name="page18"/>
    <w:bookmarkEnd w:id="17"/>
    <w:p>
      <w:pPr>
        <w:spacing w:after="0" w:line="5" w:lineRule="exact"/>
        <w:rPr>
          <w:sz w:val="20"/>
          <w:szCs w:val="20"/>
          <w:color w:val="auto"/>
        </w:rPr>
      </w:pPr>
    </w:p>
    <w:p>
      <w:pPr>
        <w:ind w:left="358"/>
        <w:spacing w:after="0"/>
        <w:rPr>
          <w:sz w:val="20"/>
          <w:szCs w:val="20"/>
          <w:color w:val="auto"/>
        </w:rPr>
      </w:pPr>
      <w:r>
        <w:rPr>
          <w:rFonts w:ascii="Times New Roman" w:cs="Times New Roman" w:eastAsia="Times New Roman" w:hAnsi="Times New Roman"/>
          <w:sz w:val="18"/>
          <w:szCs w:val="18"/>
          <w:color w:val="auto"/>
        </w:rPr>
        <w:t>(kk)</w:t>
      </w:r>
    </w:p>
    <w:p>
      <w:pPr>
        <w:spacing w:after="0" w:line="27" w:lineRule="exact"/>
        <w:rPr>
          <w:sz w:val="20"/>
          <w:szCs w:val="20"/>
          <w:color w:val="auto"/>
        </w:rPr>
      </w:pPr>
    </w:p>
    <w:p>
      <w:pPr>
        <w:ind w:left="758" w:right="900"/>
        <w:spacing w:after="0" w:line="252" w:lineRule="auto"/>
        <w:rPr>
          <w:sz w:val="20"/>
          <w:szCs w:val="20"/>
          <w:color w:val="auto"/>
        </w:rPr>
      </w:pPr>
      <w:r>
        <w:rPr>
          <w:rFonts w:ascii="Times New Roman" w:cs="Times New Roman" w:eastAsia="Times New Roman" w:hAnsi="Times New Roman"/>
          <w:sz w:val="18"/>
          <w:szCs w:val="18"/>
          <w:color w:val="auto"/>
        </w:rPr>
        <w:t>Eligible Person as a result of a termination of employment with the Company or a Group Company for any reason, including death, retirement, or resignation. For the purposes of the Plan, an ISU Participant’s employment with the Company or a Group Company shall be considered to have terminated effective on the last day of the ISU Participant’s actual and active employment with the Company or Group Company, whether such day is selected by agreement with the individual, or unilaterally by the ISU Participant or the Company or Group Company, and whether with or without advance notice to the ISU Participant. For the avoidance of doubt, no period of notice or pay in lieu of notice that is given or that ought to have been given under applicable law in respect of such termination of employment that follows or is in respect of a period after the ISU Participant’s last day of actual and active employment shall be considered as extending the ISU Participant’s period of employment for the purposes of determining his or her entitlement under the Plan;</w:t>
      </w:r>
    </w:p>
    <w:p>
      <w:pPr>
        <w:spacing w:after="0" w:line="6" w:lineRule="exact"/>
        <w:rPr>
          <w:sz w:val="20"/>
          <w:szCs w:val="20"/>
          <w:color w:val="auto"/>
        </w:rPr>
      </w:pPr>
    </w:p>
    <w:p>
      <w:pPr>
        <w:ind w:left="738" w:right="280" w:hanging="737"/>
        <w:spacing w:after="0" w:line="268" w:lineRule="auto"/>
        <w:tabs>
          <w:tab w:leader="none" w:pos="3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Incentive Share Units (as described in Section 6.4), on and after which a particular Incentive Share Unit will be settled, subject to amendment or acceleration from time to time in accordance with the terms hereof;</w:t>
      </w:r>
    </w:p>
    <w:p>
      <w:pPr>
        <w:spacing w:after="0" w:line="211" w:lineRule="exact"/>
        <w:rPr>
          <w:rFonts w:ascii="Times New Roman" w:cs="Times New Roman" w:eastAsia="Times New Roman" w:hAnsi="Times New Roman"/>
          <w:sz w:val="18"/>
          <w:szCs w:val="18"/>
          <w:color w:val="auto"/>
        </w:rPr>
      </w:pPr>
    </w:p>
    <w:p>
      <w:pPr>
        <w:ind w:left="-2" w:right="160" w:firstLine="3"/>
        <w:spacing w:after="0" w:line="263" w:lineRule="auto"/>
        <w:tabs>
          <w:tab w:leader="none" w:pos="52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means the founder of the Company, being Daniel Wagner; (nn) “</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w:t>
      </w:r>
    </w:p>
    <w:p>
      <w:pPr>
        <w:ind w:left="1378" w:right="80" w:hanging="63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for the five (5) preceding days on which the Shares were traded, or on any other share exchange as selected by the Board for these purposes. In the event that such Shares are</w:t>
      </w:r>
    </w:p>
    <w:p>
      <w:pPr>
        <w:ind w:left="73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listed</w:t>
      </w:r>
    </w:p>
    <w:p>
      <w:pPr>
        <w:spacing w:after="0" w:line="9" w:lineRule="exact"/>
        <w:rPr>
          <w:rFonts w:ascii="Times New Roman" w:cs="Times New Roman" w:eastAsia="Times New Roman" w:hAnsi="Times New Roman"/>
          <w:sz w:val="18"/>
          <w:szCs w:val="18"/>
          <w:color w:val="auto"/>
        </w:rPr>
      </w:pPr>
    </w:p>
    <w:p>
      <w:pPr>
        <w:ind w:left="758" w:hanging="1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posted for trading on any share exchange, the Market Value shall be the fair market value of such Shares as determined by the Board in its sole and absolute discretion;</w:t>
      </w:r>
    </w:p>
    <w:p>
      <w:pPr>
        <w:ind w:left="358" w:hanging="358"/>
        <w:spacing w:after="0"/>
        <w:tabs>
          <w:tab w:leader="none" w:pos="3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67" w:lineRule="exact"/>
        <w:rPr>
          <w:rFonts w:ascii="Times New Roman" w:cs="Times New Roman" w:eastAsia="Times New Roman" w:hAnsi="Times New Roman"/>
          <w:sz w:val="18"/>
          <w:szCs w:val="18"/>
          <w:color w:val="auto"/>
        </w:rPr>
      </w:pPr>
    </w:p>
    <w:p>
      <w:pPr>
        <w:ind w:left="738" w:right="20" w:hanging="738"/>
        <w:spacing w:after="0" w:line="263" w:lineRule="auto"/>
        <w:tabs>
          <w:tab w:leader="none" w:pos="3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share option granted to an Option Participant pursuant to the terms of this Plan that, subject to the provisions hereof, entitles an Option Participant to receive one Share or the Option Cash Equivalent in accordance with the terms set forth in the Plan;</w:t>
      </w:r>
    </w:p>
    <w:p>
      <w:pPr>
        <w:ind w:left="438" w:hanging="437"/>
        <w:spacing w:after="0"/>
        <w:tabs>
          <w:tab w:leader="none" w:pos="4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Cash Equivalent</w:t>
      </w:r>
      <w:r>
        <w:rPr>
          <w:rFonts w:ascii="Times New Roman" w:cs="Times New Roman" w:eastAsia="Times New Roman" w:hAnsi="Times New Roman"/>
          <w:sz w:val="18"/>
          <w:szCs w:val="18"/>
          <w:color w:val="auto"/>
        </w:rPr>
        <w:t>" means the amount of money expressed in British Pound Sterling equal to:</w:t>
      </w:r>
    </w:p>
    <w:p>
      <w:pPr>
        <w:spacing w:after="0" w:line="9" w:lineRule="exact"/>
        <w:rPr>
          <w:rFonts w:ascii="Times New Roman" w:cs="Times New Roman" w:eastAsia="Times New Roman" w:hAnsi="Times New Roman"/>
          <w:sz w:val="18"/>
          <w:szCs w:val="18"/>
          <w:color w:val="auto"/>
        </w:rPr>
      </w:pPr>
    </w:p>
    <w:p>
      <w:pPr>
        <w:ind w:left="998" w:hanging="260"/>
        <w:spacing w:after="0"/>
        <w:tabs>
          <w:tab w:leader="none" w:pos="998"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multiplied by the number of Shares in respect of which the Option is being exercised and which is to be</w:t>
      </w:r>
    </w:p>
    <w:p>
      <w:pPr>
        <w:spacing w:after="0" w:line="9"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18"/>
          <w:szCs w:val="18"/>
          <w:color w:val="auto"/>
        </w:rPr>
        <w:t>settled by cash; (b) less the Option Price applicable to such Shares;</w:t>
      </w:r>
    </w:p>
    <w:p>
      <w:pPr>
        <w:spacing w:after="0" w:line="9" w:lineRule="exact"/>
        <w:rPr>
          <w:sz w:val="20"/>
          <w:szCs w:val="20"/>
          <w:color w:val="auto"/>
        </w:rPr>
      </w:pPr>
    </w:p>
    <w:p>
      <w:pPr>
        <w:ind w:left="738" w:right="920" w:hanging="737"/>
        <w:spacing w:after="0" w:line="258" w:lineRule="auto"/>
        <w:tabs>
          <w:tab w:leader="none" w:pos="3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ind w:left="358" w:hanging="357"/>
        <w:spacing w:after="0"/>
        <w:tabs>
          <w:tab w:leader="none" w:pos="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spacing w:after="0" w:line="9" w:lineRule="exact"/>
        <w:rPr>
          <w:rFonts w:ascii="Times New Roman" w:cs="Times New Roman" w:eastAsia="Times New Roman" w:hAnsi="Times New Roman"/>
          <w:sz w:val="18"/>
          <w:szCs w:val="18"/>
          <w:color w:val="auto"/>
        </w:rPr>
      </w:pPr>
    </w:p>
    <w:p>
      <w:pPr>
        <w:ind w:left="738" w:right="480" w:hanging="737"/>
        <w:spacing w:after="0" w:line="260" w:lineRule="auto"/>
        <w:tabs>
          <w:tab w:leader="none" w:pos="3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800100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8"/>
          </w:cols>
          <w:pgMar w:left="562" w:top="1440" w:right="539" w:bottom="1440" w:gutter="0" w:footer="0" w:header="0"/>
        </w:sectPr>
      </w:pPr>
    </w:p>
    <w:bookmarkStart w:id="18" w:name="page19"/>
    <w:bookmarkEnd w:id="18"/>
    <w:p>
      <w:pPr>
        <w:spacing w:after="0" w:line="5" w:lineRule="exact"/>
        <w:rPr>
          <w:sz w:val="20"/>
          <w:szCs w:val="20"/>
          <w:color w:val="auto"/>
        </w:rPr>
      </w:pPr>
    </w:p>
    <w:p>
      <w:pPr>
        <w:ind w:left="1058" w:right="140"/>
        <w:spacing w:after="0" w:line="254" w:lineRule="auto"/>
        <w:rPr>
          <w:sz w:val="20"/>
          <w:szCs w:val="20"/>
          <w:color w:val="auto"/>
        </w:rPr>
      </w:pPr>
      <w:r>
        <w:rPr>
          <w:rFonts w:ascii="Times New Roman" w:cs="Times New Roman" w:eastAsia="Times New Roman" w:hAnsi="Times New Roman"/>
          <w:sz w:val="18"/>
          <w:szCs w:val="18"/>
          <w:color w:val="auto"/>
        </w:rPr>
        <w:t>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200" w:lineRule="exact"/>
        <w:rPr>
          <w:sz w:val="20"/>
          <w:szCs w:val="20"/>
          <w:color w:val="auto"/>
        </w:rPr>
      </w:pPr>
    </w:p>
    <w:p>
      <w:pPr>
        <w:spacing w:after="0" w:line="298" w:lineRule="exact"/>
        <w:rPr>
          <w:sz w:val="20"/>
          <w:szCs w:val="20"/>
          <w:color w:val="auto"/>
        </w:rPr>
      </w:pPr>
    </w:p>
    <w:p>
      <w:pPr>
        <w:ind w:left="358" w:hanging="357"/>
        <w:spacing w:after="0"/>
        <w:tabs>
          <w:tab w:leader="none" w:pos="3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63" w:lineRule="exact"/>
        <w:rPr>
          <w:rFonts w:ascii="Times New Roman" w:cs="Times New Roman" w:eastAsia="Times New Roman" w:hAnsi="Times New Roman"/>
          <w:sz w:val="18"/>
          <w:szCs w:val="18"/>
          <w:color w:val="auto"/>
        </w:rPr>
      </w:pPr>
    </w:p>
    <w:p>
      <w:pPr>
        <w:ind w:left="1378" w:right="440" w:hanging="1378"/>
        <w:spacing w:after="0" w:line="286" w:lineRule="auto"/>
        <w:tabs>
          <w:tab w:leader="none" w:pos="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w:t>
      </w:r>
    </w:p>
    <w:p>
      <w:pPr>
        <w:spacing w:after="0" w:line="182" w:lineRule="exact"/>
        <w:rPr>
          <w:sz w:val="20"/>
          <w:szCs w:val="20"/>
          <w:color w:val="auto"/>
        </w:rPr>
      </w:pPr>
    </w:p>
    <w:p>
      <w:pPr>
        <w:ind w:left="738" w:right="700" w:hanging="737"/>
        <w:spacing w:after="0" w:line="286" w:lineRule="auto"/>
        <w:tabs>
          <w:tab w:leader="none" w:pos="7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w:t>
      </w:r>
    </w:p>
    <w:p>
      <w:pPr>
        <w:spacing w:after="0" w:line="186" w:lineRule="exact"/>
        <w:rPr>
          <w:sz w:val="20"/>
          <w:szCs w:val="20"/>
          <w:color w:val="auto"/>
        </w:rPr>
      </w:pPr>
    </w:p>
    <w:p>
      <w:pPr>
        <w:ind w:left="758" w:right="720" w:hanging="9"/>
        <w:spacing w:after="0" w:line="282" w:lineRule="auto"/>
        <w:rPr>
          <w:sz w:val="20"/>
          <w:szCs w:val="20"/>
          <w:color w:val="auto"/>
        </w:rPr>
      </w:pPr>
      <w:r>
        <w:rPr>
          <w:rFonts w:ascii="Times New Roman" w:cs="Times New Roman" w:eastAsia="Times New Roman" w:hAnsi="Times New Roman"/>
          <w:sz w:val="18"/>
          <w:szCs w:val="18"/>
          <w:color w:val="auto"/>
        </w:rPr>
        <w:t>or the duly appointed administrators of his estate) who in either case have provided the Board with satisfactory evidence of their appointment</w:t>
      </w:r>
    </w:p>
    <w:p>
      <w:pPr>
        <w:spacing w:after="0" w:line="200" w:lineRule="exact"/>
        <w:rPr>
          <w:sz w:val="20"/>
          <w:szCs w:val="20"/>
          <w:color w:val="auto"/>
        </w:rPr>
      </w:pPr>
    </w:p>
    <w:p>
      <w:pPr>
        <w:spacing w:after="0" w:line="282" w:lineRule="exact"/>
        <w:rPr>
          <w:sz w:val="20"/>
          <w:szCs w:val="20"/>
          <w:color w:val="auto"/>
        </w:rPr>
      </w:pPr>
    </w:p>
    <w:p>
      <w:pPr>
        <w:ind w:left="358" w:hanging="357"/>
        <w:spacing w:after="0"/>
        <w:tabs>
          <w:tab w:leader="none" w:pos="3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738" w:right="340" w:hanging="738"/>
        <w:spacing w:after="0" w:line="286" w:lineRule="auto"/>
        <w:tabs>
          <w:tab w:leader="none" w:pos="3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w:t>
      </w:r>
    </w:p>
    <w:p>
      <w:pPr>
        <w:spacing w:after="0" w:line="186" w:lineRule="exact"/>
        <w:rPr>
          <w:sz w:val="20"/>
          <w:szCs w:val="20"/>
          <w:color w:val="auto"/>
        </w:rPr>
      </w:pPr>
    </w:p>
    <w:p>
      <w:pPr>
        <w:ind w:left="758"/>
        <w:spacing w:after="0"/>
        <w:rPr>
          <w:sz w:val="20"/>
          <w:szCs w:val="20"/>
          <w:color w:val="auto"/>
        </w:rPr>
      </w:pPr>
      <w:r>
        <w:rPr>
          <w:rFonts w:ascii="Times New Roman" w:cs="Times New Roman" w:eastAsia="Times New Roman" w:hAnsi="Times New Roman"/>
          <w:sz w:val="18"/>
          <w:szCs w:val="18"/>
          <w:color w:val="auto"/>
        </w:rPr>
        <w:t>Participant to receive one Share or the Cash Equivalent in accordance with the terms set forth in the Plan;</w:t>
      </w:r>
    </w:p>
    <w:p>
      <w:pPr>
        <w:spacing w:after="0" w:line="302" w:lineRule="exact"/>
        <w:rPr>
          <w:sz w:val="20"/>
          <w:szCs w:val="20"/>
          <w:color w:val="auto"/>
        </w:rPr>
      </w:pPr>
    </w:p>
    <w:p>
      <w:pPr>
        <w:ind w:left="1378" w:right="1000" w:hanging="1377"/>
        <w:spacing w:after="0" w:line="263" w:lineRule="auto"/>
        <w:tabs>
          <w:tab w:leader="none" w:pos="3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w:t>
      </w:r>
    </w:p>
    <w:p>
      <w:pPr>
        <w:spacing w:after="0" w:line="1"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18"/>
          <w:szCs w:val="18"/>
          <w:color w:val="auto"/>
        </w:rPr>
        <w:t>Restricted Share Unit has been granted or will be granted thereunder;</w:t>
      </w:r>
    </w:p>
    <w:p>
      <w:pPr>
        <w:spacing w:after="0" w:line="270" w:lineRule="exact"/>
        <w:rPr>
          <w:sz w:val="20"/>
          <w:szCs w:val="20"/>
          <w:color w:val="auto"/>
        </w:rPr>
      </w:pPr>
    </w:p>
    <w:p>
      <w:pPr>
        <w:ind w:left="718" w:hanging="717"/>
        <w:spacing w:after="0"/>
        <w:tabs>
          <w:tab w:leader="none" w:pos="7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306" w:lineRule="exact"/>
        <w:rPr>
          <w:rFonts w:ascii="Times New Roman" w:cs="Times New Roman" w:eastAsia="Times New Roman" w:hAnsi="Times New Roman"/>
          <w:sz w:val="18"/>
          <w:szCs w:val="18"/>
          <w:color w:val="auto"/>
        </w:rPr>
      </w:pPr>
    </w:p>
    <w:p>
      <w:pPr>
        <w:ind w:left="-2" w:right="20" w:firstLine="3"/>
        <w:spacing w:after="0" w:line="286" w:lineRule="auto"/>
        <w:tabs>
          <w:tab w:leader="none" w:pos="7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235" w:lineRule="exact"/>
        <w:rPr>
          <w:rFonts w:ascii="Times New Roman" w:cs="Times New Roman" w:eastAsia="Times New Roman" w:hAnsi="Times New Roman"/>
          <w:sz w:val="18"/>
          <w:szCs w:val="18"/>
          <w:color w:val="auto"/>
        </w:rPr>
      </w:pPr>
    </w:p>
    <w:p>
      <w:pPr>
        <w:ind w:left="738" w:right="180" w:hanging="737"/>
        <w:spacing w:after="0" w:line="278" w:lineRule="auto"/>
        <w:tabs>
          <w:tab w:leader="none" w:pos="72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RSU Termination Date</w:t>
      </w:r>
      <w:r>
        <w:rPr>
          <w:rFonts w:ascii="Times New Roman" w:cs="Times New Roman" w:eastAsia="Times New Roman" w:hAnsi="Times New Roman"/>
          <w:sz w:val="17"/>
          <w:szCs w:val="17"/>
          <w:color w:val="auto"/>
        </w:rPr>
        <w:t>” means the date on which an RSU Participant ceases to be an Eligible Person as a result of a termination of employment with the Company or a Group Company for any reason, including death, retirement, or resignation. For the purposes of the</w:t>
      </w:r>
    </w:p>
    <w:p>
      <w:pPr>
        <w:spacing w:after="0" w:line="1" w:lineRule="exact"/>
        <w:rPr>
          <w:sz w:val="20"/>
          <w:szCs w:val="20"/>
          <w:color w:val="auto"/>
        </w:rPr>
      </w:pPr>
    </w:p>
    <w:p>
      <w:pPr>
        <w:ind w:left="738" w:right="60"/>
        <w:spacing w:after="0" w:line="250" w:lineRule="auto"/>
        <w:rPr>
          <w:sz w:val="20"/>
          <w:szCs w:val="20"/>
          <w:color w:val="auto"/>
        </w:rPr>
      </w:pPr>
      <w:r>
        <w:rPr>
          <w:rFonts w:ascii="Times New Roman" w:cs="Times New Roman" w:eastAsia="Times New Roman" w:hAnsi="Times New Roman"/>
          <w:sz w:val="18"/>
          <w:szCs w:val="18"/>
          <w:color w:val="auto"/>
        </w:rPr>
        <w:t>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w:t>
      </w:r>
    </w:p>
    <w:p>
      <w:pPr>
        <w:spacing w:after="0" w:line="1" w:lineRule="exact"/>
        <w:rPr>
          <w:sz w:val="20"/>
          <w:szCs w:val="20"/>
          <w:color w:val="auto"/>
        </w:rPr>
      </w:pPr>
    </w:p>
    <w:p>
      <w:pPr>
        <w:ind w:left="738" w:hanging="739"/>
        <w:spacing w:after="0" w:line="255" w:lineRule="auto"/>
        <w:rPr>
          <w:sz w:val="20"/>
          <w:szCs w:val="20"/>
          <w:color w:val="auto"/>
        </w:rPr>
      </w:pPr>
      <w:r>
        <w:rPr>
          <w:rFonts w:ascii="Times New Roman" w:cs="Times New Roman" w:eastAsia="Times New Roman" w:hAnsi="Times New Roman"/>
          <w:sz w:val="18"/>
          <w:szCs w:val="18"/>
          <w:color w:val="auto"/>
        </w:rPr>
        <w:t>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802640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8"/>
          </w:cols>
          <w:pgMar w:left="562" w:top="1440" w:right="639" w:bottom="1440" w:gutter="0" w:footer="0" w:header="0"/>
        </w:sectPr>
      </w:pPr>
    </w:p>
    <w:bookmarkStart w:id="19" w:name="page20"/>
    <w:bookmarkEnd w:id="19"/>
    <w:p>
      <w:pPr>
        <w:spacing w:after="0" w:line="5" w:lineRule="exact"/>
        <w:rPr>
          <w:sz w:val="20"/>
          <w:szCs w:val="20"/>
          <w:color w:val="auto"/>
        </w:rPr>
      </w:pPr>
    </w:p>
    <w:p>
      <w:pPr>
        <w:ind w:left="840" w:right="560"/>
        <w:spacing w:after="0" w:line="282" w:lineRule="auto"/>
        <w:rPr>
          <w:sz w:val="20"/>
          <w:szCs w:val="20"/>
          <w:color w:val="auto"/>
        </w:rPr>
      </w:pPr>
      <w:r>
        <w:rPr>
          <w:rFonts w:ascii="Times New Roman" w:cs="Times New Roman" w:eastAsia="Times New Roman" w:hAnsi="Times New Roman"/>
          <w:sz w:val="18"/>
          <w:szCs w:val="18"/>
          <w:color w:val="auto"/>
        </w:rPr>
        <w:t>active employment shall be considered as extending the RSU Participant’s period of employment or retention for the purposes of determining his or her entitlement under the Plan;</w:t>
      </w:r>
    </w:p>
    <w:p>
      <w:pPr>
        <w:spacing w:after="0" w:line="239" w:lineRule="exact"/>
        <w:rPr>
          <w:sz w:val="20"/>
          <w:szCs w:val="20"/>
          <w:color w:val="auto"/>
        </w:rPr>
      </w:pPr>
    </w:p>
    <w:p>
      <w:pPr>
        <w:ind w:left="860" w:right="20" w:hanging="757"/>
        <w:spacing w:after="0" w:line="286" w:lineRule="auto"/>
        <w:tabs>
          <w:tab w:leader="none" w:pos="8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Restricted Share Units (as described in Section 3.4), on and</w:t>
      </w:r>
    </w:p>
    <w:p>
      <w:pPr>
        <w:spacing w:after="0" w:line="172" w:lineRule="exact"/>
        <w:rPr>
          <w:sz w:val="20"/>
          <w:szCs w:val="20"/>
          <w:color w:val="auto"/>
        </w:rPr>
      </w:pPr>
    </w:p>
    <w:p>
      <w:pPr>
        <w:ind w:left="860" w:right="20" w:hanging="9"/>
        <w:spacing w:after="0" w:line="261" w:lineRule="auto"/>
        <w:rPr>
          <w:sz w:val="20"/>
          <w:szCs w:val="20"/>
          <w:color w:val="auto"/>
        </w:rPr>
      </w:pPr>
      <w:r>
        <w:rPr>
          <w:rFonts w:ascii="Times New Roman" w:cs="Times New Roman" w:eastAsia="Times New Roman" w:hAnsi="Times New Roman"/>
          <w:sz w:val="18"/>
          <w:szCs w:val="18"/>
          <w:color w:val="auto"/>
        </w:rPr>
        <w:t>after which a particular Restricted Share Unit will be settled, subject to amendment or acceleration from time to time in accordance with the terms hereof;</w:t>
      </w:r>
    </w:p>
    <w:p>
      <w:pPr>
        <w:ind w:left="60" w:right="420" w:firstLine="43"/>
        <w:spacing w:after="0" w:line="260" w:lineRule="auto"/>
        <w:tabs>
          <w:tab w:leader="none" w:pos="8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285" w:lineRule="exact"/>
        <w:rPr>
          <w:rFonts w:ascii="Times New Roman" w:cs="Times New Roman" w:eastAsia="Times New Roman" w:hAnsi="Times New Roman"/>
          <w:sz w:val="18"/>
          <w:szCs w:val="18"/>
          <w:color w:val="auto"/>
        </w:rPr>
      </w:pPr>
    </w:p>
    <w:p>
      <w:pPr>
        <w:ind w:left="460" w:hanging="357"/>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306" w:lineRule="exact"/>
        <w:rPr>
          <w:rFonts w:ascii="Times New Roman" w:cs="Times New Roman" w:eastAsia="Times New Roman" w:hAnsi="Times New Roman"/>
          <w:sz w:val="18"/>
          <w:szCs w:val="18"/>
          <w:color w:val="auto"/>
        </w:rPr>
      </w:pPr>
    </w:p>
    <w:p>
      <w:pPr>
        <w:ind w:left="840" w:right="180" w:hanging="738"/>
        <w:spacing w:after="0" w:line="268" w:lineRule="auto"/>
        <w:tabs>
          <w:tab w:leader="none" w:pos="8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265" w:lineRule="exact"/>
        <w:rPr>
          <w:rFonts w:ascii="Times New Roman" w:cs="Times New Roman" w:eastAsia="Times New Roman" w:hAnsi="Times New Roman"/>
          <w:sz w:val="18"/>
          <w:szCs w:val="18"/>
          <w:color w:val="auto"/>
        </w:rPr>
      </w:pPr>
    </w:p>
    <w:p>
      <w:pPr>
        <w:ind w:left="820" w:hanging="71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319" w:lineRule="exact"/>
        <w:rPr>
          <w:rFonts w:ascii="Times New Roman" w:cs="Times New Roman" w:eastAsia="Times New Roman" w:hAnsi="Times New Roman"/>
          <w:sz w:val="18"/>
          <w:szCs w:val="18"/>
          <w:color w:val="auto"/>
        </w:rPr>
      </w:pPr>
    </w:p>
    <w:p>
      <w:pPr>
        <w:ind w:left="800" w:right="160" w:hanging="693"/>
        <w:spacing w:after="0" w:line="286"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249" w:lineRule="exact"/>
        <w:rPr>
          <w:rFonts w:ascii="Times New Roman" w:cs="Times New Roman" w:eastAsia="Times New Roman" w:hAnsi="Times New Roman"/>
          <w:sz w:val="18"/>
          <w:szCs w:val="18"/>
          <w:color w:val="auto"/>
        </w:rPr>
      </w:pPr>
    </w:p>
    <w:p>
      <w:pPr>
        <w:ind w:left="460" w:hanging="357"/>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49" w:lineRule="exact"/>
        <w:rPr>
          <w:rFonts w:ascii="Times New Roman" w:cs="Times New Roman" w:eastAsia="Times New Roman" w:hAnsi="Times New Roman"/>
          <w:sz w:val="18"/>
          <w:szCs w:val="18"/>
          <w:color w:val="auto"/>
        </w:rPr>
      </w:pPr>
    </w:p>
    <w:p>
      <w:pPr>
        <w:ind w:left="840" w:right="400" w:hanging="737"/>
        <w:spacing w:after="0" w:line="286" w:lineRule="auto"/>
        <w:tabs>
          <w:tab w:leader="none" w:pos="8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five percent (5%) of the fully diluted issued and outstanding Equity Securities, and any option,</w:t>
      </w:r>
    </w:p>
    <w:p>
      <w:pPr>
        <w:spacing w:after="0" w:line="172" w:lineRule="exact"/>
        <w:rPr>
          <w:sz w:val="20"/>
          <w:szCs w:val="20"/>
          <w:color w:val="auto"/>
        </w:rPr>
      </w:pPr>
    </w:p>
    <w:p>
      <w:pPr>
        <w:ind w:left="860" w:hanging="9"/>
        <w:spacing w:after="0" w:line="282" w:lineRule="auto"/>
        <w:rPr>
          <w:sz w:val="20"/>
          <w:szCs w:val="20"/>
          <w:color w:val="auto"/>
        </w:rPr>
      </w:pPr>
      <w:r>
        <w:rPr>
          <w:rFonts w:ascii="Times New Roman" w:cs="Times New Roman" w:eastAsia="Times New Roman" w:hAnsi="Times New Roman"/>
          <w:sz w:val="18"/>
          <w:szCs w:val="18"/>
          <w:color w:val="auto"/>
        </w:rPr>
        <w:t>warrant, right or security (including debt securities) convertible, exchangeable or exercisable therefor) of the Company as of the Closing (as defined in the BCA);</w:t>
      </w:r>
    </w:p>
    <w:p>
      <w:pPr>
        <w:spacing w:after="0" w:line="266" w:lineRule="exact"/>
        <w:rPr>
          <w:sz w:val="20"/>
          <w:szCs w:val="20"/>
          <w:color w:val="auto"/>
        </w:rPr>
      </w:pPr>
    </w:p>
    <w:p>
      <w:pPr>
        <w:ind w:left="100" w:right="3940" w:firstLine="3"/>
        <w:spacing w:after="0" w:line="281"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 (mmm)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color w:val="auto"/>
        </w:rPr>
        <w:t>Interpretation</w:t>
      </w:r>
    </w:p>
    <w:p>
      <w:pPr>
        <w:spacing w:after="0" w:line="324" w:lineRule="exact"/>
        <w:rPr>
          <w:sz w:val="20"/>
          <w:szCs w:val="20"/>
          <w:color w:val="auto"/>
        </w:rPr>
      </w:pPr>
    </w:p>
    <w:p>
      <w:pPr>
        <w:ind w:left="360" w:hanging="357"/>
        <w:spacing w:after="0" w:line="282"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242"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292"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all references to money amounts are to English currency.</w:t>
      </w:r>
    </w:p>
    <w:p>
      <w:pPr>
        <w:spacing w:after="0" w:line="306"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319"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829945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60" w:top="1440" w:right="759" w:bottom="1440" w:gutter="0" w:footer="0" w:header="0"/>
        </w:sectPr>
      </w:pPr>
    </w:p>
    <w:bookmarkStart w:id="20" w:name="page21"/>
    <w:bookmarkEnd w:id="20"/>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Administration.</w:t>
      </w:r>
    </w:p>
    <w:p>
      <w:pPr>
        <w:spacing w:after="0" w:line="324" w:lineRule="exact"/>
        <w:rPr>
          <w:sz w:val="20"/>
          <w:szCs w:val="20"/>
          <w:color w:val="auto"/>
        </w:rPr>
      </w:pPr>
    </w:p>
    <w:p>
      <w:pPr>
        <w:ind w:left="360" w:right="260" w:hanging="357"/>
        <w:spacing w:after="0" w:line="282"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256" w:lineRule="exact"/>
        <w:rPr>
          <w:rFonts w:ascii="Times New Roman" w:cs="Times New Roman" w:eastAsia="Times New Roman" w:hAnsi="Times New Roman"/>
          <w:sz w:val="18"/>
          <w:szCs w:val="18"/>
          <w:color w:val="auto"/>
        </w:rPr>
      </w:pPr>
    </w:p>
    <w:p>
      <w:pPr>
        <w:ind w:left="380" w:right="140" w:hanging="377"/>
        <w:spacing w:after="0" w:line="253"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w:t>
      </w:r>
    </w:p>
    <w:p>
      <w:pPr>
        <w:spacing w:after="0" w:line="5" w:lineRule="exact"/>
        <w:rPr>
          <w:rFonts w:ascii="Times New Roman" w:cs="Times New Roman" w:eastAsia="Times New Roman" w:hAnsi="Times New Roman"/>
          <w:sz w:val="18"/>
          <w:szCs w:val="18"/>
          <w:color w:val="auto"/>
        </w:rPr>
      </w:pPr>
    </w:p>
    <w:p>
      <w:pPr>
        <w:ind w:left="4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282" w:lineRule="exact"/>
        <w:rPr>
          <w:rFonts w:ascii="Times New Roman" w:cs="Times New Roman" w:eastAsia="Times New Roman" w:hAnsi="Times New Roman"/>
          <w:sz w:val="18"/>
          <w:szCs w:val="18"/>
          <w:color w:val="auto"/>
        </w:rPr>
      </w:pPr>
    </w:p>
    <w:p>
      <w:pPr>
        <w:ind w:left="360" w:right="220" w:hanging="357"/>
        <w:spacing w:after="0" w:line="256"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268" w:lineRule="exact"/>
        <w:rPr>
          <w:rFonts w:ascii="Times New Roman" w:cs="Times New Roman" w:eastAsia="Times New Roman" w:hAnsi="Times New Roman"/>
          <w:sz w:val="18"/>
          <w:szCs w:val="18"/>
          <w:color w:val="auto"/>
        </w:rPr>
      </w:pPr>
    </w:p>
    <w:p>
      <w:pPr>
        <w:ind w:left="360" w:right="40" w:hanging="357"/>
        <w:spacing w:after="0" w:line="266"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256" w:lineRule="exact"/>
        <w:rPr>
          <w:rFonts w:ascii="Times New Roman" w:cs="Times New Roman" w:eastAsia="Times New Roman" w:hAnsi="Times New Roman"/>
          <w:sz w:val="18"/>
          <w:szCs w:val="18"/>
          <w:color w:val="auto"/>
        </w:rPr>
      </w:pPr>
    </w:p>
    <w:p>
      <w:pPr>
        <w:ind w:left="360" w:right="60" w:hanging="357"/>
        <w:spacing w:after="0" w:line="255"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 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256" w:lineRule="exact"/>
        <w:rPr>
          <w:rFonts w:ascii="Times New Roman" w:cs="Times New Roman" w:eastAsia="Times New Roman" w:hAnsi="Times New Roman"/>
          <w:sz w:val="18"/>
          <w:szCs w:val="18"/>
          <w:color w:val="auto"/>
        </w:rPr>
      </w:pPr>
    </w:p>
    <w:p>
      <w:pPr>
        <w:ind w:left="340" w:right="760" w:hanging="337"/>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color w:val="auto"/>
        </w:rPr>
        <w:t>Grant of Awards and Shares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829945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60" w:top="1440" w:right="559" w:bottom="1440" w:gutter="0" w:footer="0" w:header="0"/>
        </w:sectPr>
      </w:pPr>
    </w:p>
    <w:bookmarkStart w:id="21" w:name="page22"/>
    <w:bookmarkEnd w:id="21"/>
    <w:p>
      <w:pPr>
        <w:spacing w:after="0" w:line="5" w:lineRule="exact"/>
        <w:rPr>
          <w:sz w:val="20"/>
          <w:szCs w:val="20"/>
          <w:color w:val="auto"/>
        </w:rPr>
      </w:pPr>
    </w:p>
    <w:p>
      <w:pPr>
        <w:ind w:left="360" w:right="80" w:hanging="357"/>
        <w:spacing w:after="0" w:line="282"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256" w:lineRule="exact"/>
        <w:rPr>
          <w:rFonts w:ascii="Times New Roman" w:cs="Times New Roman" w:eastAsia="Times New Roman" w:hAnsi="Times New Roman"/>
          <w:sz w:val="18"/>
          <w:szCs w:val="18"/>
          <w:color w:val="auto"/>
        </w:rPr>
      </w:pPr>
    </w:p>
    <w:p>
      <w:pPr>
        <w:ind w:left="840" w:right="40" w:hanging="448"/>
        <w:spacing w:after="0" w:line="282"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w:t>
      </w:r>
    </w:p>
    <w:p>
      <w:pPr>
        <w:spacing w:after="0" w:line="18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Company Shares issued or proposed to be issued in connection with the Additional Issuances;</w:t>
      </w:r>
    </w:p>
    <w:p>
      <w:pPr>
        <w:spacing w:after="0" w:line="292" w:lineRule="exact"/>
        <w:rPr>
          <w:rFonts w:ascii="Times New Roman" w:cs="Times New Roman" w:eastAsia="Times New Roman" w:hAnsi="Times New Roman"/>
          <w:sz w:val="18"/>
          <w:szCs w:val="18"/>
          <w:color w:val="auto"/>
        </w:rPr>
      </w:pPr>
    </w:p>
    <w:p>
      <w:pPr>
        <w:ind w:left="840" w:hanging="448"/>
        <w:spacing w:after="0" w:line="261"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206" w:lineRule="exact"/>
        <w:rPr>
          <w:rFonts w:ascii="Times New Roman" w:cs="Times New Roman" w:eastAsia="Times New Roman" w:hAnsi="Times New Roman"/>
          <w:sz w:val="18"/>
          <w:szCs w:val="18"/>
          <w:color w:val="auto"/>
        </w:rPr>
      </w:pPr>
    </w:p>
    <w:p>
      <w:pPr>
        <w:jc w:val="both"/>
        <w:ind w:left="860" w:right="180" w:hanging="468"/>
        <w:spacing w:after="0" w:line="276" w:lineRule="auto"/>
        <w:tabs>
          <w:tab w:leader="none" w:pos="98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at its sole discretion, at any time on or after 1 January 2024 increase the percentage number set out in the definition of "Total Pool Percentage" by up to 5% (provided that such increase shall be capped at 5% each calendar year), with such increase to be on</w:t>
      </w:r>
    </w:p>
    <w:p>
      <w:pPr>
        <w:spacing w:after="0" w:line="1"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a cumulative basis (so</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that, for example, if the Total Pool Percentage was 5% in 2024, it could be increased to 10% in 2025; if it were then increased to 14% in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2026, it could only then be increased to 19% in 2027 as a maximum).</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color w:val="auto"/>
        </w:rPr>
        <w:t>Amendment and Termination.</w:t>
      </w:r>
    </w:p>
    <w:p>
      <w:pPr>
        <w:spacing w:after="0" w:line="324" w:lineRule="exact"/>
        <w:rPr>
          <w:sz w:val="20"/>
          <w:szCs w:val="20"/>
          <w:color w:val="auto"/>
        </w:rPr>
      </w:pPr>
    </w:p>
    <w:p>
      <w:pPr>
        <w:ind w:left="360" w:right="120" w:hanging="357"/>
        <w:spacing w:after="0" w:line="266" w:lineRule="auto"/>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relating thereto provided that such suspension, termination, amendment, or revision shall:</w:t>
      </w:r>
    </w:p>
    <w:p>
      <w:pPr>
        <w:spacing w:after="0" w:line="270" w:lineRule="exact"/>
        <w:rPr>
          <w:sz w:val="20"/>
          <w:szCs w:val="20"/>
          <w:color w:val="auto"/>
        </w:rPr>
      </w:pPr>
    </w:p>
    <w:p>
      <w:pPr>
        <w:ind w:left="1480" w:hanging="728"/>
        <w:spacing w:after="0"/>
        <w:tabs>
          <w:tab w:leader="none" w:pos="1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Plan;</w:t>
      </w:r>
    </w:p>
    <w:p>
      <w:pPr>
        <w:spacing w:after="0" w:line="333" w:lineRule="exact"/>
        <w:rPr>
          <w:sz w:val="20"/>
          <w:szCs w:val="20"/>
          <w:color w:val="auto"/>
        </w:rPr>
      </w:pPr>
    </w:p>
    <w:p>
      <w:pPr>
        <w:ind w:left="100" w:right="520" w:firstLine="659"/>
        <w:spacing w:after="0" w:line="282" w:lineRule="auto"/>
        <w:rPr>
          <w:sz w:val="20"/>
          <w:szCs w:val="20"/>
          <w:color w:val="auto"/>
        </w:rPr>
      </w:pPr>
      <w:r>
        <w:rPr>
          <w:rFonts w:ascii="Times New Roman" w:cs="Times New Roman" w:eastAsia="Times New Roman" w:hAnsi="Times New Roman"/>
          <w:sz w:val="18"/>
          <w:szCs w:val="18"/>
          <w:color w:val="auto"/>
        </w:rPr>
        <w:t>(b)be in compliance with applicable law and subject to any regulatory approvals including, where required, the approval of the Stock Exchange; and</w:t>
      </w:r>
    </w:p>
    <w:p>
      <w:pPr>
        <w:spacing w:after="0" w:line="256" w:lineRule="exact"/>
        <w:rPr>
          <w:sz w:val="20"/>
          <w:szCs w:val="20"/>
          <w:color w:val="auto"/>
        </w:rPr>
      </w:pPr>
    </w:p>
    <w:p>
      <w:pPr>
        <w:ind w:left="100" w:right="2540" w:firstLine="664"/>
        <w:spacing w:after="0" w:line="297" w:lineRule="auto"/>
        <w:rPr>
          <w:sz w:val="20"/>
          <w:szCs w:val="20"/>
          <w:color w:val="auto"/>
        </w:rPr>
      </w:pPr>
      <w:r>
        <w:rPr>
          <w:rFonts w:ascii="Times New Roman" w:cs="Times New Roman" w:eastAsia="Times New Roman" w:hAnsi="Times New Roman"/>
          <w:sz w:val="18"/>
          <w:szCs w:val="18"/>
          <w:color w:val="auto"/>
        </w:rPr>
        <w:t>(c)be subject to Shareholder approval, where required by law, the requirements of the Stock Exchange or this Plan.</w:t>
      </w:r>
    </w:p>
    <w:p>
      <w:pPr>
        <w:spacing w:after="0" w:line="163" w:lineRule="exact"/>
        <w:rPr>
          <w:sz w:val="20"/>
          <w:szCs w:val="20"/>
          <w:color w:val="auto"/>
        </w:rPr>
      </w:pPr>
    </w:p>
    <w:p>
      <w:pPr>
        <w:ind w:left="360" w:right="160" w:hanging="357"/>
        <w:spacing w:after="0" w:line="261" w:lineRule="auto"/>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260" w:lineRule="exact"/>
        <w:rPr>
          <w:rFonts w:ascii="Times New Roman" w:cs="Times New Roman" w:eastAsia="Times New Roman" w:hAnsi="Times New Roman"/>
          <w:sz w:val="18"/>
          <w:szCs w:val="18"/>
          <w:color w:val="auto"/>
        </w:rPr>
      </w:pPr>
    </w:p>
    <w:p>
      <w:pPr>
        <w:jc w:val="both"/>
        <w:ind w:left="360" w:right="320" w:hanging="357"/>
        <w:spacing w:after="0" w:line="266" w:lineRule="auto"/>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284" w:lineRule="exact"/>
        <w:rPr>
          <w:sz w:val="20"/>
          <w:szCs w:val="20"/>
          <w:color w:val="auto"/>
        </w:rPr>
      </w:pPr>
    </w:p>
    <w:p>
      <w:pPr>
        <w:ind w:left="400" w:right="220" w:firstLine="374"/>
        <w:spacing w:after="0" w:line="282" w:lineRule="auto"/>
        <w:rPr>
          <w:sz w:val="20"/>
          <w:szCs w:val="20"/>
          <w:color w:val="auto"/>
        </w:rPr>
      </w:pPr>
      <w:r>
        <w:rPr>
          <w:rFonts w:ascii="Times New Roman" w:cs="Times New Roman" w:eastAsia="Times New Roman" w:hAnsi="Times New Roman"/>
          <w:sz w:val="18"/>
          <w:szCs w:val="18"/>
          <w:color w:val="auto"/>
        </w:rPr>
        <w:t>(a)any amendment of an administrative nature, including without limitation those made to clarify the meaning of an existing provision of the Plan, correct or supplement any provision of the Plan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787400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22" w:name="page23"/>
    <w:bookmarkEnd w:id="22"/>
    <w:p>
      <w:pPr>
        <w:spacing w:after="0" w:line="234" w:lineRule="exact"/>
        <w:rPr>
          <w:sz w:val="20"/>
          <w:szCs w:val="20"/>
          <w:color w:val="auto"/>
        </w:rPr>
      </w:pPr>
    </w:p>
    <w:p>
      <w:pPr>
        <w:ind w:left="862" w:right="380" w:hanging="9"/>
        <w:spacing w:after="0" w:line="282" w:lineRule="auto"/>
        <w:rPr>
          <w:sz w:val="20"/>
          <w:szCs w:val="20"/>
          <w:color w:val="auto"/>
        </w:rPr>
      </w:pPr>
      <w:r>
        <w:rPr>
          <w:rFonts w:ascii="Times New Roman" w:cs="Times New Roman" w:eastAsia="Times New Roman" w:hAnsi="Times New Roman"/>
          <w:sz w:val="18"/>
          <w:szCs w:val="18"/>
          <w:color w:val="auto"/>
        </w:rPr>
        <w:t>inconsistent with any other provision of the Plan, correct any grammatical or typographical errors or amend the definitions in the Plan regarding administration of the Plan;</w:t>
      </w:r>
    </w:p>
    <w:p>
      <w:pPr>
        <w:spacing w:after="0" w:line="270"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18"/>
          <w:szCs w:val="18"/>
          <w:color w:val="auto"/>
        </w:rPr>
        <w:t>(b)changes that alter, extend or accelerate the terms of vesting or settlement applicable to any Awards;</w:t>
      </w:r>
    </w:p>
    <w:p>
      <w:pPr>
        <w:spacing w:after="0" w:line="279"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18"/>
          <w:szCs w:val="18"/>
          <w:color w:val="auto"/>
        </w:rPr>
        <w:t>(c)any amendment to the Plan respecting administration and eligibility for participation under the Plan;</w:t>
      </w:r>
    </w:p>
    <w:p>
      <w:pPr>
        <w:spacing w:after="0" w:line="27"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8"/>
          <w:szCs w:val="18"/>
          <w:color w:val="auto"/>
        </w:rPr>
        <w:t>and</w:t>
      </w:r>
    </w:p>
    <w:p>
      <w:pPr>
        <w:spacing w:after="0" w:line="315" w:lineRule="exact"/>
        <w:rPr>
          <w:sz w:val="20"/>
          <w:szCs w:val="20"/>
          <w:color w:val="auto"/>
        </w:rPr>
      </w:pPr>
    </w:p>
    <w:p>
      <w:pPr>
        <w:ind w:left="402" w:right="960" w:firstLine="374"/>
        <w:spacing w:after="0" w:line="282" w:lineRule="auto"/>
        <w:rPr>
          <w:sz w:val="20"/>
          <w:szCs w:val="20"/>
          <w:color w:val="auto"/>
        </w:rPr>
      </w:pPr>
      <w:r>
        <w:rPr>
          <w:rFonts w:ascii="Times New Roman" w:cs="Times New Roman" w:eastAsia="Times New Roman" w:hAnsi="Times New Roman"/>
          <w:sz w:val="18"/>
          <w:szCs w:val="18"/>
          <w:color w:val="auto"/>
        </w:rPr>
        <w:t>(d)an amendment of the Plan or a Award as necessary to comply with applicable law or the requirements of the Stock Exchange or any other regulatory body having authority over the Company, the Plan, the Participants or the Shareholders.</w:t>
      </w:r>
    </w:p>
    <w:p>
      <w:pPr>
        <w:spacing w:after="0" w:line="243" w:lineRule="exact"/>
        <w:rPr>
          <w:sz w:val="20"/>
          <w:szCs w:val="20"/>
          <w:color w:val="auto"/>
        </w:rPr>
      </w:pPr>
    </w:p>
    <w:p>
      <w:pPr>
        <w:ind w:left="2"/>
        <w:spacing w:after="0"/>
        <w:tabs>
          <w:tab w:leader="none" w:pos="361" w:val="left"/>
        </w:tabs>
        <w:rPr>
          <w:sz w:val="20"/>
          <w:szCs w:val="20"/>
          <w:color w:val="auto"/>
        </w:rPr>
      </w:pPr>
      <w:r>
        <w:rPr>
          <w:rFonts w:ascii="Times New Roman" w:cs="Times New Roman" w:eastAsia="Times New Roman" w:hAnsi="Times New Roman"/>
          <w:sz w:val="18"/>
          <w:szCs w:val="18"/>
          <w:color w:val="auto"/>
        </w:rPr>
        <w:t>(4)</w:t>
        <w:tab/>
        <w:t>Shareholder approval is required for the following amendments to the Plan:</w:t>
      </w:r>
    </w:p>
    <w:p>
      <w:pPr>
        <w:spacing w:after="0" w:line="200" w:lineRule="exact"/>
        <w:rPr>
          <w:sz w:val="20"/>
          <w:szCs w:val="20"/>
          <w:color w:val="auto"/>
        </w:rPr>
      </w:pPr>
    </w:p>
    <w:p>
      <w:pPr>
        <w:spacing w:after="0" w:line="363" w:lineRule="exact"/>
        <w:rPr>
          <w:sz w:val="20"/>
          <w:szCs w:val="20"/>
          <w:color w:val="auto"/>
        </w:rPr>
      </w:pPr>
    </w:p>
    <w:p>
      <w:pPr>
        <w:ind w:left="402" w:right="440" w:firstLine="374"/>
        <w:spacing w:after="0" w:line="261" w:lineRule="auto"/>
        <w:rPr>
          <w:sz w:val="20"/>
          <w:szCs w:val="20"/>
          <w:color w:val="auto"/>
        </w:rPr>
      </w:pPr>
      <w:r>
        <w:rPr>
          <w:rFonts w:ascii="Times New Roman" w:cs="Times New Roman" w:eastAsia="Times New Roman" w:hAnsi="Times New Roman"/>
          <w:sz w:val="18"/>
          <w:szCs w:val="18"/>
          <w:color w:val="auto"/>
        </w:rPr>
        <w:t>(a)if and only if such shareholder approval is required by applicable law and/or the rules and regulations of the Stock Exchange or any other stock exchange on which the Shares are listed or posted for</w:t>
      </w:r>
    </w:p>
    <w:p>
      <w:pPr>
        <w:ind w:left="382" w:right="100" w:firstLine="338"/>
        <w:spacing w:after="0" w:line="250" w:lineRule="auto"/>
        <w:rPr>
          <w:sz w:val="20"/>
          <w:szCs w:val="20"/>
          <w:color w:val="auto"/>
        </w:rPr>
      </w:pPr>
      <w:r>
        <w:rPr>
          <w:rFonts w:ascii="Times New Roman" w:cs="Times New Roman" w:eastAsia="Times New Roman" w:hAnsi="Times New Roman"/>
          <w:sz w:val="18"/>
          <w:szCs w:val="18"/>
          <w:color w:val="auto"/>
        </w:rPr>
        <w:t>trading, any increase in the maximum number of Shares that may be issuable by the Company, including from treasury, pursuant to Awards granted under the Plan (as set out in Section 2.2), other than an adjustment pursuant to Section 2.15; and</w:t>
      </w:r>
    </w:p>
    <w:p>
      <w:pPr>
        <w:spacing w:after="0" w:line="1" w:lineRule="exact"/>
        <w:rPr>
          <w:sz w:val="20"/>
          <w:szCs w:val="20"/>
          <w:color w:val="auto"/>
        </w:rPr>
      </w:pPr>
    </w:p>
    <w:p>
      <w:pPr>
        <w:ind w:left="1482" w:hanging="728"/>
        <w:spacing w:after="0"/>
        <w:tabs>
          <w:tab w:leader="none" w:pos="14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b w:val="1"/>
          <w:bCs w:val="1"/>
          <w:color w:val="auto"/>
        </w:rPr>
        <w:t>Compliance with Legislation</w:t>
      </w:r>
    </w:p>
    <w:p>
      <w:pPr>
        <w:spacing w:after="0" w:line="324" w:lineRule="exact"/>
        <w:rPr>
          <w:sz w:val="20"/>
          <w:szCs w:val="20"/>
          <w:color w:val="auto"/>
        </w:rPr>
      </w:pPr>
    </w:p>
    <w:p>
      <w:pPr>
        <w:ind w:left="362" w:right="200" w:hanging="357"/>
        <w:spacing w:after="0" w:line="256" w:lineRule="auto"/>
        <w:tabs>
          <w:tab w:leader="none" w:pos="3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254" w:lineRule="exact"/>
        <w:rPr>
          <w:rFonts w:ascii="Times New Roman" w:cs="Times New Roman" w:eastAsia="Times New Roman" w:hAnsi="Times New Roman"/>
          <w:sz w:val="18"/>
          <w:szCs w:val="18"/>
          <w:color w:val="auto"/>
        </w:rPr>
      </w:pPr>
    </w:p>
    <w:p>
      <w:pPr>
        <w:ind w:left="382" w:right="80" w:hanging="377"/>
        <w:spacing w:after="0" w:line="261" w:lineRule="auto"/>
        <w:tabs>
          <w:tab w:leader="none" w:pos="3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260" w:lineRule="exact"/>
        <w:rPr>
          <w:rFonts w:ascii="Times New Roman" w:cs="Times New Roman" w:eastAsia="Times New Roman" w:hAnsi="Times New Roman"/>
          <w:sz w:val="18"/>
          <w:szCs w:val="18"/>
          <w:color w:val="auto"/>
        </w:rPr>
      </w:pPr>
    </w:p>
    <w:p>
      <w:pPr>
        <w:ind w:left="382" w:hanging="382"/>
        <w:spacing w:after="0" w:line="255" w:lineRule="auto"/>
        <w:tabs>
          <w:tab w:leader="none" w:pos="2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 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804545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2"/>
          </w:cols>
          <w:pgMar w:left="458" w:top="1440" w:right="559" w:bottom="1440" w:gutter="0" w:footer="0" w:header="0"/>
        </w:sectPr>
      </w:pPr>
    </w:p>
    <w:bookmarkStart w:id="23" w:name="page24"/>
    <w:bookmarkEnd w:id="2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b w:val="1"/>
          <w:bCs w:val="1"/>
          <w:color w:val="auto"/>
        </w:rPr>
        <w:t>Effective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color w:val="auto"/>
        </w:rPr>
        <w:t>Applicable Tax Withholdings and Deductions.</w:t>
      </w:r>
    </w:p>
    <w:p>
      <w:pPr>
        <w:spacing w:after="0" w:line="301" w:lineRule="exact"/>
        <w:rPr>
          <w:sz w:val="20"/>
          <w:szCs w:val="20"/>
          <w:color w:val="auto"/>
        </w:rPr>
      </w:pPr>
    </w:p>
    <w:p>
      <w:pPr>
        <w:ind w:left="360" w:right="100" w:hanging="357"/>
        <w:spacing w:after="0" w:line="255" w:lineRule="auto"/>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269" w:lineRule="exact"/>
        <w:rPr>
          <w:rFonts w:ascii="Times New Roman" w:cs="Times New Roman" w:eastAsia="Times New Roman" w:hAnsi="Times New Roman"/>
          <w:sz w:val="18"/>
          <w:szCs w:val="18"/>
          <w:color w:val="auto"/>
        </w:rPr>
      </w:pPr>
    </w:p>
    <w:p>
      <w:pPr>
        <w:ind w:left="380" w:hanging="377"/>
        <w:spacing w:after="0" w:line="25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268"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319" w:lineRule="exact"/>
        <w:rPr>
          <w:rFonts w:ascii="Times New Roman" w:cs="Times New Roman" w:eastAsia="Times New Roman" w:hAnsi="Times New Roman"/>
          <w:sz w:val="18"/>
          <w:szCs w:val="18"/>
          <w:color w:val="auto"/>
        </w:rPr>
      </w:pPr>
    </w:p>
    <w:p>
      <w:pPr>
        <w:ind w:left="840" w:right="420" w:hanging="463"/>
        <w:spacing w:after="0" w:line="266" w:lineRule="auto"/>
        <w:tabs>
          <w:tab w:leader="none" w:pos="8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283" w:lineRule="exact"/>
        <w:rPr>
          <w:rFonts w:ascii="Times New Roman" w:cs="Times New Roman" w:eastAsia="Times New Roman" w:hAnsi="Times New Roman"/>
          <w:sz w:val="18"/>
          <w:szCs w:val="18"/>
          <w:color w:val="auto"/>
        </w:rPr>
      </w:pPr>
    </w:p>
    <w:p>
      <w:pPr>
        <w:ind w:left="700" w:hanging="338"/>
        <w:spacing w:after="0"/>
        <w:tabs>
          <w:tab w:leader="none" w:pos="7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w:t>
      </w:r>
    </w:p>
    <w:p>
      <w:pPr>
        <w:spacing w:after="0" w:line="27" w:lineRule="exact"/>
        <w:rPr>
          <w:sz w:val="20"/>
          <w:szCs w:val="20"/>
          <w:color w:val="auto"/>
        </w:rPr>
      </w:pPr>
    </w:p>
    <w:p>
      <w:pPr>
        <w:ind w:right="5180" w:firstLine="708"/>
        <w:spacing w:after="0" w:line="260" w:lineRule="auto"/>
        <w:rPr>
          <w:sz w:val="20"/>
          <w:szCs w:val="20"/>
          <w:color w:val="auto"/>
        </w:rPr>
      </w:pPr>
      <w:r>
        <w:rPr>
          <w:rFonts w:ascii="Times New Roman" w:cs="Times New Roman" w:eastAsia="Times New Roman" w:hAnsi="Times New Roman"/>
          <w:sz w:val="18"/>
          <w:szCs w:val="18"/>
          <w:color w:val="auto"/>
        </w:rPr>
        <w:t>Withholding Tax Liability, and to cause the proceeds from the sale of such Shares to be delivered to the Company; or</w:t>
      </w:r>
    </w:p>
    <w:p>
      <w:pPr>
        <w:spacing w:after="0" w:line="289" w:lineRule="exact"/>
        <w:rPr>
          <w:sz w:val="20"/>
          <w:szCs w:val="20"/>
          <w:color w:val="auto"/>
        </w:rPr>
      </w:pPr>
    </w:p>
    <w:p>
      <w:pPr>
        <w:ind w:left="900" w:right="920" w:hanging="523"/>
        <w:spacing w:after="0" w:line="261"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b w:val="1"/>
          <w:bCs w:val="1"/>
          <w:color w:val="auto"/>
        </w:rPr>
        <w:t>No Interest.</w:t>
      </w:r>
    </w:p>
    <w:p>
      <w:pPr>
        <w:spacing w:after="0" w:line="11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b w:val="1"/>
          <w:bCs w:val="1"/>
          <w:color w:val="auto"/>
        </w:rPr>
        <w:t>Non-Transferability</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333" w:lineRule="exact"/>
        <w:rPr>
          <w:sz w:val="20"/>
          <w:szCs w:val="20"/>
          <w:color w:val="auto"/>
        </w:rPr>
      </w:pPr>
    </w:p>
    <w:p>
      <w:pPr>
        <w:ind w:left="460" w:hanging="457"/>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460" w:hanging="457"/>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827405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60" w:top="1440" w:right="539" w:bottom="1440" w:gutter="0" w:footer="0" w:header="0"/>
        </w:sectPr>
      </w:pPr>
    </w:p>
    <w:bookmarkStart w:id="24" w:name="page25"/>
    <w:bookmarkEnd w:id="24"/>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b w:val="1"/>
          <w:bCs w:val="1"/>
          <w:color w:val="auto"/>
        </w:rPr>
        <w:t>Participation in this Plan.</w:t>
      </w:r>
    </w:p>
    <w:p>
      <w:pPr>
        <w:spacing w:after="0" w:line="324" w:lineRule="exact"/>
        <w:rPr>
          <w:sz w:val="20"/>
          <w:szCs w:val="20"/>
          <w:color w:val="auto"/>
        </w:rPr>
      </w:pPr>
    </w:p>
    <w:p>
      <w:pPr>
        <w:ind w:left="380" w:hanging="377"/>
        <w:spacing w:after="0" w:line="253"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 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275" w:lineRule="exact"/>
        <w:rPr>
          <w:rFonts w:ascii="Times New Roman" w:cs="Times New Roman" w:eastAsia="Times New Roman" w:hAnsi="Times New Roman"/>
          <w:sz w:val="18"/>
          <w:szCs w:val="18"/>
          <w:color w:val="auto"/>
        </w:rPr>
      </w:pPr>
    </w:p>
    <w:p>
      <w:pPr>
        <w:ind w:left="360" w:right="180" w:hanging="357"/>
        <w:spacing w:after="0" w:line="255" w:lineRule="auto"/>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269" w:lineRule="exact"/>
        <w:rPr>
          <w:rFonts w:ascii="Times New Roman" w:cs="Times New Roman" w:eastAsia="Times New Roman" w:hAnsi="Times New Roman"/>
          <w:sz w:val="18"/>
          <w:szCs w:val="18"/>
          <w:color w:val="auto"/>
        </w:rPr>
      </w:pPr>
    </w:p>
    <w:p>
      <w:pPr>
        <w:ind w:left="360" w:right="140" w:hanging="357"/>
        <w:spacing w:after="0" w:line="256" w:lineRule="auto"/>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 assets shall be, and remain, the general unrestricted assets of the Company or Affiliate or Group Company.</w:t>
      </w: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380" w:right="60" w:hanging="377"/>
        <w:spacing w:after="0" w:line="254"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b w:val="1"/>
          <w:bCs w:val="1"/>
          <w:color w:val="auto"/>
        </w:rPr>
        <w:t>Notice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798830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60" w:top="1440" w:right="559" w:bottom="1440" w:gutter="0" w:footer="0" w:header="0"/>
        </w:sectPr>
      </w:pPr>
    </w:p>
    <w:bookmarkStart w:id="25" w:name="page26"/>
    <w:bookmarkEnd w:id="25"/>
    <w:p>
      <w:pPr>
        <w:spacing w:after="0" w:line="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color w:val="auto"/>
        </w:rPr>
        <w:t>Right to Issue Other Shares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b w:val="1"/>
          <w:bCs w:val="1"/>
          <w:color w:val="auto"/>
        </w:rPr>
        <w:t>Quotation of Shares</w:t>
      </w:r>
    </w:p>
    <w:p>
      <w:pPr>
        <w:spacing w:after="0" w:line="4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b w:val="1"/>
          <w:bCs w:val="1"/>
          <w:color w:val="auto"/>
        </w:rPr>
        <w:t>Conformity to Plan</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b w:val="1"/>
          <w:bCs w:val="1"/>
          <w:color w:val="auto"/>
        </w:rPr>
        <w:t>Dividend Equivalents.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 (ii) the Market Value of a Share on the dividend payment date for such dividend, in each case, with fractions computed to two decimal places. Such additional Units, if credited, shall vest on the same basis as the underlying Units. This provision shall not apply to Options. Section 2.15 </w:t>
      </w:r>
      <w:r>
        <w:rPr>
          <w:rFonts w:ascii="Times New Roman" w:cs="Times New Roman" w:eastAsia="Times New Roman" w:hAnsi="Times New Roman"/>
          <w:sz w:val="18"/>
          <w:szCs w:val="18"/>
          <w:b w:val="1"/>
          <w:bCs w:val="1"/>
          <w:color w:val="auto"/>
        </w:rPr>
        <w:t>Adjustments.</w:t>
      </w:r>
    </w:p>
    <w:p>
      <w:pPr>
        <w:spacing w:after="0" w:line="7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b w:val="1"/>
          <w:bCs w:val="1"/>
          <w:color w:val="auto"/>
        </w:rPr>
        <w:t>Cancellation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815975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60" w:top="1440" w:right="539" w:bottom="1440" w:gutter="0" w:footer="0" w:header="0"/>
        </w:sectPr>
      </w:pPr>
    </w:p>
    <w:bookmarkStart w:id="26" w:name="page27"/>
    <w:bookmarkEnd w:id="26"/>
    <w:p>
      <w:pPr>
        <w:spacing w:after="0" w:line="5" w:lineRule="exact"/>
        <w:rPr>
          <w:sz w:val="20"/>
          <w:szCs w:val="20"/>
          <w:color w:val="auto"/>
        </w:rPr>
      </w:pPr>
    </w:p>
    <w:p>
      <w:pPr>
        <w:ind w:left="20" w:firstLine="509"/>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2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b w:val="1"/>
          <w:bCs w:val="1"/>
          <w:color w:val="auto"/>
        </w:rPr>
        <w:t>Data Protection</w:t>
      </w:r>
    </w:p>
    <w:p>
      <w:pPr>
        <w:spacing w:after="0" w:line="270" w:lineRule="exact"/>
        <w:rPr>
          <w:sz w:val="20"/>
          <w:szCs w:val="20"/>
          <w:color w:val="auto"/>
        </w:rPr>
      </w:pPr>
    </w:p>
    <w:p>
      <w:pPr>
        <w:ind w:left="20" w:right="160" w:hanging="9"/>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200" w:lineRule="exact"/>
        <w:rPr>
          <w:sz w:val="20"/>
          <w:szCs w:val="20"/>
          <w:color w:val="auto"/>
        </w:rPr>
      </w:pPr>
    </w:p>
    <w:p>
      <w:pPr>
        <w:spacing w:after="0" w:line="2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ARTICLE 3 RESTRICTED SHARE UNITS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Grant of Restricted Share Units.</w:t>
      </w:r>
    </w:p>
    <w:p>
      <w:pPr>
        <w:spacing w:after="0" w:line="324" w:lineRule="exact"/>
        <w:rPr>
          <w:sz w:val="20"/>
          <w:szCs w:val="20"/>
          <w:color w:val="auto"/>
        </w:rPr>
      </w:pPr>
    </w:p>
    <w:p>
      <w:pPr>
        <w:ind w:left="380" w:right="340" w:hanging="357"/>
        <w:spacing w:after="0" w:line="266"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256" w:lineRule="exact"/>
        <w:rPr>
          <w:rFonts w:ascii="Times New Roman" w:cs="Times New Roman" w:eastAsia="Times New Roman" w:hAnsi="Times New Roman"/>
          <w:sz w:val="18"/>
          <w:szCs w:val="18"/>
          <w:color w:val="auto"/>
        </w:rPr>
      </w:pPr>
    </w:p>
    <w:p>
      <w:pPr>
        <w:ind w:left="380" w:right="780" w:hanging="357"/>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evidenced by a Grant Agreement, signed on behalf of the Company and, if required by the Board, countersigned by the relevant Participant.</w:t>
      </w:r>
    </w:p>
    <w:p>
      <w:pPr>
        <w:spacing w:after="0" w:line="229" w:lineRule="exact"/>
        <w:rPr>
          <w:rFonts w:ascii="Times New Roman" w:cs="Times New Roman" w:eastAsia="Times New Roman" w:hAnsi="Times New Roman"/>
          <w:sz w:val="18"/>
          <w:szCs w:val="18"/>
          <w:color w:val="auto"/>
        </w:rPr>
      </w:pPr>
    </w:p>
    <w:p>
      <w:pPr>
        <w:ind w:left="380" w:right="680" w:hanging="357"/>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242" w:lineRule="exact"/>
        <w:rPr>
          <w:rFonts w:ascii="Times New Roman" w:cs="Times New Roman" w:eastAsia="Times New Roman" w:hAnsi="Times New Roman"/>
          <w:sz w:val="18"/>
          <w:szCs w:val="18"/>
          <w:color w:val="auto"/>
        </w:rPr>
      </w:pPr>
    </w:p>
    <w:p>
      <w:pPr>
        <w:ind w:left="380" w:hanging="357"/>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RSU Participant to receive nor preclude such RSU Participant from receiving subsequently granted Restricted Share Units.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color w:val="auto"/>
        </w:rPr>
        <w:t>Equivalence.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color w:val="auto"/>
        </w:rPr>
        <w:t>Calculation.</w:t>
      </w:r>
    </w:p>
    <w:p>
      <w:pPr>
        <w:spacing w:after="0" w:line="99" w:lineRule="exact"/>
        <w:rPr>
          <w:sz w:val="20"/>
          <w:szCs w:val="20"/>
          <w:color w:val="auto"/>
        </w:rPr>
      </w:pPr>
    </w:p>
    <w:p>
      <w:pPr>
        <w:ind w:left="20" w:right="380" w:firstLine="509"/>
        <w:spacing w:after="0" w:line="275" w:lineRule="auto"/>
        <w:rPr>
          <w:sz w:val="20"/>
          <w:szCs w:val="20"/>
          <w:color w:val="auto"/>
        </w:rPr>
      </w:pPr>
      <w:r>
        <w:rPr>
          <w:rFonts w:ascii="Times New Roman" w:cs="Times New Roman" w:eastAsia="Times New Roman" w:hAnsi="Times New Roman"/>
          <w:sz w:val="18"/>
          <w:szCs w:val="18"/>
          <w:color w:val="auto"/>
        </w:rPr>
        <w:t xml:space="preserve">The number of Restricted Share Units granted at any particular time pursuant to this Plan will be calculated by dividing (i) the dollar amount of such grant by (ii) the Market Value of a Share on the Date of Grant. Section 3.4 </w:t>
      </w:r>
      <w:r>
        <w:rPr>
          <w:rFonts w:ascii="Times New Roman" w:cs="Times New Roman" w:eastAsia="Times New Roman" w:hAnsi="Times New Roman"/>
          <w:sz w:val="18"/>
          <w:szCs w:val="18"/>
          <w:b w:val="1"/>
          <w:bCs w:val="1"/>
          <w:color w:val="auto"/>
        </w:rPr>
        <w:t>Vesting.</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any other provision of this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Plan:</w:t>
      </w:r>
    </w:p>
    <w:p>
      <w:pPr>
        <w:spacing w:after="0" w:line="288" w:lineRule="exact"/>
        <w:rPr>
          <w:sz w:val="20"/>
          <w:szCs w:val="20"/>
          <w:color w:val="auto"/>
        </w:rPr>
      </w:pPr>
    </w:p>
    <w:p>
      <w:pPr>
        <w:ind w:left="380" w:hanging="357"/>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9"/>
          <w:szCs w:val="9"/>
          <w:color w:val="auto"/>
        </w:rPr>
        <w:t>st</w:t>
      </w:r>
      <w:r>
        <w:rPr>
          <w:rFonts w:ascii="Times New Roman" w:cs="Times New Roman" w:eastAsia="Times New Roman" w:hAnsi="Times New Roman"/>
          <w:sz w:val="18"/>
          <w:szCs w:val="18"/>
          <w:color w:val="auto"/>
        </w:rPr>
        <w:t>) anniversary of the Date of Grant;</w:t>
      </w:r>
    </w:p>
    <w:p>
      <w:pPr>
        <w:spacing w:after="0" w:line="292" w:lineRule="exact"/>
        <w:rPr>
          <w:rFonts w:ascii="Times New Roman" w:cs="Times New Roman" w:eastAsia="Times New Roman" w:hAnsi="Times New Roman"/>
          <w:sz w:val="18"/>
          <w:szCs w:val="18"/>
          <w:color w:val="auto"/>
        </w:rPr>
      </w:pPr>
    </w:p>
    <w:p>
      <w:pPr>
        <w:ind w:left="380" w:hanging="357"/>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9"/>
          <w:szCs w:val="9"/>
          <w:color w:val="auto"/>
        </w:rPr>
        <w:t>nd</w:t>
      </w:r>
      <w:r>
        <w:rPr>
          <w:rFonts w:ascii="Times New Roman" w:cs="Times New Roman" w:eastAsia="Times New Roman" w:hAnsi="Times New Roman"/>
          <w:sz w:val="18"/>
          <w:szCs w:val="18"/>
          <w:color w:val="auto"/>
        </w:rPr>
        <w:t>) anniversary of the Date of Grant;</w:t>
      </w:r>
    </w:p>
    <w:p>
      <w:pPr>
        <w:spacing w:after="0" w:line="306" w:lineRule="exact"/>
        <w:rPr>
          <w:rFonts w:ascii="Times New Roman" w:cs="Times New Roman" w:eastAsia="Times New Roman" w:hAnsi="Times New Roman"/>
          <w:sz w:val="18"/>
          <w:szCs w:val="18"/>
          <w:color w:val="auto"/>
        </w:rPr>
      </w:pPr>
    </w:p>
    <w:p>
      <w:pPr>
        <w:ind w:left="380" w:hanging="357"/>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9"/>
          <w:szCs w:val="9"/>
          <w:color w:val="auto"/>
        </w:rPr>
        <w:t>rd</w:t>
      </w:r>
      <w:r>
        <w:rPr>
          <w:rFonts w:ascii="Times New Roman" w:cs="Times New Roman" w:eastAsia="Times New Roman" w:hAnsi="Times New Roman"/>
          <w:sz w:val="18"/>
          <w:szCs w:val="18"/>
          <w:color w:val="auto"/>
        </w:rPr>
        <w:t>) anniversary of the Date of Grant; and</w:t>
      </w:r>
    </w:p>
    <w:p>
      <w:pPr>
        <w:spacing w:after="0" w:line="76" w:lineRule="exact"/>
        <w:rPr>
          <w:rFonts w:ascii="Times New Roman" w:cs="Times New Roman" w:eastAsia="Times New Roman" w:hAnsi="Times New Roman"/>
          <w:sz w:val="18"/>
          <w:szCs w:val="18"/>
          <w:color w:val="auto"/>
        </w:rPr>
      </w:pPr>
    </w:p>
    <w:p>
      <w:pPr>
        <w:ind w:left="400" w:right="580" w:hanging="377"/>
        <w:spacing w:after="0" w:line="282" w:lineRule="auto"/>
        <w:tabs>
          <w:tab w:leader="none" w:pos="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Share Units credited pursuant to Section 2.14 shall vest simultaneously with the Restricted Share Units to which they relate, provided the Participant is continuously employed by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787400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440" w:right="559" w:bottom="1440" w:gutter="0" w:footer="0" w:header="0"/>
        </w:sectPr>
      </w:pPr>
    </w:p>
    <w:bookmarkStart w:id="27" w:name="page28"/>
    <w:bookmarkEnd w:id="27"/>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its Group Companies, from the Date of Grant until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835025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40" w:right="1440" w:bottom="1440" w:gutter="0" w:footer="0" w:header="0"/>
        </w:sectPr>
      </w:pPr>
    </w:p>
    <w:bookmarkStart w:id="28" w:name="page29"/>
    <w:bookmarkEnd w:id="28"/>
    <w:p>
      <w:pPr>
        <w:spacing w:after="0" w:line="180" w:lineRule="exact"/>
        <w:rPr>
          <w:sz w:val="20"/>
          <w:szCs w:val="20"/>
          <w:color w:val="auto"/>
        </w:rPr>
      </w:pPr>
    </w:p>
    <w:p>
      <w:pPr>
        <w:ind w:hanging="9"/>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4 SETTLEMENT &amp; EXPIRY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Settlement of Restricted Share Units.</w:t>
      </w:r>
    </w:p>
    <w:p>
      <w:pPr>
        <w:spacing w:after="0" w:line="25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Except as otherwise provided in an RSU Participant’s Grant Agreement or any other provision of this Plan:</w:t>
      </w:r>
    </w:p>
    <w:p>
      <w:pPr>
        <w:spacing w:after="0" w:line="306" w:lineRule="exact"/>
        <w:rPr>
          <w:sz w:val="20"/>
          <w:szCs w:val="20"/>
          <w:color w:val="auto"/>
        </w:rPr>
      </w:pPr>
    </w:p>
    <w:p>
      <w:pPr>
        <w:ind w:left="800" w:right="260" w:hanging="195"/>
        <w:spacing w:after="0" w:line="282" w:lineRule="auto"/>
        <w:rPr>
          <w:sz w:val="20"/>
          <w:szCs w:val="20"/>
          <w:color w:val="auto"/>
        </w:rPr>
      </w:pPr>
      <w:r>
        <w:rPr>
          <w:rFonts w:ascii="Times New Roman" w:cs="Times New Roman" w:eastAsia="Times New Roman" w:hAnsi="Times New Roman"/>
          <w:sz w:val="18"/>
          <w:szCs w:val="18"/>
          <w:color w:val="auto"/>
        </w:rPr>
        <w:t>(a)all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860" w:right="420" w:hanging="205"/>
        <w:spacing w:after="0" w:line="282" w:lineRule="auto"/>
        <w:rPr>
          <w:sz w:val="20"/>
          <w:szCs w:val="20"/>
          <w:color w:val="auto"/>
        </w:rPr>
      </w:pPr>
      <w:r>
        <w:rPr>
          <w:rFonts w:ascii="Times New Roman" w:cs="Times New Roman" w:eastAsia="Times New Roman" w:hAnsi="Times New Roman"/>
          <w:sz w:val="18"/>
          <w:szCs w:val="18"/>
          <w:color w:val="auto"/>
        </w:rPr>
        <w:t>(b)an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229" w:lineRule="exact"/>
        <w:rPr>
          <w:sz w:val="20"/>
          <w:szCs w:val="20"/>
          <w:color w:val="auto"/>
        </w:rPr>
      </w:pPr>
    </w:p>
    <w:p>
      <w:pPr>
        <w:ind w:left="1060" w:right="40" w:hanging="518"/>
        <w:spacing w:after="0" w:line="261" w:lineRule="auto"/>
        <w:tabs>
          <w:tab w:leader="none" w:pos="1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w:t>
      </w:r>
    </w:p>
    <w:p>
      <w:pPr>
        <w:ind w:left="760"/>
        <w:spacing w:after="0"/>
        <w:rPr>
          <w:sz w:val="20"/>
          <w:szCs w:val="20"/>
          <w:color w:val="auto"/>
        </w:rPr>
      </w:pPr>
      <w:r>
        <w:rPr>
          <w:rFonts w:ascii="Times New Roman" w:cs="Times New Roman" w:eastAsia="Times New Roman" w:hAnsi="Times New Roman"/>
          <w:sz w:val="18"/>
          <w:szCs w:val="18"/>
          <w:color w:val="auto"/>
        </w:rPr>
        <w:t>Section 4.2(1)), Shares (determined in accordance with Section 4.2(2)) or a combination thereof.</w:t>
      </w:r>
    </w:p>
    <w:p>
      <w:pPr>
        <w:spacing w:after="0" w:line="301" w:lineRule="exact"/>
        <w:rPr>
          <w:sz w:val="20"/>
          <w:szCs w:val="20"/>
          <w:color w:val="auto"/>
        </w:rPr>
      </w:pPr>
    </w:p>
    <w:p>
      <w:pPr>
        <w:ind w:left="360" w:right="180" w:hanging="357"/>
        <w:spacing w:after="0" w:line="282"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215" w:lineRule="exact"/>
        <w:rPr>
          <w:rFonts w:ascii="Times New Roman" w:cs="Times New Roman" w:eastAsia="Times New Roman" w:hAnsi="Times New Roman"/>
          <w:sz w:val="18"/>
          <w:szCs w:val="18"/>
          <w:color w:val="auto"/>
        </w:rPr>
      </w:pPr>
    </w:p>
    <w:p>
      <w:pPr>
        <w:ind w:left="700" w:right="200" w:hanging="338"/>
        <w:spacing w:after="0" w:line="261"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representing the Cash Equivalent;</w:t>
      </w:r>
    </w:p>
    <w:p>
      <w:pPr>
        <w:spacing w:after="0" w:line="315" w:lineRule="exact"/>
        <w:rPr>
          <w:sz w:val="20"/>
          <w:szCs w:val="20"/>
          <w:color w:val="auto"/>
        </w:rPr>
      </w:pPr>
    </w:p>
    <w:p>
      <w:pPr>
        <w:ind w:left="100" w:right="1040" w:firstLine="135"/>
        <w:spacing w:after="0" w:line="282" w:lineRule="auto"/>
        <w:rPr>
          <w:sz w:val="20"/>
          <w:szCs w:val="20"/>
          <w:color w:val="auto"/>
        </w:rPr>
      </w:pPr>
      <w:r>
        <w:rPr>
          <w:rFonts w:ascii="Times New Roman" w:cs="Times New Roman" w:eastAsia="Times New Roman" w:hAnsi="Times New Roman"/>
          <w:sz w:val="18"/>
          <w:szCs w:val="18"/>
          <w:color w:val="auto"/>
        </w:rPr>
        <w:t>(b)in the case of settlement of Restricted Share Units for Shares, the issue and allotment or transfer or procurement of transfer to the Participant (or such other person as is referred to in Section 2.8) ; or</w:t>
      </w:r>
    </w:p>
    <w:p>
      <w:pPr>
        <w:spacing w:after="0" w:line="256" w:lineRule="exact"/>
        <w:rPr>
          <w:sz w:val="20"/>
          <w:szCs w:val="20"/>
          <w:color w:val="auto"/>
        </w:rPr>
      </w:pPr>
    </w:p>
    <w:p>
      <w:pPr>
        <w:ind w:left="780" w:right="1020" w:hanging="553"/>
        <w:spacing w:after="0" w:line="281" w:lineRule="auto"/>
        <w:tabs>
          <w:tab w:leader="none" w:pos="7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 (b) above.</w:t>
      </w:r>
    </w:p>
    <w:p>
      <w:pPr>
        <w:spacing w:after="0" w:line="1" w:lineRule="exact"/>
        <w:rPr>
          <w:rFonts w:ascii="Times New Roman" w:cs="Times New Roman" w:eastAsia="Times New Roman" w:hAnsi="Times New Roman"/>
          <w:sz w:val="18"/>
          <w:szCs w:val="18"/>
          <w:color w:val="auto"/>
        </w:rPr>
      </w:pPr>
    </w:p>
    <w:p>
      <w:pPr>
        <w:ind w:left="360" w:right="320" w:hanging="357"/>
        <w:spacing w:after="0" w:line="282" w:lineRule="auto"/>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242" w:lineRule="exact"/>
        <w:rPr>
          <w:rFonts w:ascii="Times New Roman" w:cs="Times New Roman" w:eastAsia="Times New Roman" w:hAnsi="Times New Roman"/>
          <w:sz w:val="18"/>
          <w:szCs w:val="18"/>
          <w:color w:val="auto"/>
        </w:rPr>
      </w:pPr>
    </w:p>
    <w:p>
      <w:pPr>
        <w:ind w:left="360" w:right="100" w:hanging="357"/>
        <w:spacing w:after="0" w:line="255" w:lineRule="auto"/>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 RSU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360" w:right="260" w:hanging="357"/>
        <w:spacing w:after="0" w:line="250" w:lineRule="auto"/>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b w:val="1"/>
          <w:bCs w:val="1"/>
          <w:color w:val="auto"/>
        </w:rPr>
        <w:t>Determination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815975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60" w:top="1440" w:right="639" w:bottom="1440" w:gutter="0" w:footer="0" w:header="0"/>
        </w:sectPr>
      </w:pPr>
    </w:p>
    <w:bookmarkStart w:id="29" w:name="page30"/>
    <w:bookmarkEnd w:id="29"/>
    <w:p>
      <w:pPr>
        <w:spacing w:after="0" w:line="284" w:lineRule="exact"/>
        <w:rPr>
          <w:sz w:val="20"/>
          <w:szCs w:val="20"/>
          <w:color w:val="auto"/>
        </w:rPr>
      </w:pPr>
    </w:p>
    <w:p>
      <w:pPr>
        <w:ind w:left="360" w:hanging="357"/>
        <w:spacing w:after="0" w:line="262" w:lineRule="auto"/>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257" w:lineRule="exact"/>
        <w:rPr>
          <w:rFonts w:ascii="Times New Roman" w:cs="Times New Roman" w:eastAsia="Times New Roman" w:hAnsi="Times New Roman"/>
          <w:sz w:val="18"/>
          <w:szCs w:val="18"/>
          <w:color w:val="auto"/>
        </w:rPr>
      </w:pPr>
    </w:p>
    <w:p>
      <w:pPr>
        <w:ind w:left="360" w:right="60" w:hanging="357"/>
        <w:spacing w:after="0" w:line="256" w:lineRule="auto"/>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b w:val="1"/>
          <w:bCs w:val="1"/>
          <w:color w:val="auto"/>
        </w:rPr>
        <w:t>Termination.</w:t>
      </w:r>
    </w:p>
    <w:p>
      <w:pPr>
        <w:spacing w:after="0" w:line="301" w:lineRule="exact"/>
        <w:rPr>
          <w:sz w:val="20"/>
          <w:szCs w:val="20"/>
          <w:color w:val="auto"/>
        </w:rPr>
      </w:pPr>
    </w:p>
    <w:p>
      <w:pPr>
        <w:ind w:left="360" w:right="140" w:hanging="357"/>
        <w:spacing w:after="0" w:line="282" w:lineRule="auto"/>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and regardless of any adverse or potentially adverse tax or other consequences resulting from the following:</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780" w:right="60" w:hanging="447"/>
        <w:spacing w:after="0" w:line="261" w:lineRule="auto"/>
        <w:tabs>
          <w:tab w:leader="none" w:pos="7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274" w:lineRule="exact"/>
        <w:rPr>
          <w:rFonts w:ascii="Times New Roman" w:cs="Times New Roman" w:eastAsia="Times New Roman" w:hAnsi="Times New Roman"/>
          <w:sz w:val="18"/>
          <w:szCs w:val="18"/>
          <w:color w:val="auto"/>
        </w:rPr>
      </w:pPr>
    </w:p>
    <w:p>
      <w:pPr>
        <w:ind w:left="780" w:right="60" w:hanging="447"/>
        <w:spacing w:after="0" w:line="266" w:lineRule="auto"/>
        <w:tabs>
          <w:tab w:leader="none" w:pos="7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as a result of such RSU Participant’s death or physical or psychological Incapacity, any unvested Restricted Share Units held by such RSU Participant shall vest on the RSU Termination Date.</w:t>
      </w: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ARTICLE 5 DEFERRED SHARE UNITS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color w:val="auto"/>
        </w:rPr>
        <w:t>Grant of Deferred Share Units.</w:t>
      </w:r>
    </w:p>
    <w:p>
      <w:pPr>
        <w:spacing w:after="0" w:line="324" w:lineRule="exact"/>
        <w:rPr>
          <w:sz w:val="20"/>
          <w:szCs w:val="20"/>
          <w:color w:val="auto"/>
        </w:rPr>
      </w:pPr>
    </w:p>
    <w:p>
      <w:pPr>
        <w:ind w:left="360" w:hanging="357"/>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306" w:lineRule="exact"/>
        <w:rPr>
          <w:rFonts w:ascii="Times New Roman" w:cs="Times New Roman" w:eastAsia="Times New Roman" w:hAnsi="Times New Roman"/>
          <w:sz w:val="18"/>
          <w:szCs w:val="18"/>
          <w:color w:val="auto"/>
        </w:rPr>
      </w:pPr>
    </w:p>
    <w:p>
      <w:pPr>
        <w:ind w:left="360" w:hanging="357"/>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evidenced by a Grant Agreement, signed on behalf of the Company.</w:t>
      </w:r>
    </w:p>
    <w:p>
      <w:pPr>
        <w:spacing w:after="0" w:line="306" w:lineRule="exact"/>
        <w:rPr>
          <w:rFonts w:ascii="Times New Roman" w:cs="Times New Roman" w:eastAsia="Times New Roman" w:hAnsi="Times New Roman"/>
          <w:sz w:val="18"/>
          <w:szCs w:val="18"/>
          <w:color w:val="auto"/>
        </w:rPr>
      </w:pPr>
    </w:p>
    <w:p>
      <w:pPr>
        <w:ind w:left="360" w:right="160" w:hanging="357"/>
        <w:spacing w:after="0" w:line="282" w:lineRule="auto"/>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242" w:lineRule="exact"/>
        <w:rPr>
          <w:rFonts w:ascii="Times New Roman" w:cs="Times New Roman" w:eastAsia="Times New Roman" w:hAnsi="Times New Roman"/>
          <w:sz w:val="18"/>
          <w:szCs w:val="18"/>
          <w:color w:val="auto"/>
        </w:rPr>
      </w:pPr>
    </w:p>
    <w:p>
      <w:pPr>
        <w:ind w:left="360" w:right="340" w:hanging="357"/>
        <w:spacing w:after="0" w:line="261" w:lineRule="auto"/>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color w:val="auto"/>
        </w:rPr>
        <w:t>Equivalence.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827405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60" w:top="1440" w:right="639" w:bottom="1440" w:gutter="0" w:footer="0" w:header="0"/>
        </w:sectPr>
      </w:pPr>
    </w:p>
    <w:bookmarkStart w:id="30" w:name="page31"/>
    <w:bookmarkEnd w:id="30"/>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color w:val="auto"/>
        </w:rPr>
        <w:t>Termination Right.</w:t>
      </w:r>
    </w:p>
    <w:p>
      <w:pPr>
        <w:spacing w:after="0" w:line="324" w:lineRule="exact"/>
        <w:rPr>
          <w:sz w:val="20"/>
          <w:szCs w:val="20"/>
          <w:color w:val="auto"/>
        </w:rPr>
      </w:pPr>
    </w:p>
    <w:p>
      <w:pPr>
        <w:ind w:left="372" w:right="80" w:hanging="357"/>
        <w:spacing w:after="0" w:line="266" w:lineRule="auto"/>
        <w:tabs>
          <w:tab w:leader="none" w:pos="3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left="392" w:hanging="377"/>
        <w:spacing w:after="0"/>
        <w:tabs>
          <w:tab w:leader="none" w:pos="3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306" w:lineRule="exact"/>
        <w:rPr>
          <w:rFonts w:ascii="Times New Roman" w:cs="Times New Roman" w:eastAsia="Times New Roman" w:hAnsi="Times New Roman"/>
          <w:sz w:val="18"/>
          <w:szCs w:val="18"/>
          <w:color w:val="auto"/>
        </w:rPr>
      </w:pPr>
    </w:p>
    <w:p>
      <w:pPr>
        <w:ind w:left="12" w:right="20" w:hanging="2"/>
        <w:spacing w:after="0" w:line="261" w:lineRule="auto"/>
        <w:tabs>
          <w:tab w:leader="none" w:pos="2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ind w:left="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color w:val="auto"/>
        </w:rPr>
        <w:t>Calculation.</w:t>
      </w:r>
    </w:p>
    <w:p>
      <w:pPr>
        <w:spacing w:after="0" w:line="301" w:lineRule="exact"/>
        <w:rPr>
          <w:rFonts w:ascii="Times New Roman" w:cs="Times New Roman" w:eastAsia="Times New Roman" w:hAnsi="Times New Roman"/>
          <w:sz w:val="18"/>
          <w:szCs w:val="18"/>
          <w:color w:val="auto"/>
        </w:rPr>
      </w:pPr>
    </w:p>
    <w:p>
      <w:pPr>
        <w:ind w:left="392" w:right="180" w:hanging="377"/>
        <w:spacing w:after="0" w:line="282" w:lineRule="auto"/>
        <w:tabs>
          <w:tab w:leader="none" w:pos="3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color w:val="auto"/>
        </w:rPr>
        <w:t>Vesting.</w:t>
      </w:r>
    </w:p>
    <w:p>
      <w:pPr>
        <w:spacing w:after="0" w:line="310" w:lineRule="exact"/>
        <w:rPr>
          <w:sz w:val="20"/>
          <w:szCs w:val="20"/>
          <w:color w:val="auto"/>
        </w:rPr>
      </w:pPr>
    </w:p>
    <w:p>
      <w:pPr>
        <w:ind w:left="372" w:right="560" w:hanging="357"/>
        <w:spacing w:after="0" w:line="266" w:lineRule="auto"/>
        <w:tabs>
          <w:tab w:leader="none" w:pos="3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202" w:lineRule="exact"/>
        <w:rPr>
          <w:rFonts w:ascii="Times New Roman" w:cs="Times New Roman" w:eastAsia="Times New Roman" w:hAnsi="Times New Roman"/>
          <w:sz w:val="18"/>
          <w:szCs w:val="18"/>
          <w:color w:val="auto"/>
        </w:rPr>
      </w:pPr>
    </w:p>
    <w:p>
      <w:pPr>
        <w:ind w:left="372" w:right="1200" w:hanging="357"/>
        <w:spacing w:after="0" w:line="261" w:lineRule="auto"/>
        <w:tabs>
          <w:tab w:leader="none" w:pos="3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DSU Participants will not have any right to receive any benefit under the Plan in respect of a Deferred Share Unit until the DSU Termination Date.</w:t>
      </w:r>
    </w:p>
    <w:p>
      <w:pPr>
        <w:ind w:left="12"/>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color w:val="auto"/>
        </w:rPr>
        <w:t>Settlement in respect of Deferred Share Units.</w:t>
      </w:r>
    </w:p>
    <w:p>
      <w:pPr>
        <w:spacing w:after="0" w:line="99" w:lineRule="exact"/>
        <w:rPr>
          <w:sz w:val="20"/>
          <w:szCs w:val="20"/>
          <w:color w:val="auto"/>
        </w:rPr>
      </w:pPr>
    </w:p>
    <w:p>
      <w:pPr>
        <w:ind w:left="12" w:right="320" w:firstLine="509"/>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243" w:lineRule="exact"/>
        <w:rPr>
          <w:sz w:val="20"/>
          <w:szCs w:val="20"/>
          <w:color w:val="auto"/>
        </w:rPr>
      </w:pPr>
    </w:p>
    <w:p>
      <w:pPr>
        <w:ind w:left="432" w:hanging="432"/>
        <w:spacing w:after="0" w:line="261" w:lineRule="auto"/>
        <w:tabs>
          <w:tab w:leader="none" w:pos="4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260" w:lineRule="exact"/>
        <w:rPr>
          <w:rFonts w:ascii="Times New Roman" w:cs="Times New Roman" w:eastAsia="Times New Roman" w:hAnsi="Times New Roman"/>
          <w:sz w:val="18"/>
          <w:szCs w:val="18"/>
          <w:color w:val="auto"/>
        </w:rPr>
      </w:pPr>
    </w:p>
    <w:p>
      <w:pPr>
        <w:ind w:left="432" w:right="20" w:hanging="432"/>
        <w:spacing w:after="0" w:line="282" w:lineRule="auto"/>
        <w:tabs>
          <w:tab w:leader="none" w:pos="4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242"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333" w:lineRule="exact"/>
        <w:rPr>
          <w:rFonts w:ascii="Times New Roman" w:cs="Times New Roman" w:eastAsia="Times New Roman" w:hAnsi="Times New Roman"/>
          <w:sz w:val="18"/>
          <w:szCs w:val="18"/>
          <w:color w:val="auto"/>
        </w:rPr>
      </w:pPr>
    </w:p>
    <w:p>
      <w:pPr>
        <w:ind w:left="852" w:hanging="448"/>
        <w:spacing w:after="0" w:line="282" w:lineRule="auto"/>
        <w:tabs>
          <w:tab w:leader="none" w:pos="8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w:t>
      </w:r>
    </w:p>
    <w:p>
      <w:pPr>
        <w:spacing w:after="0" w:line="175" w:lineRule="exact"/>
        <w:rPr>
          <w:rFonts w:ascii="Times New Roman" w:cs="Times New Roman" w:eastAsia="Times New Roman" w:hAnsi="Times New Roman"/>
          <w:sz w:val="18"/>
          <w:szCs w:val="18"/>
          <w:color w:val="auto"/>
        </w:rPr>
      </w:pPr>
    </w:p>
    <w:p>
      <w:pPr>
        <w:ind w:left="8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(or such other person as is referred to in Section 2.8), as the case may be, representing the Cash Equivalent;</w:t>
      </w:r>
    </w:p>
    <w:p>
      <w:pPr>
        <w:spacing w:after="0" w:line="333" w:lineRule="exact"/>
        <w:rPr>
          <w:rFonts w:ascii="Times New Roman" w:cs="Times New Roman" w:eastAsia="Times New Roman" w:hAnsi="Times New Roman"/>
          <w:sz w:val="18"/>
          <w:szCs w:val="18"/>
          <w:color w:val="auto"/>
        </w:rPr>
      </w:pPr>
    </w:p>
    <w:p>
      <w:pPr>
        <w:ind w:left="852" w:hanging="448"/>
        <w:spacing w:after="0"/>
        <w:tabs>
          <w:tab w:leader="none" w:pos="8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w:t>
      </w:r>
    </w:p>
    <w:p>
      <w:pPr>
        <w:spacing w:after="0" w:line="27"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Participant (or such other person as is referred to in Section 2.8)); or</w:t>
      </w:r>
    </w:p>
    <w:p>
      <w:pPr>
        <w:spacing w:after="0" w:line="288" w:lineRule="exact"/>
        <w:rPr>
          <w:sz w:val="20"/>
          <w:szCs w:val="20"/>
          <w:color w:val="auto"/>
        </w:rPr>
      </w:pPr>
    </w:p>
    <w:p>
      <w:pPr>
        <w:ind w:left="872" w:hanging="468"/>
        <w:spacing w:after="0"/>
        <w:tabs>
          <w:tab w:leader="none" w:pos="8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827405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2"/>
          </w:cols>
          <w:pgMar w:left="448" w:top="1440" w:right="659" w:bottom="1440" w:gutter="0" w:footer="0" w:header="0"/>
        </w:sectPr>
      </w:pPr>
    </w:p>
    <w:bookmarkStart w:id="31" w:name="page32"/>
    <w:bookmarkEnd w:id="31"/>
    <w:p>
      <w:pPr>
        <w:spacing w:after="0" w:line="23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Equivalent, a combination of (a) and (b) above.</w:t>
      </w:r>
    </w:p>
    <w:p>
      <w:pPr>
        <w:spacing w:after="0" w:line="27"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Notwithstanding any other provision of the Plan, the Company may require as a condition of settlement</w:t>
      </w:r>
    </w:p>
    <w:p>
      <w:pPr>
        <w:spacing w:after="0" w:line="23" w:lineRule="exact"/>
        <w:rPr>
          <w:sz w:val="20"/>
          <w:szCs w:val="20"/>
          <w:color w:val="auto"/>
        </w:rPr>
      </w:pPr>
    </w:p>
    <w:p>
      <w:pPr>
        <w:ind w:left="432" w:hanging="432"/>
        <w:spacing w:after="0"/>
        <w:tabs>
          <w:tab w:leader="none" w:pos="4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DSU Participant enters into a Section 431 Election with their employer in respect of any Shares to be acquired.</w:t>
      </w:r>
    </w:p>
    <w:p>
      <w:pPr>
        <w:spacing w:after="0" w:line="200" w:lineRule="exact"/>
        <w:rPr>
          <w:sz w:val="20"/>
          <w:szCs w:val="20"/>
          <w:color w:val="auto"/>
        </w:rPr>
      </w:pPr>
    </w:p>
    <w:p>
      <w:pPr>
        <w:spacing w:after="0" w:line="3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b w:val="1"/>
          <w:bCs w:val="1"/>
          <w:color w:val="auto"/>
        </w:rPr>
        <w:t>Determination of Amounts.</w:t>
      </w:r>
    </w:p>
    <w:p>
      <w:pPr>
        <w:spacing w:after="0" w:line="320" w:lineRule="exact"/>
        <w:rPr>
          <w:sz w:val="20"/>
          <w:szCs w:val="20"/>
          <w:color w:val="auto"/>
        </w:rPr>
      </w:pPr>
    </w:p>
    <w:p>
      <w:pPr>
        <w:ind w:left="372" w:right="100" w:hanging="357"/>
        <w:spacing w:after="0" w:line="268" w:lineRule="auto"/>
        <w:tabs>
          <w:tab w:leader="none" w:pos="3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251" w:lineRule="exact"/>
        <w:rPr>
          <w:rFonts w:ascii="Times New Roman" w:cs="Times New Roman" w:eastAsia="Times New Roman" w:hAnsi="Times New Roman"/>
          <w:sz w:val="18"/>
          <w:szCs w:val="18"/>
          <w:color w:val="auto"/>
        </w:rPr>
      </w:pPr>
    </w:p>
    <w:p>
      <w:pPr>
        <w:ind w:left="372" w:right="280" w:hanging="357"/>
        <w:spacing w:after="0" w:line="262" w:lineRule="auto"/>
        <w:tabs>
          <w:tab w:leader="none" w:pos="3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DSU 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200" w:lineRule="exact"/>
        <w:rPr>
          <w:sz w:val="20"/>
          <w:szCs w:val="20"/>
          <w:color w:val="auto"/>
        </w:rPr>
      </w:pPr>
    </w:p>
    <w:p>
      <w:pPr>
        <w:spacing w:after="0" w:line="206"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18"/>
          <w:szCs w:val="18"/>
          <w:b w:val="1"/>
          <w:bCs w:val="1"/>
          <w:color w:val="auto"/>
        </w:rPr>
        <w:t>ARTICLE 6 INCENTIVE SHARE UNITS</w:t>
      </w:r>
    </w:p>
    <w:p>
      <w:pPr>
        <w:spacing w:after="0" w:line="23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color w:val="auto"/>
        </w:rPr>
        <w:t>Grant of Incentive Share Units</w:t>
      </w:r>
    </w:p>
    <w:p>
      <w:pPr>
        <w:spacing w:after="0" w:line="324" w:lineRule="exact"/>
        <w:rPr>
          <w:sz w:val="20"/>
          <w:szCs w:val="20"/>
          <w:color w:val="auto"/>
        </w:rPr>
      </w:pPr>
    </w:p>
    <w:p>
      <w:pPr>
        <w:ind w:left="372" w:right="280" w:hanging="357"/>
        <w:spacing w:after="0" w:line="266"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256" w:lineRule="exact"/>
        <w:rPr>
          <w:rFonts w:ascii="Times New Roman" w:cs="Times New Roman" w:eastAsia="Times New Roman" w:hAnsi="Times New Roman"/>
          <w:sz w:val="18"/>
          <w:szCs w:val="18"/>
          <w:color w:val="auto"/>
        </w:rPr>
      </w:pPr>
    </w:p>
    <w:p>
      <w:pPr>
        <w:ind w:left="372" w:hanging="357"/>
        <w:spacing w:after="0"/>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evidenced by a Grant Agreement, signed on behalf of the Company.</w:t>
      </w:r>
    </w:p>
    <w:p>
      <w:pPr>
        <w:spacing w:after="0" w:line="306" w:lineRule="exact"/>
        <w:rPr>
          <w:rFonts w:ascii="Times New Roman" w:cs="Times New Roman" w:eastAsia="Times New Roman" w:hAnsi="Times New Roman"/>
          <w:sz w:val="18"/>
          <w:szCs w:val="18"/>
          <w:color w:val="auto"/>
        </w:rPr>
      </w:pPr>
    </w:p>
    <w:p>
      <w:pPr>
        <w:ind w:left="372" w:right="680" w:hanging="357"/>
        <w:spacing w:after="0" w:line="282"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229" w:lineRule="exact"/>
        <w:rPr>
          <w:rFonts w:ascii="Times New Roman" w:cs="Times New Roman" w:eastAsia="Times New Roman" w:hAnsi="Times New Roman"/>
          <w:sz w:val="18"/>
          <w:szCs w:val="18"/>
          <w:color w:val="auto"/>
        </w:rPr>
      </w:pPr>
    </w:p>
    <w:p>
      <w:pPr>
        <w:ind w:left="372" w:right="480" w:hanging="357"/>
        <w:spacing w:after="0" w:line="282" w:lineRule="auto"/>
        <w:tabs>
          <w:tab w:leader="none" w:pos="3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3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b w:val="1"/>
          <w:bCs w:val="1"/>
          <w:color w:val="auto"/>
        </w:rPr>
        <w:t>Equivalence</w:t>
      </w:r>
    </w:p>
    <w:p>
      <w:pPr>
        <w:spacing w:after="0" w:line="121"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200" w:lineRule="exact"/>
        <w:rPr>
          <w:sz w:val="20"/>
          <w:szCs w:val="20"/>
          <w:color w:val="auto"/>
        </w:rPr>
      </w:pPr>
    </w:p>
    <w:p>
      <w:pPr>
        <w:spacing w:after="0" w:line="33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such grant by (ii) the Market Value of a Share on the Date of Grant.</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b w:val="1"/>
          <w:bCs w:val="1"/>
          <w:color w:val="auto"/>
        </w:rPr>
        <w:t>Vesting.</w:t>
      </w:r>
    </w:p>
    <w:p>
      <w:pPr>
        <w:spacing w:after="0" w:line="85" w:lineRule="exact"/>
        <w:rPr>
          <w:sz w:val="20"/>
          <w:szCs w:val="20"/>
          <w:color w:val="auto"/>
        </w:rPr>
      </w:pPr>
    </w:p>
    <w:p>
      <w:pPr>
        <w:ind w:left="12" w:firstLine="509"/>
        <w:spacing w:after="0" w:line="261" w:lineRule="auto"/>
        <w:rPr>
          <w:sz w:val="20"/>
          <w:szCs w:val="20"/>
          <w:color w:val="auto"/>
        </w:rPr>
      </w:pPr>
      <w:r>
        <w:rPr>
          <w:rFonts w:ascii="Times New Roman" w:cs="Times New Roman" w:eastAsia="Times New Roman" w:hAnsi="Times New Roman"/>
          <w:sz w:val="18"/>
          <w:szCs w:val="18"/>
          <w:color w:val="auto"/>
        </w:rPr>
        <w:t>Each ISU Participant’s Grant Agreement shall describe the Performance Criteria established by the Board that must be achieved for Incentive Share Units to vest to the ISU Participant, provided the ISU Participant is continuously 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798830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2"/>
          </w:cols>
          <w:pgMar w:left="448" w:top="1440" w:right="619" w:bottom="1440" w:gutter="0" w:footer="0" w:header="0"/>
        </w:sectPr>
      </w:pPr>
    </w:p>
    <w:bookmarkStart w:id="32" w:name="page33"/>
    <w:bookmarkEnd w:id="32"/>
    <w:p>
      <w:pPr>
        <w:spacing w:after="0" w:line="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ARTICLE 7 SETTLEMENT &amp; EXPIRY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color w:val="auto"/>
        </w:rPr>
        <w:t>Settlement of Incentive Share Units.</w:t>
      </w:r>
    </w:p>
    <w:p>
      <w:pPr>
        <w:spacing w:after="0" w:line="324" w:lineRule="exact"/>
        <w:rPr>
          <w:sz w:val="20"/>
          <w:szCs w:val="20"/>
          <w:color w:val="auto"/>
        </w:rPr>
      </w:pPr>
    </w:p>
    <w:p>
      <w:pPr>
        <w:ind w:left="380" w:hanging="377"/>
        <w:spacing w:after="0"/>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any other provision of this Plan:</w:t>
      </w:r>
    </w:p>
    <w:p>
      <w:pPr>
        <w:spacing w:after="0" w:line="319" w:lineRule="exact"/>
        <w:rPr>
          <w:rFonts w:ascii="Times New Roman" w:cs="Times New Roman" w:eastAsia="Times New Roman" w:hAnsi="Times New Roman"/>
          <w:sz w:val="18"/>
          <w:szCs w:val="18"/>
          <w:color w:val="auto"/>
        </w:rPr>
      </w:pPr>
    </w:p>
    <w:p>
      <w:pPr>
        <w:ind w:left="820" w:right="60" w:hanging="428"/>
        <w:spacing w:after="0" w:line="282" w:lineRule="auto"/>
        <w:tabs>
          <w:tab w:leader="none" w:pos="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color w:val="auto"/>
        </w:rPr>
      </w:pPr>
    </w:p>
    <w:p>
      <w:pPr>
        <w:ind w:left="820" w:hanging="428"/>
        <w:spacing w:after="0" w:line="282" w:lineRule="auto"/>
        <w:tabs>
          <w:tab w:leader="none" w:pos="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256" w:lineRule="exact"/>
        <w:rPr>
          <w:sz w:val="20"/>
          <w:szCs w:val="20"/>
          <w:color w:val="auto"/>
        </w:rPr>
      </w:pPr>
    </w:p>
    <w:p>
      <w:pPr>
        <w:ind w:left="1460" w:right="140" w:hanging="1083"/>
        <w:spacing w:after="0" w:line="261"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w:t>
      </w:r>
    </w:p>
    <w:p>
      <w:pPr>
        <w:ind w:left="860"/>
        <w:spacing w:after="0"/>
        <w:rPr>
          <w:sz w:val="20"/>
          <w:szCs w:val="20"/>
          <w:color w:val="auto"/>
        </w:rPr>
      </w:pPr>
      <w:r>
        <w:rPr>
          <w:rFonts w:ascii="Times New Roman" w:cs="Times New Roman" w:eastAsia="Times New Roman" w:hAnsi="Times New Roman"/>
          <w:sz w:val="18"/>
          <w:szCs w:val="18"/>
          <w:color w:val="auto"/>
        </w:rPr>
        <w:t>Section 7.2(1)), Shares (determined in accordance with Section 7.2(2)) or a combination thereof.</w:t>
      </w:r>
    </w:p>
    <w:p>
      <w:pPr>
        <w:spacing w:after="0" w:line="301" w:lineRule="exact"/>
        <w:rPr>
          <w:sz w:val="20"/>
          <w:szCs w:val="20"/>
          <w:color w:val="auto"/>
        </w:rPr>
      </w:pPr>
    </w:p>
    <w:p>
      <w:pPr>
        <w:ind w:left="340" w:right="640" w:hanging="337"/>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269" w:lineRule="exact"/>
        <w:rPr>
          <w:rFonts w:ascii="Times New Roman" w:cs="Times New Roman" w:eastAsia="Times New Roman" w:hAnsi="Times New Roman"/>
          <w:sz w:val="18"/>
          <w:szCs w:val="18"/>
          <w:color w:val="auto"/>
        </w:rPr>
      </w:pPr>
    </w:p>
    <w:p>
      <w:pPr>
        <w:ind w:left="800" w:right="320" w:hanging="408"/>
        <w:spacing w:after="0" w:line="282" w:lineRule="auto"/>
        <w:tabs>
          <w:tab w:leader="none" w:pos="8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256" w:lineRule="exact"/>
        <w:rPr>
          <w:rFonts w:ascii="Times New Roman" w:cs="Times New Roman" w:eastAsia="Times New Roman" w:hAnsi="Times New Roman"/>
          <w:sz w:val="18"/>
          <w:szCs w:val="18"/>
          <w:color w:val="auto"/>
        </w:rPr>
      </w:pPr>
    </w:p>
    <w:p>
      <w:pPr>
        <w:ind w:left="100" w:right="580" w:firstLine="292"/>
        <w:spacing w:after="0" w:line="282" w:lineRule="auto"/>
        <w:tabs>
          <w:tab w:leader="none" w:pos="85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188" w:lineRule="exact"/>
        <w:rPr>
          <w:rFonts w:ascii="Times New Roman" w:cs="Times New Roman" w:eastAsia="Times New Roman" w:hAnsi="Times New Roman"/>
          <w:sz w:val="18"/>
          <w:szCs w:val="18"/>
          <w:color w:val="auto"/>
        </w:rPr>
      </w:pPr>
    </w:p>
    <w:p>
      <w:pPr>
        <w:ind w:left="800" w:right="940" w:hanging="408"/>
        <w:spacing w:after="0" w:line="281" w:lineRule="auto"/>
        <w:tabs>
          <w:tab w:leader="none" w:pos="8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1" w:lineRule="exact"/>
        <w:rPr>
          <w:rFonts w:ascii="Times New Roman" w:cs="Times New Roman" w:eastAsia="Times New Roman" w:hAnsi="Times New Roman"/>
          <w:sz w:val="18"/>
          <w:szCs w:val="18"/>
          <w:color w:val="auto"/>
        </w:rPr>
      </w:pPr>
    </w:p>
    <w:p>
      <w:pPr>
        <w:ind w:left="360" w:right="320" w:hanging="357"/>
        <w:spacing w:after="0" w:line="282" w:lineRule="auto"/>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242" w:lineRule="exact"/>
        <w:rPr>
          <w:rFonts w:ascii="Times New Roman" w:cs="Times New Roman" w:eastAsia="Times New Roman" w:hAnsi="Times New Roman"/>
          <w:sz w:val="18"/>
          <w:szCs w:val="18"/>
          <w:color w:val="auto"/>
        </w:rPr>
      </w:pPr>
    </w:p>
    <w:p>
      <w:pPr>
        <w:ind w:left="360" w:right="120" w:hanging="357"/>
        <w:spacing w:after="0" w:line="255" w:lineRule="auto"/>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360" w:right="200" w:hanging="357"/>
        <w:spacing w:after="0" w:line="250" w:lineRule="auto"/>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b w:val="1"/>
          <w:bCs w:val="1"/>
          <w:color w:val="auto"/>
        </w:rPr>
        <w:t>Determination of Amounts.</w:t>
      </w:r>
    </w:p>
    <w:p>
      <w:pPr>
        <w:spacing w:after="0" w:line="297" w:lineRule="exact"/>
        <w:rPr>
          <w:sz w:val="20"/>
          <w:szCs w:val="20"/>
          <w:color w:val="auto"/>
        </w:rPr>
      </w:pPr>
    </w:p>
    <w:p>
      <w:pPr>
        <w:ind w:left="380" w:right="20" w:hanging="377"/>
        <w:spacing w:after="0" w:line="262"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799465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60" w:top="1440" w:right="759" w:bottom="1440" w:gutter="0" w:footer="0" w:header="0"/>
        </w:sectPr>
      </w:pPr>
    </w:p>
    <w:bookmarkStart w:id="33" w:name="page34"/>
    <w:bookmarkEnd w:id="33"/>
    <w:p>
      <w:pPr>
        <w:spacing w:after="0" w:line="217" w:lineRule="exact"/>
        <w:rPr>
          <w:sz w:val="20"/>
          <w:szCs w:val="20"/>
          <w:color w:val="auto"/>
        </w:rPr>
      </w:pPr>
    </w:p>
    <w:p>
      <w:pPr>
        <w:ind w:left="377" w:hanging="377"/>
        <w:spacing w:after="0" w:line="286" w:lineRule="auto"/>
        <w:tabs>
          <w:tab w:leader="none" w:pos="37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785495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7"/>
          </w:cols>
          <w:pgMar w:left="463" w:top="1440" w:right="559" w:bottom="1440" w:gutter="0" w:footer="0" w:header="0"/>
        </w:sectPr>
      </w:pPr>
    </w:p>
    <w:bookmarkStart w:id="34" w:name="page35"/>
    <w:bookmarkEnd w:id="34"/>
    <w:p>
      <w:pPr>
        <w:spacing w:after="0" w:line="5" w:lineRule="exact"/>
        <w:rPr>
          <w:sz w:val="20"/>
          <w:szCs w:val="20"/>
          <w:color w:val="auto"/>
        </w:rPr>
      </w:pPr>
    </w:p>
    <w:p>
      <w:pPr>
        <w:jc w:val="both"/>
        <w:ind w:left="400" w:right="80"/>
        <w:spacing w:after="0" w:line="257" w:lineRule="auto"/>
        <w:rPr>
          <w:sz w:val="20"/>
          <w:szCs w:val="20"/>
          <w:color w:val="auto"/>
        </w:rPr>
      </w:pPr>
      <w:r>
        <w:rPr>
          <w:rFonts w:ascii="Times New Roman" w:cs="Times New Roman" w:eastAsia="Times New Roman" w:hAnsi="Times New Roman"/>
          <w:sz w:val="18"/>
          <w:szCs w:val="18"/>
          <w:color w:val="auto"/>
        </w:rPr>
        <w:t>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b w:val="1"/>
          <w:bCs w:val="1"/>
          <w:color w:val="auto"/>
        </w:rPr>
        <w:t>Termination.</w:t>
      </w:r>
    </w:p>
    <w:p>
      <w:pPr>
        <w:spacing w:after="0" w:line="99" w:lineRule="exact"/>
        <w:rPr>
          <w:sz w:val="20"/>
          <w:szCs w:val="20"/>
          <w:color w:val="auto"/>
        </w:rPr>
      </w:pPr>
    </w:p>
    <w:p>
      <w:pPr>
        <w:ind w:left="20" w:right="20" w:firstLine="509"/>
        <w:spacing w:after="0" w:line="261"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and regardless of any adverse or potentially adverse tax or other consequences resulting from the following, if a ISU Participant ceases to be an Eligible Person for any reason, any unvested Incentive Share Units held by such ISU Participant shall Expire on the ISU Termination Date and be of no further force or effect whatsoever and such Participant shall no longer be eligible for a grant of ISUs.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color w:val="auto"/>
        </w:rPr>
        <w:t>Conversion or Exchange of Units.</w:t>
      </w:r>
    </w:p>
    <w:p>
      <w:pPr>
        <w:spacing w:after="0" w:line="121" w:lineRule="exact"/>
        <w:rPr>
          <w:sz w:val="20"/>
          <w:szCs w:val="20"/>
          <w:color w:val="auto"/>
        </w:rPr>
      </w:pPr>
    </w:p>
    <w:p>
      <w:pPr>
        <w:ind w:left="20" w:right="200" w:firstLine="509"/>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color w:val="auto"/>
        </w:rPr>
        <w:t>Notice to Participants.</w:t>
      </w:r>
    </w:p>
    <w:p>
      <w:pPr>
        <w:spacing w:after="0" w:line="121" w:lineRule="exact"/>
        <w:rPr>
          <w:sz w:val="20"/>
          <w:szCs w:val="20"/>
          <w:color w:val="auto"/>
        </w:rPr>
      </w:pPr>
    </w:p>
    <w:p>
      <w:pPr>
        <w:ind w:left="20" w:firstLine="509"/>
        <w:spacing w:after="0" w:line="254"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b w:val="1"/>
          <w:bCs w:val="1"/>
          <w:color w:val="auto"/>
        </w:rPr>
        <w:t>Acceleration of Vesting.</w:t>
      </w:r>
    </w:p>
    <w:p>
      <w:pPr>
        <w:spacing w:after="0" w:line="99" w:lineRule="exact"/>
        <w:rPr>
          <w:sz w:val="20"/>
          <w:szCs w:val="20"/>
          <w:color w:val="auto"/>
        </w:rPr>
      </w:pPr>
    </w:p>
    <w:p>
      <w:pPr>
        <w:ind w:left="20" w:right="20" w:firstLine="509"/>
        <w:spacing w:after="0" w:line="258"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w:t>
      </w:r>
    </w:p>
    <w:p>
      <w:pPr>
        <w:spacing w:after="0" w:line="2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7"/>
          <w:szCs w:val="17"/>
          <w:b w:val="1"/>
          <w:bCs w:val="1"/>
          <w:color w:val="auto"/>
        </w:rPr>
        <w:t>Effect of Change of Control</w:t>
      </w:r>
    </w:p>
    <w:p>
      <w:pPr>
        <w:spacing w:after="0" w:line="270" w:lineRule="exact"/>
        <w:rPr>
          <w:sz w:val="20"/>
          <w:szCs w:val="20"/>
          <w:color w:val="auto"/>
        </w:rPr>
      </w:pPr>
    </w:p>
    <w:p>
      <w:pPr>
        <w:ind w:left="20" w:right="60" w:hanging="9"/>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8"/>
          <w:szCs w:val="18"/>
          <w:b w:val="1"/>
          <w:bCs w:val="1"/>
          <w:color w:val="auto"/>
        </w:rPr>
        <w:t>Court Sanction</w:t>
      </w:r>
    </w:p>
    <w:p>
      <w:pPr>
        <w:spacing w:after="0" w:line="256" w:lineRule="exact"/>
        <w:rPr>
          <w:sz w:val="20"/>
          <w:szCs w:val="20"/>
          <w:color w:val="auto"/>
        </w:rPr>
      </w:pPr>
    </w:p>
    <w:p>
      <w:pPr>
        <w:ind w:left="20" w:right="240" w:hanging="9"/>
        <w:spacing w:after="0" w:line="261"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w:t>
      </w:r>
    </w:p>
    <w:p>
      <w:pPr>
        <w:ind w:left="20"/>
        <w:spacing w:after="0"/>
        <w:rPr>
          <w:sz w:val="20"/>
          <w:szCs w:val="20"/>
          <w:color w:val="auto"/>
        </w:rPr>
      </w:pPr>
      <w:r>
        <w:rPr>
          <w:rFonts w:ascii="Times New Roman" w:cs="Times New Roman" w:eastAsia="Times New Roman" w:hAnsi="Times New Roman"/>
          <w:sz w:val="18"/>
          <w:szCs w:val="18"/>
          <w:color w:val="auto"/>
        </w:rPr>
        <w:t>8.6 below and unless the Board determines otherwise, Expire immediately after such sanction.</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7"/>
          <w:szCs w:val="17"/>
          <w:b w:val="1"/>
          <w:bCs w:val="1"/>
          <w:color w:val="auto"/>
        </w:rPr>
        <w:t>Replacement of Units</w:t>
      </w:r>
    </w:p>
    <w:p>
      <w:pPr>
        <w:spacing w:after="0" w:line="270" w:lineRule="exact"/>
        <w:rPr>
          <w:sz w:val="20"/>
          <w:szCs w:val="20"/>
          <w:color w:val="auto"/>
        </w:rPr>
      </w:pPr>
    </w:p>
    <w:p>
      <w:pPr>
        <w:ind w:left="780" w:right="320" w:hanging="368"/>
        <w:spacing w:after="0" w:line="266" w:lineRule="auto"/>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8"/>
          <w:szCs w:val="18"/>
          <w:b w:val="1"/>
          <w:bCs w:val="1"/>
          <w:color w:val="auto"/>
        </w:rPr>
        <w:t>New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60" w:right="480" w:hanging="34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787400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35" w:name="page36"/>
    <w:bookmarkEnd w:id="35"/>
    <w:p>
      <w:pPr>
        <w:spacing w:after="0" w:line="1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ARTICLE 9 OPTIONS</w:t>
      </w:r>
    </w:p>
    <w:p>
      <w:pPr>
        <w:sectPr>
          <w:pgSz w:w="11900" w:h="16838" w:orient="portrait"/>
          <w:cols w:equalWidth="0" w:num="1">
            <w:col w:w="10560"/>
          </w:cols>
          <w:pgMar w:left="560" w:top="1440" w:right="77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of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set forth herein and such other terms,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limitations permitted by and not inconsistent with this Plan as the Board may determine.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of an Option shall be evidenced by a Grant Agreement, signed on behalf of the Company. Among its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each Grant Agreement will set forth: (a) the number of Shares subject to such Option; and (b) the extent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 Participant will have the right to exercise the Option following the Option Termination Date. Such provisions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determined in the discretion of the Board and included in the Grant Agreement, and they need not be uniform among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issued pursuant to the Plan or to the same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153" w:lineRule="exact"/>
        <w:rPr>
          <w:sz w:val="20"/>
          <w:szCs w:val="20"/>
          <w:color w:val="auto"/>
        </w:rPr>
      </w:pPr>
    </w:p>
    <w:p>
      <w:pPr>
        <w:sectPr>
          <w:pgSz w:w="11900" w:h="16838" w:orient="portrait"/>
          <w:cols w:equalWidth="0" w:num="2">
            <w:col w:w="840" w:space="700"/>
            <w:col w:w="9020"/>
          </w:cols>
          <w:pgMar w:left="560" w:top="1440" w:right="7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pacing w:after="0" w:line="199" w:lineRule="exact"/>
        <w:rPr>
          <w:sz w:val="20"/>
          <w:szCs w:val="20"/>
          <w:color w:val="auto"/>
        </w:rPr>
      </w:pPr>
    </w:p>
    <w:p>
      <w:pPr>
        <w:sectPr>
          <w:pgSz w:w="11900" w:h="16838" w:orient="portrait"/>
          <w:cols w:equalWidth="0" w:num="2">
            <w:col w:w="820" w:space="720"/>
            <w:col w:w="9020"/>
          </w:cols>
          <w:pgMar w:left="560" w:top="1440" w:right="7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Section 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Option Price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exercise price per Share under each Option will be specified in the relevant Grant Agreement but shall not be less than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nominal value of a Share in the case of an Option to subscribe for Shares.</w:t>
      </w:r>
    </w:p>
    <w:p>
      <w:pPr>
        <w:spacing w:after="0" w:line="200" w:lineRule="exact"/>
        <w:rPr>
          <w:sz w:val="20"/>
          <w:szCs w:val="20"/>
          <w:color w:val="auto"/>
        </w:rPr>
      </w:pPr>
    </w:p>
    <w:p>
      <w:pPr>
        <w:sectPr>
          <w:pgSz w:w="11900" w:h="16838" w:orient="portrait"/>
          <w:cols w:equalWidth="0" w:num="2">
            <w:col w:w="840" w:space="700"/>
            <w:col w:w="9020"/>
          </w:cols>
          <w:pgMar w:left="560" w:top="1440" w:right="77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9.3</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 of the Option will be ten (10) years from the Date of Grant.</w:t>
      </w:r>
    </w:p>
    <w:p>
      <w:pPr>
        <w:spacing w:after="0" w:line="200" w:lineRule="exact"/>
        <w:rPr>
          <w:sz w:val="20"/>
          <w:szCs w:val="20"/>
          <w:color w:val="auto"/>
        </w:rPr>
      </w:pPr>
    </w:p>
    <w:p>
      <w:pPr>
        <w:sectPr>
          <w:pgSz w:w="11900" w:h="16838" w:orient="portrait"/>
          <w:cols w:equalWidth="0" w:num="2">
            <w:col w:w="840" w:space="700"/>
            <w:col w:w="9020"/>
          </w:cols>
          <w:pgMar w:left="560" w:top="1440" w:right="7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Section 9.5 and Article 11, the Board will determine the time or times at which an Option may be exercised,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or in part. Each Option may specify a required period of continuous employment, the Performance Criteria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requirements to be achieved before the Option or portion thereof will vest and/or become exercisable. Each Option,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which, or the timing of the exercise of which, is dependent, in whole or in part, on the achievement of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Criteria, may specify a minimum level of achievement in respect of the specified Performance Criteria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Option will not be exercisable and a method for determining the extent to which such Option will be exercisable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performance is at or above such minimum but short of full achievement of the Performance Criteria. All such particular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of the Option will be set forth in the Grant Agreement. An Option cannot be exercised after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Option.</w:t>
      </w:r>
    </w:p>
    <w:p>
      <w:pPr>
        <w:spacing w:after="0" w:line="200" w:lineRule="exact"/>
        <w:rPr>
          <w:sz w:val="20"/>
          <w:szCs w:val="20"/>
          <w:color w:val="auto"/>
        </w:rPr>
      </w:pPr>
    </w:p>
    <w:p>
      <w:pPr>
        <w:sectPr>
          <w:pgSz w:w="11900" w:h="16838" w:orient="portrait"/>
          <w:cols w:equalWidth="0" w:num="2">
            <w:col w:w="840" w:space="700"/>
            <w:col w:w="9020"/>
          </w:cols>
          <w:pgMar w:left="560" w:top="1440"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Lapse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Option shall immediately Expire and cease to be capable of vesting or exercise on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earliest to occur of:</w:t>
      </w:r>
    </w:p>
    <w:p>
      <w:pPr>
        <w:spacing w:after="0" w:line="23" w:lineRule="exact"/>
        <w:rPr>
          <w:sz w:val="20"/>
          <w:szCs w:val="20"/>
          <w:color w:val="auto"/>
        </w:rPr>
      </w:pPr>
    </w:p>
    <w:p>
      <w:pPr>
        <w:sectPr>
          <w:pgSz w:w="11900" w:h="16838" w:orient="portrait"/>
          <w:cols w:equalWidth="0" w:num="2">
            <w:col w:w="840" w:space="700"/>
            <w:col w:w="9020"/>
          </w:cols>
          <w:pgMar w:left="560" w:top="1440" w:right="779" w:bottom="1440" w:gutter="0" w:footer="0" w:header="0"/>
          <w:type w:val="continuous"/>
        </w:sectPr>
      </w:pPr>
    </w:p>
    <w:p>
      <w:pPr>
        <w:ind w:left="1620" w:hanging="594"/>
        <w:spacing w:after="0"/>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anniversary of the Date of Grant;</w:t>
      </w:r>
    </w:p>
    <w:p>
      <w:pPr>
        <w:spacing w:after="0" w:line="22" w:lineRule="exact"/>
        <w:rPr>
          <w:rFonts w:ascii="Times New Roman" w:cs="Times New Roman" w:eastAsia="Times New Roman" w:hAnsi="Times New Roman"/>
          <w:sz w:val="18"/>
          <w:szCs w:val="18"/>
          <w:color w:val="auto"/>
        </w:rPr>
      </w:pPr>
    </w:p>
    <w:p>
      <w:pPr>
        <w:ind w:left="1620" w:hanging="594"/>
        <w:spacing w:after="0"/>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date specified for the Options to Expire in the Grant Agreement;</w:t>
      </w:r>
    </w:p>
    <w:p>
      <w:pPr>
        <w:spacing w:after="0" w:line="22" w:lineRule="exact"/>
        <w:rPr>
          <w:rFonts w:ascii="Times New Roman" w:cs="Times New Roman" w:eastAsia="Times New Roman" w:hAnsi="Times New Roman"/>
          <w:sz w:val="18"/>
          <w:szCs w:val="18"/>
          <w:color w:val="auto"/>
        </w:rPr>
      </w:pPr>
    </w:p>
    <w:p>
      <w:pPr>
        <w:ind w:left="1820" w:hanging="794"/>
        <w:spacing w:after="0"/>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p>
      <w:pPr>
        <w:spacing w:after="0" w:line="22" w:lineRule="exact"/>
        <w:rPr>
          <w:rFonts w:ascii="Times New Roman" w:cs="Times New Roman" w:eastAsia="Times New Roman" w:hAnsi="Times New Roman"/>
          <w:sz w:val="18"/>
          <w:szCs w:val="18"/>
          <w:color w:val="auto"/>
        </w:rPr>
      </w:pPr>
    </w:p>
    <w:p>
      <w:pPr>
        <w:ind w:left="1620" w:hanging="594"/>
        <w:spacing w:after="0"/>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any of the periods referred to in Article 11;</w:t>
      </w:r>
    </w:p>
    <w:p>
      <w:pPr>
        <w:spacing w:after="0" w:line="9" w:lineRule="exact"/>
        <w:rPr>
          <w:rFonts w:ascii="Times New Roman" w:cs="Times New Roman" w:eastAsia="Times New Roman" w:hAnsi="Times New Roman"/>
          <w:sz w:val="18"/>
          <w:szCs w:val="18"/>
          <w:color w:val="auto"/>
        </w:rPr>
      </w:pPr>
    </w:p>
    <w:p>
      <w:pPr>
        <w:ind w:left="1620" w:right="340" w:hanging="594"/>
        <w:spacing w:after="0" w:line="276"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purported to be transferred or assigned (other than by reason of death in accordance with Section 2.8(b)), mortgaged, charged or otherwise disposed of by the Option Participant;</w:t>
      </w:r>
    </w:p>
    <w:p>
      <w:pPr>
        <w:spacing w:after="0" w:line="18" w:lineRule="exact"/>
        <w:rPr>
          <w:rFonts w:ascii="Times New Roman" w:cs="Times New Roman" w:eastAsia="Times New Roman" w:hAnsi="Times New Roman"/>
          <w:sz w:val="18"/>
          <w:szCs w:val="18"/>
          <w:color w:val="auto"/>
        </w:rPr>
      </w:pPr>
    </w:p>
    <w:p>
      <w:pPr>
        <w:ind w:left="1600" w:right="80" w:hanging="574"/>
        <w:spacing w:after="0" w:line="261" w:lineRule="auto"/>
        <w:tabs>
          <w:tab w:leader="none" w:pos="16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any petition to any court of competent jurisdiction by which an order is sought for the bankruptcy of the Option Participant (or any analogous proceeding in any jurisdiction);</w:t>
      </w:r>
    </w:p>
    <w:p>
      <w:pPr>
        <w:ind w:left="1600" w:right="120" w:hanging="574"/>
        <w:spacing w:after="0" w:line="276" w:lineRule="auto"/>
        <w:tabs>
          <w:tab w:leader="none" w:pos="16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making an application for an interim order or any proposal for a voluntary arrangement within Part VIII of the Insolvency Act 1986 (or any analogous proceeding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790575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60" w:top="1440" w:right="779" w:bottom="1440" w:gutter="0" w:footer="0" w:header="0"/>
          <w:type w:val="continuous"/>
        </w:sectPr>
      </w:pPr>
    </w:p>
    <w:bookmarkStart w:id="36" w:name="page37"/>
    <w:bookmarkEnd w:id="36"/>
    <w:p>
      <w:pPr>
        <w:ind w:left="720" w:right="480" w:hanging="574"/>
        <w:spacing w:after="0" w:line="261"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proposing any form of compromise with his creditors or any class of creditors (or any analogous proceeding in any jurisdiction); and</w:t>
      </w:r>
    </w:p>
    <w:p>
      <w:pPr>
        <w:ind w:left="720" w:hanging="574"/>
        <w:spacing w:after="0" w:line="276"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 Participant is deprived (otherwise than on death) of the legal or beneficial ownership of the Option by operation of law or by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790575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0"/>
          </w:cols>
          <w:pgMar w:left="1440" w:top="1363" w:right="1059" w:bottom="1440" w:gutter="0" w:footer="0" w:header="0"/>
        </w:sectPr>
      </w:pPr>
    </w:p>
    <w:bookmarkStart w:id="37" w:name="page38"/>
    <w:bookmarkEnd w:id="37"/>
    <w:p>
      <w:pPr>
        <w:ind w:left="2060"/>
        <w:spacing w:after="0"/>
        <w:rPr>
          <w:sz w:val="20"/>
          <w:szCs w:val="20"/>
          <w:color w:val="auto"/>
        </w:rPr>
      </w:pPr>
      <w:r>
        <w:rPr>
          <w:rFonts w:ascii="Times New Roman" w:cs="Times New Roman" w:eastAsia="Times New Roman" w:hAnsi="Times New Roman"/>
          <w:sz w:val="18"/>
          <w:szCs w:val="18"/>
          <w:color w:val="auto"/>
        </w:rPr>
        <w:t>Participant doing or omitting to do anything which causes him to be so deprived.</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p>
      <w:pPr>
        <w:spacing w:after="0" w:line="25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Exercise of Option</w:t>
      </w:r>
    </w:p>
    <w:p>
      <w:pPr>
        <w:spacing w:after="0" w:line="31" w:lineRule="exact"/>
        <w:rPr>
          <w:sz w:val="20"/>
          <w:szCs w:val="20"/>
          <w:color w:val="auto"/>
        </w:rPr>
      </w:pPr>
    </w:p>
    <w:p>
      <w:pPr>
        <w:ind w:left="1420" w:right="400" w:hanging="1263"/>
        <w:spacing w:after="0" w:line="258" w:lineRule="auto"/>
        <w:tabs>
          <w:tab w:leader="none" w:pos="1420"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11 below and subject to the terms of the Grant Agreement, an Option may only be exercised to the extent it has vested in accordance with the terms of the Grant Agreement.</w:t>
      </w:r>
    </w:p>
    <w:p>
      <w:pPr>
        <w:ind w:left="1380" w:hanging="1223"/>
        <w:spacing w:after="0"/>
        <w:tabs>
          <w:tab w:leader="none" w:pos="1380"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spacing w:after="0" w:line="9" w:lineRule="exact"/>
        <w:rPr>
          <w:rFonts w:ascii="Times New Roman" w:cs="Times New Roman" w:eastAsia="Times New Roman" w:hAnsi="Times New Roman"/>
          <w:sz w:val="18"/>
          <w:szCs w:val="18"/>
          <w:b w:val="1"/>
          <w:bCs w:val="1"/>
          <w:color w:val="auto"/>
        </w:rPr>
      </w:pPr>
    </w:p>
    <w:p>
      <w:pPr>
        <w:ind w:left="900" w:hanging="757"/>
        <w:spacing w:after="0"/>
        <w:tabs>
          <w:tab w:leader="none" w:pos="9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Grant Agreement covering at least all of the Shares over which the Option is then to be exercised;</w:t>
      </w:r>
    </w:p>
    <w:p>
      <w:pPr>
        <w:spacing w:after="0" w:line="22" w:lineRule="exact"/>
        <w:rPr>
          <w:rFonts w:ascii="Times New Roman" w:cs="Times New Roman" w:eastAsia="Times New Roman" w:hAnsi="Times New Roman"/>
          <w:sz w:val="18"/>
          <w:szCs w:val="18"/>
          <w:b w:val="1"/>
          <w:bCs w:val="1"/>
          <w:color w:val="auto"/>
        </w:rPr>
      </w:pPr>
    </w:p>
    <w:p>
      <w:pPr>
        <w:ind w:left="900" w:hanging="757"/>
        <w:spacing w:after="0"/>
        <w:tabs>
          <w:tab w:leader="none" w:pos="9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Notice of Exercise in the prescribed form duly completed and signed by the</w:t>
      </w:r>
    </w:p>
    <w:p>
      <w:pPr>
        <w:spacing w:after="0" w:line="9" w:lineRule="exact"/>
        <w:rPr>
          <w:sz w:val="20"/>
          <w:szCs w:val="20"/>
          <w:color w:val="auto"/>
        </w:rPr>
      </w:pPr>
    </w:p>
    <w:p>
      <w:pPr>
        <w:ind w:left="2220" w:right="460"/>
        <w:spacing w:after="0" w:line="255" w:lineRule="auto"/>
        <w:rPr>
          <w:sz w:val="20"/>
          <w:szCs w:val="20"/>
          <w:color w:val="auto"/>
        </w:rPr>
      </w:pPr>
      <w:r>
        <w:rPr>
          <w:rFonts w:ascii="Times New Roman" w:cs="Times New Roman" w:eastAsia="Times New Roman" w:hAnsi="Times New Roman"/>
          <w:sz w:val="18"/>
          <w:szCs w:val="18"/>
          <w:color w:val="auto"/>
        </w:rPr>
        <w:t>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spacing w:after="0" w:line="2" w:lineRule="exact"/>
        <w:rPr>
          <w:sz w:val="20"/>
          <w:szCs w:val="20"/>
          <w:color w:val="auto"/>
        </w:rPr>
      </w:pPr>
    </w:p>
    <w:p>
      <w:pPr>
        <w:ind w:left="1740" w:right="2780" w:hanging="1599"/>
        <w:spacing w:after="0" w:line="258" w:lineRule="auto"/>
        <w:tabs>
          <w:tab w:leader="none" w:pos="17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jc w:val="both"/>
        <w:ind w:left="880" w:hanging="737"/>
        <w:spacing w:after="0" w:line="250" w:lineRule="auto"/>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1" w:lineRule="exact"/>
        <w:rPr>
          <w:rFonts w:ascii="Times New Roman" w:cs="Times New Roman" w:eastAsia="Times New Roman" w:hAnsi="Times New Roman"/>
          <w:sz w:val="18"/>
          <w:szCs w:val="18"/>
          <w:b w:val="1"/>
          <w:bCs w:val="1"/>
          <w:color w:val="auto"/>
        </w:rPr>
      </w:pPr>
    </w:p>
    <w:p>
      <w:pPr>
        <w:ind w:left="860" w:right="240" w:hanging="717"/>
        <w:spacing w:after="0" w:line="250" w:lineRule="auto"/>
        <w:tabs>
          <w:tab w:leader="none" w:pos="8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spacing w:after="0" w:line="1" w:lineRule="exact"/>
        <w:rPr>
          <w:sz w:val="20"/>
          <w:szCs w:val="20"/>
          <w:color w:val="auto"/>
        </w:rPr>
      </w:pPr>
    </w:p>
    <w:p>
      <w:pPr>
        <w:ind w:left="1420" w:right="700" w:hanging="1263"/>
        <w:spacing w:after="0" w:line="258" w:lineRule="auto"/>
        <w:tabs>
          <w:tab w:leader="none" w:pos="142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ind w:left="900" w:hanging="757"/>
        <w:spacing w:after="0"/>
        <w:tabs>
          <w:tab w:leader="none" w:pos="9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settlement of Options for their Option Cash Equivalent, a cheque to the</w:t>
      </w:r>
    </w:p>
    <w:p>
      <w:pPr>
        <w:spacing w:after="0" w:line="9" w:lineRule="exact"/>
        <w:rPr>
          <w:sz w:val="20"/>
          <w:szCs w:val="20"/>
          <w:color w:val="auto"/>
        </w:rPr>
      </w:pPr>
    </w:p>
    <w:p>
      <w:pPr>
        <w:ind w:left="2220" w:right="260" w:hanging="9"/>
        <w:spacing w:after="0" w:line="258" w:lineRule="auto"/>
        <w:rPr>
          <w:sz w:val="20"/>
          <w:szCs w:val="20"/>
          <w:color w:val="auto"/>
        </w:rPr>
      </w:pPr>
      <w:r>
        <w:rPr>
          <w:rFonts w:ascii="Times New Roman" w:cs="Times New Roman" w:eastAsia="Times New Roman" w:hAnsi="Times New Roman"/>
          <w:sz w:val="18"/>
          <w:szCs w:val="18"/>
          <w:color w:val="auto"/>
        </w:rPr>
        <w:t>Option Participant (or such other person as is referred to in Section 2.8) or wire or bank transfer of cash representing the Option Cash Equivalent;</w:t>
      </w:r>
    </w:p>
    <w:p>
      <w:pPr>
        <w:ind w:left="860" w:right="280" w:hanging="717"/>
        <w:spacing w:after="0" w:line="250" w:lineRule="auto"/>
        <w:tabs>
          <w:tab w:leader="none" w:pos="8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ind w:left="860" w:hanging="717"/>
        <w:spacing w:after="0"/>
        <w:tabs>
          <w:tab w:leader="none" w:pos="8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spacing w:after="0" w:line="22" w:lineRule="exact"/>
        <w:rPr>
          <w:rFonts w:ascii="Times New Roman" w:cs="Times New Roman" w:eastAsia="Times New Roman" w:hAnsi="Times New Roman"/>
          <w:sz w:val="18"/>
          <w:szCs w:val="18"/>
          <w:b w:val="1"/>
          <w:bCs w:val="1"/>
          <w:color w:val="auto"/>
        </w:rPr>
      </w:pPr>
    </w:p>
    <w:p>
      <w:pPr>
        <w:ind w:left="1440" w:hanging="1283"/>
        <w:spacing w:after="0" w:line="253" w:lineRule="auto"/>
        <w:tabs>
          <w:tab w:leader="none" w:pos="1440"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200" w:lineRule="exact"/>
        <w:rPr>
          <w:sz w:val="20"/>
          <w:szCs w:val="20"/>
          <w:color w:val="auto"/>
        </w:rPr>
      </w:pPr>
    </w:p>
    <w:p>
      <w:pPr>
        <w:spacing w:after="0" w:line="241" w:lineRule="exact"/>
        <w:rPr>
          <w:sz w:val="20"/>
          <w:szCs w:val="20"/>
          <w:color w:val="auto"/>
        </w:rPr>
      </w:pPr>
    </w:p>
    <w:p>
      <w:pPr>
        <w:ind w:left="1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Option Cash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967105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377" w:right="599" w:bottom="1440" w:gutter="0" w:footer="0" w:header="0"/>
        </w:sectPr>
      </w:pPr>
    </w:p>
    <w:bookmarkStart w:id="38" w:name="page39"/>
    <w:bookmarkEnd w:id="3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10.1(3)(a) or Section</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10.1(3)(c), such calculation will be made on the effective date of exercise based on the Market Value on the effective date of</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multiplied by the number of Shares in respect of which the Option is being exercised and in respect of which the</w:t>
            </w:r>
          </w:p>
        </w:tc>
      </w:tr>
      <w:tr>
        <w:trPr>
          <w:trHeight w:val="234"/>
        </w:trPr>
        <w:tc>
          <w:tcPr>
            <w:tcW w:w="14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 Participant desires to settle in cash pursuant to the Notice of Exercise.</w:t>
            </w:r>
          </w:p>
        </w:tc>
      </w:tr>
      <w:tr>
        <w:trPr>
          <w:trHeight w:val="626"/>
        </w:trPr>
        <w:tc>
          <w:tcPr>
            <w:tcW w:w="1480" w:type="dxa"/>
            <w:vAlign w:val="bottom"/>
          </w:tcPr>
          <w:p>
            <w:pPr>
              <w:spacing w:after="0"/>
              <w:rPr>
                <w:sz w:val="24"/>
                <w:szCs w:val="24"/>
                <w:color w:val="auto"/>
              </w:rPr>
            </w:pPr>
          </w:p>
        </w:tc>
        <w:tc>
          <w:tcPr>
            <w:tcW w:w="97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ARTICLE 11</w:t>
            </w:r>
          </w:p>
        </w:tc>
      </w:tr>
      <w:tr>
        <w:trPr>
          <w:trHeight w:val="238"/>
        </w:trPr>
        <w:tc>
          <w:tcPr>
            <w:tcW w:w="1480" w:type="dxa"/>
            <w:vAlign w:val="bottom"/>
          </w:tcPr>
          <w:p>
            <w:pPr>
              <w:spacing w:after="0"/>
              <w:rPr>
                <w:sz w:val="20"/>
                <w:szCs w:val="20"/>
                <w:color w:val="auto"/>
              </w:rPr>
            </w:pPr>
          </w:p>
        </w:tc>
        <w:tc>
          <w:tcPr>
            <w:tcW w:w="976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tc>
      </w:tr>
      <w:tr>
        <w:trPr>
          <w:trHeight w:val="360"/>
        </w:trPr>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11.1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 to Participants</w:t>
            </w:r>
          </w:p>
        </w:tc>
      </w:tr>
      <w:tr>
        <w:trPr>
          <w:trHeight w:val="216"/>
        </w:trPr>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(including one which may fall within Section 11.2 or Section 11.3 before), the Options shall be treated in the manner</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prescribed by the definitive agreement (if any) for such Change of Control. If there is no agreement for such a Change of</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or there is no provisions prescribing the treatment of Options therein, the Company may (only if and to the extent not</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prohibited by applicable laws, regulations or the rules of any Stock Exchange upon which the Shares are listed), but shall not</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 obliged to, give written notice of the proposed Change of Control to Participants, together with a description of the effect of</w:t>
            </w:r>
          </w:p>
        </w:tc>
      </w:tr>
      <w:tr>
        <w:trPr>
          <w:trHeight w:val="212"/>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such Change of Control on outstanding Options, not less than seven (7) days prior to the closing of the transaction resulting in</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Change of Control (the "</w:t>
            </w:r>
            <w:r>
              <w:rPr>
                <w:rFonts w:ascii="Times New Roman" w:cs="Times New Roman" w:eastAsia="Times New Roman" w:hAnsi="Times New Roman"/>
                <w:sz w:val="18"/>
                <w:szCs w:val="18"/>
                <w:b w:val="1"/>
                <w:bCs w:val="1"/>
                <w:color w:val="auto"/>
              </w:rPr>
              <w:t>Change of Control</w:t>
            </w:r>
          </w:p>
        </w:tc>
      </w:tr>
      <w:tr>
        <w:trPr>
          <w:trHeight w:val="238"/>
        </w:trPr>
        <w:tc>
          <w:tcPr>
            <w:tcW w:w="14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tc>
      </w:tr>
      <w:tr>
        <w:trPr>
          <w:trHeight w:val="711"/>
        </w:trPr>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his Option to the extent specified in Section 11.4 by delivering his Notice of Exercise and the aggregate Option Price</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the procedure in Section 10.1(2) or such other procedure as may be specified by the Board in the Change of Control</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at any time in the period commencing on the Option Participant's receipt of the Notification and ending immediately</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such Change of Control. Any Notice of Exercise delivered in accordance with this Section 11.1(2) prior to such</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of Control shall take effect immediately before Change of Control takes effect. The Option shall, to the extent</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unexercised, lapse immediately following the Change of Control unless the Acquiror has informed the Board that it intends to</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offer to grant Option Participants new options in accordance with Section 11.5, in which case the Option shall cease to be</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exercisable following the Change of Control under this Plan, but may still be released under Section 11.5 within the period of</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six months following the Change of Control and on the expiry of the said six month</w:t>
            </w:r>
          </w:p>
        </w:tc>
      </w:tr>
      <w:tr>
        <w:trPr>
          <w:trHeight w:val="234"/>
        </w:trPr>
        <w:tc>
          <w:tcPr>
            <w:tcW w:w="14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period the Option shall lapse.</w:t>
            </w:r>
          </w:p>
        </w:tc>
      </w:tr>
      <w:tr>
        <w:trPr>
          <w:trHeight w:val="940"/>
        </w:trPr>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of Control and/or there is no provisions prescribing the treatment of Options therein then subject to Section 11.2 and</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11.5 below, the Option may be exercised within six months of a Change of Control to the extent specified in Section 11.4,</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on the expiry of the said six month period the Option shall, to the extent unexercised, Expire and cease to be capable of</w:t>
            </w:r>
          </w:p>
        </w:tc>
      </w:tr>
      <w:tr>
        <w:trPr>
          <w:trHeight w:val="234"/>
        </w:trPr>
        <w:tc>
          <w:tcPr>
            <w:tcW w:w="14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w:t>
            </w:r>
          </w:p>
        </w:tc>
      </w:tr>
      <w:tr>
        <w:trPr>
          <w:trHeight w:val="657"/>
        </w:trPr>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11.2</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Court Sanction</w:t>
            </w:r>
          </w:p>
        </w:tc>
      </w:tr>
      <w:tr>
        <w:trPr>
          <w:trHeight w:val="212"/>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w:t>
            </w:r>
          </w:p>
        </w:tc>
      </w:tr>
      <w:tr>
        <w:trPr>
          <w:trHeight w:val="220"/>
        </w:trPr>
        <w:tc>
          <w:tcPr>
            <w:tcW w:w="1480" w:type="dxa"/>
            <w:vAlign w:val="bottom"/>
          </w:tcPr>
          <w:p>
            <w:pPr>
              <w:spacing w:after="0"/>
              <w:rPr>
                <w:sz w:val="19"/>
                <w:szCs w:val="19"/>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then subject to Section 11.1(1) above and 11.5 below, the Option</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be exercised to the extent specified in Section 11.4 within six months of the date on which such Compromise is so</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sanctioned, and on the expiry of the said six month period the Option shall, to the extent unexercised, Expire and cease to be</w:t>
            </w:r>
          </w:p>
        </w:tc>
      </w:tr>
      <w:tr>
        <w:trPr>
          <w:trHeight w:val="234"/>
        </w:trPr>
        <w:tc>
          <w:tcPr>
            <w:tcW w:w="14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capable of exercise.</w:t>
            </w:r>
          </w:p>
        </w:tc>
      </w:tr>
      <w:tr>
        <w:trPr>
          <w:trHeight w:val="697"/>
        </w:trPr>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11.3</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Squeeze-out</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 then subject to</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11.1(1) above and Section 11.5 below, an Option may be exercised to the extent set out in Section 11.4 at any time</w:t>
            </w:r>
          </w:p>
        </w:tc>
      </w:tr>
      <w:tr>
        <w:trPr>
          <w:trHeight w:val="216"/>
        </w:trPr>
        <w:tc>
          <w:tcPr>
            <w:tcW w:w="148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when that person remains so</w:t>
            </w:r>
          </w:p>
        </w:tc>
      </w:tr>
      <w:tr>
        <w:trPr>
          <w:trHeight w:val="234"/>
        </w:trPr>
        <w:tc>
          <w:tcPr>
            <w:tcW w:w="148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bound or entitled and to the extent not so exercised shall lapse at the expiry of such period.</w:t>
            </w:r>
          </w:p>
        </w:tc>
      </w:tr>
      <w:tr>
        <w:trPr>
          <w:trHeight w:val="1519"/>
        </w:trPr>
        <w:tc>
          <w:tcPr>
            <w:tcW w:w="14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 w:lineRule="exact"/>
        <w:rPr>
          <w:sz w:val="20"/>
          <w:szCs w:val="20"/>
          <w:color w:val="auto"/>
        </w:rPr>
      </w:pPr>
    </w:p>
    <w:p>
      <w:pPr>
        <w:ind w:left="1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11.4</w:t>
      </w:r>
      <w:r>
        <w:rPr>
          <w:sz w:val="20"/>
          <w:szCs w:val="20"/>
          <w:color w:val="auto"/>
        </w:rPr>
        <w:tab/>
      </w:r>
      <w:r>
        <w:rPr>
          <w:rFonts w:ascii="Times New Roman" w:cs="Times New Roman" w:eastAsia="Times New Roman" w:hAnsi="Times New Roman"/>
          <w:sz w:val="17"/>
          <w:szCs w:val="17"/>
          <w:b w:val="1"/>
          <w:bCs w:val="1"/>
          <w:color w:val="auto"/>
        </w:rPr>
        <w:t>Extent of exercise</w:t>
      </w:r>
    </w:p>
    <w:p>
      <w:pPr>
        <w:spacing w:after="0" w:line="40" w:lineRule="exact"/>
        <w:rPr>
          <w:sz w:val="20"/>
          <w:szCs w:val="20"/>
          <w:color w:val="auto"/>
        </w:rPr>
      </w:pPr>
    </w:p>
    <w:p>
      <w:pPr>
        <w:ind w:left="1460" w:right="60" w:firstLine="7"/>
        <w:spacing w:after="0" w:line="253" w:lineRule="auto"/>
        <w:rPr>
          <w:sz w:val="20"/>
          <w:szCs w:val="20"/>
          <w:color w:val="auto"/>
        </w:rPr>
      </w:pPr>
      <w:r>
        <w:rPr>
          <w:rFonts w:ascii="Times New Roman" w:cs="Times New Roman" w:eastAsia="Times New Roman" w:hAnsi="Times New Roman"/>
          <w:sz w:val="18"/>
          <w:szCs w:val="18"/>
          <w:color w:val="auto"/>
        </w:rPr>
        <w:t>Subject to the terms of the relevant Grant Agreement, an Option may be exercised under this Article 11 to the extent it has vested pursuant to the Grant Agreement as at the date of: (i) the Change of Control if Section 11.1(2) or (3) applies (and for the avoidance of doubt, where Section 11.1(2) applies, the Option may be exercised to the extent it would have been vested on the Change of Control if not exercised immediately prior); (ii) the date on which a Compromise is sanctioned if Section 11.2 applies; or (iii) the date on which a person becomes bound or entitled to acquire shares if Section 11.3 applied. Notwithstanding the foregoing, the Board may, in its sole discretion, accelerate the vesting of any or all outstanding Options, including conditionally, to provide that, notwithstanding the vesting provisions of such Options or any Grant Agreement, such designated outstanding Options shall be vested upon (or prior to) the completion of the Change of Control (or, if relevant, prior to the sanctioning of a Compromise as contemplated by Section 11.2 or a person becoming bound or entitled to acquire shares as contemplated by Section 11.3). If, for any reason, the Change of Control or relevant event does not occur, the acceleration of the vesting of the Options shall be retracted and vesting shall instead revert to the manner provided in the Grant Agreement.</w:t>
      </w:r>
    </w:p>
    <w:p>
      <w:pPr>
        <w:spacing w:after="0" w:line="1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Section 11.5</w:t>
        <w:tab/>
        <w:t>Replacement Options</w:t>
      </w:r>
    </w:p>
    <w:p>
      <w:pPr>
        <w:spacing w:after="0" w:line="31" w:lineRule="exact"/>
        <w:rPr>
          <w:sz w:val="20"/>
          <w:szCs w:val="20"/>
          <w:color w:val="auto"/>
        </w:rPr>
      </w:pPr>
    </w:p>
    <w:p>
      <w:pPr>
        <w:ind w:left="1440" w:hanging="1283"/>
        <w:spacing w:after="0" w:line="254" w:lineRule="auto"/>
        <w:tabs>
          <w:tab w:leader="none" w:pos="14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the Board has the right to provide for the conversion, replacement, or exchange of any outstanding Options into or for options, rights or other securities in any entity participating in or resulting from a Change of Control, provided that the value of previously granted Options and the rights of Participants are not materially adversely affected by any such changes.</w:t>
      </w:r>
    </w:p>
    <w:p>
      <w:pPr>
        <w:spacing w:after="0" w:line="1" w:lineRule="exact"/>
        <w:rPr>
          <w:rFonts w:ascii="Times New Roman" w:cs="Times New Roman" w:eastAsia="Times New Roman" w:hAnsi="Times New Roman"/>
          <w:sz w:val="18"/>
          <w:szCs w:val="18"/>
          <w:color w:val="auto"/>
        </w:rPr>
      </w:pPr>
    </w:p>
    <w:p>
      <w:pPr>
        <w:ind w:left="1420" w:right="220" w:hanging="1263"/>
        <w:spacing w:after="0" w:line="255" w:lineRule="auto"/>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420" w:right="180" w:hanging="1263"/>
        <w:spacing w:after="0" w:line="250" w:lineRule="auto"/>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ind w:left="1480" w:hanging="1323"/>
        <w:spacing w:after="0"/>
        <w:tabs>
          <w:tab w:leader="none" w:pos="14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9" w:lineRule="exact"/>
        <w:rPr>
          <w:rFonts w:ascii="Times New Roman" w:cs="Times New Roman" w:eastAsia="Times New Roman" w:hAnsi="Times New Roman"/>
          <w:sz w:val="18"/>
          <w:szCs w:val="18"/>
          <w:color w:val="auto"/>
        </w:rPr>
      </w:pPr>
    </w:p>
    <w:p>
      <w:pPr>
        <w:ind w:left="2600" w:right="760" w:hanging="705"/>
        <w:spacing w:after="0" w:line="258" w:lineRule="auto"/>
        <w:tabs>
          <w:tab w:leader="none" w:pos="2600"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ind w:left="2620" w:right="160" w:hanging="725"/>
        <w:spacing w:after="0" w:line="250" w:lineRule="auto"/>
        <w:tabs>
          <w:tab w:leader="none" w:pos="2620"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w:t>
      </w:r>
    </w:p>
    <w:p>
      <w:pPr>
        <w:ind w:left="2580" w:right="960" w:hanging="685"/>
        <w:spacing w:after="0" w:line="260" w:lineRule="auto"/>
        <w:tabs>
          <w:tab w:leader="none" w:pos="2580"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PLC LONG TERM INCENTIVE PLAN</w:t>
      </w:r>
    </w:p>
    <w:p>
      <w:pPr>
        <w:spacing w:after="0" w:line="243" w:lineRule="exact"/>
        <w:rPr>
          <w:sz w:val="20"/>
          <w:szCs w:val="20"/>
          <w:color w:val="auto"/>
        </w:rPr>
      </w:pPr>
    </w:p>
    <w:p>
      <w:pPr>
        <w:ind w:left="40" w:right="60" w:hanging="9"/>
        <w:spacing w:after="0" w:line="262" w:lineRule="auto"/>
        <w:rPr>
          <w:sz w:val="20"/>
          <w:szCs w:val="20"/>
          <w:color w:val="auto"/>
        </w:rPr>
      </w:pPr>
      <w:r>
        <w:rPr>
          <w:rFonts w:ascii="Times New Roman" w:cs="Times New Roman" w:eastAsia="Times New Roman" w:hAnsi="Times New Roman"/>
          <w:sz w:val="18"/>
          <w:szCs w:val="18"/>
          <w:color w:val="auto"/>
        </w:rPr>
        <w:t>This Annex 1 to the Rezolve AI Plc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248" w:lineRule="exact"/>
        <w:rPr>
          <w:sz w:val="20"/>
          <w:szCs w:val="20"/>
          <w:color w:val="auto"/>
        </w:rPr>
      </w:pPr>
    </w:p>
    <w:p>
      <w:pPr>
        <w:ind w:left="620" w:hanging="208"/>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1 - PURPOSE AND INTERPRETATION</w:t>
      </w:r>
    </w:p>
    <w:p>
      <w:pPr>
        <w:spacing w:after="0" w:line="256" w:lineRule="exact"/>
        <w:rPr>
          <w:sz w:val="20"/>
          <w:szCs w:val="20"/>
          <w:color w:val="auto"/>
        </w:rPr>
      </w:pPr>
    </w:p>
    <w:p>
      <w:pPr>
        <w:ind w:left="720" w:right="1200" w:hanging="691"/>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All references to Plan throughout the Non-Employee Plan shall, save where the context requires otherwise, refer to the Non-Employee Plan.</w:t>
      </w:r>
    </w:p>
    <w:p>
      <w:pPr>
        <w:spacing w:after="0" w:line="189"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first paragraph of the Plan, the word "employees" shall be deleted and replaced with the words "directors, officers,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827405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40" w:name="page41"/>
    <w:bookmarkEnd w:id="40"/>
    <w:p>
      <w:pPr>
        <w:spacing w:after="0" w:line="23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262" w:lineRule="exact"/>
        <w:rPr>
          <w:sz w:val="20"/>
          <w:szCs w:val="20"/>
          <w:color w:val="auto"/>
        </w:rPr>
      </w:pPr>
    </w:p>
    <w:p>
      <w:pPr>
        <w:ind w:left="760" w:right="120" w:hanging="72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18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Date</w:t>
      </w:r>
      <w:r>
        <w:rPr>
          <w:rFonts w:ascii="Times New Roman" w:cs="Times New Roman" w:eastAsia="Times New Roman" w:hAnsi="Times New Roman"/>
          <w:sz w:val="18"/>
          <w:szCs w:val="18"/>
          <w:color w:val="auto"/>
        </w:rPr>
        <w:t>" means the date(s) during the Fiscal Year on which the Annual Board Retainer is awarded.</w:t>
      </w:r>
    </w:p>
    <w:p>
      <w:pPr>
        <w:spacing w:after="0" w:line="252" w:lineRule="exact"/>
        <w:rPr>
          <w:sz w:val="20"/>
          <w:szCs w:val="20"/>
          <w:color w:val="auto"/>
        </w:rPr>
      </w:pPr>
    </w:p>
    <w:p>
      <w:pPr>
        <w:ind w:left="740" w:right="140" w:hanging="725"/>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18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 the Non-Employee plan, the following definitions shall be amended as follows:</w:t>
      </w:r>
    </w:p>
    <w:p>
      <w:pPr>
        <w:spacing w:after="0" w:line="200" w:lineRule="exact"/>
        <w:rPr>
          <w:sz w:val="20"/>
          <w:szCs w:val="20"/>
          <w:color w:val="auto"/>
        </w:rPr>
      </w:pPr>
    </w:p>
    <w:p>
      <w:pPr>
        <w:spacing w:after="0" w:line="278" w:lineRule="exact"/>
        <w:rPr>
          <w:sz w:val="20"/>
          <w:szCs w:val="20"/>
          <w:color w:val="auto"/>
        </w:rPr>
      </w:pPr>
    </w:p>
    <w:p>
      <w:pPr>
        <w:ind w:left="740" w:right="160" w:hanging="723"/>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an employee".</w:t>
      </w:r>
    </w:p>
    <w:p>
      <w:pPr>
        <w:spacing w:after="0" w:line="182" w:lineRule="exact"/>
        <w:rPr>
          <w:sz w:val="20"/>
          <w:szCs w:val="20"/>
          <w:color w:val="auto"/>
        </w:rPr>
      </w:pPr>
    </w:p>
    <w:p>
      <w:pPr>
        <w:ind w:left="760" w:right="240" w:hanging="72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182" w:lineRule="exact"/>
        <w:rPr>
          <w:sz w:val="20"/>
          <w:szCs w:val="20"/>
          <w:color w:val="auto"/>
        </w:rPr>
      </w:pPr>
    </w:p>
    <w:p>
      <w:pPr>
        <w:ind w:left="720" w:right="1140" w:hanging="703"/>
        <w:spacing w:after="0" w:line="286" w:lineRule="auto"/>
        <w:tabs>
          <w:tab w:leader="none" w:pos="70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or Consultant".</w:t>
      </w:r>
    </w:p>
    <w:p>
      <w:pPr>
        <w:spacing w:after="0" w:line="200" w:lineRule="exact"/>
        <w:rPr>
          <w:sz w:val="20"/>
          <w:szCs w:val="20"/>
          <w:color w:val="auto"/>
        </w:rPr>
      </w:pPr>
    </w:p>
    <w:p>
      <w:pPr>
        <w:spacing w:after="0" w:line="211" w:lineRule="exact"/>
        <w:rPr>
          <w:sz w:val="20"/>
          <w:szCs w:val="20"/>
          <w:color w:val="auto"/>
        </w:rPr>
      </w:pPr>
    </w:p>
    <w:p>
      <w:pPr>
        <w:ind w:left="740" w:right="980" w:hanging="725"/>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200" w:lineRule="exact"/>
        <w:rPr>
          <w:sz w:val="20"/>
          <w:szCs w:val="20"/>
          <w:color w:val="auto"/>
        </w:rPr>
      </w:pPr>
    </w:p>
    <w:p>
      <w:pPr>
        <w:spacing w:after="0" w:line="225" w:lineRule="exact"/>
        <w:rPr>
          <w:sz w:val="20"/>
          <w:szCs w:val="20"/>
          <w:color w:val="auto"/>
        </w:rPr>
      </w:pPr>
    </w:p>
    <w:p>
      <w:pPr>
        <w:ind w:left="740" w:right="740" w:hanging="724"/>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200" w:lineRule="exact"/>
        <w:rPr>
          <w:sz w:val="20"/>
          <w:szCs w:val="20"/>
          <w:color w:val="auto"/>
        </w:rPr>
      </w:pPr>
    </w:p>
    <w:p>
      <w:pPr>
        <w:spacing w:after="0" w:line="211" w:lineRule="exact"/>
        <w:rPr>
          <w:sz w:val="20"/>
          <w:szCs w:val="20"/>
          <w:color w:val="auto"/>
        </w:rPr>
      </w:pPr>
    </w:p>
    <w:p>
      <w:pPr>
        <w:ind w:left="760" w:right="900" w:hanging="735"/>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168" w:lineRule="exact"/>
        <w:rPr>
          <w:sz w:val="20"/>
          <w:szCs w:val="20"/>
          <w:color w:val="auto"/>
        </w:rPr>
      </w:pPr>
    </w:p>
    <w:p>
      <w:pPr>
        <w:ind w:left="620" w:hanging="208"/>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2 - GENERAL PROVISIONS</w:t>
      </w:r>
    </w:p>
    <w:p>
      <w:pPr>
        <w:spacing w:after="0" w:line="270"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Section 2.2(a), the words "or the Rezolve AI plc Long Term Incentive Plan" shall be inserted after the words "sub-plan to this Plan".</w:t>
      </w:r>
    </w:p>
    <w:p>
      <w:pPr>
        <w:spacing w:after="0" w:line="252"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Section 2.9(1) shall be deleted and replaced with the following:</w:t>
      </w:r>
    </w:p>
    <w:p>
      <w:pPr>
        <w:spacing w:after="0" w:line="252"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nor does the existence of such letter of appointment or contract for services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or appointment shall not be affected by his participation under the Rules or any right he may have to participate. An individual who participates under the Rules waives all and any rights to compensation or damages in consequence of the termination of his office, engagement or appointment with any company for any reason whatsoever, whether lawful or not, in so far as those rights arise, or may arise, from his ceasing to have rights under or be entitled to the settlement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804545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1440" w:right="579" w:bottom="1440" w:gutter="0" w:footer="0" w:header="0"/>
        </w:sectPr>
      </w:pPr>
    </w:p>
    <w:bookmarkStart w:id="41" w:name="page42"/>
    <w:bookmarkEnd w:id="41"/>
    <w:p>
      <w:pPr>
        <w:spacing w:after="0" w:line="5" w:lineRule="exact"/>
        <w:rPr>
          <w:sz w:val="20"/>
          <w:szCs w:val="20"/>
          <w:color w:val="auto"/>
        </w:rPr>
      </w:pPr>
    </w:p>
    <w:p>
      <w:pPr>
        <w:ind w:left="700" w:right="300"/>
        <w:spacing w:after="0" w:line="282" w:lineRule="auto"/>
        <w:rPr>
          <w:sz w:val="20"/>
          <w:szCs w:val="20"/>
          <w:color w:val="auto"/>
        </w:rPr>
      </w:pPr>
      <w:r>
        <w:rPr>
          <w:rFonts w:ascii="Times New Roman" w:cs="Times New Roman" w:eastAsia="Times New Roman" w:hAnsi="Times New Roman"/>
          <w:sz w:val="18"/>
          <w:szCs w:val="18"/>
          <w:color w:val="auto"/>
        </w:rPr>
        <w:t>Award under the Rules as a result of such termination or from the loss or diminution of value of such rights or entitlements. If necessary, the Participant's terms of engagement, appointment or retention shall be varied accordingly".</w:t>
      </w:r>
    </w:p>
    <w:p>
      <w:pPr>
        <w:spacing w:after="0" w:line="189" w:lineRule="exact"/>
        <w:rPr>
          <w:sz w:val="20"/>
          <w:szCs w:val="20"/>
          <w:color w:val="auto"/>
        </w:rPr>
      </w:pPr>
    </w:p>
    <w:p>
      <w:pPr>
        <w:ind w:left="660" w:right="720" w:hanging="694"/>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In Section 2.15, the words "or any Settlement Price (as later defined in the Plan in respect of any Units)" shall be inserted following the words "Option Price" throughout.</w:t>
      </w:r>
    </w:p>
    <w:p>
      <w:pPr>
        <w:spacing w:after="0" w:line="189" w:lineRule="exact"/>
        <w:rPr>
          <w:sz w:val="20"/>
          <w:szCs w:val="20"/>
          <w:color w:val="auto"/>
        </w:rPr>
      </w:pPr>
    </w:p>
    <w:p>
      <w:pPr>
        <w:ind w:left="680" w:right="400" w:hanging="710"/>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185" w:lineRule="exact"/>
        <w:rPr>
          <w:sz w:val="20"/>
          <w:szCs w:val="20"/>
          <w:color w:val="auto"/>
        </w:rPr>
      </w:pPr>
    </w:p>
    <w:p>
      <w:pPr>
        <w:ind w:left="560" w:hanging="208"/>
        <w:spacing w:after="0"/>
        <w:tabs>
          <w:tab w:leader="none" w:pos="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3 - RESTRICTED SHARE UNITS</w:t>
      </w:r>
    </w:p>
    <w:p>
      <w:pPr>
        <w:spacing w:after="0" w:line="270" w:lineRule="exact"/>
        <w:rPr>
          <w:sz w:val="20"/>
          <w:szCs w:val="20"/>
          <w:color w:val="auto"/>
        </w:rPr>
      </w:pPr>
    </w:p>
    <w:p>
      <w:pPr>
        <w:ind w:left="720" w:right="140" w:hanging="701"/>
        <w:spacing w:after="0" w:line="261" w:lineRule="auto"/>
        <w:tabs>
          <w:tab w:leader="none" w:pos="7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In Section 3.4(4), the words "is continuously employed by" shall be deleted and replaced with the words "in service with".</w:t>
      </w:r>
    </w:p>
    <w:p>
      <w:pPr>
        <w:spacing w:after="0" w:line="248" w:lineRule="exact"/>
        <w:rPr>
          <w:sz w:val="20"/>
          <w:szCs w:val="20"/>
          <w:color w:val="auto"/>
        </w:rPr>
      </w:pPr>
    </w:p>
    <w:p>
      <w:pPr>
        <w:ind w:left="560" w:hanging="208"/>
        <w:spacing w:after="0"/>
        <w:tabs>
          <w:tab w:leader="none" w:pos="5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4 - SETTLEMENT &amp; EXPIRY</w:t>
      </w:r>
    </w:p>
    <w:p>
      <w:pPr>
        <w:spacing w:after="0" w:line="200" w:lineRule="exact"/>
        <w:rPr>
          <w:sz w:val="20"/>
          <w:szCs w:val="20"/>
          <w:color w:val="auto"/>
        </w:rPr>
      </w:pPr>
    </w:p>
    <w:p>
      <w:pPr>
        <w:spacing w:after="0" w:line="286"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following new Section 4.1(6) shall be inserted:</w:t>
      </w:r>
    </w:p>
    <w:p>
      <w:pPr>
        <w:spacing w:after="0" w:line="252"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 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210" w:lineRule="exact"/>
        <w:rPr>
          <w:sz w:val="20"/>
          <w:szCs w:val="20"/>
          <w:color w:val="auto"/>
        </w:rPr>
      </w:pPr>
    </w:p>
    <w:p>
      <w:pPr>
        <w:ind w:left="700" w:right="420" w:hanging="357"/>
        <w:spacing w:after="0" w:line="282" w:lineRule="auto"/>
        <w:rPr>
          <w:sz w:val="20"/>
          <w:szCs w:val="20"/>
          <w:color w:val="auto"/>
        </w:rPr>
      </w:pPr>
      <w:r>
        <w:rPr>
          <w:rFonts w:ascii="Times New Roman" w:cs="Times New Roman" w:eastAsia="Times New Roman" w:hAnsi="Times New Roman"/>
          <w:sz w:val="18"/>
          <w:szCs w:val="18"/>
          <w:color w:val="auto"/>
        </w:rPr>
        <w:t>4.2 In Section 4.3, the words "or termination" shall be inserted following the word "dismissal"; and the words "or early termination of their engagement" shall be inserted following the word "resignation".</w:t>
      </w:r>
    </w:p>
    <w:p>
      <w:pPr>
        <w:spacing w:after="0" w:line="185" w:lineRule="exact"/>
        <w:rPr>
          <w:sz w:val="20"/>
          <w:szCs w:val="20"/>
          <w:color w:val="auto"/>
        </w:rPr>
      </w:pPr>
    </w:p>
    <w:p>
      <w:pPr>
        <w:ind w:left="560" w:hanging="208"/>
        <w:spacing w:after="0"/>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5 – DEFERRED SHARE UNITS</w:t>
      </w:r>
    </w:p>
    <w:p>
      <w:pPr>
        <w:spacing w:after="0" w:line="270" w:lineRule="exact"/>
        <w:rPr>
          <w:sz w:val="20"/>
          <w:szCs w:val="20"/>
          <w:color w:val="auto"/>
        </w:rPr>
      </w:pPr>
    </w:p>
    <w:p>
      <w:pPr>
        <w:jc w:val="both"/>
        <w:ind w:left="1080" w:right="140" w:hanging="730"/>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following new Section 5.1(4) shall be inserted: "Notwithstanding the foregoing, it shall unless the Board determines that it is not required by applicable law be a term of each Deferred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060" w:right="520" w:hanging="713"/>
        <w:spacing w:after="0" w:line="282" w:lineRule="auto"/>
        <w:tabs>
          <w:tab w:leader="none" w:pos="10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following new section will be inserted as Section 5.3 and the remainder of Article 5 will be renumbered accordingly with all cross-references updated accordingly:</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"Section 5.3 Election Notice; Elected Amount.</w:t>
      </w:r>
    </w:p>
    <w:p>
      <w:pPr>
        <w:spacing w:after="0" w:line="270" w:lineRule="exact"/>
        <w:rPr>
          <w:sz w:val="20"/>
          <w:szCs w:val="20"/>
          <w:color w:val="auto"/>
        </w:rPr>
      </w:pPr>
    </w:p>
    <w:p>
      <w:pPr>
        <w:ind w:left="1460" w:right="220" w:hanging="359"/>
        <w:spacing w:after="0" w:line="266" w:lineRule="auto"/>
        <w:tabs>
          <w:tab w:leader="none" w:pos="1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 “</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once each Fiscal Year, to be paid up to one hundred percent (100%) of his or her Annual Board Retainer in the form of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796290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440" w:right="539" w:bottom="1440" w:gutter="0" w:footer="0" w:header="0"/>
        </w:sectPr>
      </w:pPr>
    </w:p>
    <w:bookmarkStart w:id="42" w:name="page43"/>
    <w:bookmarkEnd w:id="42"/>
    <w:p>
      <w:pPr>
        <w:spacing w:after="0" w:line="1" w:lineRule="exact"/>
        <w:rPr>
          <w:sz w:val="20"/>
          <w:szCs w:val="20"/>
          <w:color w:val="auto"/>
        </w:rPr>
      </w:pPr>
    </w:p>
    <w:p>
      <w:pPr>
        <w:ind w:left="1120"/>
        <w:spacing w:after="0" w:line="254" w:lineRule="auto"/>
        <w:rPr>
          <w:sz w:val="20"/>
          <w:szCs w:val="20"/>
          <w:color w:val="auto"/>
        </w:rPr>
      </w:pPr>
      <w:r>
        <w:rPr>
          <w:rFonts w:ascii="Times New Roman" w:cs="Times New Roman" w:eastAsia="Times New Roman" w:hAnsi="Times New Roman"/>
          <w:sz w:val="18"/>
          <w:szCs w:val="18"/>
          <w:color w:val="auto"/>
        </w:rPr>
        <w:t>Share Units (the “</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200" w:lineRule="exact"/>
        <w:rPr>
          <w:sz w:val="20"/>
          <w:szCs w:val="20"/>
          <w:color w:val="auto"/>
        </w:rPr>
      </w:pPr>
    </w:p>
    <w:p>
      <w:pPr>
        <w:ind w:left="1100" w:right="60" w:hanging="359"/>
        <w:spacing w:after="0" w:line="266" w:lineRule="auto"/>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202" w:lineRule="exact"/>
        <w:rPr>
          <w:rFonts w:ascii="Times New Roman" w:cs="Times New Roman" w:eastAsia="Times New Roman" w:hAnsi="Times New Roman"/>
          <w:sz w:val="18"/>
          <w:szCs w:val="18"/>
          <w:color w:val="auto"/>
        </w:rPr>
      </w:pPr>
    </w:p>
    <w:p>
      <w:pPr>
        <w:ind w:left="1100" w:right="160" w:hanging="359"/>
        <w:spacing w:after="0" w:line="261" w:lineRule="auto"/>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207" w:lineRule="exact"/>
        <w:rPr>
          <w:sz w:val="20"/>
          <w:szCs w:val="20"/>
          <w:color w:val="auto"/>
        </w:rPr>
      </w:pPr>
    </w:p>
    <w:p>
      <w:pPr>
        <w:ind w:left="720" w:right="240" w:hanging="73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following new subsection shall be inserted into Section 5.4 (as renumbered) as section 5.4(3), and the remainder of section 5.4 shall be renumbered accordingly with all cross-references updated accordingly:</w:t>
      </w:r>
    </w:p>
    <w:p>
      <w:pPr>
        <w:spacing w:after="0" w:line="189" w:lineRule="exact"/>
        <w:rPr>
          <w:sz w:val="20"/>
          <w:szCs w:val="20"/>
          <w:color w:val="auto"/>
        </w:rPr>
      </w:pPr>
    </w:p>
    <w:p>
      <w:pPr>
        <w:ind w:left="1860" w:right="220" w:hanging="1122"/>
        <w:spacing w:after="0" w:line="257" w:lineRule="auto"/>
        <w:rPr>
          <w:sz w:val="20"/>
          <w:szCs w:val="20"/>
          <w:color w:val="auto"/>
        </w:rPr>
      </w:pPr>
      <w:r>
        <w:rPr>
          <w:rFonts w:ascii="Times New Roman" w:cs="Times New Roman" w:eastAsia="Times New Roman" w:hAnsi="Times New Roman"/>
          <w:sz w:val="18"/>
          <w:szCs w:val="18"/>
          <w:color w:val="auto"/>
        </w:rPr>
        <w:t>"(3) 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Section 5.5 (as renumbered) shall be deleted and replaced with the following: "Section 5.5 Calculation.</w:t>
      </w:r>
    </w:p>
    <w:p>
      <w:pPr>
        <w:spacing w:after="0" w:line="9" w:lineRule="exact"/>
        <w:rPr>
          <w:sz w:val="20"/>
          <w:szCs w:val="20"/>
          <w:color w:val="auto"/>
        </w:rPr>
      </w:pPr>
    </w:p>
    <w:p>
      <w:pPr>
        <w:ind w:left="1100" w:hanging="359"/>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233" w:lineRule="exact"/>
        <w:rPr>
          <w:rFonts w:ascii="Times New Roman" w:cs="Times New Roman" w:eastAsia="Times New Roman" w:hAnsi="Times New Roman"/>
          <w:sz w:val="18"/>
          <w:szCs w:val="18"/>
          <w:color w:val="auto"/>
        </w:rPr>
      </w:pPr>
    </w:p>
    <w:p>
      <w:pPr>
        <w:ind w:left="1840" w:right="500" w:hanging="725"/>
        <w:spacing w:after="0" w:line="282" w:lineRule="auto"/>
        <w:tabs>
          <w:tab w:leader="none" w:pos="18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840" w:right="160" w:hanging="725"/>
        <w:spacing w:after="0" w:line="282" w:lineRule="auto"/>
        <w:tabs>
          <w:tab w:leader="none" w:pos="18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following new section 5.7(5) (as renumbered) shall be inserted into Section 5.7 (as renumbered):</w:t>
      </w:r>
    </w:p>
    <w:p>
      <w:pPr>
        <w:spacing w:after="0" w:line="27" w:lineRule="exact"/>
        <w:rPr>
          <w:sz w:val="20"/>
          <w:szCs w:val="20"/>
          <w:color w:val="auto"/>
        </w:rPr>
      </w:pPr>
    </w:p>
    <w:p>
      <w:pPr>
        <w:ind w:left="740" w:right="220" w:hanging="9"/>
        <w:spacing w:after="0" w:line="255"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 procure the payment of the Settlement Price referenced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802640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860" w:top="1440" w:right="639" w:bottom="1440" w:gutter="0" w:footer="0" w:header="0"/>
        </w:sectPr>
      </w:pPr>
    </w:p>
    <w:bookmarkStart w:id="43" w:name="page44"/>
    <w:bookmarkEnd w:id="43"/>
    <w:p>
      <w:pPr>
        <w:spacing w:after="0" w:line="5" w:lineRule="exact"/>
        <w:rPr>
          <w:sz w:val="20"/>
          <w:szCs w:val="20"/>
          <w:color w:val="auto"/>
        </w:rPr>
      </w:pPr>
    </w:p>
    <w:p>
      <w:pPr>
        <w:jc w:val="both"/>
        <w:ind w:left="748" w:right="20"/>
        <w:spacing w:after="0" w:line="266" w:lineRule="auto"/>
        <w:rPr>
          <w:sz w:val="20"/>
          <w:szCs w:val="20"/>
          <w:color w:val="auto"/>
        </w:rPr>
      </w:pPr>
      <w:r>
        <w:rPr>
          <w:rFonts w:ascii="Times New Roman" w:cs="Times New Roman" w:eastAsia="Times New Roman" w:hAnsi="Times New Roman"/>
          <w:sz w:val="18"/>
          <w:szCs w:val="18"/>
          <w:color w:val="auto"/>
        </w:rPr>
        <w:t>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185" w:lineRule="exact"/>
        <w:rPr>
          <w:sz w:val="20"/>
          <w:szCs w:val="20"/>
          <w:color w:val="auto"/>
        </w:rPr>
      </w:pPr>
    </w:p>
    <w:p>
      <w:pPr>
        <w:ind w:left="208" w:hanging="208"/>
        <w:spacing w:after="0"/>
        <w:tabs>
          <w:tab w:leader="none" w:pos="2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6 – INCENTIVE SHARE UNITS</w:t>
      </w:r>
    </w:p>
    <w:p>
      <w:pPr>
        <w:spacing w:after="0" w:line="270" w:lineRule="exact"/>
        <w:rPr>
          <w:sz w:val="20"/>
          <w:szCs w:val="20"/>
          <w:color w:val="auto"/>
        </w:rPr>
      </w:pPr>
    </w:p>
    <w:p>
      <w:pPr>
        <w:ind w:left="368" w:right="380" w:hanging="362"/>
        <w:spacing w:after="0" w:line="261" w:lineRule="auto"/>
        <w:rPr>
          <w:sz w:val="20"/>
          <w:szCs w:val="20"/>
          <w:color w:val="auto"/>
        </w:rPr>
      </w:pPr>
      <w:r>
        <w:rPr>
          <w:rFonts w:ascii="Times New Roman" w:cs="Times New Roman" w:eastAsia="Times New Roman" w:hAnsi="Times New Roman"/>
          <w:sz w:val="18"/>
          <w:szCs w:val="18"/>
          <w:color w:val="auto"/>
        </w:rPr>
        <w:t>6.1 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208" w:hanging="208"/>
        <w:spacing w:after="0"/>
        <w:tabs>
          <w:tab w:leader="none" w:pos="2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7 – SETTLEMENT &amp; EXPIRY</w:t>
      </w:r>
    </w:p>
    <w:p>
      <w:pPr>
        <w:spacing w:after="0" w:line="200" w:lineRule="exact"/>
        <w:rPr>
          <w:sz w:val="20"/>
          <w:szCs w:val="20"/>
          <w:color w:val="auto"/>
        </w:rPr>
      </w:pPr>
    </w:p>
    <w:p>
      <w:pPr>
        <w:spacing w:after="0" w:line="286"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8"/>
          <w:szCs w:val="18"/>
          <w:color w:val="auto"/>
        </w:rPr>
        <w:t>7.1 The following new section 7.1(6) shall be inserted into Section 7.1:</w:t>
      </w:r>
    </w:p>
    <w:p>
      <w:pPr>
        <w:spacing w:after="0" w:line="27" w:lineRule="exact"/>
        <w:rPr>
          <w:sz w:val="20"/>
          <w:szCs w:val="20"/>
          <w:color w:val="auto"/>
        </w:rPr>
      </w:pPr>
    </w:p>
    <w:p>
      <w:pPr>
        <w:ind w:left="348"/>
        <w:spacing w:after="0" w:line="256"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803910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8"/>
          </w:cols>
          <w:pgMar w:left="852" w:top="1440" w:right="599" w:bottom="1440" w:gutter="0" w:footer="0" w:header="0"/>
        </w:sectPr>
      </w:pPr>
    </w:p>
    <w:bookmarkStart w:id="44" w:name="page45"/>
    <w:bookmarkEnd w:id="44"/>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JBAAM SPECIAL OPPORTUNITIES FUND - II LLC ("JBAAM")</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9"/>
          <w:szCs w:val="19"/>
          <w:color w:val="auto"/>
        </w:rPr>
        <w:t>270 West 39th Street, 11th Floor New York, NY 10018</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9"/>
          <w:szCs w:val="19"/>
          <w:color w:val="auto"/>
        </w:rPr>
        <w:t>YA II PN, Ltd. ("YA II")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1012 Springfield Avenue</w:t>
      </w:r>
    </w:p>
    <w:p>
      <w:pPr>
        <w:ind w:left="20"/>
        <w:spacing w:after="0"/>
        <w:rPr>
          <w:sz w:val="20"/>
          <w:szCs w:val="20"/>
          <w:color w:val="auto"/>
        </w:rPr>
      </w:pPr>
      <w:r>
        <w:rPr>
          <w:rFonts w:ascii="Arial" w:cs="Arial" w:eastAsia="Arial" w:hAnsi="Arial"/>
          <w:sz w:val="19"/>
          <w:szCs w:val="19"/>
          <w:color w:val="auto"/>
        </w:rPr>
        <w:t>Mountainside, NJ 07092</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9"/>
          <w:szCs w:val="19"/>
          <w:color w:val="auto"/>
        </w:rPr>
        <w:t>(each of JBAAM and YA II being a "</w:t>
      </w:r>
      <w:r>
        <w:rPr>
          <w:rFonts w:ascii="Arial" w:cs="Arial" w:eastAsia="Arial" w:hAnsi="Arial"/>
          <w:sz w:val="19"/>
          <w:szCs w:val="19"/>
          <w:b w:val="1"/>
          <w:bCs w:val="1"/>
          <w:color w:val="auto"/>
        </w:rPr>
        <w:t>Buyer</w:t>
      </w:r>
      <w:r>
        <w:rPr>
          <w:rFonts w:ascii="Arial" w:cs="Arial" w:eastAsia="Arial" w:hAnsi="Arial"/>
          <w:sz w:val="19"/>
          <w:szCs w:val="19"/>
          <w:color w:val="auto"/>
        </w:rPr>
        <w: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21 February 2025</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Dear Sirs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Deed of voting undertaking</w:t>
      </w:r>
    </w:p>
    <w:p>
      <w:pPr>
        <w:spacing w:after="0" w:line="200" w:lineRule="exact"/>
        <w:rPr>
          <w:sz w:val="20"/>
          <w:szCs w:val="20"/>
          <w:color w:val="auto"/>
        </w:rPr>
      </w:pPr>
    </w:p>
    <w:p>
      <w:pPr>
        <w:spacing w:after="0" w:line="230" w:lineRule="exact"/>
        <w:rPr>
          <w:sz w:val="20"/>
          <w:szCs w:val="20"/>
          <w:color w:val="auto"/>
        </w:rPr>
      </w:pPr>
    </w:p>
    <w:p>
      <w:pPr>
        <w:ind w:left="760" w:hanging="752"/>
        <w:spacing w:after="0"/>
        <w:tabs>
          <w:tab w:leader="none" w:pos="76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Background</w:t>
      </w:r>
    </w:p>
    <w:p>
      <w:pPr>
        <w:spacing w:after="0" w:line="214" w:lineRule="exact"/>
        <w:rPr>
          <w:sz w:val="20"/>
          <w:szCs w:val="20"/>
          <w:color w:val="auto"/>
        </w:rPr>
      </w:pPr>
    </w:p>
    <w:p>
      <w:pPr>
        <w:jc w:val="both"/>
        <w:ind w:left="740" w:right="100" w:hanging="741"/>
        <w:spacing w:after="0" w:line="259" w:lineRule="auto"/>
        <w:tabs>
          <w:tab w:leader="none" w:pos="7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It is proposed that Rezolve AI Limited ("</w:t>
      </w:r>
      <w:r>
        <w:rPr>
          <w:rFonts w:ascii="Arial" w:cs="Arial" w:eastAsia="Arial" w:hAnsi="Arial"/>
          <w:sz w:val="19"/>
          <w:szCs w:val="19"/>
          <w:b w:val="1"/>
          <w:bCs w:val="1"/>
          <w:color w:val="auto"/>
        </w:rPr>
        <w:t>Company</w:t>
      </w:r>
      <w:r>
        <w:rPr>
          <w:rFonts w:ascii="Arial" w:cs="Arial" w:eastAsia="Arial" w:hAnsi="Arial"/>
          <w:sz w:val="19"/>
          <w:szCs w:val="19"/>
          <w:color w:val="auto"/>
        </w:rPr>
        <w:t>") enters into a securities purchase agreement ("</w:t>
      </w:r>
      <w:r>
        <w:rPr>
          <w:rFonts w:ascii="Arial" w:cs="Arial" w:eastAsia="Arial" w:hAnsi="Arial"/>
          <w:sz w:val="19"/>
          <w:szCs w:val="19"/>
          <w:b w:val="1"/>
          <w:bCs w:val="1"/>
          <w:color w:val="auto"/>
        </w:rPr>
        <w:t>SPA</w:t>
      </w:r>
      <w:r>
        <w:rPr>
          <w:rFonts w:ascii="Arial" w:cs="Arial" w:eastAsia="Arial" w:hAnsi="Arial"/>
          <w:sz w:val="19"/>
          <w:szCs w:val="19"/>
          <w:color w:val="auto"/>
        </w:rPr>
        <w:t>") with the Buyer on or around the date of this deed pursuant to which the Company would authorize the sale of a new series of convertible notes of the Company, in the aggregate original principal amount of up to $1,000,000,000 (the "</w:t>
      </w:r>
      <w:r>
        <w:rPr>
          <w:rFonts w:ascii="Arial" w:cs="Arial" w:eastAsia="Arial" w:hAnsi="Arial"/>
          <w:sz w:val="19"/>
          <w:szCs w:val="19"/>
          <w:b w:val="1"/>
          <w:bCs w:val="1"/>
          <w:color w:val="auto"/>
        </w:rPr>
        <w:t>Transaction</w:t>
      </w:r>
      <w:r>
        <w:rPr>
          <w:rFonts w:ascii="Arial" w:cs="Arial" w:eastAsia="Arial" w:hAnsi="Arial"/>
          <w:sz w:val="19"/>
          <w:szCs w:val="19"/>
          <w:color w:val="auto"/>
        </w:rPr>
        <w:t>").</w:t>
      </w:r>
    </w:p>
    <w:p>
      <w:pPr>
        <w:spacing w:after="0" w:line="157" w:lineRule="exact"/>
        <w:rPr>
          <w:sz w:val="20"/>
          <w:szCs w:val="20"/>
          <w:color w:val="auto"/>
        </w:rPr>
      </w:pPr>
    </w:p>
    <w:p>
      <w:pPr>
        <w:jc w:val="both"/>
        <w:ind w:left="740" w:right="100" w:hanging="741"/>
        <w:spacing w:after="0" w:line="246" w:lineRule="auto"/>
        <w:tabs>
          <w:tab w:leader="none" w:pos="7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In order to give effect to the Transaction: (i) an ordinary resolution of the shareholders of the Company is required to give authority to the directors of the Company to allot securities in connection with the Transaction; and (ii) a special resolution of the shareholders of the Company is required to disapply pre-emption rights in relation thereto (together, the "</w:t>
      </w:r>
      <w:r>
        <w:rPr>
          <w:rFonts w:ascii="Arial" w:cs="Arial" w:eastAsia="Arial" w:hAnsi="Arial"/>
          <w:sz w:val="19"/>
          <w:szCs w:val="19"/>
          <w:b w:val="1"/>
          <w:bCs w:val="1"/>
          <w:color w:val="auto"/>
        </w:rPr>
        <w:t>Resolutions</w:t>
      </w:r>
      <w:r>
        <w:rPr>
          <w:rFonts w:ascii="Arial" w:cs="Arial" w:eastAsia="Arial" w:hAnsi="Arial"/>
          <w:sz w:val="19"/>
          <w:szCs w:val="19"/>
          <w:color w:val="auto"/>
        </w:rPr>
        <w:t>"). It is anticipated that the Company will request that its shareholders approve the Resolutions at a general meeting to be held following the date on which the SPA is signed by the parties thereto, but prior to the date on which the SPA closes in accordance with the terms therein (the "</w:t>
      </w:r>
      <w:r>
        <w:rPr>
          <w:rFonts w:ascii="Arial" w:cs="Arial" w:eastAsia="Arial" w:hAnsi="Arial"/>
          <w:sz w:val="19"/>
          <w:szCs w:val="19"/>
          <w:b w:val="1"/>
          <w:bCs w:val="1"/>
          <w:color w:val="auto"/>
        </w:rPr>
        <w:t>Meeting</w:t>
      </w:r>
      <w:r>
        <w:rPr>
          <w:rFonts w:ascii="Arial" w:cs="Arial" w:eastAsia="Arial" w:hAnsi="Arial"/>
          <w:sz w:val="19"/>
          <w:szCs w:val="19"/>
          <w:color w:val="auto"/>
        </w:rPr>
        <w:t>").</w:t>
      </w:r>
    </w:p>
    <w:p>
      <w:pPr>
        <w:spacing w:after="0" w:line="168" w:lineRule="exact"/>
        <w:rPr>
          <w:sz w:val="20"/>
          <w:szCs w:val="20"/>
          <w:color w:val="auto"/>
        </w:rPr>
      </w:pPr>
    </w:p>
    <w:p>
      <w:pPr>
        <w:jc w:val="both"/>
        <w:ind w:left="740" w:right="100" w:hanging="741"/>
        <w:spacing w:after="0" w:line="243" w:lineRule="auto"/>
        <w:tabs>
          <w:tab w:leader="none" w:pos="72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I am the beneficial owner of fully paid ordinary shares in the capital of the Company and pursuant to Article 5(b) of the articles of association of the Company ("</w:t>
      </w:r>
      <w:r>
        <w:rPr>
          <w:rFonts w:ascii="Arial" w:cs="Arial" w:eastAsia="Arial" w:hAnsi="Arial"/>
          <w:sz w:val="19"/>
          <w:szCs w:val="19"/>
          <w:b w:val="1"/>
          <w:bCs w:val="1"/>
          <w:color w:val="auto"/>
        </w:rPr>
        <w:t>Articles</w:t>
      </w:r>
      <w:r>
        <w:rPr>
          <w:rFonts w:ascii="Arial" w:cs="Arial" w:eastAsia="Arial" w:hAnsi="Arial"/>
          <w:sz w:val="19"/>
          <w:szCs w:val="19"/>
          <w:color w:val="auto"/>
        </w:rPr>
        <w:t>"), the aggregate number of votes attaching to all shares in the Company to which I, as "Founder" (as that term is defined in the Articles), am beneficially entitled shall constitute at least 75% of the votes attaching to all shares in the capital of the Company. Therefore, as a result of my beneficial ownership of ordinary shares in the Company ("</w:t>
      </w:r>
      <w:r>
        <w:rPr>
          <w:rFonts w:ascii="Arial" w:cs="Arial" w:eastAsia="Arial" w:hAnsi="Arial"/>
          <w:sz w:val="19"/>
          <w:szCs w:val="19"/>
          <w:b w:val="1"/>
          <w:bCs w:val="1"/>
          <w:color w:val="auto"/>
        </w:rPr>
        <w:t>Shares</w:t>
      </w:r>
      <w:r>
        <w:rPr>
          <w:rFonts w:ascii="Arial" w:cs="Arial" w:eastAsia="Arial" w:hAnsi="Arial"/>
          <w:sz w:val="19"/>
          <w:szCs w:val="19"/>
          <w:color w:val="auto"/>
        </w:rPr>
        <w:t>"), such ownership in itself is sufficient to pass the Resolutions in accordance with the Articles.</w:t>
      </w:r>
    </w:p>
    <w:p>
      <w:pPr>
        <w:spacing w:after="0" w:line="185" w:lineRule="exact"/>
        <w:rPr>
          <w:sz w:val="20"/>
          <w:szCs w:val="20"/>
          <w:color w:val="auto"/>
        </w:rPr>
      </w:pPr>
    </w:p>
    <w:p>
      <w:pPr>
        <w:jc w:val="both"/>
        <w:ind w:left="740" w:right="120" w:hanging="741"/>
        <w:spacing w:after="0" w:line="270" w:lineRule="auto"/>
        <w:tabs>
          <w:tab w:leader="none" w:pos="72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This undertaking is given by my in my capacity as a holder of securities in the Company and not in my capacity as a director of the Company.</w:t>
      </w:r>
    </w:p>
    <w:p>
      <w:pPr>
        <w:spacing w:after="0" w:line="372"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Undertaking</w:t>
      </w:r>
    </w:p>
    <w:p>
      <w:pPr>
        <w:spacing w:after="0" w:line="213" w:lineRule="exact"/>
        <w:rPr>
          <w:rFonts w:ascii="Arial" w:cs="Arial" w:eastAsia="Arial" w:hAnsi="Arial"/>
          <w:sz w:val="19"/>
          <w:szCs w:val="19"/>
          <w:b w:val="1"/>
          <w:bCs w:val="1"/>
          <w:color w:val="auto"/>
        </w:rPr>
      </w:pPr>
    </w:p>
    <w:p>
      <w:pPr>
        <w:ind w:left="760" w:right="500"/>
        <w:spacing w:after="0" w:line="270" w:lineRule="auto"/>
        <w:rPr>
          <w:rFonts w:ascii="Arial" w:cs="Arial" w:eastAsia="Arial" w:hAnsi="Arial"/>
          <w:sz w:val="19"/>
          <w:szCs w:val="19"/>
          <w:b w:val="1"/>
          <w:bCs w:val="1"/>
          <w:color w:val="auto"/>
        </w:rPr>
      </w:pPr>
      <w:r>
        <w:rPr>
          <w:rFonts w:ascii="Arial" w:cs="Arial" w:eastAsia="Arial" w:hAnsi="Arial"/>
          <w:sz w:val="19"/>
          <w:szCs w:val="19"/>
          <w:color w:val="auto"/>
        </w:rPr>
        <w:t>I irrevocably undertake to the Buyer that I shall request and instruct the registered holder(s) to vote all of the Shares of which I am beneficial owner in favour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746760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45" w:name="page46"/>
    <w:bookmarkEnd w:id="45"/>
    <w:p>
      <w:pPr>
        <w:spacing w:after="0" w:line="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Resolutions and any other resolutions required to implement the Transaction at the Meeting.</w:t>
      </w:r>
    </w:p>
    <w:p>
      <w:pPr>
        <w:spacing w:after="0" w:line="200" w:lineRule="exact"/>
        <w:rPr>
          <w:sz w:val="20"/>
          <w:szCs w:val="20"/>
          <w:color w:val="auto"/>
        </w:rPr>
      </w:pPr>
    </w:p>
    <w:p>
      <w:pPr>
        <w:spacing w:after="0" w:line="230" w:lineRule="exact"/>
        <w:rPr>
          <w:sz w:val="20"/>
          <w:szCs w:val="20"/>
          <w:color w:val="auto"/>
        </w:rPr>
      </w:pPr>
    </w:p>
    <w:p>
      <w:pPr>
        <w:ind w:left="800" w:hanging="752"/>
        <w:spacing w:after="0"/>
        <w:tabs>
          <w:tab w:leader="none" w:pos="800"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w:t>
      </w:r>
    </w:p>
    <w:p>
      <w:pPr>
        <w:spacing w:after="0" w:line="214" w:lineRule="exact"/>
        <w:rPr>
          <w:sz w:val="20"/>
          <w:szCs w:val="20"/>
          <w:color w:val="auto"/>
        </w:rPr>
      </w:pPr>
    </w:p>
    <w:p>
      <w:pPr>
        <w:jc w:val="both"/>
        <w:ind w:left="780" w:right="20" w:hanging="741"/>
        <w:spacing w:after="0" w:line="254" w:lineRule="auto"/>
        <w:tabs>
          <w:tab w:leader="none" w:pos="7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Without prejudice to any accrued rights or liabilities under this deed, my obligations under this deed shall terminate and be of no further force and effect in relation to a Buyer in circumstances where that Buyer acts in breach of the terms of the SPA.</w:t>
      </w:r>
    </w:p>
    <w:p>
      <w:pPr>
        <w:spacing w:after="0" w:line="157" w:lineRule="exact"/>
        <w:rPr>
          <w:sz w:val="20"/>
          <w:szCs w:val="20"/>
          <w:color w:val="auto"/>
        </w:rPr>
      </w:pPr>
    </w:p>
    <w:p>
      <w:pPr>
        <w:jc w:val="both"/>
        <w:ind w:left="780" w:hanging="741"/>
        <w:spacing w:after="0" w:line="245" w:lineRule="auto"/>
        <w:tabs>
          <w:tab w:leader="none" w:pos="7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Without prejudice to any other rights or remedies that the Buyer may have, I recognise and acknowledge that if I should fail to perform my obligations in accordance with this deed, or should otherwise be in breach of any of those obligations, damages would not be an adequate remedy and that the Buyer shall be entitled to the remedies of injunction, specific performance and other equitable relief and that no proof of special damages shall be necessary for the enforcement of this deed.</w:t>
      </w:r>
    </w:p>
    <w:p>
      <w:pPr>
        <w:spacing w:after="0" w:line="194"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No term of this deed is enforceable by a person who is not a party to this deed.</w:t>
      </w:r>
    </w:p>
    <w:p>
      <w:pPr>
        <w:spacing w:after="0" w:line="200" w:lineRule="exact"/>
        <w:rPr>
          <w:sz w:val="20"/>
          <w:szCs w:val="20"/>
          <w:color w:val="auto"/>
        </w:rPr>
      </w:pPr>
    </w:p>
    <w:p>
      <w:pPr>
        <w:jc w:val="both"/>
        <w:ind w:left="780" w:hanging="741"/>
        <w:spacing w:after="0" w:line="254" w:lineRule="auto"/>
        <w:tabs>
          <w:tab w:leader="none" w:pos="7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This deed contains the whole agreement between the Buyer and me relating to the subject matter of this deed at the date hereof to the exclusion of any terms implied by law which may be excluded by contract. I acknowledge that I have not been induced to sign this deed by any representation, warranty or undertaking not expressly incorporated into it.</w:t>
      </w:r>
    </w:p>
    <w:p>
      <w:pPr>
        <w:spacing w:after="0" w:line="170" w:lineRule="exact"/>
        <w:rPr>
          <w:sz w:val="20"/>
          <w:szCs w:val="20"/>
          <w:color w:val="auto"/>
        </w:rPr>
      </w:pPr>
    </w:p>
    <w:p>
      <w:pPr>
        <w:jc w:val="both"/>
        <w:ind w:left="780" w:hanging="741"/>
        <w:spacing w:after="0" w:line="239" w:lineRule="auto"/>
        <w:tabs>
          <w:tab w:leader="none" w:pos="7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 xml:space="preserve">All questions concerning the construction, validity, enforcement and interpretation of this </w:t>
      </w:r>
      <w:r>
        <w:rPr>
          <w:rFonts w:ascii="Arial" w:cs="Arial" w:eastAsia="Arial" w:hAnsi="Arial"/>
          <w:sz w:val="19"/>
          <w:szCs w:val="19"/>
          <w:i w:val="1"/>
          <w:iCs w:val="1"/>
          <w:color w:val="auto"/>
        </w:rPr>
        <w:t>document</w:t>
      </w:r>
      <w:r>
        <w:rPr>
          <w:rFonts w:ascii="Arial" w:cs="Arial" w:eastAsia="Arial" w:hAnsi="Arial"/>
          <w:sz w:val="19"/>
          <w:szCs w:val="19"/>
          <w:color w:val="auto"/>
        </w:rPr>
        <w:t xml:space="preserve"> shall be governed by the internal laws of the State of New York, without giving effect to any choice of law or conflict of law provision (other than Sections 5-1401 and 5-1402 of the New York General Obligations Law) or rule (whether of the State of New York or any other jurisdictions) that would cause the application of the laws of any jurisdictions other than the State of New York. I hereby irrevocably submit to the exclusive jurisdiction of the state and federal courts sitting in The City of New York, Borough of Manhattan, for the adjudication of any dispute hereunder or in connection herewith and hereby irrevocably waive, and agree not to assert in any suit, action or proceeding, any claim that it is not personally subject to the jurisdiction of any such court, that such suit, action or proceeding is brought in an inconvenient forum or that the venue of such suit, action or proceeding is improper. I hereby irrevocably waive personal service of process and consent to process being served in any such suit, action or proceeding by mailing a copy thereof to me at the following address for such notices, (namely DanWagner@rezolve.com (if by email) or 21 Sackville Street London W1S 3DN (by delivery)) and agree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me in any other jurisdiction to collect on my obligations to such Buyer or to enforce a judgment or other court ruling in favor of such Buyer.</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9"/>
          <w:szCs w:val="19"/>
          <w:i w:val="1"/>
          <w:iCs w:val="1"/>
          <w:color w:val="auto"/>
        </w:rPr>
        <w:t>IN WITNESS whereof this deed has been executed and delivered as a deed on the date above mentioned.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9"/>
          <w:szCs w:val="19"/>
          <w:color w:val="auto"/>
        </w:rPr>
        <w:t>Signed as a deed by: Daniel Maurice Wagner</w:t>
      </w: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9"/>
          <w:szCs w:val="19"/>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500380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1440" w:right="439" w:bottom="1440" w:gutter="0" w:footer="0" w:header="0"/>
        </w:sectPr>
      </w:pPr>
    </w:p>
    <w:bookmarkStart w:id="46" w:name="page47"/>
    <w:bookmarkEnd w:id="46"/>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9"/>
          <w:szCs w:val="19"/>
          <w:color w:val="auto"/>
        </w:rPr>
        <w:t>Witnessed by: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/s/ Raymond McKeeve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Address: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 Sackville Street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London</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W1S 3DN</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2"/>
      <w:numFmt w:val="bullet"/>
      <w:start w:val="1"/>
    </w:lvl>
  </w:abstractNum>
  <w:abstractNum w:abstractNumId="1">
    <w:nsid w:val="275AC794"/>
    <w:multiLevelType w:val="hybridMultilevel"/>
    <w:lvl w:ilvl="0">
      <w:lvlJc w:val="left"/>
      <w:lvlText w:val="3"/>
      <w:numFmt w:val="bullet"/>
      <w:start w:val="1"/>
    </w:lvl>
  </w:abstractNum>
  <w:abstractNum w:abstractNumId="2">
    <w:nsid w:val="39386575"/>
    <w:multiLevelType w:val="hybridMultilevel"/>
    <w:lvl w:ilvl="0">
      <w:lvlJc w:val="left"/>
      <w:lvlText w:val="2"/>
      <w:numFmt w:val="bullet"/>
      <w:start w:val="1"/>
    </w:lvl>
  </w:abstractNum>
  <w:abstractNum w:abstractNumId="3">
    <w:nsid w:val="1CF10FD8"/>
    <w:multiLevelType w:val="hybridMultilevel"/>
    <w:lvl w:ilvl="0">
      <w:lvlJc w:val="left"/>
      <w:lvlText w:val="3"/>
      <w:numFmt w:val="bullet"/>
      <w:start w:val="1"/>
    </w:lvl>
  </w:abstractNum>
  <w:abstractNum w:abstractNumId="4">
    <w:nsid w:val="180115BE"/>
    <w:multiLevelType w:val="hybridMultilevel"/>
    <w:lvl w:ilvl="0">
      <w:lvlJc w:val="left"/>
      <w:lvlText w:val="4"/>
      <w:numFmt w:val="bullet"/>
      <w:start w:val="1"/>
    </w:lvl>
  </w:abstractNum>
  <w:abstractNum w:abstractNumId="5">
    <w:nsid w:val="235BA861"/>
    <w:multiLevelType w:val="hybridMultilevel"/>
    <w:lvl w:ilvl="0">
      <w:lvlJc w:val="left"/>
      <w:lvlText w:val="2"/>
      <w:numFmt w:val="bullet"/>
      <w:start w:val="1"/>
    </w:lvl>
  </w:abstractNum>
  <w:abstractNum w:abstractNumId="6">
    <w:nsid w:val="47398C89"/>
    <w:multiLevelType w:val="hybridMultilevel"/>
    <w:lvl w:ilvl="0">
      <w:lvlJc w:val="left"/>
      <w:lvlText w:val="3"/>
      <w:numFmt w:val="bullet"/>
      <w:start w:val="1"/>
    </w:lvl>
  </w:abstractNum>
  <w:abstractNum w:abstractNumId="7">
    <w:nsid w:val="354FE9F9"/>
    <w:multiLevelType w:val="hybridMultilevel"/>
    <w:lvl w:ilvl="0">
      <w:lvlJc w:val="left"/>
      <w:lvlText w:val="6"/>
      <w:numFmt w:val="bullet"/>
      <w:start w:val="1"/>
    </w:lvl>
  </w:abstractNum>
  <w:abstractNum w:abstractNumId="8">
    <w:nsid w:val="15B5AF5C"/>
    <w:multiLevelType w:val="hybridMultilevel"/>
    <w:lvl w:ilvl="0">
      <w:lvlJc w:val="left"/>
      <w:lvlText w:val="(%1)"/>
      <w:numFmt w:val="lowerLetter"/>
      <w:start w:val="1"/>
    </w:lvl>
  </w:abstractNum>
  <w:abstractNum w:abstractNumId="9">
    <w:nsid w:val="741226BB"/>
    <w:multiLevelType w:val="hybridMultilevel"/>
    <w:lvl w:ilvl="0">
      <w:lvlJc w:val="left"/>
      <w:lvlText w:val="(%1)"/>
      <w:numFmt w:val="lowerLetter"/>
      <w:start w:val="1"/>
    </w:lvl>
  </w:abstractNum>
  <w:abstractNum w:abstractNumId="10">
    <w:nsid w:val="D34B6A8"/>
    <w:multiLevelType w:val="hybridMultilevel"/>
    <w:lvl w:ilvl="0">
      <w:lvlJc w:val="left"/>
      <w:lvlText w:val="(%1)"/>
      <w:numFmt w:val="lowerLetter"/>
      <w:start w:val="3"/>
    </w:lvl>
  </w:abstractNum>
  <w:abstractNum w:abstractNumId="11">
    <w:nsid w:val="10233C99"/>
    <w:multiLevelType w:val="hybridMultilevel"/>
    <w:lvl w:ilvl="0">
      <w:lvlJc w:val="left"/>
      <w:lvlText w:val="%1."/>
      <w:numFmt w:val="decimal"/>
      <w:start w:val="1"/>
    </w:lvl>
  </w:abstractNum>
  <w:abstractNum w:abstractNumId="12">
    <w:nsid w:val="3F6AB60F"/>
    <w:multiLevelType w:val="hybridMultilevel"/>
    <w:lvl w:ilvl="0">
      <w:lvlJc w:val="left"/>
      <w:lvlText w:val="%1."/>
      <w:numFmt w:val="decimal"/>
      <w:start w:val="2"/>
    </w:lvl>
  </w:abstractNum>
  <w:abstractNum w:abstractNumId="13">
    <w:nsid w:val="61574095"/>
    <w:multiLevelType w:val="hybridMultilevel"/>
    <w:lvl w:ilvl="0">
      <w:lvlJc w:val="left"/>
      <w:lvlText w:val="%1."/>
      <w:numFmt w:val="decimal"/>
      <w:start w:val="3"/>
    </w:lvl>
  </w:abstractNum>
  <w:abstractNum w:abstractNumId="14">
    <w:nsid w:val="7E0C57B1"/>
    <w:multiLevelType w:val="hybridMultilevel"/>
    <w:lvl w:ilvl="0">
      <w:lvlJc w:val="left"/>
      <w:lvlText w:val="%1."/>
      <w:numFmt w:val="decimal"/>
      <w:start w:val="4"/>
    </w:lvl>
  </w:abstractNum>
  <w:abstractNum w:abstractNumId="15">
    <w:nsid w:val="77AE35EB"/>
    <w:multiLevelType w:val="hybridMultilevel"/>
    <w:lvl w:ilvl="0">
      <w:lvlJc w:val="left"/>
      <w:lvlText w:val="(%1)"/>
      <w:numFmt w:val="lowerLetter"/>
      <w:start w:val="1"/>
    </w:lvl>
  </w:abstractNum>
  <w:abstractNum w:abstractNumId="16">
    <w:nsid w:val="579BE4F1"/>
    <w:multiLevelType w:val="hybridMultilevel"/>
    <w:lvl w:ilvl="0">
      <w:lvlJc w:val="left"/>
      <w:lvlText w:val="(%1)"/>
      <w:numFmt w:val="lowerLetter"/>
      <w:start w:val="2"/>
    </w:lvl>
  </w:abstractNum>
  <w:abstractNum w:abstractNumId="17">
    <w:nsid w:val="310C50B3"/>
    <w:multiLevelType w:val="hybridMultilevel"/>
    <w:lvl w:ilvl="0">
      <w:lvlJc w:val="left"/>
      <w:lvlText w:val="%1."/>
      <w:numFmt w:val="decimal"/>
      <w:start w:val="5"/>
    </w:lvl>
    <w:lvl w:ilvl="1">
      <w:lvlJc w:val="left"/>
      <w:lvlText w:val="5"/>
      <w:numFmt w:val="bullet"/>
      <w:start w:val="1"/>
    </w:lvl>
  </w:abstractNum>
  <w:abstractNum w:abstractNumId="18">
    <w:nsid w:val="5FF87E05"/>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19">
    <w:nsid w:val="2F305DEF"/>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1)"/>
      <w:numFmt w:val="lowerLetter"/>
      <w:start w:val="1"/>
    </w:lvl>
    <w:lvl w:ilvl="1">
      <w:lvlJc w:val="left"/>
      <w:lvlText w:val="(%2)"/>
      <w:numFmt w:val="lowerLetter"/>
      <w:start w:val="3"/>
    </w:lvl>
  </w:abstractNum>
  <w:abstractNum w:abstractNumId="24">
    <w:nsid w:val="1381823A"/>
    <w:multiLevelType w:val="hybridMultilevel"/>
    <w:lvl w:ilvl="0">
      <w:lvlJc w:val="left"/>
      <w:lvlText w:val="%1"/>
      <w:numFmt w:val="lowerLetter"/>
      <w:start w:val="1"/>
    </w:lvl>
    <w:lvl w:ilvl="1">
      <w:lvlJc w:val="left"/>
      <w:lvlText w:val="(%2)"/>
      <w:numFmt w:val="lowerLetter"/>
      <w:start w:val="1"/>
    </w:lvl>
  </w:abstractNum>
  <w:abstractNum w:abstractNumId="25">
    <w:nsid w:val="5DB70AE5"/>
    <w:multiLevelType w:val="hybridMultilevel"/>
    <w:lvl w:ilvl="0">
      <w:lvlJc w:val="left"/>
      <w:lvlText w:val="(%1)"/>
      <w:numFmt w:val="lowerLetter"/>
      <w:start w:val="5"/>
    </w:lvl>
    <w:lvl w:ilvl="1">
      <w:lvlJc w:val="left"/>
      <w:lvlText w:val="%2"/>
      <w:numFmt w:val="lowerLetter"/>
      <w:start w:val="1"/>
    </w:lvl>
  </w:abstractNum>
  <w:abstractNum w:abstractNumId="26">
    <w:nsid w:val="100F8FCA"/>
    <w:multiLevelType w:val="hybridMultilevel"/>
    <w:lvl w:ilvl="0">
      <w:lvlJc w:val="left"/>
      <w:lvlText w:val="(%1)"/>
      <w:numFmt w:val="lowerLetter"/>
      <w:start w:val="7"/>
    </w:lvl>
  </w:abstractNum>
  <w:abstractNum w:abstractNumId="27">
    <w:nsid w:val="6590700B"/>
    <w:multiLevelType w:val="hybridMultilevel"/>
    <w:lvl w:ilvl="0">
      <w:lvlJc w:val="left"/>
      <w:lvlText w:val="(%1)"/>
      <w:numFmt w:val="lowerLetter"/>
      <w:start w:val="8"/>
    </w:lvl>
    <w:lvl w:ilvl="1">
      <w:lvlJc w:val="left"/>
      <w:lvlText w:val="(%2)"/>
      <w:numFmt w:val="lowerLetter"/>
      <w:start w:val="9"/>
    </w:lvl>
  </w:abstractNum>
  <w:abstractNum w:abstractNumId="28">
    <w:nsid w:val="15014ACB"/>
    <w:multiLevelType w:val="hybridMultilevel"/>
    <w:lvl w:ilvl="0">
      <w:lvlJc w:val="left"/>
      <w:lvlText w:val="%1"/>
      <w:numFmt w:val="lowerLetter"/>
      <w:start w:val="1"/>
    </w:lvl>
    <w:lvl w:ilvl="1">
      <w:lvlJc w:val="left"/>
      <w:lvlText w:val="(%2)"/>
      <w:numFmt w:val="lowerLetter"/>
      <w:start w:val="14"/>
    </w:lvl>
  </w:abstractNum>
  <w:abstractNum w:abstractNumId="29">
    <w:nsid w:val="5F5E7FD0"/>
    <w:multiLevelType w:val="hybridMultilevel"/>
    <w:lvl w:ilvl="0">
      <w:lvlJc w:val="left"/>
      <w:lvlText w:val="(%1)"/>
      <w:numFmt w:val="lowerLetter"/>
      <w:start w:val="11"/>
    </w:lvl>
    <w:lvl w:ilvl="1">
      <w:lvlJc w:val="left"/>
      <w:lvlText w:val="%2"/>
      <w:numFmt w:val="lowerLetter"/>
      <w:start w:val="1"/>
    </w:lvl>
  </w:abstractNum>
  <w:abstractNum w:abstractNumId="30">
    <w:nsid w:val="98A3148"/>
    <w:multiLevelType w:val="hybridMultilevel"/>
    <w:lvl w:ilvl="0">
      <w:lvlJc w:val="left"/>
      <w:lvlText w:val="(%1)"/>
      <w:numFmt w:val="lowerLetter"/>
      <w:start w:val="12"/>
    </w:lvl>
  </w:abstractNum>
  <w:abstractNum w:abstractNumId="31">
    <w:nsid w:val="799D0247"/>
    <w:multiLevelType w:val="hybridMultilevel"/>
    <w:lvl w:ilvl="0">
      <w:lvlJc w:val="left"/>
      <w:lvlText w:val="(%1)"/>
      <w:numFmt w:val="lowerLetter"/>
      <w:start w:val="13"/>
    </w:lvl>
  </w:abstractNum>
  <w:abstractNum w:abstractNumId="32">
    <w:nsid w:val="6B94764"/>
    <w:multiLevelType w:val="hybridMultilevel"/>
    <w:lvl w:ilvl="0">
      <w:lvlJc w:val="left"/>
      <w:lvlText w:val="(%1)"/>
      <w:numFmt w:val="lowerLetter"/>
      <w:start w:val="18"/>
    </w:lvl>
  </w:abstractNum>
  <w:abstractNum w:abstractNumId="33">
    <w:nsid w:val="42C296BD"/>
    <w:multiLevelType w:val="hybridMultilevel"/>
    <w:lvl w:ilvl="0">
      <w:lvlJc w:val="left"/>
      <w:lvlText w:val="(%1)"/>
      <w:numFmt w:val="lowerLetter"/>
      <w:start w:val="19"/>
    </w:lvl>
  </w:abstractNum>
  <w:abstractNum w:abstractNumId="34">
    <w:nsid w:val="168E121F"/>
    <w:multiLevelType w:val="hybridMultilevel"/>
    <w:lvl w:ilvl="0">
      <w:lvlJc w:val="left"/>
      <w:lvlText w:val="%1"/>
      <w:numFmt w:val="lowerLetter"/>
      <w:start w:val="1"/>
    </w:lvl>
    <w:lvl w:ilvl="1">
      <w:lvlJc w:val="left"/>
      <w:lvlText w:val="(%2)"/>
      <w:numFmt w:val="lowerLetter"/>
      <w:start w:val="21"/>
    </w:lvl>
  </w:abstractNum>
  <w:abstractNum w:abstractNumId="35">
    <w:nsid w:val="1EBA5D23"/>
    <w:multiLevelType w:val="hybridMultilevel"/>
    <w:lvl w:ilvl="0">
      <w:lvlJc w:val="left"/>
      <w:lvlText w:val="(%1)"/>
      <w:numFmt w:val="lowerLetter"/>
      <w:start w:val="24"/>
    </w:lvl>
    <w:lvl w:ilvl="1">
      <w:lvlJc w:val="left"/>
      <w:lvlText w:val="(%2)"/>
      <w:numFmt w:val="lowerLetter"/>
      <w:start w:val="25"/>
    </w:lvl>
  </w:abstractNum>
  <w:abstractNum w:abstractNumId="36">
    <w:nsid w:val="661E3F1E"/>
    <w:multiLevelType w:val="hybridMultilevel"/>
    <w:lvl w:ilvl="0">
      <w:lvlJc w:val="left"/>
      <w:lvlText w:val="(%1)"/>
      <w:numFmt w:val="lowerLetter"/>
      <w:start w:val="26"/>
    </w:lvl>
  </w:abstractNum>
  <w:abstractNum w:abstractNumId="37">
    <w:nsid w:val="5DC79EA8"/>
    <w:multiLevelType w:val="hybridMultilevel"/>
    <w:lvl w:ilvl="0">
      <w:lvlJc w:val="left"/>
      <w:lvlText w:val="(%1)"/>
      <w:numFmt w:val="lowerLetter"/>
      <w:start w:val="27"/>
    </w:lvl>
  </w:abstractNum>
  <w:abstractNum w:abstractNumId="38">
    <w:nsid w:val="540A471C"/>
    <w:multiLevelType w:val="hybridMultilevel"/>
    <w:lvl w:ilvl="0">
      <w:lvlJc w:val="left"/>
      <w:lvlText w:val="(%1)"/>
      <w:numFmt w:val="lowerLetter"/>
      <w:start w:val="28"/>
    </w:lvl>
  </w:abstractNum>
  <w:abstractNum w:abstractNumId="39">
    <w:nsid w:val="7BD3EE7B"/>
    <w:multiLevelType w:val="hybridMultilevel"/>
    <w:lvl w:ilvl="0">
      <w:lvlJc w:val="left"/>
      <w:lvlText w:val="(%1)"/>
      <w:numFmt w:val="lowerLetter"/>
      <w:start w:val="35"/>
    </w:lvl>
  </w:abstractNum>
  <w:abstractNum w:abstractNumId="40">
    <w:nsid w:val="51D9C564"/>
    <w:multiLevelType w:val="hybridMultilevel"/>
    <w:lvl w:ilvl="0">
      <w:lvlJc w:val="left"/>
      <w:lvlText w:val="(%1)"/>
      <w:numFmt w:val="lowerLetter"/>
      <w:start w:val="38"/>
    </w:lvl>
    <w:lvl w:ilvl="1">
      <w:lvlJc w:val="left"/>
      <w:lvlText w:val="%2"/>
      <w:numFmt w:val="lowerLetter"/>
      <w:start w:val="1"/>
    </w:lvl>
    <w:lvl w:ilvl="2">
      <w:lvlJc w:val="left"/>
      <w:lvlText w:val="%3"/>
      <w:numFmt w:val="lowerLetter"/>
      <w:start w:val="1"/>
    </w:lvl>
  </w:abstractNum>
  <w:abstractNum w:abstractNumId="41">
    <w:nsid w:val="613EFDC5"/>
    <w:multiLevelType w:val="hybridMultilevel"/>
    <w:lvl w:ilvl="0">
      <w:lvlJc w:val="left"/>
      <w:lvlText w:val="(%1)"/>
      <w:numFmt w:val="lowerLetter"/>
      <w:start w:val="41"/>
    </w:lvl>
    <w:lvl w:ilvl="1">
      <w:lvlJc w:val="left"/>
      <w:lvlText w:val="%2"/>
      <w:numFmt w:val="lowerLetter"/>
      <w:start w:val="1"/>
    </w:lvl>
    <w:lvl w:ilvl="2">
      <w:lvlJc w:val="left"/>
      <w:lvlText w:val="(%3)"/>
      <w:numFmt w:val="lowerLetter"/>
      <w:start w:val="1"/>
    </w:lvl>
  </w:abstractNum>
  <w:abstractNum w:abstractNumId="42">
    <w:nsid w:val="BF72B14"/>
    <w:multiLevelType w:val="hybridMultilevel"/>
    <w:lvl w:ilvl="0">
      <w:lvlJc w:val="left"/>
      <w:lvlText w:val="(%1)"/>
      <w:numFmt w:val="lowerLetter"/>
      <w:start w:val="44"/>
    </w:lvl>
  </w:abstractNum>
  <w:abstractNum w:abstractNumId="43">
    <w:nsid w:val="11447B73"/>
    <w:multiLevelType w:val="hybridMultilevel"/>
    <w:lvl w:ilvl="0">
      <w:lvlJc w:val="left"/>
      <w:lvlText w:val="(%1)"/>
      <w:numFmt w:val="lowerLetter"/>
      <w:start w:val="47"/>
    </w:lvl>
  </w:abstractNum>
  <w:abstractNum w:abstractNumId="44">
    <w:nsid w:val="42963E5A"/>
    <w:multiLevelType w:val="hybridMultilevel"/>
    <w:lvl w:ilvl="0">
      <w:lvlJc w:val="left"/>
      <w:lvlText w:val="(%1)"/>
      <w:numFmt w:val="lowerLetter"/>
      <w:start w:val="49"/>
    </w:lvl>
  </w:abstractNum>
  <w:abstractNum w:abstractNumId="45">
    <w:nsid w:val="A0382C5"/>
    <w:multiLevelType w:val="hybridMultilevel"/>
    <w:lvl w:ilvl="0">
      <w:lvlJc w:val="left"/>
      <w:lvlText w:val="(%1)"/>
      <w:numFmt w:val="lowerLetter"/>
      <w:start w:val="50"/>
    </w:lvl>
  </w:abstractNum>
  <w:abstractNum w:abstractNumId="46">
    <w:nsid w:val="8F2B15E"/>
    <w:multiLevelType w:val="hybridMultilevel"/>
    <w:lvl w:ilvl="0">
      <w:lvlJc w:val="left"/>
      <w:lvlText w:val="(%1)"/>
      <w:numFmt w:val="lowerLetter"/>
      <w:start w:val="52"/>
    </w:lvl>
  </w:abstractNum>
  <w:abstractNum w:abstractNumId="47">
    <w:nsid w:val="1A32234B"/>
    <w:multiLevelType w:val="hybridMultilevel"/>
    <w:lvl w:ilvl="0">
      <w:lvlJc w:val="left"/>
      <w:lvlText w:val="(%1)"/>
      <w:numFmt w:val="lowerLetter"/>
      <w:start w:val="53"/>
    </w:lvl>
  </w:abstractNum>
  <w:abstractNum w:abstractNumId="48">
    <w:nsid w:val="3B0FD379"/>
    <w:multiLevelType w:val="hybridMultilevel"/>
    <w:lvl w:ilvl="0">
      <w:lvlJc w:val="left"/>
      <w:lvlText w:val="(%1)"/>
      <w:numFmt w:val="lowerLetter"/>
      <w:start w:val="56"/>
    </w:lvl>
  </w:abstractNum>
  <w:abstractNum w:abstractNumId="49">
    <w:nsid w:val="68EB2F63"/>
    <w:multiLevelType w:val="hybridMultilevel"/>
    <w:lvl w:ilvl="0">
      <w:lvlJc w:val="left"/>
      <w:lvlText w:val="(%1)"/>
      <w:numFmt w:val="lowerLetter"/>
      <w:start w:val="57"/>
    </w:lvl>
  </w:abstractNum>
  <w:abstractNum w:abstractNumId="50">
    <w:nsid w:val="4962813B"/>
    <w:multiLevelType w:val="hybridMultilevel"/>
    <w:lvl w:ilvl="0">
      <w:lvlJc w:val="left"/>
      <w:lvlText w:val="(%1)"/>
      <w:numFmt w:val="lowerLetter"/>
      <w:start w:val="64"/>
    </w:lvl>
  </w:abstractNum>
  <w:abstractNum w:abstractNumId="51">
    <w:nsid w:val="60B6DF70"/>
    <w:multiLevelType w:val="hybridMultilevel"/>
    <w:lvl w:ilvl="0">
      <w:lvlJc w:val="left"/>
      <w:lvlText w:val="(%1)"/>
      <w:numFmt w:val="decimal"/>
      <w:start w:val="1"/>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1)"/>
      <w:numFmt w:val="decimal"/>
      <w:start w:val="1"/>
    </w:lvl>
    <w:lvl w:ilvl="1">
      <w:lvlJc w:val="left"/>
      <w:lvlText w:val="(%2)"/>
      <w:numFmt w:val="lowerLetter"/>
      <w:start w:val="1"/>
    </w:lvl>
  </w:abstractNum>
  <w:abstractNum w:abstractNumId="54">
    <w:nsid w:val="7FFFCA11"/>
    <w:multiLevelType w:val="hybridMultilevel"/>
    <w:lvl w:ilvl="0">
      <w:lvlJc w:val="left"/>
      <w:lvlText w:val="(%1)"/>
      <w:numFmt w:val="decimal"/>
      <w:start w:val="1"/>
    </w:lvl>
  </w:abstractNum>
  <w:abstractNum w:abstractNumId="55">
    <w:nsid w:val="1A27709E"/>
    <w:multiLevelType w:val="hybridMultilevel"/>
    <w:lvl w:ilvl="0">
      <w:lvlJc w:val="left"/>
      <w:lvlText w:val="(%1)"/>
      <w:numFmt w:val="lowerLetter"/>
      <w:start w:val="1"/>
    </w:lvl>
  </w:abstractNum>
  <w:abstractNum w:abstractNumId="56">
    <w:nsid w:val="71EA1109"/>
    <w:multiLevelType w:val="hybridMultilevel"/>
    <w:lvl w:ilvl="0">
      <w:lvlJc w:val="left"/>
      <w:lvlText w:val="(%1)"/>
      <w:numFmt w:val="decimal"/>
      <w:start w:val="2"/>
    </w:lvl>
  </w:abstractNum>
  <w:abstractNum w:abstractNumId="57">
    <w:nsid w:val="100F59DC"/>
    <w:multiLevelType w:val="hybridMultilevel"/>
    <w:lvl w:ilvl="0">
      <w:lvlJc w:val="left"/>
      <w:lvlText w:val="(%1)"/>
      <w:numFmt w:val="lowerLetter"/>
      <w:start w:val="2"/>
    </w:lvl>
  </w:abstractNum>
  <w:abstractNum w:abstractNumId="58">
    <w:nsid w:val="7FB7E0AA"/>
    <w:multiLevelType w:val="hybridMultilevel"/>
    <w:lvl w:ilvl="0">
      <w:lvlJc w:val="left"/>
      <w:lvlText w:val="(%1)"/>
      <w:numFmt w:val="decimal"/>
      <w:start w:val="1"/>
    </w:lvl>
    <w:lvl w:ilvl="1">
      <w:lvlJc w:val="left"/>
      <w:lvlText w:val="%2"/>
      <w:numFmt w:val="decimal"/>
      <w:start w:val="1"/>
    </w:lvl>
  </w:abstractNum>
  <w:abstractNum w:abstractNumId="59">
    <w:nsid w:val="6EB5BD4"/>
    <w:multiLevelType w:val="hybridMultilevel"/>
    <w:lvl w:ilvl="0">
      <w:lvlJc w:val="left"/>
      <w:lvlText w:val="(%1)"/>
      <w:numFmt w:val="decimal"/>
      <w:start w:val="4"/>
    </w:lvl>
    <w:lvl w:ilvl="1">
      <w:lvlJc w:val="left"/>
      <w:lvlText w:val="%2"/>
      <w:numFmt w:val="decimal"/>
      <w:start w:val="1"/>
    </w:lvl>
  </w:abstractNum>
  <w:abstractNum w:abstractNumId="60">
    <w:nsid w:val="6F6DD9AC"/>
    <w:multiLevelType w:val="hybridMultilevel"/>
    <w:lvl w:ilvl="0">
      <w:lvlJc w:val="left"/>
      <w:lvlText w:val="(%1)"/>
      <w:numFmt w:val="decimal"/>
      <w:start w:val="1"/>
    </w:lvl>
    <w:lvl w:ilvl="1">
      <w:lvlJc w:val="left"/>
      <w:lvlText w:val="(%2)"/>
      <w:numFmt w:val="lowerLetter"/>
      <w:start w:val="1"/>
    </w:lvl>
  </w:abstractNum>
  <w:abstractNum w:abstractNumId="61">
    <w:nsid w:val="94211F2"/>
    <w:multiLevelType w:val="hybridMultilevel"/>
    <w:lvl w:ilvl="0">
      <w:lvlJc w:val="left"/>
      <w:lvlText w:val="(%1)"/>
      <w:numFmt w:val="lowerLetter"/>
      <w:start w:val="3"/>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lowerLetter"/>
      <w:start w:val="3"/>
    </w:lvl>
  </w:abstractNum>
  <w:abstractNum w:abstractNumId="67">
    <w:nsid w:val="3222E7CD"/>
    <w:multiLevelType w:val="hybridMultilevel"/>
    <w:lvl w:ilvl="0">
      <w:lvlJc w:val="left"/>
      <w:lvlText w:val="(%1)"/>
      <w:numFmt w:val="decimal"/>
      <w:start w:val="2"/>
    </w:lvl>
    <w:lvl w:ilvl="1">
      <w:lvlJc w:val="left"/>
      <w:lvlText w:val="(%2)"/>
      <w:numFmt w:val="lowerLetter"/>
      <w:start w:val="1"/>
    </w:lvl>
  </w:abstractNum>
  <w:abstractNum w:abstractNumId="68">
    <w:nsid w:val="74DE0EE3"/>
    <w:multiLevelType w:val="hybridMultilevel"/>
    <w:lvl w:ilvl="0">
      <w:lvlJc w:val="left"/>
      <w:lvlText w:val="%1"/>
      <w:numFmt w:val="decimal"/>
      <w:start w:val="1"/>
    </w:lvl>
    <w:lvl w:ilvl="1">
      <w:lvlJc w:val="left"/>
      <w:lvlText w:val="(%2)"/>
      <w:numFmt w:val="lowerLetter"/>
      <w:start w:val="3"/>
    </w:lvl>
  </w:abstractNum>
  <w:abstractNum w:abstractNumId="69">
    <w:nsid w:val="68EBC550"/>
    <w:multiLevelType w:val="hybridMultilevel"/>
    <w:lvl w:ilvl="0">
      <w:lvlJc w:val="left"/>
      <w:lvlText w:val="(%1)"/>
      <w:numFmt w:val="decimal"/>
      <w:start w:val="3"/>
    </w:lvl>
    <w:lvl w:ilvl="1">
      <w:lvlJc w:val="left"/>
      <w:lvlText w:val="%2"/>
      <w:numFmt w:val="lowerLetter"/>
      <w:start w:val="1"/>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1)"/>
      <w:numFmt w:val="decimal"/>
      <w:start w:val="1"/>
    </w:lvl>
    <w:lvl w:ilvl="1">
      <w:lvlJc w:val="left"/>
      <w:lvlText w:val="(%2)"/>
      <w:numFmt w:val="lowerLetter"/>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1"/>
    </w:lvl>
    <w:lvl w:ilvl="1">
      <w:lvlJc w:val="left"/>
      <w:lvlText w:val="%2"/>
      <w:numFmt w:val="decimal"/>
      <w:start w:val="1"/>
    </w:lvl>
  </w:abstractNum>
  <w:abstractNum w:abstractNumId="74">
    <w:nsid w:val="57FC4FBB"/>
    <w:multiLevelType w:val="hybridMultilevel"/>
    <w:lvl w:ilvl="0">
      <w:lvlJc w:val="left"/>
      <w:lvlText w:val="(%1)"/>
      <w:numFmt w:val="decimal"/>
      <w:start w:val="4"/>
    </w:lvl>
    <w:lvl w:ilvl="1">
      <w:lvlJc w:val="left"/>
      <w:lvlText w:val="%2"/>
      <w:numFmt w:val="decimal"/>
      <w:start w:val="1"/>
    </w:lvl>
  </w:abstractNum>
  <w:abstractNum w:abstractNumId="75">
    <w:nsid w:val="CC1016F"/>
    <w:multiLevelType w:val="hybridMultilevel"/>
    <w:lvl w:ilvl="0">
      <w:lvlJc w:val="left"/>
      <w:lvlText w:val="(%1)"/>
      <w:numFmt w:val="decimal"/>
      <w:start w:val="1"/>
    </w:lvl>
    <w:lvl w:ilvl="1">
      <w:lvlJc w:val="left"/>
      <w:lvlText w:val="%2"/>
      <w:numFmt w:val="decimal"/>
      <w:start w:val="1"/>
    </w:lvl>
  </w:abstractNum>
  <w:abstractNum w:abstractNumId="76">
    <w:nsid w:val="43F18422"/>
    <w:multiLevelType w:val="hybridMultilevel"/>
    <w:lvl w:ilvl="0">
      <w:lvlJc w:val="left"/>
      <w:lvlText w:val="(%1)"/>
      <w:numFmt w:val="decimal"/>
      <w:start w:val="1"/>
    </w:lvl>
  </w:abstractNum>
  <w:abstractNum w:abstractNumId="77">
    <w:nsid w:val="60EF0119"/>
    <w:multiLevelType w:val="hybridMultilevel"/>
    <w:lvl w:ilvl="0">
      <w:lvlJc w:val="left"/>
      <w:lvlText w:val="(%1)"/>
      <w:numFmt w:val="decimal"/>
      <w:start w:val="1"/>
    </w:lvl>
    <w:lvl w:ilvl="1">
      <w:lvlJc w:val="left"/>
      <w:lvlText w:val="(%2)"/>
      <w:numFmt w:val="lowerLetter"/>
      <w:start w:val="1"/>
    </w:lvl>
  </w:abstractNum>
  <w:abstractNum w:abstractNumId="78">
    <w:nsid w:val="26F324BA"/>
    <w:multiLevelType w:val="hybridMultilevel"/>
    <w:lvl w:ilvl="0">
      <w:lvlJc w:val="left"/>
      <w:lvlText w:val="(%1)"/>
      <w:numFmt w:val="lowerLetter"/>
      <w:start w:val="3"/>
    </w:lvl>
  </w:abstractNum>
  <w:abstractNum w:abstractNumId="79">
    <w:nsid w:val="7F01579B"/>
    <w:multiLevelType w:val="hybridMultilevel"/>
    <w:lvl w:ilvl="0">
      <w:lvlJc w:val="left"/>
      <w:lvlText w:val="(%1)"/>
      <w:numFmt w:val="decimal"/>
      <w:start w:val="4"/>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1)"/>
      <w:numFmt w:val="decimal"/>
      <w:start w:val="1"/>
    </w:lvl>
  </w:abstractNum>
  <w:abstractNum w:abstractNumId="82">
    <w:nsid w:val="5FB8370B"/>
    <w:multiLevelType w:val="hybridMultilevel"/>
    <w:lvl w:ilvl="0">
      <w:lvlJc w:val="left"/>
      <w:lvlText w:val="(%1)"/>
      <w:numFmt w:val="decimal"/>
      <w:start w:val="1"/>
    </w:lvl>
    <w:lvl w:ilvl="1">
      <w:lvlJc w:val="left"/>
      <w:lvlText w:val="(%2)"/>
      <w:numFmt w:val="lowerLetter"/>
      <w:start w:val="1"/>
    </w:lvl>
  </w:abstractNum>
  <w:abstractNum w:abstractNumId="83">
    <w:nsid w:val="50801EE1"/>
    <w:multiLevelType w:val="hybridMultilevel"/>
    <w:lvl w:ilvl="0">
      <w:lvlJc w:val="left"/>
      <w:lvlText w:val="(%1)"/>
      <w:numFmt w:val="lowerLetter"/>
      <w:start w:val="3"/>
    </w:lvl>
  </w:abstractNum>
  <w:abstractNum w:abstractNumId="84">
    <w:nsid w:val="488AC1A"/>
    <w:multiLevelType w:val="hybridMultilevel"/>
    <w:lvl w:ilvl="0">
      <w:lvlJc w:val="left"/>
      <w:lvlText w:val="(%1)"/>
      <w:numFmt w:val="decimal"/>
      <w:start w:val="2"/>
    </w:lvl>
    <w:lvl w:ilvl="1">
      <w:lvlJc w:val="left"/>
      <w:lvlText w:val="(%2)"/>
      <w:numFmt w:val="lowerLetter"/>
      <w:start w:val="1"/>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1)"/>
      <w:numFmt w:val="decimal"/>
      <w:start w:val="2"/>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Letter"/>
      <w:start w:val="8"/>
    </w:lvl>
  </w:abstractNum>
  <w:abstractNum w:abstractNumId="90">
    <w:nsid w:val="7D5E18F8"/>
    <w:multiLevelType w:val="hybridMultilevel"/>
    <w:lvl w:ilvl="0">
      <w:lvlJc w:val="left"/>
      <w:lvlText w:val="%1"/>
      <w:numFmt w:val="lowerLetter"/>
      <w:start w:val="1"/>
    </w:lvl>
    <w:lvl w:ilvl="1">
      <w:lvlJc w:val="left"/>
      <w:lvlText w:val="(%2)"/>
      <w:numFmt w:val="decimal"/>
      <w:start w:val="1"/>
    </w:lvl>
  </w:abstractNum>
  <w:abstractNum w:abstractNumId="91">
    <w:nsid w:val="5F3534A4"/>
    <w:multiLevelType w:val="hybridMultilevel"/>
    <w:lvl w:ilvl="0">
      <w:lvlJc w:val="left"/>
      <w:lvlText w:val="(%1)"/>
      <w:numFmt w:val="lowerLetter"/>
      <w:start w:val="1"/>
    </w:lvl>
    <w:lvl w:ilvl="1">
      <w:lvlJc w:val="left"/>
      <w:lvlText w:val="%2"/>
      <w:numFmt w:val="decimal"/>
      <w:start w:val="1"/>
    </w:lvl>
  </w:abstractNum>
  <w:abstractNum w:abstractNumId="92">
    <w:nsid w:val="73A1821B"/>
    <w:multiLevelType w:val="hybridMultilevel"/>
    <w:lvl w:ilvl="0">
      <w:lvlJc w:val="left"/>
      <w:lvlText w:val="(%1)"/>
      <w:numFmt w:val="lowerLetter"/>
      <w:start w:val="4"/>
    </w:lvl>
  </w:abstractNum>
  <w:abstractNum w:abstractNumId="93">
    <w:nsid w:val="7DE67713"/>
    <w:multiLevelType w:val="hybridMultilevel"/>
    <w:lvl w:ilvl="0">
      <w:lvlJc w:val="left"/>
      <w:lvlText w:val="%1"/>
      <w:numFmt w:val="lowerLetter"/>
      <w:start w:val="1"/>
    </w:lvl>
    <w:lvl w:ilvl="1">
      <w:lvlJc w:val="left"/>
      <w:lvlText w:val="(%2)"/>
      <w:numFmt w:val="decimal"/>
      <w:start w:val="3"/>
    </w:lvl>
  </w:abstractNum>
  <w:abstractNum w:abstractNumId="94">
    <w:nsid w:val="555C55B5"/>
    <w:multiLevelType w:val="hybridMultilevel"/>
    <w:lvl w:ilvl="0">
      <w:lvlJc w:val="left"/>
      <w:lvlText w:val="(%1)"/>
      <w:numFmt w:val="lowerLetter"/>
      <w:start w:val="1"/>
    </w:lvl>
    <w:lvl w:ilvl="1">
      <w:lvlJc w:val="left"/>
      <w:lvlText w:val="%2"/>
      <w:numFmt w:val="decimal"/>
      <w:start w:val="1"/>
    </w:lvl>
  </w:abstractNum>
  <w:abstractNum w:abstractNumId="95">
    <w:nsid w:val="3FA62ACA"/>
    <w:multiLevelType w:val="hybridMultilevel"/>
    <w:lvl w:ilvl="0">
      <w:lvlJc w:val="left"/>
      <w:lvlText w:val="(%1)"/>
      <w:numFmt w:val="lowerLetter"/>
      <w:start w:val="2"/>
    </w:lvl>
    <w:lvl w:ilvl="1">
      <w:lvlJc w:val="left"/>
      <w:lvlText w:val="(%2)"/>
      <w:numFmt w:val="decimal"/>
      <w:start w:val="4"/>
    </w:lvl>
  </w:abstractNum>
  <w:abstractNum w:abstractNumId="96">
    <w:nsid w:val="14FCE74E"/>
    <w:multiLevelType w:val="hybridMultilevel"/>
    <w:lvl w:ilvl="0">
      <w:lvlJc w:val="left"/>
      <w:lvlText w:val="(%1)"/>
      <w:numFmt w:val="decimal"/>
      <w:start w:val="1"/>
    </w:lvl>
    <w:lvl w:ilvl="1">
      <w:lvlJc w:val="left"/>
      <w:lvlText w:val="(%2)"/>
      <w:numFmt w:val="lowerLetter"/>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2"/>
    </w:lvl>
  </w:abstractNum>
  <w:abstractNum w:abstractNumId="99">
    <w:nsid w:val="9DAF632"/>
    <w:multiLevelType w:val="hybridMultilevel"/>
    <w:lvl w:ilvl="0">
      <w:lvlJc w:val="left"/>
      <w:lvlText w:val="%1."/>
      <w:numFmt w:val="decimal"/>
      <w:start w:val="3"/>
    </w:lvl>
  </w:abstractNum>
  <w:abstractNum w:abstractNumId="100">
    <w:nsid w:val="53299938"/>
    <w:multiLevelType w:val="hybridMultilevel"/>
    <w:lvl w:ilvl="0">
      <w:lvlJc w:val="left"/>
      <w:lvlText w:val="%1."/>
      <w:numFmt w:val="decimal"/>
      <w:start w:val="4"/>
    </w:lvl>
  </w:abstractNum>
  <w:abstractNum w:abstractNumId="101">
    <w:nsid w:val="1FBFE8E0"/>
    <w:multiLevelType w:val="hybridMultilevel"/>
    <w:lvl w:ilvl="0">
      <w:lvlJc w:val="left"/>
      <w:lvlText w:val="%1."/>
      <w:numFmt w:val="decimal"/>
      <w:start w:val="5"/>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2"/>
    </w:lvl>
  </w:abstractNum>
  <w:abstractNum w:abstractNumId="104">
    <w:nsid w:val="59ADEA3D"/>
    <w:multiLevelType w:val="hybridMultilevel"/>
    <w:lvl w:ilvl="0">
      <w:lvlJc w:val="left"/>
      <w:lvlText w:val="(%1)"/>
      <w:numFmt w:val="decimal"/>
      <w:start w:val="1"/>
    </w:lvl>
    <w:lvl w:ilvl="1">
      <w:lvlJc w:val="left"/>
      <w:lvlText w:val="(%2)"/>
      <w:numFmt w:val="lowerLetter"/>
      <w:start w:val="1"/>
    </w:lvl>
  </w:abstractNum>
  <w:abstractNum w:abstractNumId="105">
    <w:nsid w:val="288F1A34"/>
    <w:multiLevelType w:val="hybridMultilevel"/>
    <w:lvl w:ilvl="0">
      <w:lvlJc w:val="left"/>
      <w:lvlText w:val="%1."/>
      <w:numFmt w:val="decimal"/>
      <w:start w:val="6"/>
    </w:lvl>
  </w:abstractNum>
  <w:abstractNum w:abstractNumId="106">
    <w:nsid w:val="2A155DBC"/>
    <w:multiLevelType w:val="hybridMultilevel"/>
    <w:lvl w:ilvl="0">
      <w:lvlJc w:val="left"/>
      <w:lvlText w:val="%1."/>
      <w:numFmt w:val="decimal"/>
      <w:start w:val="7"/>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2"/>
    </w:lvl>
  </w:abstractNum>
  <w:abstractNum w:abstractNumId="109">
    <w:nsid w:val="5108827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2025-03-19T16:01:10Z</dcterms:created>
  <dcterms:modified xsi:type="dcterms:W3CDTF">2025-03-19T16:01:10Z</dcterms:modified>
</cp:coreProperties>
</file>