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333-287390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20,249,283 Ordinary Shares </w:t>
      </w:r>
      <w:r>
        <w:rPr>
          <w:rFonts w:ascii="Times New Roman" w:cs="Times New Roman" w:eastAsia="Times New Roman" w:hAnsi="Times New Roman"/>
          <w:sz w:val="18"/>
          <w:szCs w:val="18"/>
          <w:b w:val="1"/>
          <w:bCs w:val="1"/>
          <w:i w:val="1"/>
          <w:iCs w:val="1"/>
          <w:color w:val="auto"/>
        </w:rPr>
        <w:t>(for resale)</w:t>
      </w:r>
    </w:p>
    <w:p>
      <w:pPr>
        <w:spacing w:after="0" w:line="225" w:lineRule="exact"/>
        <w:rPr>
          <w:sz w:val="24"/>
          <w:szCs w:val="24"/>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prospectus relates to the resale by certain selling security holders named herein (the “</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of up to 20,249,283 Ordinary Shares, consisting of (i) up to 2,760,848 Ordinary Shares issued in connection with the Bluedot Acquisition (as defined herein); (ii) up to 3,999,145 Ordinary Shares issued in connection with the GroupBy Acquisition (iii) up to 12,300,000 Ordinary Shares issuable to Western Alliance Bank ("</w:t>
      </w:r>
      <w:r>
        <w:rPr>
          <w:rFonts w:ascii="Times New Roman" w:cs="Times New Roman" w:eastAsia="Times New Roman" w:hAnsi="Times New Roman"/>
          <w:sz w:val="18"/>
          <w:szCs w:val="18"/>
          <w:b w:val="1"/>
          <w:bCs w:val="1"/>
          <w:i w:val="1"/>
          <w:iCs w:val="1"/>
          <w:color w:val="auto"/>
        </w:rPr>
        <w:t>WAB</w:t>
      </w:r>
      <w:r>
        <w:rPr>
          <w:rFonts w:ascii="Times New Roman" w:cs="Times New Roman" w:eastAsia="Times New Roman" w:hAnsi="Times New Roman"/>
          <w:sz w:val="18"/>
          <w:szCs w:val="18"/>
          <w:color w:val="auto"/>
        </w:rPr>
        <w:t>") in connection with the WAB Subscription Letter (as defined herein); (iv) up to 89,290 Ordinary Shares issuable to Roth Capital Partners, LLC as transaction-based compensation for the performance of advisory services rendered to the Company in connection with the Business Combination (as defined herein);</w:t>
      </w:r>
    </w:p>
    <w:p>
      <w:pPr>
        <w:spacing w:after="0" w:line="3" w:lineRule="exact"/>
        <w:rPr>
          <w:sz w:val="24"/>
          <w:szCs w:val="24"/>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300,000 Ordinary Shares issued to Radio Group Holding GmbH and certain other holders in connection with the settlement of an agreement;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800,000 Ordinary Shares issuable to DBLP in connection with the DBLP Settlement Agreement (as defined herein).</w:t>
      </w:r>
    </w:p>
    <w:p>
      <w:pPr>
        <w:spacing w:after="0" w:line="139" w:lineRule="exact"/>
        <w:rPr>
          <w:sz w:val="24"/>
          <w:szCs w:val="24"/>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of 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Holders represent approximately 8.23% of the outstanding Ordinary Shares as of the date of this prospectus.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107"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1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Holders pursuant to this prospectus. We will pay the expenses in connection with the preparation of this prospectus and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 Distribution.”</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140" w:lineRule="exact"/>
        <w:rPr>
          <w:sz w:val="24"/>
          <w:szCs w:val="24"/>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The Ordinary Shares and the Public Warrants are traded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symbols “RZLV." On May 22, 2025, the closing price of the Ordinary Shares was $2.19 per share.</w:t>
      </w:r>
    </w:p>
    <w:p>
      <w:pPr>
        <w:spacing w:after="0" w:line="91"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Given the substantial amount of redemptions in connection with the Business Combination, and the relative lack of liquidity in our stock, sales of the Ordinary Shares under the registration statement of which this prospectus is a part could result in a significant decline in the market price of our securities.</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10 and in any applicable prospectus supplement.</w:t>
      </w:r>
    </w:p>
    <w:p>
      <w:pPr>
        <w:spacing w:after="0" w:line="158" w:lineRule="exact"/>
        <w:rPr>
          <w:sz w:val="24"/>
          <w:szCs w:val="24"/>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May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20" w:type="dxa"/>
            <w:vAlign w:val="bottom"/>
            <w:gridSpan w:val="6"/>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391"/>
        </w:trPr>
        <w:tc>
          <w:tcPr>
            <w:tcW w:w="99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MARKET AND INDUSTRY DATA</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PROSPECTUS SUMMARY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THE OFFERING</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USE OF PROCEEDS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DIVIDEND POLICY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MARKET PRICE OF OUR SECURITIES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BUSINESS OF REZOLVE</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 AND COMPENSATION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BENEFICIAL OWNERSHIP OF SECURITIES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DESCRIPTION OF ORDINARY SHARES, ARTICLES OF ASSOCIATION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MATERIAL INCOME TAX CONSIDERATIONS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EXPENSES RELATED TO THIS OFFERING</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LEGAL MATTERS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8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ENFORCEABILITY OF CIVIL LIABILITY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2200" w:type="dxa"/>
            <w:vAlign w:val="bottom"/>
            <w:tcBorders>
              <w:left w:val="single" w:sz="8" w:color="0000EE"/>
              <w:right w:val="single" w:sz="8" w:color="0000FF"/>
            </w:tcBorders>
            <w:gridSpan w:val="9"/>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2200" w:type="dxa"/>
            <w:vAlign w:val="bottom"/>
            <w:tcBorders>
              <w:left w:val="single" w:sz="8" w:color="0000EE"/>
              <w:right w:val="single" w:sz="8" w:color="0000FF"/>
            </w:tcBorders>
            <w:gridSpan w:val="9"/>
            <w:shd w:val="clear" w:color="auto" w:fill="0000FF"/>
          </w:tcPr>
          <w:p>
            <w:pPr>
              <w:spacing w:after="0" w:line="20" w:lineRule="exact"/>
              <w:rPr>
                <w:sz w:val="1"/>
                <w:szCs w:val="1"/>
                <w:color w:val="auto"/>
              </w:rPr>
            </w:pPr>
          </w:p>
        </w:tc>
        <w:tc>
          <w:tcPr>
            <w:tcW w:w="1640" w:type="dxa"/>
            <w:vAlign w:val="bottom"/>
            <w:tcBorders>
              <w:left w:val="single" w:sz="8" w:color="0000FF"/>
            </w:tcBorders>
            <w:gridSpan w:val="8"/>
            <w:shd w:val="clear" w:color="auto" w:fill="0000FF"/>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ind w:right="120" w:firstLine="576"/>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F-l that we filed with the SEC using a “shelf’ registration process. Under this shelf registration process, we and the Selling Holders may, from time to time, issue, offer and sell, as applicable, any combination of the securities described in this prospectus in one or more offerings. The Selling Holders may use the shelf registration statement to sell up to an aggregate of 20,249,283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Holders offer and sell may be provided in a prospectus supplement that describes, among other things, the specific amounts and prices of the Ordinary Shares being offered and the terms of the offering the Selling Holders may, from time to time, issue, offer and sell, as applicable, any combination of the securities described in this prospectus in one or more offerings.</w:t>
      </w:r>
    </w:p>
    <w:p>
      <w:pPr>
        <w:spacing w:after="0" w:line="189"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8"/>
          <w:szCs w:val="18"/>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3"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76"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On August 15, 2024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Armada Acquisition Corp. I, a Delaware corporation (“</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Rezolve AI Limited, a private limited company registered under the laws of England and Wales with registration number 14573691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Rezolve Merger Sub, Inc., a Delaware corporation (“</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pursuant to which, among other things, (i) on July 4, 2024, Rezolve Limited, a private limited company organized under the laws of England and Wales ("</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effected a pre-Closing demerger (the “</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83" w:lineRule="exact"/>
        <w:rPr>
          <w:sz w:val="20"/>
          <w:szCs w:val="20"/>
          <w:color w:val="auto"/>
        </w:rPr>
      </w:pPr>
    </w:p>
    <w:p>
      <w:pPr>
        <w:ind w:right="160" w:firstLine="576"/>
        <w:spacing w:after="0" w:line="268" w:lineRule="auto"/>
        <w:rPr>
          <w:sz w:val="20"/>
          <w:szCs w:val="20"/>
          <w:color w:val="auto"/>
        </w:rPr>
      </w:pPr>
      <w:r>
        <w:rPr>
          <w:rFonts w:ascii="Times New Roman" w:cs="Times New Roman" w:eastAsia="Times New Roman" w:hAnsi="Times New Roman"/>
          <w:sz w:val="18"/>
          <w:szCs w:val="18"/>
          <w:color w:val="auto"/>
        </w:rPr>
        <w:t>On February 4, 2025, Rezolve entered into a Purchase Agreement (the “</w:t>
      </w:r>
      <w:r>
        <w:rPr>
          <w:rFonts w:ascii="Times New Roman" w:cs="Times New Roman" w:eastAsia="Times New Roman" w:hAnsi="Times New Roman"/>
          <w:sz w:val="18"/>
          <w:szCs w:val="18"/>
          <w:b w:val="1"/>
          <w:bCs w:val="1"/>
          <w:i w:val="1"/>
          <w:iCs w:val="1"/>
          <w:color w:val="auto"/>
        </w:rPr>
        <w:t>First Bluedot Purchase Agreement</w:t>
      </w:r>
      <w:r>
        <w:rPr>
          <w:rFonts w:ascii="Times New Roman" w:cs="Times New Roman" w:eastAsia="Times New Roman" w:hAnsi="Times New Roman"/>
          <w:sz w:val="18"/>
          <w:szCs w:val="18"/>
          <w:color w:val="auto"/>
        </w:rPr>
        <w:t>”), by and between the Company and DBLP Sea Cow Ltd, a limited company organized under the laws of the Seychelles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pursuant to which the Company agreed to purchase, and DBLP agreed to sell, the entire issued and to be issued share capital of each of Bluedot</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 w:name="page4"/>
    <w:bookmarkEnd w:id="3"/>
    <w:p>
      <w:pPr>
        <w:ind w:right="160"/>
        <w:spacing w:after="0" w:line="282" w:lineRule="auto"/>
        <w:rPr>
          <w:sz w:val="20"/>
          <w:szCs w:val="20"/>
          <w:color w:val="auto"/>
        </w:rPr>
      </w:pPr>
      <w:r>
        <w:rPr>
          <w:rFonts w:ascii="Times New Roman" w:cs="Times New Roman" w:eastAsia="Times New Roman" w:hAnsi="Times New Roman"/>
          <w:sz w:val="18"/>
          <w:szCs w:val="18"/>
          <w:color w:val="auto"/>
        </w:rPr>
        <w:t>Industries, Inc., a Delaware corporation, and Bluedot Industries Pty. Ltd, an Australian proprietary limited company registered in Victoria on 7 December 2013 with Australian Company Number 165 206 566 (the “</w:t>
      </w:r>
      <w:r>
        <w:rPr>
          <w:rFonts w:ascii="Times New Roman" w:cs="Times New Roman" w:eastAsia="Times New Roman" w:hAnsi="Times New Roman"/>
          <w:sz w:val="18"/>
          <w:szCs w:val="18"/>
          <w:b w:val="1"/>
          <w:bCs w:val="1"/>
          <w:i w:val="1"/>
          <w:iCs w:val="1"/>
          <w:color w:val="auto"/>
        </w:rPr>
        <w:t>First Bluedot Acquisition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40" w:firstLine="576"/>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58" w:lineRule="exact"/>
        <w:rPr>
          <w:sz w:val="20"/>
          <w:szCs w:val="20"/>
          <w:color w:val="auto"/>
        </w:rPr>
      </w:pPr>
    </w:p>
    <w:p>
      <w:pPr>
        <w:ind w:right="120" w:firstLine="576"/>
        <w:spacing w:after="0" w:line="259" w:lineRule="auto"/>
        <w:rPr>
          <w:sz w:val="20"/>
          <w:szCs w:val="20"/>
          <w:color w:val="auto"/>
        </w:rPr>
      </w:pPr>
      <w:r>
        <w:rPr>
          <w:rFonts w:ascii="Times New Roman" w:cs="Times New Roman" w:eastAsia="Times New Roman" w:hAnsi="Times New Roman"/>
          <w:sz w:val="18"/>
          <w:szCs w:val="18"/>
          <w:color w:val="auto"/>
        </w:rPr>
        <w:t>On March 17, 2025, Rezolve entered into a Purchase Agreement (the “</w:t>
      </w:r>
      <w:r>
        <w:rPr>
          <w:rFonts w:ascii="Times New Roman" w:cs="Times New Roman" w:eastAsia="Times New Roman" w:hAnsi="Times New Roman"/>
          <w:sz w:val="18"/>
          <w:szCs w:val="18"/>
          <w:b w:val="1"/>
          <w:bCs w:val="1"/>
          <w:i w:val="1"/>
          <w:iCs w:val="1"/>
          <w:color w:val="auto"/>
        </w:rPr>
        <w:t>Second Bluedot Purchase Agreement</w:t>
      </w:r>
      <w:r>
        <w:rPr>
          <w:rFonts w:ascii="Times New Roman" w:cs="Times New Roman" w:eastAsia="Times New Roman" w:hAnsi="Times New Roman"/>
          <w:sz w:val="18"/>
          <w:szCs w:val="18"/>
          <w:color w:val="auto"/>
        </w:rPr>
        <w:t>”), by and between the Company and Tanist Group Limited, a limited company organized under the laws of the British Virgin Islands (“</w:t>
      </w:r>
      <w:r>
        <w:rPr>
          <w:rFonts w:ascii="Times New Roman" w:cs="Times New Roman" w:eastAsia="Times New Roman" w:hAnsi="Times New Roman"/>
          <w:sz w:val="18"/>
          <w:szCs w:val="18"/>
          <w:b w:val="1"/>
          <w:bCs w:val="1"/>
          <w:i w:val="1"/>
          <w:iCs w:val="1"/>
          <w:color w:val="auto"/>
        </w:rPr>
        <w:t>Tanist</w:t>
      </w:r>
      <w:r>
        <w:rPr>
          <w:rFonts w:ascii="Times New Roman" w:cs="Times New Roman" w:eastAsia="Times New Roman" w:hAnsi="Times New Roman"/>
          <w:sz w:val="18"/>
          <w:szCs w:val="18"/>
          <w:color w:val="auto"/>
        </w:rPr>
        <w:t>”), pursuant to which the Company agreed to purchase, and Tanist agreed to sell, the entire issued and to be issued share capital of Bluedot Innovation Pty. Ltd, an Australian proprietary limited company registered in South Australia 161 734 621 (the “</w:t>
      </w:r>
      <w:r>
        <w:rPr>
          <w:rFonts w:ascii="Times New Roman" w:cs="Times New Roman" w:eastAsia="Times New Roman" w:hAnsi="Times New Roman"/>
          <w:sz w:val="18"/>
          <w:szCs w:val="18"/>
          <w:b w:val="1"/>
          <w:bCs w:val="1"/>
          <w:i w:val="1"/>
          <w:iCs w:val="1"/>
          <w:color w:val="auto"/>
        </w:rPr>
        <w:t>Second Bluedot Acquisition</w:t>
      </w:r>
      <w:r>
        <w:rPr>
          <w:rFonts w:ascii="Times New Roman" w:cs="Times New Roman" w:eastAsia="Times New Roman" w:hAnsi="Times New Roman"/>
          <w:sz w:val="18"/>
          <w:szCs w:val="18"/>
          <w:color w:val="auto"/>
        </w:rPr>
        <w:t>, and together with the First Bluedot Acquisition, the “</w:t>
      </w:r>
      <w:r>
        <w:rPr>
          <w:rFonts w:ascii="Times New Roman" w:cs="Times New Roman" w:eastAsia="Times New Roman" w:hAnsi="Times New Roman"/>
          <w:sz w:val="18"/>
          <w:szCs w:val="18"/>
          <w:b w:val="1"/>
          <w:bCs w:val="1"/>
          <w:i w:val="1"/>
          <w:iCs w:val="1"/>
          <w:color w:val="auto"/>
        </w:rPr>
        <w:t>Bluedot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60" w:firstLine="576"/>
        <w:spacing w:after="0" w:line="282" w:lineRule="auto"/>
        <w:rPr>
          <w:sz w:val="20"/>
          <w:szCs w:val="20"/>
          <w:color w:val="auto"/>
        </w:rPr>
      </w:pPr>
      <w:r>
        <w:rPr>
          <w:rFonts w:ascii="Times New Roman" w:cs="Times New Roman" w:eastAsia="Times New Roman" w:hAnsi="Times New Roman"/>
          <w:sz w:val="18"/>
          <w:szCs w:val="18"/>
          <w:color w:val="auto"/>
        </w:rPr>
        <w:t>On March 17, 2025, Rezolve closed the Second Bluedot Acquisition. As consideration for the Second Bluedot Acquisition, Rezolve issued 1,941,111 ordinary shares of the Company in a private placement to Tanist.</w:t>
      </w:r>
    </w:p>
    <w:p>
      <w:pPr>
        <w:spacing w:after="0" w:line="158" w:lineRule="exact"/>
        <w:rPr>
          <w:sz w:val="20"/>
          <w:szCs w:val="20"/>
          <w:color w:val="auto"/>
        </w:rPr>
      </w:pPr>
    </w:p>
    <w:p>
      <w:pPr>
        <w:ind w:right="80" w:firstLine="576"/>
        <w:spacing w:after="0" w:line="259" w:lineRule="auto"/>
        <w:rPr>
          <w:sz w:val="20"/>
          <w:szCs w:val="20"/>
          <w:color w:val="auto"/>
        </w:rPr>
      </w:pPr>
      <w:r>
        <w:rPr>
          <w:rFonts w:ascii="Times New Roman" w:cs="Times New Roman" w:eastAsia="Times New Roman" w:hAnsi="Times New Roman"/>
          <w:sz w:val="18"/>
          <w:szCs w:val="18"/>
          <w:color w:val="auto"/>
        </w:rPr>
        <w:t>On February 11, 2025, Rezolve entered into a Purchase Agreement (the “</w:t>
      </w:r>
      <w:r>
        <w:rPr>
          <w:rFonts w:ascii="Times New Roman" w:cs="Times New Roman" w:eastAsia="Times New Roman" w:hAnsi="Times New Roman"/>
          <w:sz w:val="18"/>
          <w:szCs w:val="18"/>
          <w:b w:val="1"/>
          <w:bCs w:val="1"/>
          <w:i w:val="1"/>
          <w:iCs w:val="1"/>
          <w:color w:val="auto"/>
        </w:rPr>
        <w:t>GroupBy Purchase Agreement</w:t>
      </w:r>
      <w:r>
        <w:rPr>
          <w:rFonts w:ascii="Times New Roman" w:cs="Times New Roman" w:eastAsia="Times New Roman" w:hAnsi="Times New Roman"/>
          <w:sz w:val="18"/>
          <w:szCs w:val="18"/>
          <w:color w:val="auto"/>
        </w:rPr>
        <w:t>”), by and among the Company, GroupBy Inc., an Ontario, Canada corporation (“</w:t>
      </w:r>
      <w:r>
        <w:rPr>
          <w:rFonts w:ascii="Times New Roman" w:cs="Times New Roman" w:eastAsia="Times New Roman" w:hAnsi="Times New Roman"/>
          <w:sz w:val="18"/>
          <w:szCs w:val="18"/>
          <w:b w:val="1"/>
          <w:bCs w:val="1"/>
          <w:i w:val="1"/>
          <w:iCs w:val="1"/>
          <w:color w:val="auto"/>
        </w:rPr>
        <w:t>GroupBy</w:t>
      </w:r>
      <w:r>
        <w:rPr>
          <w:rFonts w:ascii="Times New Roman" w:cs="Times New Roman" w:eastAsia="Times New Roman" w:hAnsi="Times New Roman"/>
          <w:sz w:val="18"/>
          <w:szCs w:val="18"/>
          <w:color w:val="auto"/>
        </w:rPr>
        <w:t>”), GroupBy International Ltd., an Ontario, Canada corporation (“</w:t>
      </w:r>
      <w:r>
        <w:rPr>
          <w:rFonts w:ascii="Times New Roman" w:cs="Times New Roman" w:eastAsia="Times New Roman" w:hAnsi="Times New Roman"/>
          <w:sz w:val="18"/>
          <w:szCs w:val="18"/>
          <w:b w:val="1"/>
          <w:bCs w:val="1"/>
          <w:i w:val="1"/>
          <w:iCs w:val="1"/>
          <w:color w:val="auto"/>
        </w:rPr>
        <w:t>GroupBy International</w:t>
      </w:r>
      <w:r>
        <w:rPr>
          <w:rFonts w:ascii="Times New Roman" w:cs="Times New Roman" w:eastAsia="Times New Roman" w:hAnsi="Times New Roman"/>
          <w:sz w:val="18"/>
          <w:szCs w:val="18"/>
          <w:color w:val="auto"/>
        </w:rPr>
        <w:t>”) and Fortis Advisors LLC, a Delaware limited liability company, as the representative of the sellers party thereto (the “Sellers”), pursuant to which the Company agreed to purchase, and the Sellers agreed to sell, the entire issued and to be issued share capital of each of GroupBy and GroupBy International (the “</w:t>
      </w:r>
      <w:r>
        <w:rPr>
          <w:rFonts w:ascii="Times New Roman" w:cs="Times New Roman" w:eastAsia="Times New Roman" w:hAnsi="Times New Roman"/>
          <w:sz w:val="18"/>
          <w:szCs w:val="18"/>
          <w:b w:val="1"/>
          <w:bCs w:val="1"/>
          <w:i w:val="1"/>
          <w:iCs w:val="1"/>
          <w:color w:val="auto"/>
        </w:rPr>
        <w:t>GroupBy Acquisition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62" w:lineRule="exact"/>
        <w:rPr>
          <w:sz w:val="20"/>
          <w:szCs w:val="20"/>
          <w:color w:val="auto"/>
        </w:rPr>
      </w:pPr>
    </w:p>
    <w:p>
      <w:pPr>
        <w:ind w:right="40" w:firstLine="576"/>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adviser.</w:t>
      </w:r>
    </w:p>
    <w:p>
      <w:pPr>
        <w:spacing w:after="0" w:line="207"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plc (formerly Rezolve AI Limited), including its subsidiaries.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89" w:lineRule="exact"/>
        <w:rPr>
          <w:sz w:val="20"/>
          <w:szCs w:val="20"/>
          <w:color w:val="auto"/>
        </w:rPr>
      </w:pPr>
    </w:p>
    <w:p>
      <w:pPr>
        <w:ind w:right="340" w:firstLine="576"/>
        <w:spacing w:after="0" w:line="258"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89"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right="140" w:firstLine="576"/>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means Armada Acquisition Corp. I, a Delaware corporation;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Common Stock</w:t>
      </w:r>
      <w:r>
        <w:rPr>
          <w:rFonts w:ascii="Times New Roman" w:cs="Times New Roman" w:eastAsia="Times New Roman" w:hAnsi="Times New Roman"/>
          <w:sz w:val="18"/>
          <w:szCs w:val="18"/>
          <w:color w:val="auto"/>
        </w:rPr>
        <w:t>” means, prior to the Business Combination, an issued and outstanding share of common stock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Unit</w:t>
      </w:r>
      <w:r>
        <w:rPr>
          <w:rFonts w:ascii="Times New Roman" w:cs="Times New Roman" w:eastAsia="Times New Roman" w:hAnsi="Times New Roman"/>
          <w:sz w:val="18"/>
          <w:szCs w:val="18"/>
          <w:color w:val="auto"/>
        </w:rPr>
        <w:t>” means, prior to the Business Combination, an issued and outstanding unit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Warran</w:t>
      </w:r>
      <w:r>
        <w:rPr>
          <w:rFonts w:ascii="Times New Roman" w:cs="Times New Roman" w:eastAsia="Times New Roman" w:hAnsi="Times New Roman"/>
          <w:sz w:val="18"/>
          <w:szCs w:val="18"/>
          <w:color w:val="auto"/>
        </w:rPr>
        <w:t>t” means, prior to the Business Combination, an issued and outstanding warrant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225" w:lineRule="exact"/>
        <w:rPr>
          <w:sz w:val="20"/>
          <w:szCs w:val="20"/>
          <w:color w:val="auto"/>
        </w:rPr>
      </w:pPr>
    </w:p>
    <w:p>
      <w:pPr>
        <w:ind w:right="100" w:firstLine="57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means the convertible loan notes issued on the terms of the Loan Note Instrument;</w:t>
      </w:r>
    </w:p>
    <w:p>
      <w:pPr>
        <w:spacing w:after="0" w:line="225" w:lineRule="exact"/>
        <w:rPr>
          <w:sz w:val="20"/>
          <w:szCs w:val="20"/>
          <w:color w:val="auto"/>
        </w:rPr>
      </w:pPr>
    </w:p>
    <w:p>
      <w:pPr>
        <w:ind w:right="30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means, collectively, the shares of Armada Common Stock held by the Sponsor, the chief executive officer of Armada, the president of Armada and independent directors of Armada;</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GeoZone</w:t>
      </w:r>
      <w:r>
        <w:rPr>
          <w:rFonts w:ascii="Times New Roman" w:cs="Times New Roman" w:eastAsia="Times New Roman" w:hAnsi="Times New Roman"/>
          <w:sz w:val="18"/>
          <w:szCs w:val="18"/>
          <w:color w:val="auto"/>
        </w:rPr>
        <w:t>” means a location-based marketing tool which is a feature of Rezolve’s platform;</w:t>
      </w:r>
    </w:p>
    <w:p>
      <w:pPr>
        <w:spacing w:after="0" w:line="225" w:lineRule="exact"/>
        <w:rPr>
          <w:sz w:val="20"/>
          <w:szCs w:val="20"/>
          <w:color w:val="auto"/>
        </w:rPr>
      </w:pPr>
    </w:p>
    <w:p>
      <w:pPr>
        <w:ind w:right="30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the amended form investor rights agreements entered into by Rezolve, Armada, the Sponsor and certain stockholders of Rezolve;</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means the convertible note issued by Rezolve to J.V.B. Financial Group, LLC, a registered broker-dealer,on August 14, 2024.</w:t>
      </w:r>
    </w:p>
    <w:p>
      <w:pPr>
        <w:spacing w:after="0" w:line="225" w:lineRule="exact"/>
        <w:rPr>
          <w:sz w:val="20"/>
          <w:szCs w:val="20"/>
          <w:color w:val="auto"/>
        </w:rPr>
      </w:pPr>
    </w:p>
    <w:p>
      <w:pPr>
        <w:ind w:right="14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has the meaning given to it in the Loan Note Instrument.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right="22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Noteholder Majority</w:t>
      </w:r>
      <w:r>
        <w:rPr>
          <w:rFonts w:ascii="Times New Roman" w:cs="Times New Roman" w:eastAsia="Times New Roman" w:hAnsi="Times New Roman"/>
          <w:sz w:val="18"/>
          <w:szCs w:val="18"/>
          <w:color w:val="auto"/>
        </w:rPr>
        <w:t>” means the prior consent of holders of more than two-thirds of the aggregate principal amount of the Convertible Notes outstanding from time to time;</w:t>
      </w:r>
    </w:p>
    <w:p>
      <w:pPr>
        <w:spacing w:after="0" w:line="155" w:lineRule="exact"/>
        <w:rPr>
          <w:sz w:val="20"/>
          <w:szCs w:val="20"/>
          <w:color w:val="auto"/>
        </w:rPr>
      </w:pPr>
    </w:p>
    <w:p>
      <w:pPr>
        <w:ind w:firstLine="57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2" w:right="459"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Registerable Securities</w:t>
      </w:r>
      <w:r>
        <w:rPr>
          <w:rFonts w:ascii="Times New Roman" w:cs="Times New Roman" w:eastAsia="Times New Roman" w:hAnsi="Times New Roman"/>
          <w:sz w:val="18"/>
          <w:szCs w:val="18"/>
          <w:color w:val="auto"/>
        </w:rPr>
        <w:t>” has the meaning given to it in the Investor Rights Agreement.</w:t>
      </w:r>
    </w:p>
    <w:p>
      <w:pPr>
        <w:spacing w:after="0" w:line="225" w:lineRule="exact"/>
        <w:rPr>
          <w:sz w:val="20"/>
          <w:szCs w:val="20"/>
          <w:color w:val="auto"/>
        </w:rPr>
      </w:pPr>
    </w:p>
    <w:p>
      <w:pPr>
        <w:ind w:right="24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Incentive Equity Plan</w:t>
      </w:r>
      <w:r>
        <w:rPr>
          <w:rFonts w:ascii="Times New Roman" w:cs="Times New Roman" w:eastAsia="Times New Roman" w:hAnsi="Times New Roman"/>
          <w:sz w:val="18"/>
          <w:szCs w:val="18"/>
          <w:color w:val="auto"/>
        </w:rPr>
        <w:t>” means the incentive equity plan adopted by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means Rezolve Merger Sub, Inc., a Delaware corporation;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Options</w:t>
      </w:r>
      <w:r>
        <w:rPr>
          <w:rFonts w:ascii="Times New Roman" w:cs="Times New Roman" w:eastAsia="Times New Roman" w:hAnsi="Times New Roman"/>
          <w:sz w:val="18"/>
          <w:szCs w:val="18"/>
          <w:color w:val="auto"/>
        </w:rPr>
        <w:t>” means options to subscribe for Ordinary Shares;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Armada Sponsor LLC;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right="20" w:firstLine="576"/>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207" w:lineRule="exact"/>
        <w:rPr>
          <w:sz w:val="20"/>
          <w:szCs w:val="20"/>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4" w:right="419" w:bottom="1440" w:gutter="0" w:footer="0" w:header="0"/>
        </w:sectPr>
      </w:pPr>
    </w:p>
    <w:bookmarkStart w:id="6" w:name="page7"/>
    <w:bookmarkEnd w:id="6"/>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207" w:lineRule="exact"/>
        <w:rPr>
          <w:sz w:val="20"/>
          <w:szCs w:val="20"/>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transactions with Armada;</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our business;</w:t>
      </w:r>
    </w:p>
    <w:p>
      <w:pPr>
        <w:spacing w:after="0" w:line="252" w:lineRule="exact"/>
        <w:rPr>
          <w:rFonts w:ascii="Times New Roman" w:cs="Times New Roman" w:eastAsia="Times New Roman" w:hAnsi="Times New Roman"/>
          <w:sz w:val="18"/>
          <w:szCs w:val="18"/>
          <w:color w:val="auto"/>
        </w:rPr>
      </w:pPr>
    </w:p>
    <w:p>
      <w:pPr>
        <w:ind w:left="960" w:right="360" w:hanging="367"/>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 following the consummation of the Business Combination and the transactions contemplated thereby</w:t>
      </w:r>
    </w:p>
    <w:p>
      <w:pPr>
        <w:spacing w:after="0" w:line="188"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or other hostilities;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250"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jc w:val="both"/>
        <w:ind w:right="40" w:firstLine="576"/>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jc w:val="both"/>
        <w:ind w:right="60" w:firstLine="576"/>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 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 or Warrants.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Business of Rezolve-Partner Agreements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29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mailing address of Rezolve AI plc’s registered office is 21 Sackville Street, London, W1S 3DN, United Kingdom, +44 204 625 9700 and its principal executive office is 21 Sackville Street, London, W1S 3DN, 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the Closing Date, we consummated the previously announced Business Combination with Armada.</w:t>
      </w:r>
    </w:p>
    <w:p>
      <w:pPr>
        <w:spacing w:after="0" w:line="333"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On July 4, 2024, prior to the Closing Date, Rezolve Limited effected the Pre-Closing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168846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4" w:lineRule="exact"/>
        <w:rPr>
          <w:sz w:val="20"/>
          <w:szCs w:val="20"/>
          <w:color w:val="auto"/>
        </w:rPr>
      </w:pPr>
    </w:p>
    <w:p>
      <w:pPr>
        <w:ind w:right="420" w:firstLine="8"/>
        <w:spacing w:after="0" w:line="223" w:lineRule="auto"/>
        <w:tabs>
          <w:tab w:leader="none" w:pos="105"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8" w:name="page9"/>
    <w:bookmarkEnd w:id="8"/>
    <w:p>
      <w:pPr>
        <w:ind w:right="200"/>
        <w:spacing w:after="0" w:line="266" w:lineRule="auto"/>
        <w:rPr>
          <w:sz w:val="20"/>
          <w:szCs w:val="20"/>
          <w:color w:val="auto"/>
        </w:rPr>
      </w:pPr>
      <w:r>
        <w:rPr>
          <w:rFonts w:ascii="Times New Roman" w:cs="Times New Roman" w:eastAsia="Times New Roman" w:hAnsi="Times New Roman"/>
          <w:sz w:val="18"/>
          <w:szCs w:val="18"/>
          <w:color w:val="auto"/>
        </w:rPr>
        <w:t>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2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spacing w:after="0" w:line="29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Bluedot Acquisition</w:t>
      </w:r>
    </w:p>
    <w:p>
      <w:pPr>
        <w:spacing w:after="0" w:line="229"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On February 4, 2025, Rezolve entered into the First BlueDot Purchase Agreement, by and between the Company and DBLP, pursuant to which the Company agreed to purchase, and DBLP agreed to sell, the entire issued and to be issued share capital of each of Bluedot Industries, Inc., a Delaware corporation, and Bluedot Industries Pty. Ltd, an Australian proprietary limited company registered in Victoria on 7 December 2013 with Australian Company Number 165 206 566.</w:t>
      </w:r>
    </w:p>
    <w:p>
      <w:pPr>
        <w:spacing w:after="0" w:line="180" w:lineRule="exact"/>
        <w:rPr>
          <w:sz w:val="20"/>
          <w:szCs w:val="20"/>
          <w:color w:val="auto"/>
        </w:rPr>
      </w:pPr>
    </w:p>
    <w:p>
      <w:pPr>
        <w:ind w:right="240" w:firstLine="576"/>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62" w:lineRule="exact"/>
        <w:rPr>
          <w:sz w:val="20"/>
          <w:szCs w:val="20"/>
          <w:color w:val="auto"/>
        </w:rPr>
      </w:pPr>
    </w:p>
    <w:p>
      <w:pPr>
        <w:ind w:right="180" w:firstLine="576"/>
        <w:spacing w:after="0" w:line="266" w:lineRule="auto"/>
        <w:rPr>
          <w:sz w:val="20"/>
          <w:szCs w:val="20"/>
          <w:color w:val="auto"/>
        </w:rPr>
      </w:pPr>
      <w:r>
        <w:rPr>
          <w:rFonts w:ascii="Times New Roman" w:cs="Times New Roman" w:eastAsia="Times New Roman" w:hAnsi="Times New Roman"/>
          <w:sz w:val="18"/>
          <w:szCs w:val="18"/>
          <w:color w:val="auto"/>
        </w:rPr>
        <w:t>On March 17, 2025, Rezolve entered into the Second Bluedot Purchase Agreement, by and between the Company and Tanist , pursuant to which the Company agreed to purchase, and Tanist agreed to sell, the entire issued and to be issued share capital of Bluedot Innovation Pty. Ltd, an Australian proprietary limited company registered in South Australia 161 734 621.</w:t>
      </w:r>
    </w:p>
    <w:p>
      <w:pPr>
        <w:spacing w:after="0" w:line="176" w:lineRule="exact"/>
        <w:rPr>
          <w:sz w:val="20"/>
          <w:szCs w:val="20"/>
          <w:color w:val="auto"/>
        </w:rPr>
      </w:pPr>
    </w:p>
    <w:p>
      <w:pPr>
        <w:ind w:right="660" w:firstLine="576"/>
        <w:spacing w:after="0" w:line="282" w:lineRule="auto"/>
        <w:rPr>
          <w:sz w:val="20"/>
          <w:szCs w:val="20"/>
          <w:color w:val="auto"/>
        </w:rPr>
      </w:pPr>
      <w:r>
        <w:rPr>
          <w:rFonts w:ascii="Times New Roman" w:cs="Times New Roman" w:eastAsia="Times New Roman" w:hAnsi="Times New Roman"/>
          <w:sz w:val="18"/>
          <w:szCs w:val="18"/>
          <w:color w:val="auto"/>
        </w:rPr>
        <w:t>On March 17, 2025, Rezolve closed the Second Bluedot Acquisition. As consideration for the Second Bluedot Acquisition, Rezolve issued 1,941,111 ordinary shares of the Company in a private placement to Tanist.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GroupBy Acquisition</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Rezolve entered into the GroupBy Purchase Agreement, by and among the Company, GroupBy, GroupBy International and the “Sellers, pursuant to which the Company agreed to purchase, and the Sellers agreed to sell, the entire issued and to be issued share capital of each of GroupBy and GroupBy International.</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WAB Subscription Letter</w:t>
      </w:r>
    </w:p>
    <w:p>
      <w:pPr>
        <w:spacing w:after="0" w:line="225" w:lineRule="exact"/>
        <w:rPr>
          <w:sz w:val="20"/>
          <w:szCs w:val="20"/>
          <w:color w:val="auto"/>
        </w:rPr>
      </w:pPr>
    </w:p>
    <w:p>
      <w:pPr>
        <w:jc w:val="both"/>
        <w:ind w:right="660"/>
        <w:spacing w:after="0" w:line="268" w:lineRule="auto"/>
        <w:rPr>
          <w:sz w:val="20"/>
          <w:szCs w:val="20"/>
          <w:color w:val="auto"/>
        </w:rPr>
      </w:pPr>
      <w:r>
        <w:rPr>
          <w:rFonts w:ascii="Times New Roman" w:cs="Times New Roman" w:eastAsia="Times New Roman" w:hAnsi="Times New Roman"/>
          <w:sz w:val="18"/>
          <w:szCs w:val="18"/>
          <w:color w:val="auto"/>
        </w:rPr>
        <w:t>In connection with the Closing of the GroupBy Acquisiton, on March 25, 2025, the Company entered into a Subscription Letter (the "</w:t>
      </w:r>
      <w:r>
        <w:rPr>
          <w:rFonts w:ascii="Times New Roman" w:cs="Times New Roman" w:eastAsia="Times New Roman" w:hAnsi="Times New Roman"/>
          <w:sz w:val="18"/>
          <w:szCs w:val="18"/>
          <w:b w:val="1"/>
          <w:bCs w:val="1"/>
          <w:i w:val="1"/>
          <w:i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Lette</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 by and between the Company and WAB, pursuant to which the Company agreed to issue to WAB a number of Ordinary Shares equal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$12,300,000 (the "</w:t>
      </w:r>
      <w:r>
        <w:rPr>
          <w:rFonts w:ascii="Times New Roman" w:cs="Times New Roman" w:eastAsia="Times New Roman" w:hAnsi="Times New Roman"/>
          <w:sz w:val="18"/>
          <w:szCs w:val="18"/>
          <w:b w:val="1"/>
          <w:bCs w:val="1"/>
          <w:i w:val="1"/>
          <w:iCs w:val="1"/>
          <w:color w:val="auto"/>
        </w:rPr>
        <w:t>Subscription Shares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consideration for the allotment of the Subscription Shares, WAB will irrevocably and unconditionally release and discharge the Company from the obligations owed by the Company to WAB.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DBLP Settlement Agreement</w:t>
      </w:r>
    </w:p>
    <w:p>
      <w:pPr>
        <w:spacing w:after="0" w:line="225"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7"/>
          <w:szCs w:val="17"/>
          <w:color w:val="auto"/>
        </w:rPr>
        <w:t>On February 7, 2025, the Company entered into a Settlement Agreement (the "</w:t>
      </w:r>
      <w:r>
        <w:rPr>
          <w:rFonts w:ascii="Times New Roman" w:cs="Times New Roman" w:eastAsia="Times New Roman" w:hAnsi="Times New Roman"/>
          <w:sz w:val="17"/>
          <w:szCs w:val="17"/>
          <w:b w:val="1"/>
          <w:bCs w:val="1"/>
          <w:i w:val="1"/>
          <w:iCs w:val="1"/>
          <w:color w:val="auto"/>
        </w:rPr>
        <w:t>DBLP Settlement Agreement</w:t>
      </w:r>
      <w:r>
        <w:rPr>
          <w:rFonts w:ascii="Times New Roman" w:cs="Times New Roman" w:eastAsia="Times New Roman" w:hAnsi="Times New Roman"/>
          <w:sz w:val="17"/>
          <w:szCs w:val="17"/>
          <w:color w:val="auto"/>
        </w:rPr>
        <w:t>") with DBLP, pursuant to which the Company agreed to issue DBLP 800,000 Ordinary Shares in exchange for the full and final settlement of all amounts owed to DBLP in the amount of $5,958,593.22.</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3" w:lineRule="exact"/>
        <w:rPr>
          <w:sz w:val="20"/>
          <w:szCs w:val="20"/>
          <w:color w:val="auto"/>
        </w:rPr>
      </w:pPr>
    </w:p>
    <w:p>
      <w:pPr>
        <w:ind w:right="300" w:firstLine="576"/>
        <w:spacing w:after="0" w:line="282"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0" w:name="page11"/>
    <w:bookmarkEnd w:id="10"/>
    <w:p>
      <w:pPr>
        <w:ind w:right="160"/>
        <w:spacing w:after="0" w:line="282" w:lineRule="auto"/>
        <w:rPr>
          <w:sz w:val="20"/>
          <w:szCs w:val="20"/>
          <w:color w:val="auto"/>
        </w:rPr>
      </w:pPr>
      <w:r>
        <w:rPr>
          <w:rFonts w:ascii="Times New Roman" w:cs="Times New Roman" w:eastAsia="Times New Roman" w:hAnsi="Times New Roman"/>
          <w:sz w:val="18"/>
          <w:szCs w:val="18"/>
          <w:color w:val="auto"/>
        </w:rPr>
        <w:t>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62"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right="200" w:firstLine="576"/>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small and medium-sized businesses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1" w:name="page12"/>
    <w:bookmarkEnd w:id="11"/>
    <w:p>
      <w:pPr>
        <w:ind w:left="503" w:right="8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2" w:name="page13"/>
    <w:bookmarkEnd w:id="12"/>
    <w:p>
      <w:pPr>
        <w:ind w:left="503" w:right="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503" w:right="42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Ordinary Shares could be volatile, and the value of Ordinary Shares may decline.</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Public Warrants will ever be in the money at the time they become exercisable or otherwise, and they may expire worthless.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rFonts w:ascii="Times New Roman" w:cs="Times New Roman" w:eastAsia="Times New Roman" w:hAnsi="Times New Roman"/>
          <w:sz w:val="18"/>
          <w:szCs w:val="18"/>
          <w:color w:val="auto"/>
        </w:rPr>
      </w:pPr>
    </w:p>
    <w:p>
      <w:pPr>
        <w:ind w:left="5063" w:right="160" w:hanging="5063"/>
        <w:spacing w:after="0" w:line="407" w:lineRule="auto"/>
        <w:tabs>
          <w:tab w:leader="none" w:pos="5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375920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3" w:name="page14"/>
    <w:bookmarkEnd w:id="13"/>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0" w:lineRule="exact"/>
        <w:rPr>
          <w:sz w:val="20"/>
          <w:szCs w:val="20"/>
          <w:color w:val="auto"/>
        </w:rPr>
      </w:pPr>
    </w:p>
    <w:p>
      <w:pPr>
        <w:spacing w:after="0" w:line="24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We are registering the resale by the Selling Holders or their permitted transferees of up to 58,393,288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12 of this prospectus.</w:t>
      </w:r>
    </w:p>
    <w:p>
      <w:pPr>
        <w:spacing w:after="0" w:line="176"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 following information is as of May 23, 2025 and does not give effect to issuances of Ordinary Shares or Warrants after such date, or the exercise of Warrants after such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Ordinary Shares</w:t>
      </w:r>
    </w:p>
    <w:p>
      <w:pPr>
        <w:spacing w:after="0" w:line="229"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color w:val="auto"/>
        </w:rPr>
        <w:t>Ordinary Shares</w:t>
      </w:r>
      <w:r>
        <w:rPr>
          <w:sz w:val="20"/>
          <w:szCs w:val="20"/>
          <w:color w:val="auto"/>
        </w:rPr>
        <w:tab/>
      </w:r>
      <w:r>
        <w:rPr>
          <w:rFonts w:ascii="Times New Roman" w:cs="Times New Roman" w:eastAsia="Times New Roman" w:hAnsi="Times New Roman"/>
          <w:sz w:val="17"/>
          <w:szCs w:val="17"/>
          <w:color w:val="auto"/>
        </w:rPr>
        <w:t>Up to 20,249,283 Ordinary Shares, consisting of (i) up to 2,760,848 Ordinary Shares issued in connection with the Bluedot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offered by the Selling Acquisition; (ii) up to 3,999,145 Ordinary Shares issued in connection with the GroupBy Acquisition (iii) up to 12,300,000 Ordinary</w:t>
      </w:r>
    </w:p>
    <w:p>
      <w:pPr>
        <w:spacing w:after="0" w:line="9"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color w:val="auto"/>
        </w:rPr>
        <w:t>Holders</w:t>
      </w:r>
      <w:r>
        <w:rPr>
          <w:sz w:val="20"/>
          <w:szCs w:val="20"/>
          <w:color w:val="auto"/>
        </w:rPr>
        <w:tab/>
      </w:r>
      <w:r>
        <w:rPr>
          <w:rFonts w:ascii="Times New Roman" w:cs="Times New Roman" w:eastAsia="Times New Roman" w:hAnsi="Times New Roman"/>
          <w:sz w:val="18"/>
          <w:szCs w:val="18"/>
          <w:color w:val="auto"/>
        </w:rPr>
        <w:t>Shares issuable to WAB in connection with the WAB Subscription Letter; (iv) up to 89,290 Ordinary Shares issuable to Roth</w:t>
      </w:r>
    </w:p>
    <w:p>
      <w:pPr>
        <w:spacing w:after="0" w:line="9" w:lineRule="exact"/>
        <w:rPr>
          <w:sz w:val="20"/>
          <w:szCs w:val="20"/>
          <w:color w:val="auto"/>
        </w:rPr>
      </w:pPr>
    </w:p>
    <w:p>
      <w:pPr>
        <w:ind w:left="1660" w:right="240"/>
        <w:spacing w:after="0" w:line="250" w:lineRule="auto"/>
        <w:rPr>
          <w:sz w:val="20"/>
          <w:szCs w:val="20"/>
          <w:color w:val="auto"/>
        </w:rPr>
      </w:pPr>
      <w:r>
        <w:rPr>
          <w:rFonts w:ascii="Times New Roman" w:cs="Times New Roman" w:eastAsia="Times New Roman" w:hAnsi="Times New Roman"/>
          <w:sz w:val="18"/>
          <w:szCs w:val="18"/>
          <w:color w:val="auto"/>
        </w:rPr>
        <w:t>Capital Partners, LLC as transaction-based compensation for the performance of advisory services rendered to the Company in connection with the Business Combination; (v) up to 300,000 Ordinary Shares issued to Radio Group Holding GmbH and certain other holders in connection with the settlement of an agreement; and (vi) up to 800,000 Ordinary Shares issuable to DBLP in connection with the DBLP Settlement Agreement.</w:t>
      </w:r>
    </w:p>
    <w:p>
      <w:pPr>
        <w:spacing w:after="0" w:line="2"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will not receive any proceeds from the sale of the Ordinary Shares to be offered by the Selling Holders.</w:t>
      </w:r>
    </w:p>
    <w:p>
      <w:pPr>
        <w:sectPr>
          <w:pgSz w:w="11900" w:h="16838" w:orient="portrait"/>
          <w:cols w:equalWidth="0" w:num="1">
            <w:col w:w="11220"/>
          </w:cols>
          <w:pgMar w:left="320" w:top="1440" w:right="359" w:bottom="1440" w:gutter="0" w:footer="0" w:header="0"/>
        </w:sect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Lock-up agreements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 factors</w:t>
      </w:r>
    </w:p>
    <w:p>
      <w:pPr>
        <w:spacing w:after="0" w:line="225" w:lineRule="exact"/>
        <w:rPr>
          <w:sz w:val="20"/>
          <w:szCs w:val="20"/>
          <w:color w:val="auto"/>
        </w:rPr>
      </w:pPr>
    </w:p>
    <w:p>
      <w:pPr>
        <w:ind w:left="20" w:right="100"/>
        <w:spacing w:after="0" w:line="282" w:lineRule="auto"/>
        <w:rPr>
          <w:sz w:val="20"/>
          <w:szCs w:val="20"/>
          <w:color w:val="auto"/>
        </w:rPr>
      </w:pPr>
      <w:r>
        <w:rPr>
          <w:rFonts w:ascii="Times New Roman" w:cs="Times New Roman" w:eastAsia="Times New Roman" w:hAnsi="Times New Roman"/>
          <w:sz w:val="18"/>
          <w:szCs w:val="18"/>
          <w:color w:val="auto"/>
        </w:rPr>
        <w:t>Nasdaq symbol for Ordinary Shares</w:t>
      </w:r>
    </w:p>
    <w:p>
      <w:pPr>
        <w:spacing w:after="0" w:line="162" w:lineRule="exact"/>
        <w:rPr>
          <w:sz w:val="20"/>
          <w:szCs w:val="20"/>
          <w:color w:val="auto"/>
        </w:rPr>
      </w:pPr>
    </w:p>
    <w:p>
      <w:pPr>
        <w:ind w:left="20" w:right="100"/>
        <w:spacing w:after="0" w:line="282" w:lineRule="auto"/>
        <w:rPr>
          <w:sz w:val="20"/>
          <w:szCs w:val="20"/>
          <w:color w:val="auto"/>
        </w:rPr>
      </w:pPr>
      <w:r>
        <w:rPr>
          <w:rFonts w:ascii="Times New Roman" w:cs="Times New Roman" w:eastAsia="Times New Roman" w:hAnsi="Times New Roman"/>
          <w:sz w:val="18"/>
          <w:szCs w:val="18"/>
          <w:color w:val="auto"/>
        </w:rPr>
        <w:t>Nasdaq symbol for our warrants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Certain securities that are owned by the Selling Holders are subject to the lock-up provisions pursuant to the Investor Rights Agreement, which provide for certain restrictions on transfer until the termination of applicable lock-up periods. See the Investor Rights Agreement, which is filed as an exhibit to the registration statement of which this prospectus forms a part.</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and other information included in this prospectus for a discussion of factors that you should consider carefully before deciding to invest in Ordinary Shares and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w:t>
      </w:r>
    </w:p>
    <w:p>
      <w:pPr>
        <w:spacing w:after="0" w:line="371" w:lineRule="exact"/>
        <w:rPr>
          <w:sz w:val="20"/>
          <w:szCs w:val="20"/>
          <w:color w:val="auto"/>
        </w:rPr>
      </w:pPr>
    </w:p>
    <w:p>
      <w:pPr>
        <w:sectPr>
          <w:pgSz w:w="11900" w:h="16838" w:orient="portrait"/>
          <w:cols w:equalWidth="0" w:num="2">
            <w:col w:w="1500" w:space="100"/>
            <w:col w:w="9620"/>
          </w:cols>
          <w:pgMar w:left="320" w:top="1440" w:right="359" w:bottom="1440" w:gutter="0" w:footer="0" w:header="0"/>
          <w:type w:val="continuous"/>
        </w:sectPr>
      </w:pP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4" w:name="page15"/>
    <w:bookmarkEnd w:id="14"/>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the Ordinary Shares and Warrants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or Warrants. If any of the following risks actually occur, our business, financial condition and operating results could be materially and adversely affected. In that case, the market price of the Ordinary Shares and Warrants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1140" w:right="600" w:hanging="519"/>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1140" w:right="220" w:hanging="519"/>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jc w:val="both"/>
        <w:ind w:left="1140" w:right="340" w:hanging="519"/>
        <w:spacing w:after="0" w:line="266"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ind w:right="140"/>
        <w:spacing w:after="0" w:line="256" w:lineRule="auto"/>
        <w:rPr>
          <w:sz w:val="20"/>
          <w:szCs w:val="20"/>
          <w:color w:val="auto"/>
        </w:rPr>
      </w:pPr>
      <w:r>
        <w:rPr>
          <w:rFonts w:ascii="Times New Roman" w:cs="Times New Roman" w:eastAsia="Times New Roman" w:hAnsi="Times New Roman"/>
          <w:sz w:val="18"/>
          <w:szCs w:val="18"/>
          <w:color w:val="auto"/>
        </w:rPr>
        <w:t>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Uneven economic growth or downturns or international trade and other global disruptions, geopolitical tensions, or disputes could adversely affect our business and operating results.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spacing w:after="0" w:line="28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6" w:name="page17"/>
    <w:bookmarkEnd w:id="16"/>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7" w:name="page18"/>
    <w:bookmarkEnd w:id="17"/>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1020" w:right="220" w:hanging="503"/>
        <w:spacing w:after="0" w:line="282" w:lineRule="auto"/>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b w:val="1"/>
          <w:bCs w:val="1"/>
          <w:color w:val="auto"/>
        </w:rPr>
      </w:pPr>
    </w:p>
    <w:p>
      <w:pPr>
        <w:ind w:left="1020" w:right="560" w:hanging="503"/>
        <w:spacing w:after="0" w:line="282" w:lineRule="auto"/>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b w:val="1"/>
          <w:bCs w:val="1"/>
          <w:color w:val="auto"/>
        </w:rPr>
      </w:pPr>
    </w:p>
    <w:p>
      <w:pPr>
        <w:ind w:left="1020" w:right="260" w:hanging="503"/>
        <w:spacing w:after="0" w:line="282" w:lineRule="auto"/>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8" w:right="459" w:bottom="1440" w:gutter="0" w:footer="0" w:header="0"/>
        </w:sectPr>
      </w:pPr>
    </w:p>
    <w:bookmarkStart w:id="18" w:name="page19"/>
    <w:bookmarkEnd w:id="18"/>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b w:val="1"/>
          <w:bCs w:val="1"/>
          <w:color w:val="auto"/>
        </w:rPr>
      </w:pPr>
    </w:p>
    <w:p>
      <w:pPr>
        <w:ind w:left="1020" w:right="120" w:hanging="503"/>
        <w:spacing w:after="0" w:line="266" w:lineRule="auto"/>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 w:name="page20"/>
    <w:bookmarkEnd w:id="19"/>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0"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0" w:name="page21"/>
    <w:bookmarkEnd w:id="20"/>
    <w:p>
      <w:pPr>
        <w:spacing w:after="0" w:line="254" w:lineRule="auto"/>
        <w:rPr>
          <w:sz w:val="20"/>
          <w:szCs w:val="20"/>
          <w:color w:val="auto"/>
        </w:rPr>
      </w:pPr>
      <w:r>
        <w:rPr>
          <w:rFonts w:ascii="Times New Roman" w:cs="Times New Roman" w:eastAsia="Times New Roman" w:hAnsi="Times New Roman"/>
          <w:sz w:val="18"/>
          <w:szCs w:val="18"/>
          <w:color w:val="auto"/>
        </w:rPr>
        <w:t>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21" w:name="page22"/>
    <w:bookmarkEnd w:id="21"/>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2" w:name="page23"/>
    <w:bookmarkEnd w:id="22"/>
    <w:p>
      <w:pPr>
        <w:ind w:right="120"/>
        <w:spacing w:after="0" w:line="261" w:lineRule="auto"/>
        <w:rPr>
          <w:sz w:val="20"/>
          <w:szCs w:val="20"/>
          <w:color w:val="auto"/>
        </w:rPr>
      </w:pPr>
      <w:r>
        <w:rPr>
          <w:rFonts w:ascii="Times New Roman" w:cs="Times New Roman" w:eastAsia="Times New Roman" w:hAnsi="Times New Roman"/>
          <w:sz w:val="18"/>
          <w:szCs w:val="18"/>
          <w:color w:val="auto"/>
        </w:rPr>
        <w:t>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ind w:right="220"/>
        <w:spacing w:after="0" w:line="266" w:lineRule="auto"/>
        <w:rPr>
          <w:sz w:val="20"/>
          <w:szCs w:val="20"/>
          <w:color w:val="auto"/>
        </w:rPr>
      </w:pPr>
      <w:r>
        <w:rPr>
          <w:rFonts w:ascii="Times New Roman" w:cs="Times New Roman" w:eastAsia="Times New Roman" w:hAnsi="Times New Roman"/>
          <w:sz w:val="18"/>
          <w:szCs w:val="18"/>
          <w:color w:val="auto"/>
        </w:rPr>
        <w:t>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8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6" w:name="page27"/>
    <w:bookmarkEnd w:id="26"/>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7" w:name="page28"/>
    <w:bookmarkEnd w:id="27"/>
    <w:p>
      <w:pPr>
        <w:ind w:right="220"/>
        <w:spacing w:after="0" w:line="261" w:lineRule="auto"/>
        <w:rPr>
          <w:sz w:val="20"/>
          <w:szCs w:val="20"/>
          <w:color w:val="auto"/>
        </w:rPr>
      </w:pPr>
      <w:r>
        <w:rPr>
          <w:rFonts w:ascii="Times New Roman" w:cs="Times New Roman" w:eastAsia="Times New Roman" w:hAnsi="Times New Roman"/>
          <w:sz w:val="18"/>
          <w:szCs w:val="18"/>
          <w:color w:val="auto"/>
        </w:rPr>
        <w:t>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to dedicate substantially greater resources to developing and protecting their technology or intellectual property rights than Rezolve does.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9" w:name="page30"/>
    <w:bookmarkEnd w:id="29"/>
    <w:p>
      <w:pPr>
        <w:ind w:right="360"/>
        <w:spacing w:after="0" w:line="282" w:lineRule="auto"/>
        <w:rPr>
          <w:sz w:val="20"/>
          <w:szCs w:val="20"/>
          <w:color w:val="auto"/>
        </w:rPr>
      </w:pPr>
      <w:r>
        <w:rPr>
          <w:rFonts w:ascii="Times New Roman" w:cs="Times New Roman" w:eastAsia="Times New Roman" w:hAnsi="Times New Roman"/>
          <w:sz w:val="18"/>
          <w:szCs w:val="18"/>
          <w:color w:val="auto"/>
        </w:rPr>
        <w:t>software, or remedies against the licensors. Many of the risks associated with usage of open source software cannot be eliminated and could adversely affect Rezolve’s business.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30" w:name="page31"/>
    <w:bookmarkEnd w:id="30"/>
    <w:p>
      <w:pPr>
        <w:ind w:right="160"/>
        <w:spacing w:after="0" w:line="282" w:lineRule="auto"/>
        <w:rPr>
          <w:sz w:val="20"/>
          <w:szCs w:val="20"/>
          <w:color w:val="auto"/>
        </w:rPr>
      </w:pPr>
      <w:r>
        <w:rPr>
          <w:rFonts w:ascii="Times New Roman" w:cs="Times New Roman" w:eastAsia="Times New Roman" w:hAnsi="Times New Roman"/>
          <w:sz w:val="18"/>
          <w:szCs w:val="18"/>
          <w:color w:val="auto"/>
        </w:rPr>
        <w:t>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28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spacing w:after="0" w:line="72" w:lineRule="exact"/>
        <w:rPr>
          <w:sz w:val="20"/>
          <w:szCs w:val="20"/>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760" w:right="560" w:hanging="513"/>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1" w:name="page32"/>
    <w:bookmarkEnd w:id="31"/>
    <w:p>
      <w:pPr>
        <w:ind w:left="760" w:right="660" w:hanging="513"/>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760" w:right="720" w:hanging="513"/>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760" w:right="140" w:hanging="513"/>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will ever be in the money at the time they become exercisable or otherwise, and they may expire worthless.</w:t>
      </w:r>
    </w:p>
    <w:p>
      <w:pPr>
        <w:spacing w:after="0" w:line="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exercise price for the Public Warrants is $11.50 per Ordinary Share. There is no guarantee that such Public Warrants will ever be in the money prior to their expiration, and as such, the warrants may expire worthless.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Ordinary Shares.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Rezolve will be able to comply with the continued listing standards of Nasdaq.</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Nasdaq delists Rezolve’s securities from trading on its exchange for failure to continue to comply with its listing standards, Rezolve and its stockholders could face significant material adverse consequences including:</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Rezolve’s securities;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w:t>
      </w:r>
    </w:p>
    <w:p>
      <w:pPr>
        <w:spacing w:after="0" w:line="27" w:lineRule="exact"/>
        <w:rPr>
          <w:sz w:val="20"/>
          <w:szCs w:val="20"/>
          <w:color w:val="auto"/>
        </w:rPr>
      </w:pPr>
    </w:p>
    <w:p>
      <w:pPr>
        <w:ind w:firstLine="8"/>
        <w:spacing w:after="0" w:line="253" w:lineRule="auto"/>
        <w:tabs>
          <w:tab w:leader="none" w:pos="2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180" w:firstLine="554"/>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760" w:hanging="513"/>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760" w:right="300" w:hanging="513"/>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760" w:right="180" w:hanging="513"/>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760" w:right="480" w:hanging="513"/>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 5635 requiring that a listed company obtain shareholder approval prior to an issuance of securities, including for acquisitions, equity-based compensation, changes of control, and private placements.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3" w:name="page34"/>
    <w:bookmarkEnd w:id="33"/>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4" w:name="page35"/>
    <w:bookmarkEnd w:id="34"/>
    <w:p>
      <w:pPr>
        <w:spacing w:after="0" w:line="252" w:lineRule="auto"/>
        <w:rPr>
          <w:sz w:val="20"/>
          <w:szCs w:val="20"/>
          <w:color w:val="auto"/>
        </w:rPr>
      </w:pPr>
      <w:r>
        <w:rPr>
          <w:rFonts w:ascii="Times New Roman" w:cs="Times New Roman" w:eastAsia="Times New Roman" w:hAnsi="Times New Roman"/>
          <w:sz w:val="18"/>
          <w:szCs w:val="18"/>
          <w:color w:val="auto"/>
        </w:rPr>
        <w:t>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w:t>
      </w:r>
      <w:r>
        <w:rPr>
          <w:rFonts w:ascii="Times New Roman" w:cs="Times New Roman" w:eastAsia="Times New Roman" w:hAnsi="Times New Roman"/>
          <w:sz w:val="18"/>
          <w:szCs w:val="18"/>
          <w:b w:val="1"/>
          <w:bCs w:val="1"/>
          <w:i w:val="1"/>
          <w:iCs w:val="1"/>
          <w:color w:val="auto"/>
        </w:rPr>
        <w:t>PFIC</w:t>
      </w:r>
      <w:r>
        <w:rPr>
          <w:rFonts w:ascii="Times New Roman" w:cs="Times New Roman" w:eastAsia="Times New Roman" w:hAnsi="Times New Roman"/>
          <w:sz w:val="18"/>
          <w:szCs w:val="18"/>
          <w:color w:val="auto"/>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2024.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Prospective U.S. Holders should consult their tax advisors regarding the potential application of the PFIC rules to them.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8"/>
          <w:szCs w:val="18"/>
          <w:color w:val="auto"/>
        </w:rPr>
        <w:t>tax rate on Rezolve and future withholding taxes on certain Rezolve shareholders, depending on the application of any income tax treaty that might apply to reduce such withholding taxes.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6" w:name="page37"/>
    <w:bookmarkEnd w:id="36"/>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these sales.</w:t>
      </w:r>
    </w:p>
    <w:p>
      <w:pPr>
        <w:spacing w:after="0" w:line="20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PRICE OF OUR SECURITIES</w:t>
      </w:r>
    </w:p>
    <w:p>
      <w:pPr>
        <w:spacing w:after="0" w:line="202"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May 23, 2025, there were approximately 2 shareholders of record of Ordinary Shares and one shareholder of record of Warrants. Such numbers do not include beneficial owners holding our securities through nominee names. On May 22, 2025, the last reported closing sale prices of our Ordinary Shares and Public Warrants were $2.19 and $0.55, respectively.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4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previously disclosed in its Current Reports on Form 6-K furnished with the Securities and Exchange Commission (“SEC”) on March 31, 2025, March 6, 2025, February 21, 2025 and February 7, 2025, Rezolve AI plc (“Rezolve” or “the Company”) completed two acquisitions after December 31, 2024 but before the consolidated financial statements of the Company as of and for the year ended December 31, 2024 were issued.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in a private placement to DBLP.</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 and Bluedot Innovation Pty. Ltd, together “Bluedot”, is a developer of mobile location technology to enhance customer experiences.</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acquisition of Bluedot and issued the above mentioned ordinary shares as consideration to DBLP and the Tanist Group,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22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As such the adjustments reflected in the Unaudited Pro Forma Condensed Combined Balance Sheet will not necessarily reconcile with the adjustments in the Unaudited Pro Forma Condensed Combined Statements of Operations. Assumptions and estimates underlying the pro forma adjustments are described in the accompanying notes, which should be read in conjunction with the unaudited pro forma condensed combined financial statements.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and does not purport to represent what the actual consolidated results of operations of Rezolve would have been had the Bluedot acquisition and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266" w:lineRule="auto"/>
        <w:rPr>
          <w:sz w:val="20"/>
          <w:szCs w:val="20"/>
          <w:color w:val="auto"/>
        </w:rPr>
      </w:pPr>
      <w:r>
        <w:rPr>
          <w:rFonts w:ascii="Times New Roman" w:cs="Times New Roman" w:eastAsia="Times New Roman" w:hAnsi="Times New Roman"/>
          <w:sz w:val="18"/>
          <w:szCs w:val="18"/>
          <w:color w:val="auto"/>
        </w:rPr>
        <w:t>GroupBy acquisition occurred on the dates noted above, nor are they necessarily indicative of future consolidated results of operations. Future results may vary significantly from the results reflected because of various factors. In Rezolve’s opinion, all adjustments that are necessary to present fairly the unaudited pro forma condensed combined financial information have been made.</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benefits of potential cost savings or the costs that may be necessary to achieve such savings, opportunities to increase revenue generation or other factors that may result from the Bluedot acquisition and the GroupBy acquisition and does not attempt to predict or suggest future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financial statements have been developed from and should be read in conjunction with:</w:t>
      </w:r>
    </w:p>
    <w:p>
      <w:pPr>
        <w:spacing w:after="0" w:line="117" w:lineRule="exact"/>
        <w:rPr>
          <w:sz w:val="20"/>
          <w:szCs w:val="20"/>
          <w:color w:val="auto"/>
        </w:rPr>
      </w:pPr>
    </w:p>
    <w:p>
      <w:pPr>
        <w:ind w:left="1020" w:right="2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Rezolve as of, and for the years ended, December 31, 2024 and 2023, included elsewhere in this prospectus;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included elsewhere in this prospectus;</w:t>
      </w:r>
    </w:p>
    <w:p>
      <w:pPr>
        <w:spacing w:after="0" w:line="51" w:lineRule="exact"/>
        <w:rPr>
          <w:rFonts w:ascii="Times New Roman" w:cs="Times New Roman" w:eastAsia="Times New Roman" w:hAnsi="Times New Roman"/>
          <w:sz w:val="18"/>
          <w:szCs w:val="18"/>
          <w:color w:val="auto"/>
        </w:rPr>
      </w:pPr>
    </w:p>
    <w:p>
      <w:pPr>
        <w:ind w:left="1020" w:right="80" w:hanging="503"/>
        <w:spacing w:after="0" w:line="284"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included elsewhere in this prospectus.</w:t>
      </w:r>
    </w:p>
    <w:p>
      <w:pPr>
        <w:spacing w:after="0" w:line="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8" w:right="4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5"/>
          <w:szCs w:val="15"/>
          <w:b w:val="1"/>
          <w:bCs w:val="1"/>
          <w:color w:val="auto"/>
        </w:rPr>
        <w:t>REZOLVE AI plc AND SUBSIDIARIES</w:t>
      </w:r>
    </w:p>
    <w:p>
      <w:pPr>
        <w:jc w:val="center"/>
        <w:spacing w:after="0" w:line="234" w:lineRule="auto"/>
        <w:rPr>
          <w:sz w:val="20"/>
          <w:szCs w:val="20"/>
          <w:color w:val="auto"/>
        </w:rPr>
      </w:pPr>
      <w:r>
        <w:rPr>
          <w:rFonts w:ascii="Times New Roman" w:cs="Times New Roman" w:eastAsia="Times New Roman" w:hAnsi="Times New Roman"/>
          <w:sz w:val="15"/>
          <w:szCs w:val="15"/>
          <w:b w:val="1"/>
          <w:bCs w:val="1"/>
          <w:color w:val="auto"/>
        </w:rPr>
        <w:t>UNAUDITED PRO FORMA CONDENSED COMBINED BALANCE SHEET</w:t>
      </w:r>
    </w:p>
    <w:tbl>
      <w:tblPr>
        <w:tblLayout w:type="fixed"/>
        <w:tblInd w:w="0" w:type="dxa"/>
        <w:tblCellMar>
          <w:top w:w="0" w:type="dxa"/>
          <w:left w:w="0" w:type="dxa"/>
          <w:bottom w:w="0" w:type="dxa"/>
          <w:right w:w="0" w:type="dxa"/>
        </w:tblCellMar>
      </w:tblPr>
      <w:tr>
        <w:trPr>
          <w:trHeight w:val="160"/>
        </w:trPr>
        <w:tc>
          <w:tcPr>
            <w:tcW w:w="2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right"/>
              <w:ind w:right="140"/>
              <w:spacing w:after="0" w:line="140" w:lineRule="exact"/>
              <w:rPr>
                <w:sz w:val="20"/>
                <w:szCs w:val="20"/>
                <w:color w:val="auto"/>
              </w:rPr>
            </w:pPr>
            <w:r>
              <w:rPr>
                <w:rFonts w:ascii="Times New Roman" w:cs="Times New Roman" w:eastAsia="Times New Roman" w:hAnsi="Times New Roman"/>
                <w:sz w:val="13"/>
                <w:szCs w:val="13"/>
                <w:b w:val="1"/>
                <w:bCs w:val="1"/>
                <w:color w:val="auto"/>
              </w:rPr>
              <w:t>Proforma Combined</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Rezolve AI plc</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3"/>
          </w:tcPr>
          <w:p>
            <w:pPr>
              <w:jc w:val="center"/>
              <w:ind w:right="3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20" w:type="dxa"/>
            <w:vAlign w:val="bottom"/>
          </w:tcPr>
          <w:p>
            <w:pPr>
              <w:spacing w:after="0"/>
              <w:rPr>
                <w:sz w:val="9"/>
                <w:szCs w:val="9"/>
                <w:color w:val="auto"/>
              </w:rPr>
            </w:pPr>
          </w:p>
        </w:tc>
        <w:tc>
          <w:tcPr>
            <w:tcW w:w="100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9"/>
              </w:rPr>
              <w:t>GroupBy</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and Subsidiaries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Industries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as of</w:t>
            </w:r>
          </w:p>
        </w:tc>
        <w:tc>
          <w:tcPr>
            <w:tcW w:w="120" w:type="dxa"/>
            <w:vAlign w:val="bottom"/>
          </w:tcPr>
          <w:p>
            <w:pPr>
              <w:spacing w:after="0"/>
              <w:rPr>
                <w:sz w:val="11"/>
                <w:szCs w:val="11"/>
                <w:color w:val="auto"/>
              </w:rPr>
            </w:pPr>
          </w:p>
        </w:tc>
        <w:tc>
          <w:tcPr>
            <w:tcW w:w="11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 as of</w:t>
            </w:r>
          </w:p>
        </w:tc>
        <w:tc>
          <w:tcPr>
            <w:tcW w:w="12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as of</w:t>
            </w:r>
          </w:p>
        </w:tc>
        <w:tc>
          <w:tcPr>
            <w:tcW w:w="120" w:type="dxa"/>
            <w:vAlign w:val="bottom"/>
          </w:tcPr>
          <w:p>
            <w:pPr>
              <w:spacing w:after="0"/>
              <w:rPr>
                <w:sz w:val="11"/>
                <w:szCs w:val="11"/>
                <w:color w:val="auto"/>
              </w:rPr>
            </w:pPr>
          </w:p>
        </w:tc>
        <w:tc>
          <w:tcPr>
            <w:tcW w:w="1040" w:type="dxa"/>
            <w:vAlign w:val="bottom"/>
            <w:gridSpan w:val="4"/>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(Historical as</w:t>
            </w:r>
          </w:p>
        </w:tc>
        <w:tc>
          <w:tcPr>
            <w:tcW w:w="12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Accounting</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of 12/31/2024)</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0" w:type="dxa"/>
            <w:vAlign w:val="bottom"/>
          </w:tcPr>
          <w:p>
            <w:pPr>
              <w:spacing w:after="0"/>
              <w:rPr>
                <w:sz w:val="1"/>
                <w:szCs w:val="1"/>
                <w:color w:val="auto"/>
              </w:rPr>
            </w:pPr>
          </w:p>
        </w:tc>
      </w:tr>
      <w:tr>
        <w:trPr>
          <w:trHeight w:val="115"/>
        </w:trPr>
        <w:tc>
          <w:tcPr>
            <w:tcW w:w="26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G =</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84"/>
              </w:rPr>
              <w:t>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84"/>
              </w:rPr>
              <w:t>D</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F</w:t>
            </w:r>
          </w:p>
        </w:tc>
        <w:tc>
          <w:tcPr>
            <w:tcW w:w="320" w:type="dxa"/>
            <w:vAlign w:val="bottom"/>
          </w:tcPr>
          <w:p>
            <w:pPr>
              <w:spacing w:after="0"/>
              <w:rPr>
                <w:sz w:val="11"/>
                <w:szCs w:val="11"/>
                <w:color w:val="auto"/>
              </w:rPr>
            </w:pPr>
          </w:p>
        </w:tc>
        <w:tc>
          <w:tcPr>
            <w:tcW w:w="1060" w:type="dxa"/>
            <w:vAlign w:val="bottom"/>
            <w:gridSpan w:val="4"/>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A+B+C+D+E+</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w:t>
            </w: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9,450,944</w:t>
            </w:r>
          </w:p>
        </w:tc>
        <w:tc>
          <w:tcPr>
            <w:tcW w:w="12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6,482,298</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278,603</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16,211,876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21,274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1,148,861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682,432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1,852,567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960,848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1,146,327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a</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2,117,175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Derivative asset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2,587,581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2,587,581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taxes receivable</w:t>
            </w:r>
          </w:p>
        </w:tc>
        <w:tc>
          <w:tcPr>
            <w:tcW w:w="6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222,222</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gridSpan w:val="2"/>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222,222</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13,020,647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8,999,708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961,035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22,991,421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6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4,987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26,401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Intangible assets, net</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6,750,178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68,304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34,400,000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b</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6,276,731</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c,d</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47,495,213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4,580,673</w:t>
            </w:r>
          </w:p>
        </w:tc>
        <w:tc>
          <w:tcPr>
            <w:tcW w:w="120" w:type="dxa"/>
            <w:vAlign w:val="bottom"/>
          </w:tcPr>
          <w:p>
            <w:pPr>
              <w:spacing w:after="0"/>
              <w:rPr>
                <w:sz w:val="11"/>
                <w:szCs w:val="11"/>
                <w:color w:val="auto"/>
              </w:rPr>
            </w:pP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e</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1,093,939</w:t>
            </w:r>
          </w:p>
        </w:tc>
        <w:tc>
          <w:tcPr>
            <w:tcW w:w="100" w:type="dxa"/>
            <w:vAlign w:val="bottom"/>
          </w:tcPr>
          <w:p>
            <w:pPr>
              <w:spacing w:after="0"/>
              <w:rPr>
                <w:sz w:val="11"/>
                <w:szCs w:val="11"/>
                <w:color w:val="auto"/>
              </w:rPr>
            </w:pPr>
          </w:p>
        </w:tc>
        <w:tc>
          <w:tcPr>
            <w:tcW w:w="4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f</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5,674,612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Right-of-use asset</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174,568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9,771</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g</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184,339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tax asset</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384,408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384,408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41,269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41,269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6,767,510</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174,568</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430,664</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72,386</w:t>
            </w:r>
          </w:p>
        </w:tc>
        <w:tc>
          <w:tcPr>
            <w:tcW w:w="120" w:type="dxa"/>
            <w:vAlign w:val="bottom"/>
            <w:tcBorders>
              <w:top w:val="single" w:sz="8" w:color="CFF0FC"/>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38,990,444</w:t>
            </w: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53,806,242</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19,788,157</w:t>
            </w:r>
          </w:p>
        </w:tc>
        <w:tc>
          <w:tcPr>
            <w:tcW w:w="1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9,174,276</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1,391,699</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72,417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39,000,444</w:t>
            </w:r>
          </w:p>
        </w:tc>
        <w:tc>
          <w:tcPr>
            <w:tcW w:w="1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76,797,663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660" w:type="dxa"/>
            <w:vAlign w:val="bottom"/>
            <w:tcBorders>
              <w:top w:val="single" w:sz="8" w:color="CFF0FC"/>
            </w:tcBorders>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liabilities: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7,303,060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21,598,041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1,493,082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1,371,844</w:t>
            </w:r>
          </w:p>
        </w:tc>
        <w:tc>
          <w:tcPr>
            <w:tcW w:w="120" w:type="dxa"/>
            <w:vAlign w:val="bottom"/>
          </w:tcPr>
          <w:p>
            <w:pPr>
              <w:spacing w:after="0"/>
              <w:rPr>
                <w:sz w:val="11"/>
                <w:szCs w:val="11"/>
                <w:color w:val="auto"/>
              </w:rPr>
            </w:pP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a,i</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295,846</w:t>
            </w:r>
          </w:p>
        </w:tc>
        <w:tc>
          <w:tcPr>
            <w:tcW w:w="100" w:type="dxa"/>
            <w:vAlign w:val="bottom"/>
          </w:tcPr>
          <w:p>
            <w:pPr>
              <w:spacing w:after="0"/>
              <w:rPr>
                <w:sz w:val="11"/>
                <w:szCs w:val="11"/>
                <w:color w:val="auto"/>
              </w:rPr>
            </w:pPr>
          </w:p>
        </w:tc>
        <w:tc>
          <w:tcPr>
            <w:tcW w:w="4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j</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32,065,839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Due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1,054,429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1,054,429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Accrued expenses and other payables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9,513,932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1,089,012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10,602,944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debt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5,102,211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589,940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5,692,151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10,288,123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10,288,123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95,309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95,309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Convertible promissory notes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6,428,825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6,428,825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Ordinary Shares Payable</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1,206,609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1,206,609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 liability</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Advisors loans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12,812,366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12,812,366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Derivative liabilities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2,579,875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2,579,875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Bank indebtedness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12,000,000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(12,000,000)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h</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8,584,886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1,161,723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9,746,609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 liability</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20,149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(20,149)</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k</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portion of lease liabilities</w:t>
            </w: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43,069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43,069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57,784,739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42,246,145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4,333,757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3,966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(10,648,305)</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295,846</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94,016,148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liabilities:</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tax liability</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l</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1,228,051</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m</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11,563,051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Lease liabilities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148,945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148,945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6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148,945</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108,238</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10,335,000</w:t>
            </w:r>
          </w:p>
        </w:tc>
        <w:tc>
          <w:tcPr>
            <w:tcW w:w="1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1,228,051</w:t>
            </w:r>
          </w:p>
        </w:tc>
        <w:tc>
          <w:tcPr>
            <w:tcW w:w="1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11,820,234</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57,784,739</w:t>
            </w:r>
          </w:p>
        </w:tc>
        <w:tc>
          <w:tcPr>
            <w:tcW w:w="120" w:type="dxa"/>
            <w:vAlign w:val="bottom"/>
          </w:tcPr>
          <w:p>
            <w:pPr>
              <w:spacing w:after="0"/>
              <w:rPr>
                <w:sz w:val="11"/>
                <w:szCs w:val="11"/>
                <w:color w:val="auto"/>
              </w:rPr>
            </w:pPr>
          </w:p>
        </w:tc>
        <w:tc>
          <w:tcPr>
            <w:tcW w:w="2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42,395,090</w:t>
            </w:r>
          </w:p>
        </w:tc>
        <w:tc>
          <w:tcPr>
            <w:tcW w:w="120" w:type="dxa"/>
            <w:vAlign w:val="bottom"/>
          </w:tcPr>
          <w:p>
            <w:pPr>
              <w:spacing w:after="0"/>
              <w:rPr>
                <w:sz w:val="11"/>
                <w:szCs w:val="11"/>
                <w:color w:val="auto"/>
              </w:rPr>
            </w:pPr>
          </w:p>
        </w:tc>
        <w:tc>
          <w:tcPr>
            <w:tcW w:w="2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4,333,757</w:t>
            </w:r>
          </w:p>
        </w:tc>
        <w:tc>
          <w:tcPr>
            <w:tcW w:w="120" w:type="dxa"/>
            <w:vAlign w:val="bottom"/>
          </w:tcPr>
          <w:p>
            <w:pPr>
              <w:spacing w:after="0"/>
              <w:rPr>
                <w:sz w:val="11"/>
                <w:szCs w:val="11"/>
                <w:color w:val="auto"/>
              </w:rPr>
            </w:pP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112,204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(313,305)</w:t>
            </w:r>
          </w:p>
        </w:tc>
        <w:tc>
          <w:tcPr>
            <w:tcW w:w="4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1,523,897</w:t>
            </w:r>
          </w:p>
        </w:tc>
        <w:tc>
          <w:tcPr>
            <w:tcW w:w="10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105,836,382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6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Stockholders' Equity:</w:t>
            </w:r>
          </w:p>
        </w:tc>
        <w:tc>
          <w:tcPr>
            <w:tcW w:w="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£0.0001 nominal value</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208,260,754 shares issued and outstanding as of</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December 31, 2024; 152,262,295 shares issued</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82"/>
              </w:rPr>
              <w:t>n</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1"/>
              </w:rPr>
              <w:t>o</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660" w:type="dxa"/>
            <w:vAlign w:val="bottom"/>
            <w:vMerge w:val="restart"/>
          </w:tcPr>
          <w:p>
            <w:pPr>
              <w:spacing w:after="0" w:line="135" w:lineRule="exact"/>
              <w:rPr>
                <w:sz w:val="20"/>
                <w:szCs w:val="20"/>
                <w:color w:val="auto"/>
              </w:rPr>
            </w:pPr>
            <w:r>
              <w:rPr>
                <w:rFonts w:ascii="Times New Roman" w:cs="Times New Roman" w:eastAsia="Times New Roman" w:hAnsi="Times New Roman"/>
                <w:sz w:val="13"/>
                <w:szCs w:val="13"/>
                <w:color w:val="auto"/>
              </w:rPr>
              <w:t>and outstanding as of December 31, 2023;</w:t>
            </w: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6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256,365,817 and 161,710,480 shares authorized</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2024 and 2023</w:t>
            </w: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Series A shares, £0.0001 nominal value</w:t>
            </w:r>
          </w:p>
        </w:tc>
        <w:tc>
          <w:tcPr>
            <w:tcW w:w="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4,575,983 shares issued, authorized and</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outstanding as of December 31, 2023</w:t>
            </w: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shares/Common Stock</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14,005,728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(14,005,728)</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9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(1,050)</w:t>
            </w: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194,062,767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6,291,080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21,626,882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3,324,360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11,767,156</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n,p</w:t>
            </w:r>
          </w:p>
        </w:tc>
        <w:tc>
          <w:tcPr>
            <w:tcW w:w="9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(20,562,772)</w:t>
            </w:r>
          </w:p>
        </w:tc>
        <w:tc>
          <w:tcPr>
            <w:tcW w:w="400" w:type="dxa"/>
            <w:vAlign w:val="bottom"/>
            <w:gridSpan w:val="2"/>
            <w:shd w:val="clear" w:color="auto" w:fill="CFF0FC"/>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o,p</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216,509,473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subscription receivable</w:t>
            </w:r>
          </w:p>
        </w:tc>
        <w:tc>
          <w:tcPr>
            <w:tcW w:w="6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(79,003)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79,003</w:t>
            </w:r>
          </w:p>
        </w:tc>
        <w:tc>
          <w:tcPr>
            <w:tcW w:w="100" w:type="dxa"/>
            <w:vAlign w:val="bottom"/>
          </w:tcPr>
          <w:p>
            <w:pPr>
              <w:spacing w:after="0"/>
              <w:rPr>
                <w:sz w:val="11"/>
                <w:szCs w:val="11"/>
                <w:color w:val="auto"/>
              </w:rPr>
            </w:pP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6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Accumulated deficit</w:t>
            </w:r>
          </w:p>
        </w:tc>
        <w:tc>
          <w:tcPr>
            <w:tcW w:w="6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w w:val="92"/>
              </w:rPr>
              <w:t>g,h,i</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gridSpan w:val="2"/>
            <w:vMerge w:val="restart"/>
            <w:shd w:val="clear" w:color="auto" w:fill="CFF0FC"/>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j,m,p</w:t>
            </w: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(232,075,815)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(58,196,350)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(24,831,035)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(3,285,194)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46,229,426</w:t>
            </w:r>
          </w:p>
        </w:tc>
        <w:tc>
          <w:tcPr>
            <w:tcW w:w="12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k,l,p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26,592,332</w:t>
            </w:r>
          </w:p>
        </w:tc>
        <w:tc>
          <w:tcPr>
            <w:tcW w:w="100" w:type="dxa"/>
            <w:vAlign w:val="bottom"/>
            <w:shd w:val="clear" w:color="auto" w:fill="CFF0FC"/>
          </w:tcPr>
          <w:p>
            <w:pPr>
              <w:spacing w:after="0"/>
              <w:rPr>
                <w:sz w:val="13"/>
                <w:szCs w:val="13"/>
                <w:color w:val="auto"/>
              </w:rPr>
            </w:pPr>
          </w:p>
        </w:tc>
        <w:tc>
          <w:tcPr>
            <w:tcW w:w="400" w:type="dxa"/>
            <w:vAlign w:val="bottom"/>
            <w:gridSpan w:val="2"/>
            <w:vMerge w:val="continue"/>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(245,566,636)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6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(10,270)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261,095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(261,095)</w:t>
            </w: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(10,270)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4,678,728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(4,678,728)</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q</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(37,996,582)</w:t>
            </w:r>
          </w:p>
        </w:tc>
        <w:tc>
          <w:tcPr>
            <w:tcW w:w="2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(33,220,814)</w:t>
            </w:r>
          </w:p>
        </w:tc>
        <w:tc>
          <w:tcPr>
            <w:tcW w:w="2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(2,942,058)</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(39,787)</w:t>
            </w:r>
          </w:p>
        </w:tc>
        <w:tc>
          <w:tcPr>
            <w:tcW w:w="10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39,313,749</w:t>
            </w:r>
          </w:p>
        </w:tc>
        <w:tc>
          <w:tcPr>
            <w:tcW w:w="120" w:type="dxa"/>
            <w:vAlign w:val="bottom"/>
          </w:tcPr>
          <w:p>
            <w:pPr>
              <w:spacing w:after="0"/>
              <w:rPr>
                <w:sz w:val="11"/>
                <w:szCs w:val="11"/>
                <w:color w:val="auto"/>
              </w:rPr>
            </w:pPr>
          </w:p>
        </w:tc>
        <w:tc>
          <w:tcPr>
            <w:tcW w:w="4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5,846,773</w:t>
            </w:r>
          </w:p>
        </w:tc>
        <w:tc>
          <w:tcPr>
            <w:tcW w:w="10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(29,038,719)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and stockholders’ deficit</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19,788,157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9,174,276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1,391,699</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72,417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39,000,444</w:t>
            </w:r>
          </w:p>
        </w:tc>
        <w:tc>
          <w:tcPr>
            <w:tcW w:w="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76,797,663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-4791075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-4791075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-4791075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-4791075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-4791075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-4791075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-4791075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-4088130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-4088130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-4088130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-4088130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-4088130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-4088130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-4088130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-3900170</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-3882390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-3900170</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-3882390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-3900170</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-3882390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-3900170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-3882390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-3900170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-3882390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-3900170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-3882390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-3900170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-3882390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-2322195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-2322195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-2322195</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-2322195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-2322195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-2322195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-2322195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-1790700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-1790700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-1790700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-1790700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-1790700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-1790700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-1790700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-213995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-213995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-213995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-213995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-213995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-213995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-213995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-24765</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-8255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-24765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-8255</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-8255</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See accompanying notes to the unaudited pro forma condensed combined financial information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w w:val="97"/>
              </w:rPr>
              <w:t>Proforma Combined</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7"/>
              </w:rPr>
              <w:t>Rezolve AI plc and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Bluedot Industries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 Year</w:t>
            </w: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3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ended December 31,</w:t>
            </w:r>
          </w:p>
        </w:tc>
        <w:tc>
          <w:tcPr>
            <w:tcW w:w="120" w:type="dxa"/>
            <w:vAlign w:val="bottom"/>
          </w:tcPr>
          <w:p>
            <w:pPr>
              <w:spacing w:after="0"/>
              <w:rPr>
                <w:sz w:val="11"/>
                <w:szCs w:val="11"/>
                <w:color w:val="auto"/>
              </w:rPr>
            </w:pPr>
          </w:p>
        </w:tc>
        <w:tc>
          <w:tcPr>
            <w:tcW w:w="13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 31,</w:t>
            </w:r>
          </w:p>
        </w:tc>
        <w:tc>
          <w:tcPr>
            <w:tcW w:w="120" w:type="dxa"/>
            <w:vAlign w:val="bottom"/>
          </w:tcPr>
          <w:p>
            <w:pPr>
              <w:spacing w:after="0"/>
              <w:rPr>
                <w:sz w:val="11"/>
                <w:szCs w:val="11"/>
                <w:color w:val="auto"/>
              </w:rPr>
            </w:pPr>
          </w:p>
        </w:tc>
        <w:tc>
          <w:tcPr>
            <w:tcW w:w="12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 31,</w:t>
            </w: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 Forma</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4"/>
              </w:rPr>
              <w:t>C</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1"/>
              </w:rPr>
              <w:t>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jc w:val="center"/>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G =</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A+B+C+D+E+F</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187,788</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18,890,934</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2,092,315</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485,860</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82"/>
              </w:rPr>
              <w:t>R</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21,656,897</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34,053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11,874,137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158,776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12,066,966</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6,285,446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4,906,824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402,441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11,594,711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w w:val="97"/>
              </w:rPr>
              <w:t>General and administrative expenses</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131,430,412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2,789,811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721,269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23,979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112,554</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74"/>
              </w:rPr>
              <w:t>z</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135,078,025</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8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w w:val="84"/>
              </w:rPr>
              <w:t>s,z</w:t>
            </w: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gridSpan w:val="2"/>
            <w:vMerge w:val="restart"/>
            <w:shd w:val="clear" w:color="auto" w:fill="CFF0FC"/>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4"/>
              </w:rPr>
              <w:t>t,u</w:t>
            </w: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88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expenses</w:t>
            </w:r>
          </w:p>
        </w:tc>
        <w:tc>
          <w:tcPr>
            <w:tcW w:w="8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225,251</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200,370</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200" w:type="dxa"/>
            <w:vAlign w:val="bottom"/>
            <w:tcBorders>
              <w:bottom w:val="single" w:sz="8" w:color="CFF0FC"/>
            </w:tcBorders>
            <w:gridSpan w:val="2"/>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38,022</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5,652,966</w:t>
            </w: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1,053,673</w:t>
            </w:r>
          </w:p>
        </w:tc>
        <w:tc>
          <w:tcPr>
            <w:tcW w:w="1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gridSpan w:val="2"/>
            <w:vMerge w:val="continue"/>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7,170,282</w:t>
            </w:r>
          </w:p>
        </w:tc>
        <w:tc>
          <w:tcPr>
            <w:tcW w:w="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tcPr>
          <w:p>
            <w:pPr>
              <w:spacing w:after="0"/>
              <w:rPr>
                <w:sz w:val="11"/>
                <w:szCs w:val="11"/>
                <w:color w:val="auto"/>
              </w:rPr>
            </w:pPr>
          </w:p>
        </w:tc>
        <w:tc>
          <w:tcPr>
            <w:tcW w:w="1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6,835,367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1,152,807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7,988,174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138,230,574</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1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26,606,509</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2,435,293</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62,001</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5,765,520</w:t>
            </w: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8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1,053,673</w:t>
            </w:r>
          </w:p>
        </w:tc>
        <w:tc>
          <w:tcPr>
            <w:tcW w:w="10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174,153,570</w:t>
            </w:r>
          </w:p>
        </w:tc>
        <w:tc>
          <w:tcPr>
            <w:tcW w:w="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(138,042,786)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(7,715,575)</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(342,978)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423,859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(1,053,673)</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(152,496,673)</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Interest (expense)/income</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(10,557,714)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(1,152,396)</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(203,053)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(1,990)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1,173,596</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v,z</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(10,741,557)</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Gain/(loss) on derivatives</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4"/>
              </w:rPr>
              <w:t>w,</w:t>
            </w: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Gain/(loss) on extinguishment</w:t>
            </w:r>
          </w:p>
        </w:tc>
        <w:tc>
          <w:tcPr>
            <w:tcW w:w="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(44,332,819)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(279,851)</w:t>
            </w: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aa</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(44,612,670)</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Other non-operating income</w:t>
            </w:r>
          </w:p>
        </w:tc>
        <w:tc>
          <w:tcPr>
            <w:tcW w:w="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1,329,781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(31,362)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11,193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(1,361,844)</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x</w:t>
            </w:r>
          </w:p>
        </w:tc>
        <w:tc>
          <w:tcPr>
            <w:tcW w:w="100" w:type="dxa"/>
            <w:vAlign w:val="bottom"/>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(295,847)</w:t>
            </w:r>
          </w:p>
        </w:tc>
        <w:tc>
          <w:tcPr>
            <w:tcW w:w="30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1"/>
              </w:rPr>
              <w:t>y</w:t>
            </w: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(348,079)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8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(expense), net</w:t>
            </w:r>
          </w:p>
        </w:tc>
        <w:tc>
          <w:tcPr>
            <w:tcW w:w="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8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other (expenses) / income,</w:t>
            </w:r>
          </w:p>
        </w:tc>
        <w:tc>
          <w:tcPr>
            <w:tcW w:w="80" w:type="dxa"/>
            <w:vAlign w:val="bottom"/>
            <w:shd w:val="clear" w:color="auto" w:fill="CFF0FC"/>
          </w:tcPr>
          <w:p>
            <w:pPr>
              <w:spacing w:after="0"/>
              <w:rPr>
                <w:sz w:val="9"/>
                <w:szCs w:val="9"/>
                <w:color w:val="auto"/>
              </w:rPr>
            </w:pPr>
          </w:p>
        </w:tc>
        <w:tc>
          <w:tcPr>
            <w:tcW w:w="12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(34,559,071)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(1,183,758)</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(191,860)</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(1,990)</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(468,099)</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(295,847)</w:t>
            </w: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8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shd w:val="clear" w:color="auto" w:fill="CFF0FC"/>
          </w:tcPr>
          <w:p>
            <w:pPr>
              <w:spacing w:after="0"/>
              <w:rPr>
                <w:sz w:val="12"/>
                <w:szCs w:val="12"/>
                <w:color w:val="auto"/>
              </w:rPr>
            </w:pPr>
          </w:p>
        </w:tc>
        <w:tc>
          <w:tcPr>
            <w:tcW w:w="12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6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8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80" w:type="dxa"/>
            <w:vAlign w:val="bottom"/>
          </w:tcPr>
          <w:p>
            <w:pPr>
              <w:spacing w:after="0"/>
              <w:rPr>
                <w:sz w:val="11"/>
                <w:szCs w:val="11"/>
                <w:color w:val="auto"/>
              </w:rPr>
            </w:pPr>
          </w:p>
        </w:tc>
        <w:tc>
          <w:tcPr>
            <w:tcW w:w="1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(172,601,857)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(8,899,333)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(534,838)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421,869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(6,233,619)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(1,349,520)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(189,197,298)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(44,933)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(33,524)</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(20,486)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(50,067)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bb</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(1,228,051)</w:t>
            </w:r>
          </w:p>
        </w:tc>
        <w:tc>
          <w:tcPr>
            <w:tcW w:w="300" w:type="dxa"/>
            <w:vAlign w:val="bottom"/>
            <w:gridSpan w:val="2"/>
            <w:shd w:val="clear" w:color="auto" w:fill="CFF0FC"/>
          </w:tcPr>
          <w:p>
            <w:pPr>
              <w:jc w:val="center"/>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cc</w:t>
            </w: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(11,712,061)</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(172,646,790)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(8,932,857)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(555,324)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371,802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(16,568,619)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(2,577,571)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(200,909,358)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8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80" w:type="dxa"/>
            <w:vAlign w:val="bottom"/>
            <w:shd w:val="clear" w:color="auto" w:fill="CFF0FC"/>
          </w:tcPr>
          <w:p>
            <w:pPr>
              <w:spacing w:after="0"/>
              <w:rPr>
                <w:sz w:val="10"/>
                <w:szCs w:val="10"/>
                <w:color w:val="auto"/>
              </w:rPr>
            </w:pPr>
          </w:p>
        </w:tc>
        <w:tc>
          <w:tcPr>
            <w:tcW w:w="1260" w:type="dxa"/>
            <w:vAlign w:val="bottom"/>
            <w:gridSpan w:val="2"/>
            <w:shd w:val="clear" w:color="auto" w:fill="CFF0FC"/>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60"/>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220" w:type="dxa"/>
            <w:vAlign w:val="bottom"/>
            <w:shd w:val="clear" w:color="auto" w:fill="CFF0FC"/>
          </w:tcPr>
          <w:p>
            <w:pPr>
              <w:ind w:left="40"/>
              <w:spacing w:after="0" w:line="115" w:lineRule="exact"/>
              <w:rPr>
                <w:sz w:val="20"/>
                <w:szCs w:val="20"/>
                <w:color w:val="auto"/>
              </w:rPr>
            </w:pPr>
            <w:r>
              <w:rPr>
                <w:rFonts w:ascii="Times New Roman" w:cs="Times New Roman" w:eastAsia="Times New Roman" w:hAnsi="Times New Roman"/>
                <w:sz w:val="12"/>
                <w:szCs w:val="12"/>
                <w:b w:val="1"/>
                <w:bCs w:val="1"/>
                <w:color w:val="auto"/>
              </w:rPr>
              <w:t>dd</w:t>
            </w:r>
          </w:p>
        </w:tc>
        <w:tc>
          <w:tcPr>
            <w:tcW w:w="0" w:type="dxa"/>
            <w:vAlign w:val="bottom"/>
          </w:tcPr>
          <w:p>
            <w:pPr>
              <w:spacing w:after="0"/>
              <w:rPr>
                <w:sz w:val="1"/>
                <w:szCs w:val="1"/>
                <w:color w:val="auto"/>
              </w:rPr>
            </w:pP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shares outstanding</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162,855,146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178,157,563</w:t>
            </w:r>
          </w:p>
        </w:tc>
        <w:tc>
          <w:tcPr>
            <w:tcW w:w="10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dd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-1506855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-1506855</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-1506855</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-1506855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-1506855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-1506855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-1506855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-563880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-563880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-563880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-563880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-563880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-563880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-563880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1" w:name="page42"/>
    <w:bookmarkEnd w:id="41"/>
    <w:p>
      <w:pPr>
        <w:ind w:left="168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preliminary estimates of fair values of the net assets acquired are based on the information that was available at the date of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22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Industries, Inc. and Bluedot Industries Pty. Ltd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 The Company's preliminary estimates of fair values of the net assets acquired are based on the information that was available at the date of the acquisition of Bluedot Industries, Inc. and Bluedot Industries Pty. Ltd,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Innovation Pty. Ltd as an asset acquisition under ASC 805. 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The Company used a cost accumulation model to determine the cost of the asset acquisition. The Ordinary Shares issued as consideration in this asset acquisition were measured based on the acquisition date fair value of the equity interests issued. Direct transaction costs were recognized as part of the cost of an asset acquisition. The cost of an asset acquisition, including transaction costs, were allocated to identifiable assets acquired and liabilities assumed based on a relative fair value basis. Goodwill is not recognized in an asset acquisition. If applicable, any difference between the cost of an asset acquisition and the fair value of the net assets acquired is allocated to the non-monetary identifiable assets based on their relative fair values. However, as of the date of acquisition, if certain assets are carried at fair value under other applicable GAAP the consideration is first allocated to those assets with the remainder allocated to the non-monetary identifiable assets based on relative fair value basis.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27"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2" w:name="page43"/>
    <w:bookmarkEnd w:id="42"/>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utilized the services of an independent valuation consultant, along with estimates and assumptions determined by management, to estimate the fair value of the assets acquired and liabilities assumed. Given the timing of the Bluedot acquisition and the GroupBy acquisition, the assets acquired is still in process of being valued by an independent valuation consultant. The preliminary allocation of the purchase price was based on an evaluation of the appropriate fair values and represents management’s best estimate based on available data. The purchase price allocation of the assets acquired and liabilities assumed is preliminary until the contractual post-closing adjustments are finalized, the final independent valuation consultant report is issued, and the measurement period allowed for under ASC 805 has closed. The final determination of the fair value of assets acquired and liabilities assumed will be completed within the one-year measurement period as allowed by ASC 805. Changes during the measurement period could be material.</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transaction related adjustments management believes are necessary to present fairly Rezolve’s pro forma results of operations and financial position following the closing of the Bluedot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Bluedot acquisition and the GroupBy acquisition was completed on the dates mentioned above. Therefore, the unaudited pro forma condensed combined financial information and related notes are presented for illustrative purposes only. If the Bluedot acquisition and the GroupBy acquisition and other transactions contemplated herein had occurred in the past, Rezolve's operating results might have been materially different from those presented in this unaudited pro forma condensed combined financial information.</w:t>
      </w:r>
    </w:p>
    <w:p>
      <w:pPr>
        <w:spacing w:after="0" w:line="18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not be relied upon as an indication of operating results that Rezolve would have achieved if the Bluedot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 contemplation of the Bluedot acquisition and the GroupBy acquisition.</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Bluedot acquisition and the GroupBy acquisition.</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audited financial statements and notes thereto of each of GroupBy and Rezolve included elsewhere in this prospectus.</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have been prepared in accordance with International Financial Reporting Standards (“IFRS”) and interpretations adopted by the International Accounting Standards Board (“IASB”). See note 2 and note 3 for more information on adjustments resulting from material differences between IFRS and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balance sheet as of December 31, 2024 presented also include adjustments to conform Bluedot’s and GroupBy's historical presentation of certain line items to the presentation of those line items by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2024 are as follows:</w:t>
      </w:r>
    </w:p>
    <w:p>
      <w:pPr>
        <w:spacing w:after="0" w:line="117" w:lineRule="exact"/>
        <w:rPr>
          <w:sz w:val="20"/>
          <w:szCs w:val="20"/>
          <w:color w:val="auto"/>
        </w:rPr>
      </w:pPr>
    </w:p>
    <w:p>
      <w:pPr>
        <w:ind w:left="1020" w:right="6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reflect the purchase of a prepaid insurance tail policy by GroupBy (as required in the purchase agreement) for (i) directors’ and officers’ liability (including fiduciary and employment practices liability) insurance policy and (ii) cyber liability insurance policy, in each case providing coverage for a 6-year period commencing on the closing date of the GroupBy acquisition with respect to claims arising from acts, events or omissions that occurred at or prior to the closing of the GroupBy acquisition.</w:t>
      </w:r>
    </w:p>
    <w:p>
      <w:pPr>
        <w:spacing w:after="0" w:line="7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GroupBy based on the fair values assigned in the preliminary purchase price allocation to: (1) Technology intellectual property and (2) Customer contract and related relationships.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acquisition of Bluedot Industries, Inc. and Bluedot Industries Pty. Ltd based on the fair values assigned in the preliminary purchase price allocation to: Customer contract and related relationships.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3" w:name="page44"/>
    <w:bookmarkEnd w:id="43"/>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Bluedot Innovation Pty. Ltd based on the preliminary allocation of costs for the asset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GroupBy based on the preliminary purchase price allocation.</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Bluedot Industries, Inc. and Bluedot Industries Pty. Ltd based on the preliminary purchase price allocation.</w:t>
      </w:r>
    </w:p>
    <w:p>
      <w:pPr>
        <w:spacing w:after="0" w:line="53"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the right-of use asset and lease liability resulting from (1) the application of the guidance in ASC 805-20-30-24 which requires Rezolve to measure the lease liability at the present value of the remaining lease payments, as if the acquired lease were a new lease of the acquirer at the acquisition date and (2) differences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w:t>
      </w:r>
    </w:p>
    <w:p>
      <w:pPr>
        <w:spacing w:after="0" w:line="8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assumes a price of $1.44 per share which is the closing price per share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acquisitions of Bluedot: the Company issued 819,737 ordinary shares of the Company to DBLP and 1,941,111 ordinary shares of the Company to the Tanist Group.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 of GroupBy: the Company issued 3,999,902 of its ordinary shares to the Sellers (as defined above). The pro forma adjustment assumes a price of $1.44 per share which is the closing price per share on March 25, 2025, the date on which the Company closed the GroupBy acquisition.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accumulated deficit and other consolidation adjustments as a result of acquisition accounting.</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warrants recognized in equity to which GroupBy is a party as one of the conditions for the closing of the GroupBy acquisition.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3—Unaudited pro forma condensed combined statements of operations adjustments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year ended December 31, 2024 also include adjustments to conform Bluedot’s and GroupBy's historical presentation of certain line items to the presentation of those line items by Rezolve.</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for Bluedot Innovation Pty. Ltd for the year ended December 31, 2024 represents revenue from a government grant.</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GroupBy based on the fair values assigned in the preliminary purchase price allocation to technology intellectual property and customer contract and related relationships.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4" w:name="page45"/>
    <w:bookmarkEnd w:id="44"/>
    <w:p>
      <w:pPr>
        <w:ind w:left="503" w:right="40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Industries, Inc. and Bluedot Industries Pty. Ltd based on the fair values assigned in the preliminary purchase price allocation to customer contract and related relationships.</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Innovation Pty. Ltd based on the values assigned to technology intellectual property based on the preliminary allocation of costs for the asset acquisition.</w:t>
      </w:r>
    </w:p>
    <w:p>
      <w:pPr>
        <w:spacing w:after="0" w:line="53"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remove GroupBy's historical interest expense for the year ended December 31, 2024, as a result of the settlement of $12 million of outstanding debt due to Western Alliance Bank. Refer to the unaudited pro forma condensed combined balance sheet adjustments above for more information.</w:t>
      </w:r>
    </w:p>
    <w:p>
      <w:pPr>
        <w:spacing w:after="0" w:line="67" w:lineRule="exact"/>
        <w:rPr>
          <w:rFonts w:ascii="Times New Roman" w:cs="Times New Roman" w:eastAsia="Times New Roman" w:hAnsi="Times New Roman"/>
          <w:sz w:val="18"/>
          <w:szCs w:val="18"/>
          <w:color w:val="auto"/>
        </w:rPr>
      </w:pPr>
    </w:p>
    <w:p>
      <w:pPr>
        <w:ind w:left="503" w:hanging="503"/>
        <w:spacing w:after="0" w:line="258"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uses the share price of Rezolve Ordinary shares of $1.44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40" w:hanging="503"/>
        <w:spacing w:after="0" w:line="258"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w:t>
      </w:r>
    </w:p>
    <w:p>
      <w:pPr>
        <w:spacing w:after="0" w:line="75" w:lineRule="exact"/>
        <w:rPr>
          <w:sz w:val="20"/>
          <w:szCs w:val="20"/>
          <w:color w:val="auto"/>
        </w:rPr>
      </w:pPr>
    </w:p>
    <w:p>
      <w:pPr>
        <w:ind w:left="503" w:right="220" w:hanging="503"/>
        <w:spacing w:after="0" w:line="282" w:lineRule="auto"/>
        <w:tabs>
          <w:tab w:leader="none" w:pos="5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503" w:right="80" w:hanging="503"/>
        <w:spacing w:after="0" w:line="258" w:lineRule="auto"/>
        <w:tabs>
          <w:tab w:leader="none" w:pos="5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Bluedot and GroupBy acquisitions, assuming the shares were outstanding since January 1, 2024. As the Bluedot and GroupBy acquisitions are being reflected in the unaudited pro forma condensed combined statement of operations as if both acquisitions had occurred on January 1, 2024, the calculation of weighted average shares outstanding for basic and diluted net loss per share assumes that the shares issuable in connection with the Blue Dot and GroupBy acquisitions have been outstanding for the entire period presented.</w:t>
      </w:r>
    </w:p>
    <w:p>
      <w:pPr>
        <w:spacing w:after="0" w:line="7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45" w:name="page46"/>
    <w:bookmarkEnd w:id="45"/>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13" w:lineRule="exact"/>
        <w:rPr>
          <w:sz w:val="20"/>
          <w:szCs w:val="20"/>
          <w:color w:val="auto"/>
        </w:rPr>
      </w:pPr>
    </w:p>
    <w:p>
      <w:pPr>
        <w:ind w:right="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 this section, the "Company", “we,” “us,” “our” and “Rezolve” refer to Rezolve Limited and its subsidiaries prior to the consummation of the Pre-Closing Demerger and to Rezolve AI PLC (formerly Rezolve AI Limited) and its subsidiaries following the consummation of the Pre-Closing Demerger.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 there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688465"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0" w:lineRule="exact"/>
        <w:rPr>
          <w:sz w:val="20"/>
          <w:szCs w:val="20"/>
          <w:color w:val="auto"/>
        </w:rPr>
      </w:pPr>
    </w:p>
    <w:p>
      <w:pPr>
        <w:ind w:right="540" w:firstLine="8"/>
        <w:spacing w:after="0" w:line="223" w:lineRule="auto"/>
        <w:tabs>
          <w:tab w:leader="none" w:pos="105"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https://www.rezolve.com/investors/britainsbrain-heralds-new-era-of-commerce-enabled-ai/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13" w:lineRule="exact"/>
        <w:rPr>
          <w:sz w:val="20"/>
          <w:szCs w:val="20"/>
          <w:color w:val="auto"/>
        </w:rPr>
      </w:pPr>
    </w:p>
    <w:p>
      <w:pPr>
        <w:ind w:left="1020" w:right="340" w:hanging="503"/>
        <w:spacing w:after="0" w:line="286" w:lineRule="auto"/>
        <w:tabs>
          <w:tab w:leader="none" w:pos="10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customers.</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line="259" w:lineRule="auto"/>
        <w:tabs>
          <w:tab w:leader="none" w:pos="10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71" w:lineRule="exact"/>
        <w:rPr>
          <w:rFonts w:ascii="Times New Roman" w:cs="Times New Roman" w:eastAsia="Times New Roman" w:hAnsi="Times New Roman"/>
          <w:sz w:val="18"/>
          <w:szCs w:val="18"/>
          <w:b w:val="1"/>
          <w:bCs w:val="1"/>
          <w:color w:val="auto"/>
        </w:rPr>
      </w:pPr>
    </w:p>
    <w:p>
      <w:pPr>
        <w:ind w:left="1020" w:right="160" w:hanging="503"/>
        <w:spacing w:after="0" w:line="259" w:lineRule="auto"/>
        <w:tabs>
          <w:tab w:leader="none" w:pos="10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1" w:lineRule="exact"/>
        <w:rPr>
          <w:rFonts w:ascii="Times New Roman" w:cs="Times New Roman" w:eastAsia="Times New Roman" w:hAnsi="Times New Roman"/>
          <w:sz w:val="18"/>
          <w:szCs w:val="18"/>
          <w:b w:val="1"/>
          <w:bCs w:val="1"/>
          <w:color w:val="auto"/>
        </w:rPr>
      </w:pPr>
    </w:p>
    <w:p>
      <w:pPr>
        <w:ind w:left="1020" w:right="180" w:hanging="503"/>
        <w:spacing w:after="0" w:line="278" w:lineRule="auto"/>
        <w:tabs>
          <w:tab w:leader="none" w:pos="102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Merchant Retention and Expansion</w:t>
      </w:r>
      <w:r>
        <w:rPr>
          <w:rFonts w:ascii="Times New Roman" w:cs="Times New Roman" w:eastAsia="Times New Roman" w:hAnsi="Times New Roman"/>
          <w:sz w:val="17"/>
          <w:szCs w:val="17"/>
          <w:color w:val="auto"/>
        </w:rPr>
        <w:t>: We care deeply about merchants. Our commitment to their success, we believe, increases retention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55" w:lineRule="exact"/>
        <w:rPr>
          <w:rFonts w:ascii="Times New Roman" w:cs="Times New Roman" w:eastAsia="Times New Roman" w:hAnsi="Times New Roman"/>
          <w:sz w:val="17"/>
          <w:szCs w:val="17"/>
          <w:b w:val="1"/>
          <w:bCs w:val="1"/>
          <w:color w:val="auto"/>
        </w:rPr>
      </w:pPr>
    </w:p>
    <w:p>
      <w:pPr>
        <w:ind w:left="1020" w:right="140" w:hanging="503"/>
        <w:spacing w:after="0" w:line="286" w:lineRule="auto"/>
        <w:tabs>
          <w:tab w:leader="none" w:pos="10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and service enhancement</w:t>
      </w:r>
      <w:r>
        <w:rPr>
          <w:rFonts w:ascii="Times New Roman" w:cs="Times New Roman" w:eastAsia="Times New Roman" w:hAnsi="Times New Roman"/>
          <w:sz w:val="18"/>
          <w:szCs w:val="18"/>
          <w:color w:val="auto"/>
        </w:rPr>
        <w:t>: We intend to continue investing in the capabilities of our offerings and services to deliver better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users and merchants and address new market opportunities. Additionally, we will work to perfect our platform service</w:t>
      </w:r>
    </w:p>
    <w:p>
      <w:pPr>
        <w:spacing w:after="0" w:line="46" w:lineRule="exact"/>
        <w:rPr>
          <w:rFonts w:ascii="Times New Roman" w:cs="Times New Roman" w:eastAsia="Times New Roman" w:hAnsi="Times New Roman"/>
          <w:sz w:val="18"/>
          <w:szCs w:val="18"/>
          <w:b w:val="1"/>
          <w:bCs w:val="1"/>
          <w:color w:val="auto"/>
        </w:rPr>
      </w:pPr>
    </w:p>
    <w:p>
      <w:pPr>
        <w:ind w:left="1020" w:right="280" w:hanging="503"/>
        <w:spacing w:after="0" w:line="286" w:lineRule="auto"/>
        <w:tabs>
          <w:tab w:leader="none" w:pos="10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access to financing through capital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Additionally, our growth may be supported by acquisitions of businesses where management identifies synergistic growth opportunities.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2" w:lineRule="exact"/>
        <w:rPr>
          <w:sz w:val="20"/>
          <w:szCs w:val="20"/>
          <w:color w:val="auto"/>
        </w:rPr>
      </w:pPr>
    </w:p>
    <w:p>
      <w:pPr>
        <w:ind w:left="5540" w:right="3580" w:hanging="5023"/>
        <w:spacing w:after="0" w:line="409" w:lineRule="auto"/>
        <w:tabs>
          <w:tab w:leader="none" w:pos="103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7" w:name="page48"/>
    <w:bookmarkEnd w:id="47"/>
    <w:p>
      <w:pPr>
        <w:ind w:left="1020" w:right="200" w:hanging="503"/>
        <w:spacing w:after="0" w:line="284"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50" w:lineRule="exact"/>
        <w:rPr>
          <w:rFonts w:ascii="Times New Roman" w:cs="Times New Roman" w:eastAsia="Times New Roman" w:hAnsi="Times New Roman"/>
          <w:sz w:val="18"/>
          <w:szCs w:val="18"/>
          <w:b w:val="1"/>
          <w:bCs w:val="1"/>
          <w:color w:val="auto"/>
        </w:rPr>
      </w:pPr>
    </w:p>
    <w:p>
      <w:pPr>
        <w:ind w:left="1020" w:right="20" w:hanging="503"/>
        <w:spacing w:after="0" w:line="267"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and fees and share-based compensation for directors.</w:t>
      </w:r>
    </w:p>
    <w:p>
      <w:pPr>
        <w:spacing w:after="0" w:line="65" w:lineRule="exact"/>
        <w:rPr>
          <w:rFonts w:ascii="Times New Roman" w:cs="Times New Roman" w:eastAsia="Times New Roman" w:hAnsi="Times New Roman"/>
          <w:sz w:val="18"/>
          <w:szCs w:val="18"/>
          <w:b w:val="1"/>
          <w:bCs w:val="1"/>
          <w:color w:val="auto"/>
        </w:rPr>
      </w:pPr>
    </w:p>
    <w:p>
      <w:pPr>
        <w:ind w:left="1020" w:right="120" w:hanging="503"/>
        <w:spacing w:after="0" w:line="284"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software and acquired information technology intangible assets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depreciation of fixed tangible assets.</w:t>
      </w:r>
    </w:p>
    <w:p>
      <w:pPr>
        <w:spacing w:after="0" w:line="50"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charges on loan receivables.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costs associated with short term debt and convertible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for the years ended December 31, 2024 and December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4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187,788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145,051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(138,042,786)</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(26,006,274)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(172,601,857)</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-2407920</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-2407920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-1285240</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-1285240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-993775</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-993775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total revenues from ticketing transactions for the year ended December 31, 2024, as compared to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jc w:val="right"/>
              <w:ind w:right="9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8"/>
                <w:szCs w:val="18"/>
                <w:color w:val="auto"/>
              </w:rPr>
              <w:t>42,737</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revenue from $145,051 for the year ended December 31, 2023 as compared to $187,788 for the year ended December 31, 2024 is attributable to increased transaction revenues through the sale of ticketing of football events using our technology with La Liga in Spain.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2024, as compared to the year ended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4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(445,808)</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113,443,884</w:t>
            </w:r>
          </w:p>
        </w:tc>
        <w:tc>
          <w:tcPr>
            <w:tcW w:w="4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(900,904)</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(17,185)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112,079,249</w:t>
            </w: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429%</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Cost of revenues have remained unchanged at $34,053, for the year ended December 31, 2024 compared to $34,791 for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$0.45 million, for the year ended December 31, 2024 compared to the year ended December 31, 2023. This was primarily due lower share-based payments expense related to a decrease in the number of stock options granted to employees within sales and marketing during the year ended December 31, 2024 as compared to the year ended December 31,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$113.44 million, for the year ended December 31, 2024 compared to the year ended December 31, 2023. This was primarily due to an increase in share-based payments expenses of $60.5 million from 2023 to 2024 related to stock options granted to DBLP Sea Cow Ltd during the year ended December 31, 2024. DBLP Sea Cow Ltd is wholly legally owned by Dan Wagner, Chief Executive Officer of Rezolve. An increase of $34.2 million in legal and professional fees incurred as a result of the Pre-Closing Demerger transaction and the Business Combination transaction with Armada Acquisition Corp. I. also contributed to the increase in general and administrative expenses during the year ended December 31, 2024 as compared to the year ended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Other operating expenses decreased by $0.90 million for the year ended December 31, 2024 compared to the year ended December 31, 2023 . The higher operating expenses during the year ended December 31, 2023 as compared to the year ended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9" w:name="page50"/>
    <w:bookmarkEnd w:id="49"/>
    <w:p>
      <w:pPr>
        <w:ind w:right="140"/>
        <w:spacing w:after="0" w:line="282" w:lineRule="auto"/>
        <w:rPr>
          <w:sz w:val="20"/>
          <w:szCs w:val="20"/>
          <w:color w:val="auto"/>
        </w:rPr>
      </w:pPr>
      <w:r>
        <w:rPr>
          <w:rFonts w:ascii="Times New Roman" w:cs="Times New Roman" w:eastAsia="Times New Roman" w:hAnsi="Times New Roman"/>
          <w:sz w:val="18"/>
          <w:szCs w:val="18"/>
          <w:color w:val="auto"/>
        </w:rPr>
        <w:t>December 31, 2024 was driven by higher impairment charges related to loan receivables from Swipeby and Moneymatic recognized in 2023 as compared to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materially unchanged at $225,251, for the year ended December 31, 2024 compared to $242,436 for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shows interest expense and other non-operating income and expenses for the year ended December 31, 2024, as compared to the year ended December 31, 2023:</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0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(10,557,714)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(4,791,782)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(5,765,932)</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(44,332,819)</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(44,332,819)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1,204,415</w:t>
            </w:r>
          </w:p>
        </w:tc>
        <w:tc>
          <w:tcPr>
            <w:tcW w:w="4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(29,892,655)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-170815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Interest expense increased by $5.77 million for the year ended December 31, 2024, as compared to the year ended December 31, 2023. This was primarily due to interest expense of $6.99 million on the senior secured convertible notes and unsecured convertible loans. Refer to the Liquidity and Resources section below for more information.</w:t>
      </w:r>
    </w:p>
    <w:p>
      <w:pPr>
        <w:spacing w:after="0" w:line="24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net gain on derivatives of $19.00 million is primarily due to the remeasurement of a derivative asset and derivative liabilities at fair value through profit and loss. The derivative asset pertains to an option held by the Company to convert a promissory note payable to Northland Securities. The Company had The outstanding derivative liabilities as at December 31, 2024 were triggered by conversion features embedded in promissory notes held by investors Cohen &amp; Company Financial Management LLC, J.V.B. Financial Group and Northlands Securities. The Company previously did not bifurcate the embedded conversion features as derivatives due to the lack of an underlying share price prior to the Company's acquisition of Armada and listing of its Ordinary Shares on the NASDAQ. Refer to the Liquidity and Resources section below for more information.</w:t>
      </w:r>
    </w:p>
    <w:p>
      <w:pPr>
        <w:spacing w:after="0" w:line="25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loss on extinguishment of $44.33 million is primarily due to an agreement entered into by the Company, Apeiron Investment Group Ltd. and Bradley Wickens, the beneficial holders of the majority of senior secured convertible notes to amend</w:t>
      </w:r>
    </w:p>
    <w:p>
      <w:pPr>
        <w:spacing w:after="0" w:line="253" w:lineRule="auto"/>
        <w:rPr>
          <w:sz w:val="20"/>
          <w:szCs w:val="20"/>
          <w:color w:val="auto"/>
        </w:rPr>
      </w:pPr>
      <w:r>
        <w:rPr>
          <w:rFonts w:ascii="Times New Roman" w:cs="Times New Roman" w:eastAsia="Times New Roman" w:hAnsi="Times New Roman"/>
          <w:sz w:val="18"/>
          <w:szCs w:val="18"/>
          <w:color w:val="auto"/>
        </w:rPr>
        <w:t>the conversion price of approximately $41,892,080 of their outstanding senior secured convertible notes to $2 per ordinary share. Apeiron Investment Group Ltd. and Bradley Wickens exercised their option to convert all their outstanding senior secured convertible notes which resulted in the recognition of a debt conversion expense of $39,658,290, equal to the fair value of the ordinary shares given up less the carrying value of the debt including accrued interest. Refer to the Liquidity and Resources section below for more information.</w:t>
      </w:r>
    </w:p>
    <w:p>
      <w:pPr>
        <w:spacing w:after="0" w:line="18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Other non-operating (income) expense increased to $1.33 million for the year ended December 31, 2024, as compared to $0.13 million year ended December 31, 2023. This was primarily due a foreign exchange gain of $1.33 million during year ended December 31, 2024 as compared to a foreign exchange loss of $0.38 million during the year ended December 31, 2023. The Company's exposure to currencies other than its functional currency of the US Dollar, changed during the year ended December 31, 2024 as compared to the year ended December 31, 2023 due to events such as the board of directors decision to abandon operations in China completely and the Business Combination transaction with Armada Acquisition Corp. 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Operating losses increased to $138.04 million for the year ended December 31, 2024, as compared to $26.01 million for the year ended December 31, 2023. This was primarily due to the increase in general and administrative expenses as detailed above.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Business Metrics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financial metrics are used by management to monitor and analyze the operational performance of our business.</w:t>
      </w:r>
    </w:p>
    <w:p>
      <w:pPr>
        <w:spacing w:after="0" w:line="115" w:lineRule="exact"/>
        <w:rPr>
          <w:sz w:val="20"/>
          <w:szCs w:val="20"/>
          <w:color w:val="auto"/>
        </w:rPr>
      </w:pPr>
    </w:p>
    <w:p>
      <w:pPr>
        <w:ind w:left="1020" w:right="400" w:hanging="503"/>
        <w:spacing w:after="0" w:line="284"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EBITDA is a non-GAAP financial measure. 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2"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64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14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EBITDA differently than we do.</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 (non GAAP):</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(172,646,790)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(161,818,892)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-153670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2024 and 2023. PCAOB audit and U.S. legal counsel costs for the periods under review have been accrued as incurred in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51" w:name="page52"/>
    <w:bookmarkEnd w:id="51"/>
    <w:p>
      <w:pPr>
        <w:ind w:left="1020" w:hanging="503"/>
        <w:spacing w:after="0"/>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right="860" w:hanging="503"/>
        <w:spacing w:after="0" w:line="282" w:lineRule="auto"/>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420" w:hanging="503"/>
        <w:spacing w:after="0" w:line="282" w:lineRule="auto"/>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140" w:hanging="503"/>
        <w:spacing w:after="0" w:line="282" w:lineRule="auto"/>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Adjusted EBITDA is used by management to understand and track underlying earnings performance by excluding one-time and non-recurring costs.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 it is appropriate to exclude these costs from Adjusted EBITDA as they relate to:</w:t>
      </w:r>
    </w:p>
    <w:p>
      <w:pPr>
        <w:spacing w:after="0" w:line="99"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17"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17"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Unrealized foreign exchange (gain)/loss are one-time costs.</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Loss/(gain) resulting from the remeasurement of derivative assets and derivative liabilities at fair value at the end of each reporting period.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Loss/(gain) resulting from extinguishment of debt obligations.</w:t>
      </w:r>
    </w:p>
    <w:p>
      <w:pPr>
        <w:spacing w:after="0" w:line="117" w:lineRule="exact"/>
        <w:rPr>
          <w:sz w:val="20"/>
          <w:szCs w:val="20"/>
          <w:color w:val="auto"/>
        </w:rPr>
      </w:pPr>
    </w:p>
    <w:p>
      <w:pPr>
        <w:ind w:left="520" w:right="10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expense of $18,836,099 related to restricted employee shares. The articles of incorporation of the Company were amended to remove these restrictions prior to the completion of the Pre-Closing Demerger transaction.</w:t>
      </w:r>
    </w:p>
    <w:p>
      <w:pPr>
        <w:spacing w:after="0" w:line="161"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2024, prior to the Pre-Closing Demerger, and 2023 and are recorded within General and Administrative expenses.</w:t>
      </w:r>
    </w:p>
    <w:p>
      <w:pPr>
        <w:spacing w:after="0" w:line="16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provides a reconciliation of our net income (loss) to Adjusted EBITDA (non-GAAP):</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2" w:name="page53"/>
    <w:bookmarkEnd w:id="52"/>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(172,646,790)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(161,818,892)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loan and accounts receivable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63,001,392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3,270,040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for employees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4,314,649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5,238,117</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(19,001,681)</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44,332,819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 employees shares restrictions lifted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18,836,099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(43,782,632)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(15,087,056)</w:t>
            </w: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-1679575</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-1679575</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280"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w:t>
      </w:r>
    </w:p>
    <w:p>
      <w:pPr>
        <w:spacing w:after="0" w:line="176"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5540" w:right="4140" w:hanging="4380"/>
        <w:spacing w:after="0" w:line="407" w:lineRule="auto"/>
        <w:tabs>
          <w:tab w:leader="none" w:pos="167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53" w:name="page54"/>
    <w:bookmarkEnd w:id="53"/>
    <w:p>
      <w:pPr>
        <w:ind w:left="1660" w:hanging="500"/>
        <w:spacing w:after="0"/>
        <w:tabs>
          <w:tab w:leader="none" w:pos="1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3The ability to generate revenue from our technology.</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9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2024, we financed our operations in large part with cash flows from financing activities through cash proceeds from issuance of convertible debt, short term-debt and a rights issue.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40" w:type="dxa"/>
            <w:vAlign w:val="bottom"/>
          </w:tcPr>
          <w:p>
            <w:pPr>
              <w:spacing w:after="0"/>
              <w:rPr>
                <w:sz w:val="15"/>
                <w:szCs w:val="15"/>
                <w:color w:val="auto"/>
              </w:rPr>
            </w:pPr>
          </w:p>
        </w:tc>
        <w:tc>
          <w:tcPr>
            <w:tcW w:w="1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5,102,211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payable</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10,288,123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6,428,825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12,812,366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FF0FC"/>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 to related parties</w:t>
      </w:r>
    </w:p>
    <w:p>
      <w:pPr>
        <w:spacing w:after="0" w:line="229"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16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As a result of the loan amendment and addition to the Company’s senior secured convertible notes, the default was remediated.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4" w:name="page55"/>
    <w:bookmarkEnd w:id="54"/>
    <w:p>
      <w:pPr>
        <w:ind w:right="700"/>
        <w:spacing w:after="0" w:line="282" w:lineRule="auto"/>
        <w:rPr>
          <w:sz w:val="20"/>
          <w:szCs w:val="20"/>
          <w:color w:val="auto"/>
        </w:rPr>
      </w:pPr>
      <w:r>
        <w:rPr>
          <w:rFonts w:ascii="Times New Roman" w:cs="Times New Roman" w:eastAsia="Times New Roman" w:hAnsi="Times New Roman"/>
          <w:sz w:val="18"/>
          <w:szCs w:val="18"/>
          <w:color w:val="auto"/>
        </w:rPr>
        <w:t>On December 5, 2024, all $8,000,000 of the senior secured convertible notes in favor of Igor Lychagov were converted into ordinary shares of the Company at a conversion price of $7 per ordinary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payable</w:t>
      </w:r>
    </w:p>
    <w:p>
      <w:pPr>
        <w:spacing w:after="0" w:line="22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spacing w:after="0" w:line="183"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18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December 31, 2024, $0.4 million of the Convertible Notes remained outstanding under the Loan Note Instrument.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convertible debt to a related party</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 convertible debt and $7,269 of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liability</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3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3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3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4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20"/>
        </w:trPr>
        <w:tc>
          <w:tcPr>
            <w:tcW w:w="3900" w:type="dxa"/>
            <w:vAlign w:val="bottom"/>
            <w:tcBorders>
              <w:top w:val="single" w:sz="8" w:color="CFF0FC"/>
            </w:tcBorders>
          </w:tcPr>
          <w:p>
            <w:pPr>
              <w:spacing w:after="0"/>
              <w:rPr>
                <w:sz w:val="24"/>
                <w:szCs w:val="24"/>
                <w:color w:val="auto"/>
              </w:rPr>
            </w:pPr>
          </w:p>
        </w:tc>
        <w:tc>
          <w:tcPr>
            <w:tcW w:w="3620" w:type="dxa"/>
            <w:vAlign w:val="bottom"/>
            <w:tcBorders>
              <w:top w:val="single" w:sz="8" w:color="CFF0FC"/>
            </w:tcBorders>
          </w:tcPr>
          <w:p>
            <w:pPr>
              <w:jc w:val="right"/>
              <w:ind w:right="171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top w:val="single" w:sz="8" w:color="CFF0FC"/>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-847725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55" w:name="page56"/>
    <w:bookmarkEnd w:id="55"/>
    <w:p>
      <w:pPr>
        <w:ind w:left="880"/>
        <w:spacing w:after="0"/>
        <w:rPr>
          <w:sz w:val="20"/>
          <w:szCs w:val="20"/>
          <w:color w:val="auto"/>
        </w:rPr>
      </w:pPr>
      <w:r>
        <w:rPr>
          <w:rFonts w:ascii="Times New Roman" w:cs="Times New Roman" w:eastAsia="Times New Roman" w:hAnsi="Times New Roman"/>
          <w:sz w:val="18"/>
          <w:szCs w:val="18"/>
          <w:u w:val="single" w:color="auto"/>
          <w:color w:val="auto"/>
        </w:rPr>
        <w:t>Yorkville Standby Equity Purchase Agreement</w:t>
      </w:r>
    </w:p>
    <w:p>
      <w:pPr>
        <w:spacing w:after="0" w:line="113"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color w:val="212529"/>
        </w:rPr>
        <w:t>On February 23, 2023, Rezolve Limited entered into a $250 million standby equity purchase agreement with YA II PN, LTD (“</w:t>
      </w:r>
      <w:r>
        <w:rPr>
          <w:rFonts w:ascii="Times New Roman" w:cs="Times New Roman" w:eastAsia="Times New Roman" w:hAnsi="Times New Roman"/>
          <w:sz w:val="18"/>
          <w:szCs w:val="18"/>
          <w:b w:val="1"/>
          <w:bCs w:val="1"/>
          <w:i w:val="1"/>
          <w:iCs w:val="1"/>
          <w:color w:val="212529"/>
        </w:rPr>
        <w:t>YA</w:t>
      </w:r>
      <w:r>
        <w:rPr>
          <w:rFonts w:ascii="Times New Roman" w:cs="Times New Roman" w:eastAsia="Times New Roman" w:hAnsi="Times New Roman"/>
          <w:sz w:val="18"/>
          <w:szCs w:val="18"/>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8"/>
          <w:szCs w:val="18"/>
          <w:b w:val="1"/>
          <w:bCs w:val="1"/>
          <w:i w:val="1"/>
          <w:iCs w:val="1"/>
          <w:color w:val="212529"/>
        </w:rPr>
        <w:t>YA Agreement</w:t>
      </w:r>
      <w:r>
        <w:rPr>
          <w:rFonts w:ascii="Times New Roman" w:cs="Times New Roman" w:eastAsia="Times New Roman" w:hAnsi="Times New Roman"/>
          <w:sz w:val="18"/>
          <w:szCs w:val="18"/>
          <w:color w:val="212529"/>
        </w:rPr>
        <w:t>”). Pursuant to the YA Agreement, Rezolve has the right to sell to YA up to $250,000,000 Ordinary Shares, subject to certain limitations and conditions set forth in the YA Agreement, from time to time during the term of the YA Agreement.</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12529"/>
        </w:rPr>
        <w:t>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8"/>
          <w:szCs w:val="18"/>
          <w:b w:val="1"/>
          <w:bCs w:val="1"/>
          <w:i w:val="1"/>
          <w:iCs w:val="1"/>
          <w:color w:val="212529"/>
        </w:rPr>
        <w:t>YA Note</w:t>
      </w:r>
      <w:r>
        <w:rPr>
          <w:rFonts w:ascii="Times New Roman" w:cs="Times New Roman" w:eastAsia="Times New Roman" w:hAnsi="Times New Roman"/>
          <w:sz w:val="18"/>
          <w:szCs w:val="18"/>
          <w:color w:val="212529"/>
        </w:rPr>
        <w:t>”) to YA, pursuant to the terms of a convertible promissory note instrument entered into by Rezolve Limited and Rezolve (“</w:t>
      </w:r>
      <w:r>
        <w:rPr>
          <w:rFonts w:ascii="Times New Roman" w:cs="Times New Roman" w:eastAsia="Times New Roman" w:hAnsi="Times New Roman"/>
          <w:sz w:val="18"/>
          <w:szCs w:val="18"/>
          <w:b w:val="1"/>
          <w:bCs w:val="1"/>
          <w:i w:val="1"/>
          <w:iCs w:val="1"/>
          <w:color w:val="212529"/>
        </w:rPr>
        <w:t>YA Note Instrument</w:t>
      </w:r>
      <w:r>
        <w:rPr>
          <w:rFonts w:ascii="Times New Roman" w:cs="Times New Roman" w:eastAsia="Times New Roman" w:hAnsi="Times New Roman"/>
          <w:sz w:val="18"/>
          <w:szCs w:val="18"/>
          <w:color w:val="212529"/>
        </w:rPr>
        <w:t>”).</w:t>
      </w:r>
    </w:p>
    <w:p>
      <w:pPr>
        <w:spacing w:after="0" w:line="64" w:lineRule="exact"/>
        <w:rPr>
          <w:sz w:val="20"/>
          <w:szCs w:val="20"/>
          <w:color w:val="auto"/>
        </w:rPr>
      </w:pPr>
    </w:p>
    <w:p>
      <w:pPr>
        <w:ind w:right="320" w:firstLine="749"/>
        <w:spacing w:after="0" w:line="256" w:lineRule="auto"/>
        <w:rPr>
          <w:sz w:val="20"/>
          <w:szCs w:val="20"/>
          <w:color w:val="auto"/>
        </w:rPr>
      </w:pPr>
      <w:r>
        <w:rPr>
          <w:rFonts w:ascii="Times New Roman" w:cs="Times New Roman" w:eastAsia="Times New Roman" w:hAnsi="Times New Roman"/>
          <w:sz w:val="18"/>
          <w:szCs w:val="18"/>
          <w:color w:val="auto"/>
        </w:rPr>
        <w:t>On September 6, 2024, YA and Rezolve amended and restated the YA Agreement (the “</w:t>
      </w:r>
      <w:r>
        <w:rPr>
          <w:rFonts w:ascii="Times New Roman" w:cs="Times New Roman" w:eastAsia="Times New Roman" w:hAnsi="Times New Roman"/>
          <w:sz w:val="18"/>
          <w:szCs w:val="18"/>
          <w:b w:val="1"/>
          <w:bCs w:val="1"/>
          <w:i w:val="1"/>
          <w:iCs w:val="1"/>
          <w:color w:val="auto"/>
        </w:rPr>
        <w:t>Second A&amp;R YA Agreement</w:t>
      </w:r>
      <w:r>
        <w:rPr>
          <w:rFonts w:ascii="Times New Roman" w:cs="Times New Roman" w:eastAsia="Times New Roman" w:hAnsi="Times New Roman"/>
          <w:sz w:val="18"/>
          <w:szCs w:val="18"/>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7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 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7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Also in connection with the Second A&amp;R YA Agreement, on September 9, 2024, Rezolve issued YA a promissory note in the principal amount of $5,000,000 (the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and together with the Amended YA Note and Second YA Note,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 loss on extinguishment of $4,175,791 was recognized. As of December 31, 2024, $2,705,929 in principal and interest was outstanding, which was subsequently settled in 1,413,946 Ordinary Shares on February 5, 2025, and no further amounts remain outstanding.</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Promissory notes</w:t>
      </w:r>
    </w:p>
    <w:p>
      <w:pPr>
        <w:spacing w:after="0" w:line="117"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56" w:name="page57"/>
    <w:bookmarkEnd w:id="56"/>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w:t>
      </w:r>
    </w:p>
    <w:p>
      <w:pPr>
        <w:ind w:right="20" w:firstLine="8"/>
        <w:spacing w:after="0" w:line="251"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Trigger, the date Rezolve AI plc has obtained stockholder approval to increase the number of ordinary shares under the Exchange Cap (or if the Exchange Cap no longer applies), unless a subsequent Promissory Note Trigger Event occurs.</w:t>
      </w:r>
    </w:p>
    <w:p>
      <w:pPr>
        <w:spacing w:after="0" w:line="8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Cohen &amp; Company Financial Management LLC</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Advisors loans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which were contingently on the close of the Business Combination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7" w:name="page58"/>
    <w:bookmarkEnd w:id="57"/>
    <w:p>
      <w:pPr>
        <w:ind w:right="120"/>
        <w:spacing w:after="0" w:line="254" w:lineRule="auto"/>
        <w:rPr>
          <w:sz w:val="20"/>
          <w:szCs w:val="20"/>
          <w:color w:val="auto"/>
        </w:rPr>
      </w:pPr>
      <w:r>
        <w:rPr>
          <w:rFonts w:ascii="Times New Roman" w:cs="Times New Roman" w:eastAsia="Times New Roman" w:hAnsi="Times New Roman"/>
          <w:sz w:val="18"/>
          <w:szCs w:val="18"/>
          <w:color w:val="auto"/>
        </w:rPr>
        <w:t>$20,000,000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AI plc. On February 26, 2025, the Company issued 778,165 ordinary shares to settle $2,000,000 of principle outstanding to the JVB promissory note.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and concentration of credit risk</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8" w:name="page59"/>
    <w:bookmarkEnd w:id="58"/>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w:t>
      </w:r>
    </w:p>
    <w:p>
      <w:pPr>
        <w:spacing w:after="0" w:line="27" w:lineRule="exact"/>
        <w:rPr>
          <w:rFonts w:ascii="Times New Roman" w:cs="Times New Roman" w:eastAsia="Times New Roman" w:hAnsi="Times New Roman"/>
          <w:sz w:val="18"/>
          <w:szCs w:val="18"/>
          <w:color w:val="auto"/>
        </w:rPr>
      </w:pPr>
    </w:p>
    <w:p>
      <w:pPr>
        <w:ind w:left="520" w:right="60" w:hanging="512"/>
        <w:spacing w:after="0" w:line="253"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J.V.B. Financial Group and Northlands. On August 15, 2024, the Company recognized derivative liabilities and an offsetting debt discount associated with the embedded conversion features in its senior secured convertible notes, convertible promissory notes and advisors loans. The Company previously did not bifurcate the embedded conversion features as derivatives due to the lack of an underlying share price prior to the Company's acquisition of Armada and listing of is ordinary shares on the NASDAQ. The Company no longer recognizes a derivative liability associated with the following debt liabilities due to the investors having exercised their conversion features by December 31, 2024:</w:t>
      </w:r>
    </w:p>
    <w:p>
      <w:pPr>
        <w:spacing w:after="0" w:line="79"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December 31, 2024 and December 31, 2023:</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shd w:val="clear" w:color="auto" w:fill="CFF0FC"/>
          </w:tcPr>
          <w:p>
            <w:pPr>
              <w:spacing w:after="0"/>
              <w:rPr>
                <w:sz w:val="18"/>
                <w:szCs w:val="18"/>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9" w:name="page60"/>
    <w:bookmarkEnd w:id="59"/>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(21,642,715)</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(13,001,875)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(3,528,626)</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(1,781,524)</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34,585,896</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14,712,061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9,440,503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(28,939)</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$21.6 million for the year ended December 31, 2024, which resulted primarily from a net loss of $172.6 million from operating activities, adjusted for non-cash items such as share-based compensation expenses, advisor loans, interest expense, net gains on derivatives and net losses on extinguishments of debt.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$3.5 million for the year ended December 31, 2024, which resulted primarily from costs incurred to continue the development of our Rezolve platform and related technology.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$34.6 million for the year ended December 31, 2024 was primarily due to proceeds from convertible promissory notes, proceeds from the issuance ordinary shares and proceeds from short-term debt from related parties partially offset by repayments of debt obligations to related parties and repayments of promissory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 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7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10"/>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we did not have any significant off-balance sheet arrangements, as defined in Item 303(a)(4)(ii) of Regulation S-K.</w:t>
      </w:r>
    </w:p>
    <w:p>
      <w:pPr>
        <w:spacing w:after="0" w:line="329"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Research and development, patents and licenses, etc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right="260" w:firstLine="749"/>
        <w:spacing w:after="0" w:line="284"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Item 4. Information on the Company-B. Business Overview</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4. Information on the Company-B. Business Overview-Intellectual Property</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60" w:name="page61"/>
    <w:bookmarkEnd w:id="60"/>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Trend information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“Item 4.B—Business Overview—Industry Overview and Trends.”</w:t>
      </w:r>
    </w:p>
    <w:p>
      <w:pPr>
        <w:spacing w:after="0" w:line="331"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The Rezolve AI plc and Subsidiaries Consolidated Financial Statements are prepared in conformity with U.S. generally accepted accounting principles. In preparing the Rezolve AI plc and Subsidiaries Consolidated Financial Statements, we make assumptions, judgments and estimates that can have a significant impact on amounts reported in the Rezolve AI plc and Subsidiaries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spacing w:after="0" w:line="60"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estimates that involve a significant level of estimation uncertainty and could have a material impact on our financial condition or results of operations. We have critical accounting estimates in the areas of the valuation of acquisition-related assets and liabilities, deferred income taxes and related valuation allowances, fair value measurements, useful lives of long-lived assets, capitalized software and share-based compensation.</w:t>
      </w:r>
    </w:p>
    <w:p>
      <w:pPr>
        <w:spacing w:after="0" w:line="72" w:lineRule="exact"/>
        <w:rPr>
          <w:sz w:val="20"/>
          <w:szCs w:val="20"/>
          <w:color w:val="auto"/>
        </w:rPr>
      </w:pPr>
    </w:p>
    <w:p>
      <w:pPr>
        <w:jc w:val="both"/>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“Basis of presentation and summary of significant accounting policies” in the notes to the Rezolve AI plc and Subsidiaries Consolidated Financial Statements included elsewhere in this prospectus.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Valuation of assets and liabilities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The valuation of certain assets and liabilities require significant judgment and assumptions such as estimation of future cash flows, discount rates, market data of comparable assets and companies, useful lives among others.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spacing w:after="0" w:line="7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Determining the useful life of intangible assets requires management judgment and is based on an evaluation of several factors including estimated design life, information from our research and development department and our overall strategy for the use of the assets. If the useful life of our significant assets changes, this change could impact our operating results.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Deferred income taxes and related valuation allowances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Kingdom and numerous foreign jurisdictions. Significant judgment is required in determining our deferred tax assets and liabilities and any valuation allowance recorded against our net deferred tax assets that are not more likely than not to be realized.</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Capitalized software</w:t>
      </w:r>
    </w:p>
    <w:p>
      <w:pPr>
        <w:spacing w:after="0" w:line="119"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Costs incurred internally in researching and developing internal-use software are charged to expense until technological feasibility has been established for the product. Once technological feasibility is established, software costs are capitalized until the product is ready for its intended use. Judgment is required in determining when technological feasibility of a product is established. The Company has not commenced amortizing the in-development software as it not yet ready for its intended use. The Company reviews internal-use software for impairment when an event or changes in business circumstances indicate that the carrying amount of the asset may not be fully recoverable.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recognize the cost of employee services received in exchange for awards of equity instruments, such as share options (time-vested), based on the fair value of those awards at the date of grant. We use the Black-Scholes-Merton (“Black-Scholes”) option pricing model to estimate the fair value of stock option awards.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AI plc and Subsidiaries Consolidated Financial Statements included elsewhere in this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no interest rate risk. Our short-term debt from related parties consist of an unsecured, interest free loan and a unsecured convertible loan with a fixed interest rate. The convertible debt and the convertible promissory notes have fixed interest rates and the accrued interest converts into ordinary shares upon maturity. The short term convertible debt to a related party accrues interest at a fixed rate which converts into ordinary shares upon maturity. Interest accrues at a fixed rate on the advisor loans and is payable in cash according to the terms of the loans.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 OF REZOLVE</w:t>
      </w:r>
    </w:p>
    <w:p>
      <w:pPr>
        <w:spacing w:after="0" w:line="187"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plc (formerly Rezolve AI Limited) and its subsidiaries following the Pre-Closing Demerger, unless the context clearly indicates otherwise.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Rezolve Ai: Redefining Conversational Commerce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 is leading the Conversational Commerce revolution, delivering tailored Generative AI solutions for the retail and eCommerce sectors.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drive sales, enhance customer satisfaction, and build loyalty through cutting-edge AI technologies.</w:t>
      </w:r>
    </w:p>
    <w:p>
      <w:pPr>
        <w:spacing w:after="0" w:line="20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flagship product, Brain Commerce, powered by our proprietary Large Language Model (LLM) brainpowa, transforms the online shopping experience. By surpassing traditional site search and product discovery tools, Brain Commerce improves conversion rates, increases average order value (AOV), and reduces cart abandonment. Its Conversational Commerce capabilities support both speech and text inputs, with instant translation across 96 languages, making it a truly global solution.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AI Solutions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AI’s suite of solutions includes:</w:t>
      </w:r>
    </w:p>
    <w:p>
      <w:pPr>
        <w:spacing w:after="0" w:line="117" w:lineRule="exact"/>
        <w:rPr>
          <w:sz w:val="20"/>
          <w:szCs w:val="20"/>
          <w:color w:val="auto"/>
        </w:rPr>
      </w:pPr>
    </w:p>
    <w:p>
      <w:pPr>
        <w:jc w:val="both"/>
        <w:ind w:left="1020" w:right="120" w:hanging="503"/>
        <w:spacing w:after="0" w:line="266" w:lineRule="auto"/>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Site Search &amp; Discovery: Revolutionizing product discovery with advanced AI algorithms trained on vast datasets. Leveraging Google Vertex AI Search for Commerce, we deliver personalized, high-quality search experiences at scale, using shopping history and data insights to boost conversions while reducing IT costs.</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Geolocation Campaign Activation: Engaging customers in real-time based on their location. From alerting consumers to nearby opportunities to enabling seamless order-ahead and collection interactions, our geolocation tools enhance mobile engagement across retail, QSR, grocery, travel, and hospitality.</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Customer Support: Delivering intelligent, responsive, and personalized support to improve customer satisfaction and loyalty.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Frictionless Checkout Solutions: Simplifying the checkout process to reduce friction and enhance the overall shopping experience.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Bridging the Gap Between Physical and Online Retail</w:t>
      </w:r>
    </w:p>
    <w:p>
      <w:pPr>
        <w:spacing w:after="0" w:line="227"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Conversational Commerce bridges the experiential and performance gap between high-end physical retail and its online counterpart. Traditional eCommerce relies on outdated methods like keyword searches and impersonal recommendations, resulting in a clunky experience. Rezolve Ai’s Brain Commerce is the only market-ready solution that delivers a superior, personal shopper experience for online customers, redefining how people shop online.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Partnerships and Global Reach</w:t>
      </w:r>
    </w:p>
    <w:p>
      <w:pPr>
        <w:spacing w:after="0" w:line="22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Rezolve Ai has forged strategic partnerships with industry leaders like Microsoft and Google, enabling global scalability and reach. By leveraging Google’s expertise in personalized content delivery (e.g., Google Search, Google Shopping, and YouTube), we provide retailers with unparalleled AI-driven solutions. Additionally, Rezolve Ai is collaborating with Tether, the leading stablecoin platform, to bring cryptocurrency into mainstream commerce.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Future of AI-First Commerce</w:t>
      </w:r>
    </w:p>
    <w:p>
      <w:pPr>
        <w:spacing w:after="0" w:line="227" w:lineRule="exact"/>
        <w:rPr>
          <w:sz w:val="20"/>
          <w:szCs w:val="20"/>
          <w:color w:val="auto"/>
        </w:rPr>
      </w:pPr>
    </w:p>
    <w:p>
      <w:pPr>
        <w:ind w:right="720" w:firstLine="509"/>
        <w:spacing w:after="0" w:line="312" w:lineRule="auto"/>
        <w:rPr>
          <w:sz w:val="20"/>
          <w:szCs w:val="20"/>
          <w:color w:val="auto"/>
        </w:rPr>
      </w:pPr>
      <w:r>
        <w:rPr>
          <w:rFonts w:ascii="Times New Roman" w:cs="Times New Roman" w:eastAsia="Times New Roman" w:hAnsi="Times New Roman"/>
          <w:sz w:val="17"/>
          <w:szCs w:val="17"/>
          <w:color w:val="auto"/>
        </w:rPr>
        <w:t>Rezolve Ai is shaping the future of retail with cutting-edge innovation and best-in-class technology. Our solutions power seamless product discovery, conversational commerce, and frictionless checkout, turning every step of the customer journey into a revenue-driving experience.</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63" w:name="page64"/>
    <w:bookmarkEnd w:id="63"/>
    <w:p>
      <w:pPr>
        <w:ind w:firstLine="509"/>
        <w:spacing w:after="0" w:line="266" w:lineRule="auto"/>
        <w:rPr>
          <w:sz w:val="20"/>
          <w:szCs w:val="20"/>
          <w:color w:val="auto"/>
        </w:rPr>
      </w:pPr>
      <w:r>
        <w:rPr>
          <w:rFonts w:ascii="Times New Roman" w:cs="Times New Roman" w:eastAsia="Times New Roman" w:hAnsi="Times New Roman"/>
          <w:sz w:val="18"/>
          <w:szCs w:val="18"/>
          <w:color w:val="auto"/>
        </w:rPr>
        <w:t>Through deep collaboration with the world’s leading technology providers, Rezolve Ai empowers retailers to stay ahead in an ever-evolving market. With Rezolve Ai, businesses don’t just adapt to change—they lead it. We create shopping experiences so intuitive, engaging, and personalized that customers fall in love with retail all over again.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 is the future of commerce—where innovation meets customer delight.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154305</wp:posOffset>
            </wp:positionV>
            <wp:extent cx="5631815" cy="31889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3181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total revenues were $0.19 million and $0.15 million, for the years ended December 31, 2024 and 2023, respectively. We currently generate our revenue from Transaction fees based on sales of ticketing for La Liga football events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4230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Bluedot Acquisition</w:t>
      </w:r>
    </w:p>
    <w:p>
      <w:pPr>
        <w:spacing w:after="0" w:line="227"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On February 4, 2025, Rezolve entered into the First BlueDot Purchase Agreement, by and between the Company and DBLP, pursuant to which the Company agreed to purchase, and DBLP agreed to sell, the entire issued and to be issued share capital of each of Bluedot Industries, Inc., a Delaware corporation, and Bluedot Industries Pty. Ltd, an Australian proprietary limited company registered in Victoria on 7 December 2013 with Australian Company Number 165 206 566.</w:t>
      </w:r>
    </w:p>
    <w:p>
      <w:pPr>
        <w:spacing w:after="0" w:line="180" w:lineRule="exact"/>
        <w:rPr>
          <w:sz w:val="20"/>
          <w:szCs w:val="20"/>
          <w:color w:val="auto"/>
        </w:rPr>
      </w:pPr>
    </w:p>
    <w:p>
      <w:pPr>
        <w:ind w:right="220" w:firstLine="576"/>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62" w:lineRule="exact"/>
        <w:rPr>
          <w:sz w:val="20"/>
          <w:szCs w:val="20"/>
          <w:color w:val="auto"/>
        </w:rPr>
      </w:pPr>
    </w:p>
    <w:p>
      <w:pPr>
        <w:ind w:right="160" w:firstLine="576"/>
        <w:spacing w:after="0" w:line="266" w:lineRule="auto"/>
        <w:rPr>
          <w:sz w:val="20"/>
          <w:szCs w:val="20"/>
          <w:color w:val="auto"/>
        </w:rPr>
      </w:pPr>
      <w:r>
        <w:rPr>
          <w:rFonts w:ascii="Times New Roman" w:cs="Times New Roman" w:eastAsia="Times New Roman" w:hAnsi="Times New Roman"/>
          <w:sz w:val="18"/>
          <w:szCs w:val="18"/>
          <w:color w:val="auto"/>
        </w:rPr>
        <w:t>On March 17, 2025, Rezolve entered into the Second Bluedot Purchase Agreement, by and between the Company and Tanist , pursuant to which the Company agreed to purchase, and Tanist agreed to sell, the entire issued and to be issued share capital of Bluedot Innovation Pty. Ltd, an Australian proprietary limited company registered in South Australia 161 734 621.</w:t>
      </w:r>
    </w:p>
    <w:p>
      <w:pPr>
        <w:spacing w:after="0" w:line="176" w:lineRule="exact"/>
        <w:rPr>
          <w:sz w:val="20"/>
          <w:szCs w:val="20"/>
          <w:color w:val="auto"/>
        </w:rPr>
      </w:pPr>
    </w:p>
    <w:p>
      <w:pPr>
        <w:ind w:right="640" w:firstLine="576"/>
        <w:spacing w:after="0" w:line="282" w:lineRule="auto"/>
        <w:rPr>
          <w:sz w:val="20"/>
          <w:szCs w:val="20"/>
          <w:color w:val="auto"/>
        </w:rPr>
      </w:pPr>
      <w:r>
        <w:rPr>
          <w:rFonts w:ascii="Times New Roman" w:cs="Times New Roman" w:eastAsia="Times New Roman" w:hAnsi="Times New Roman"/>
          <w:sz w:val="18"/>
          <w:szCs w:val="18"/>
          <w:color w:val="auto"/>
        </w:rPr>
        <w:t>On March 17, 2025, Rezolve closed the Second Bluedot Acquisition. As consideration for the Second Bluedot Acquisition, Rezolve issued 1,941,111 ordinary shares of the Company in a private placement to Tanist.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The GroupBy Acquisition</w:t>
      </w:r>
    </w:p>
    <w:p>
      <w:pPr>
        <w:spacing w:after="0" w:line="22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Rezolve entered into the GroupBy Purchase Agreement, by and among the Company, GroupBy, GroupBy International and the Sellers, pursuant to which the Company agreed to purchase, and the Sellers agreed to sell, the entire issued and to be issued share capital of each of GroupBy and GroupBy International.</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Microsoft</w:t>
      </w:r>
    </w:p>
    <w:p>
      <w:pPr>
        <w:spacing w:after="0" w:line="335" w:lineRule="exact"/>
        <w:rPr>
          <w:sz w:val="20"/>
          <w:szCs w:val="20"/>
          <w:color w:val="auto"/>
        </w:rPr>
      </w:pPr>
    </w:p>
    <w:p>
      <w:pPr>
        <w:jc w:val="both"/>
        <w:ind w:right="640" w:firstLine="315"/>
        <w:spacing w:after="0" w:line="266" w:lineRule="auto"/>
        <w:rPr>
          <w:sz w:val="20"/>
          <w:szCs w:val="20"/>
          <w:color w:val="auto"/>
        </w:rPr>
      </w:pPr>
      <w:r>
        <w:rPr>
          <w:rFonts w:ascii="Times New Roman" w:cs="Times New Roman" w:eastAsia="Times New Roman" w:hAnsi="Times New Roman"/>
          <w:sz w:val="18"/>
          <w:szCs w:val="18"/>
          <w:color w:val="auto"/>
        </w:rPr>
        <w:t>On October 3, 2024, Rezolve entered into a strategic partnership with Microsoft Corporation ( "MSFT") to empower retailers with advanced capabilities for digital engagement. Through this collaboration, Rezolve AI’s Brain Suite – including Brain Commerce, Brain Checkout, and Brain Assistant – will be available on Microsoft Azure and available globally via Microsoft’s Azure Marketplace and co-sell channels.</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This partnership aims to empower retailers to transform their customer engagement and operations with advanced AI solutions from Rezolve supported by the Microsoft Cloud. In addition, Microsoft is providing extensive Go-to-Market (GTM) and co-sell support, providing marketing, sales, and technical support to accelerate Rezolve AI's market penetration over the next five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Google</w:t>
      </w:r>
    </w:p>
    <w:p>
      <w:pPr>
        <w:spacing w:after="0" w:line="227" w:lineRule="exact"/>
        <w:rPr>
          <w:sz w:val="20"/>
          <w:szCs w:val="20"/>
          <w:color w:val="auto"/>
        </w:rPr>
      </w:pPr>
    </w:p>
    <w:p>
      <w:pPr>
        <w:ind w:right="100" w:firstLine="495"/>
        <w:spacing w:after="0" w:line="261" w:lineRule="auto"/>
        <w:rPr>
          <w:sz w:val="20"/>
          <w:szCs w:val="20"/>
          <w:color w:val="auto"/>
        </w:rPr>
      </w:pPr>
      <w:r>
        <w:rPr>
          <w:rFonts w:ascii="Times New Roman" w:cs="Times New Roman" w:eastAsia="Times New Roman" w:hAnsi="Times New Roman"/>
          <w:sz w:val="18"/>
          <w:szCs w:val="18"/>
          <w:color w:val="auto"/>
        </w:rPr>
        <w:t>On November 20, 2024, Rezolve entered into a strategic partnership with Google to accelerate the transformation of retail and consumer commerce through advanced artificial intelligence (AI) and cloud infrastructure. Through this collaboration, Google Cloud will resell Rezolve Ai’s groundbreaking Brain Suite, offering retailers a comprehensive set of AI-powered solutions designed to optimize digital commerce experiences, reduce cart abandonment, and enhance customer lifetime value.</w:t>
      </w:r>
    </w:p>
    <w:p>
      <w:pPr>
        <w:spacing w:after="0" w:line="18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Under this partnership, Google and Rezolve Ai expect that its sales channel will generate over 50% of Rezolve Ai’s forecasted revenues over the next several years. To support this ambitious goal, Google are incentivizing its customers to Google Cloud by enabling them to access Rezolve Ai’s solutions, with these commitments decrementing against their Google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Tether</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2024, Rezolve announced a groundbreaking partnership with Tether, the world’s most widely used stablecoin platform, to integrate digital currency capabilities into Rezolve Ai’s Brain Checkout wallet. This collaboration introduces a non-custodial crypto wallet that enables consumers to make purchases using a variety of cryptocurrencies while maintaining full control over their assets. The partnership aims to revolutionize retail payments by eliminating traditional merchant fees - empowering retailers to accept digital currencies directly without incurring high transaction costs. By leveraging Tether’s globally trusted stablecoin infrastructure, Rezolve is enabling instant, secure, and borderless commerce, expanding financial access and improving margins for merchants worldwide.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6"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8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 82% of shoppers want a consumer brand’s values to align with their own, according to an April 2022 report, and 75% of shoppers reported parting ways with a brand over a conflict in values. Experiences that enable merchants to connect directly with consumers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6" w:name="page67"/>
    <w:bookmarkEnd w:id="66"/>
    <w:p>
      <w:pPr>
        <w:ind w:right="600"/>
        <w:spacing w:after="0" w:line="282" w:lineRule="auto"/>
        <w:rPr>
          <w:sz w:val="20"/>
          <w:szCs w:val="20"/>
          <w:color w:val="auto"/>
        </w:rPr>
      </w:pPr>
      <w:r>
        <w:rPr>
          <w:rFonts w:ascii="Times New Roman" w:cs="Times New Roman" w:eastAsia="Times New Roman" w:hAnsi="Times New Roman"/>
          <w:sz w:val="18"/>
          <w:szCs w:val="18"/>
          <w:color w:val="auto"/>
        </w:rPr>
        <w:t>allow merchants to make a memorable impression. Globally, 60% of consumers say they will make repeat purchase at a retailer after a personalized shopping experience, according to a June 2021 report.</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provide an AI- and cloud-based advertising, engagement and commerce platform designed for merchants of all sizes. We are bringing conversational AI to digital retail. Our proprietary LLM has been built specifically with retail in mind, allowing authentic, human-level conversations for sales interactions in any of 95 languages.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15" w:lineRule="exact"/>
        <w:rPr>
          <w:sz w:val="20"/>
          <w:szCs w:val="20"/>
          <w:color w:val="auto"/>
        </w:rPr>
      </w:pPr>
    </w:p>
    <w:p>
      <w:pPr>
        <w:ind w:left="1020" w:right="140" w:hanging="503"/>
        <w:spacing w:after="0" w:line="261"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eCommerce-Specific AI Platform and Suite—</w:t>
      </w:r>
      <w:r>
        <w:rPr>
          <w:rFonts w:ascii="Times New Roman" w:cs="Times New Roman" w:eastAsia="Times New Roman" w:hAnsi="Times New Roman"/>
          <w:sz w:val="18"/>
          <w:szCs w:val="18"/>
          <w:color w:val="auto"/>
        </w:rPr>
        <w:t>Brain Commerce allows customers, either online or instore, to ask, via voice or text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96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71" w:lineRule="exact"/>
        <w:rPr>
          <w:rFonts w:ascii="Times New Roman" w:cs="Times New Roman" w:eastAsia="Times New Roman" w:hAnsi="Times New Roman"/>
          <w:sz w:val="18"/>
          <w:szCs w:val="18"/>
          <w:b w:val="1"/>
          <w:bCs w:val="1"/>
          <w:color w:val="auto"/>
        </w:rPr>
      </w:pPr>
    </w:p>
    <w:p>
      <w:pPr>
        <w:ind w:left="1020" w:right="120" w:hanging="503"/>
        <w:spacing w:after="0" w:line="255"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Rezolve’s Brain Checkout allows websites to convert passive browsers into actors or buyers with one click directly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detail pages on merchant websites. Our Brain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6" w:lineRule="exact"/>
        <w:rPr>
          <w:rFonts w:ascii="Times New Roman" w:cs="Times New Roman" w:eastAsia="Times New Roman" w:hAnsi="Times New Roman"/>
          <w:sz w:val="18"/>
          <w:szCs w:val="18"/>
          <w:b w:val="1"/>
          <w:bCs w:val="1"/>
          <w:color w:val="auto"/>
        </w:rPr>
      </w:pPr>
    </w:p>
    <w:p>
      <w:pPr>
        <w:ind w:left="1020" w:right="200" w:hanging="503"/>
        <w:spacing w:after="0" w:line="267"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 Assistant. </w:t>
      </w:r>
      <w:r>
        <w:rPr>
          <w:rFonts w:ascii="Times New Roman" w:cs="Times New Roman" w:eastAsia="Times New Roman" w:hAnsi="Times New Roman"/>
          <w:sz w:val="18"/>
          <w:szCs w:val="18"/>
          <w:color w:val="auto"/>
        </w:rPr>
        <w:t>Rezolve's Brain Assistant's advanced training allows customers to accelerate onboarding and answer customer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questions directly. Customers can create knowledge bases via Brain Assistant which can be interrogated by staff members who can quickly become subject matter experts.</w:t>
      </w:r>
    </w:p>
    <w:p>
      <w:pPr>
        <w:spacing w:after="0" w:line="65" w:lineRule="exact"/>
        <w:rPr>
          <w:rFonts w:ascii="Times New Roman" w:cs="Times New Roman" w:eastAsia="Times New Roman" w:hAnsi="Times New Roman"/>
          <w:sz w:val="18"/>
          <w:szCs w:val="18"/>
          <w:b w:val="1"/>
          <w:bCs w:val="1"/>
          <w:color w:val="auto"/>
        </w:rPr>
      </w:pPr>
    </w:p>
    <w:p>
      <w:pPr>
        <w:ind w:left="1020" w:right="120" w:hanging="503"/>
        <w:spacing w:after="0" w:line="258"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Brainpowa LLM. </w:t>
      </w:r>
      <w:r>
        <w:rPr>
          <w:rFonts w:ascii="Times New Roman" w:cs="Times New Roman" w:eastAsia="Times New Roman" w:hAnsi="Times New Roman"/>
          <w:sz w:val="18"/>
          <w:szCs w:val="18"/>
          <w:color w:val="auto"/>
        </w:rPr>
        <w:t>Rezolve's brainpowa LLM has been engineered for commerce. The propriety LLM harnesses over 300 billion tokens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billion parameters to deliver unmatched specialized results. Rezolve's model is the first to ensure accurate LLM responses by eliminating hallucinations through patented validation, while real-time monitoring and feedback loops control model drift and enable continuous fine tuning. This results in unmatched extraction capabilities for our key information, delivering precise classification and content creation while enhancing product enrichment and taxonomy for optimized performance.</w:t>
      </w:r>
    </w:p>
    <w:p>
      <w:pPr>
        <w:spacing w:after="0" w:line="75" w:lineRule="exact"/>
        <w:rPr>
          <w:rFonts w:ascii="Times New Roman" w:cs="Times New Roman" w:eastAsia="Times New Roman" w:hAnsi="Times New Roman"/>
          <w:sz w:val="18"/>
          <w:szCs w:val="18"/>
          <w:b w:val="1"/>
          <w:bCs w:val="1"/>
          <w:color w:val="auto"/>
        </w:rPr>
      </w:pPr>
    </w:p>
    <w:p>
      <w:pPr>
        <w:ind w:left="1020" w:right="40" w:hanging="503"/>
        <w:spacing w:after="0" w:line="258"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7" w:name="page68"/>
    <w:bookmarkEnd w:id="67"/>
    <w:p>
      <w:pPr>
        <w:ind w:left="503" w:hanging="503"/>
        <w:spacing w:after="0" w:line="261" w:lineRule="auto"/>
        <w:tabs>
          <w:tab w:leader="none" w:pos="50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71" w:lineRule="exact"/>
        <w:rPr>
          <w:rFonts w:ascii="Times New Roman" w:cs="Times New Roman" w:eastAsia="Times New Roman" w:hAnsi="Times New Roman"/>
          <w:sz w:val="18"/>
          <w:szCs w:val="18"/>
          <w:b w:val="1"/>
          <w:bCs w:val="1"/>
          <w:color w:val="auto"/>
        </w:rPr>
      </w:pPr>
    </w:p>
    <w:p>
      <w:pPr>
        <w:ind w:left="503" w:hanging="503"/>
        <w:spacing w:after="0" w:line="254" w:lineRule="auto"/>
        <w:tabs>
          <w:tab w:leader="none" w:pos="50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0" w:lineRule="exact"/>
        <w:rPr>
          <w:rFonts w:ascii="Times New Roman" w:cs="Times New Roman" w:eastAsia="Times New Roman" w:hAnsi="Times New Roman"/>
          <w:sz w:val="18"/>
          <w:szCs w:val="18"/>
          <w:b w:val="1"/>
          <w:bCs w:val="1"/>
          <w:color w:val="auto"/>
        </w:rPr>
      </w:pPr>
    </w:p>
    <w:p>
      <w:pPr>
        <w:ind w:left="503" w:right="20" w:hanging="503"/>
        <w:spacing w:after="0" w:line="257" w:lineRule="auto"/>
        <w:tabs>
          <w:tab w:leader="none" w:pos="50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Actionable Analytics and Insights</w:t>
      </w:r>
      <w:r>
        <w:rPr>
          <w:rFonts w:ascii="Times New Roman" w:cs="Times New Roman" w:eastAsia="Times New Roman" w:hAnsi="Times New Roman"/>
          <w:sz w:val="18"/>
          <w:szCs w:val="18"/>
          <w:color w:val="auto"/>
        </w:rPr>
        <w:t>. With our platform, we expect merchants will be able to receive direct insights into consumer behavior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74" w:lineRule="exact"/>
        <w:rPr>
          <w:rFonts w:ascii="Times New Roman" w:cs="Times New Roman" w:eastAsia="Times New Roman" w:hAnsi="Times New Roman"/>
          <w:sz w:val="18"/>
          <w:szCs w:val="18"/>
          <w:b w:val="1"/>
          <w:bCs w:val="1"/>
          <w:color w:val="auto"/>
        </w:rPr>
      </w:pPr>
    </w:p>
    <w:p>
      <w:pPr>
        <w:ind w:left="503" w:right="140" w:hanging="503"/>
        <w:spacing w:after="0" w:line="258" w:lineRule="auto"/>
        <w:tabs>
          <w:tab w:leader="none" w:pos="50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 Frictionless Consumer Experience</w:t>
      </w:r>
      <w:r>
        <w:rPr>
          <w:rFonts w:ascii="Times New Roman" w:cs="Times New Roman" w:eastAsia="Times New Roman" w:hAnsi="Times New Roman"/>
          <w:sz w:val="18"/>
          <w:szCs w:val="18"/>
          <w:color w:val="auto"/>
        </w:rPr>
        <w:t>. 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129540</wp:posOffset>
            </wp:positionV>
            <wp:extent cx="5349240" cy="37719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492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18" w:right="35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1348105</wp:posOffset>
            </wp:positionH>
            <wp:positionV relativeFrom="page">
              <wp:posOffset>791845</wp:posOffset>
            </wp:positionV>
            <wp:extent cx="5332095" cy="37630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32095"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654685</wp:posOffset>
            </wp:positionV>
            <wp:extent cx="5717540" cy="40290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1754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33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we have a significant opportunity to transform how retail customers discover, engage and shop online. Our mobile commerce provides a natural interactive experience for your customers where they may enjoy a conversational approach to shopping.</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United States, Latin America, and Europe. We believe that there are significant geographies and distribution channels to expand to as we establish new strategic alliances in new geographies.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 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“—Partner Agreements”.</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(“CUP”) and Allinpay (“AP”). Rezolve’s former subsidiary, Rezolve Information Technology (Shanghai) Limited (“Rezolve Shanghai”) is a Wholly owned Foreign Entity (“WoFE”), which limits its influence locally in China. A</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ind w:right="260"/>
        <w:spacing w:after="0" w:line="261" w:lineRule="auto"/>
        <w:rPr>
          <w:sz w:val="20"/>
          <w:szCs w:val="20"/>
          <w:color w:val="auto"/>
        </w:rPr>
      </w:pPr>
      <w:r>
        <w:rPr>
          <w:rFonts w:ascii="Times New Roman" w:cs="Times New Roman" w:eastAsia="Times New Roman" w:hAnsi="Times New Roman"/>
          <w:sz w:val="18"/>
          <w:szCs w:val="18"/>
          <w:color w:val="auto"/>
        </w:rPr>
        <w:t>WoFE in 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believe Rezolve’s Brain Commerce, Brain Checkout and Brain Assistant offerings will operate in large global market opportunities. We believe Rezolve’s Brain Commerce can supplement existing retailer site search platforms and that AI enabled search platforms, like Rezolve’s will replace all existing retailer site search platforms.</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7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17"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98% of consumers use the Internet to find a local business in 2022.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15" w:lineRule="exact"/>
        <w:rPr>
          <w:sz w:val="20"/>
          <w:szCs w:val="20"/>
          <w:color w:val="auto"/>
        </w:rPr>
      </w:pPr>
    </w:p>
    <w:p>
      <w:pPr>
        <w:ind w:left="1020" w:right="140" w:hanging="503"/>
        <w:spacing w:after="0" w:line="267" w:lineRule="auto"/>
        <w:tabs>
          <w:tab w:leader="none" w:pos="102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We intend to continue to strategically invest in marketing and strategic relationships. Our existing Channels deliver an opportunity for growth in the near term within our existing geographies and current platform.</w:t>
      </w:r>
    </w:p>
    <w:p>
      <w:pPr>
        <w:spacing w:after="0" w:line="65" w:lineRule="exact"/>
        <w:rPr>
          <w:rFonts w:ascii="Times New Roman" w:cs="Times New Roman" w:eastAsia="Times New Roman" w:hAnsi="Times New Roman"/>
          <w:sz w:val="18"/>
          <w:szCs w:val="18"/>
          <w:i w:val="1"/>
          <w:iCs w:val="1"/>
          <w:color w:val="auto"/>
        </w:rPr>
      </w:pPr>
    </w:p>
    <w:p>
      <w:pPr>
        <w:ind w:left="1020" w:right="40" w:hanging="503"/>
        <w:spacing w:after="0" w:line="267" w:lineRule="auto"/>
        <w:tabs>
          <w:tab w:leader="none" w:pos="102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will be able to replicate the success we are experiencing in our current markets. Opening new distribution channels will allow us to accelerate our growth.</w:t>
      </w:r>
    </w:p>
    <w:p>
      <w:pPr>
        <w:spacing w:after="0" w:line="65" w:lineRule="exact"/>
        <w:rPr>
          <w:rFonts w:ascii="Times New Roman" w:cs="Times New Roman" w:eastAsia="Times New Roman" w:hAnsi="Times New Roman"/>
          <w:sz w:val="18"/>
          <w:szCs w:val="18"/>
          <w:i w:val="1"/>
          <w:iCs w:val="1"/>
          <w:color w:val="auto"/>
        </w:rPr>
      </w:pPr>
    </w:p>
    <w:p>
      <w:pPr>
        <w:ind w:left="1020" w:right="380" w:hanging="503"/>
        <w:spacing w:after="0" w:line="267" w:lineRule="auto"/>
        <w:tabs>
          <w:tab w:leader="none" w:pos="102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merchandising.</w:t>
      </w:r>
    </w:p>
    <w:p>
      <w:pPr>
        <w:spacing w:after="0" w:line="65" w:lineRule="exact"/>
        <w:rPr>
          <w:rFonts w:ascii="Times New Roman" w:cs="Times New Roman" w:eastAsia="Times New Roman" w:hAnsi="Times New Roman"/>
          <w:sz w:val="18"/>
          <w:szCs w:val="18"/>
          <w:i w:val="1"/>
          <w:iCs w:val="1"/>
          <w:color w:val="auto"/>
        </w:rPr>
      </w:pPr>
    </w:p>
    <w:p>
      <w:pPr>
        <w:ind w:left="1020" w:hanging="503"/>
        <w:spacing w:after="0" w:line="284" w:lineRule="auto"/>
        <w:tabs>
          <w:tab w:leader="none" w:pos="102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Upsell/Cross Sell</w:t>
      </w:r>
      <w:r>
        <w:rPr>
          <w:rFonts w:ascii="Times New Roman" w:cs="Times New Roman" w:eastAsia="Times New Roman" w:hAnsi="Times New Roman"/>
          <w:sz w:val="18"/>
          <w:szCs w:val="18"/>
          <w:color w:val="auto"/>
        </w:rPr>
        <w:t>. We expect to further penetrate our customer base. We intend to expand direct and indirect sales capabilities, drive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segmentation capabilities, introduce analytics to improve customer insights and</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1" w:name="page72"/>
    <w:bookmarkEnd w:id="71"/>
    <w:p>
      <w:pPr>
        <w:ind w:left="1020" w:right="60"/>
        <w:spacing w:after="0" w:line="282" w:lineRule="auto"/>
        <w:rPr>
          <w:sz w:val="20"/>
          <w:szCs w:val="20"/>
          <w:color w:val="auto"/>
        </w:rPr>
      </w:pPr>
      <w:r>
        <w:rPr>
          <w:rFonts w:ascii="Times New Roman" w:cs="Times New Roman" w:eastAsia="Times New Roman" w:hAnsi="Times New Roman"/>
          <w:sz w:val="18"/>
          <w:szCs w:val="18"/>
          <w:color w:val="auto"/>
        </w:rPr>
        <w:t>improve customer lifetime value. Combined with additional functionalities and offering capabilities, we expect to upsell and cross sell across our new merchants, increasing our revenues.</w:t>
      </w:r>
    </w:p>
    <w:p>
      <w:pPr>
        <w:spacing w:after="0" w:line="52" w:lineRule="exact"/>
        <w:rPr>
          <w:sz w:val="20"/>
          <w:szCs w:val="20"/>
          <w:color w:val="auto"/>
        </w:rPr>
      </w:pPr>
    </w:p>
    <w:p>
      <w:pPr>
        <w:ind w:left="1020" w:right="480" w:hanging="503"/>
        <w:spacing w:after="0" w:line="284" w:lineRule="auto"/>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Australia, Canada and Brazil.</w:t>
      </w:r>
    </w:p>
    <w:p>
      <w:pPr>
        <w:spacing w:after="0" w:line="50" w:lineRule="exact"/>
        <w:rPr>
          <w:rFonts w:ascii="Times New Roman" w:cs="Times New Roman" w:eastAsia="Times New Roman" w:hAnsi="Times New Roman"/>
          <w:sz w:val="18"/>
          <w:szCs w:val="18"/>
          <w:i w:val="1"/>
          <w:iCs w:val="1"/>
          <w:color w:val="auto"/>
        </w:rPr>
      </w:pPr>
    </w:p>
    <w:p>
      <w:pPr>
        <w:ind w:left="1020" w:hanging="503"/>
        <w:spacing w:after="0" w:line="258" w:lineRule="auto"/>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Strategic Acquisitions</w:t>
      </w:r>
      <w:r>
        <w:rPr>
          <w:rFonts w:ascii="Times New Roman" w:cs="Times New Roman" w:eastAsia="Times New Roman" w:hAnsi="Times New Roman"/>
          <w:sz w:val="18"/>
          <w:szCs w:val="18"/>
          <w:color w:val="auto"/>
        </w:rPr>
        <w:t>. We intend to selectively pursue acquisitions that enhance our existing platform capabilities and are consistent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Channels. Capabilities include:</w:t>
      </w:r>
    </w:p>
    <w:p>
      <w:pPr>
        <w:spacing w:after="0" w:line="97" w:lineRule="exact"/>
        <w:rPr>
          <w:sz w:val="20"/>
          <w:szCs w:val="20"/>
          <w:color w:val="auto"/>
        </w:rPr>
      </w:pPr>
    </w:p>
    <w:p>
      <w:pPr>
        <w:ind w:left="1020" w:right="100" w:hanging="503"/>
        <w:spacing w:after="0" w:line="256"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w:t>
      </w:r>
      <w:r>
        <w:rPr>
          <w:rFonts w:ascii="Times New Roman" w:cs="Times New Roman" w:eastAsia="Times New Roman" w:hAnsi="Times New Roman"/>
          <w:sz w:val="18"/>
          <w:szCs w:val="18"/>
          <w:i w:val="1"/>
          <w:iCs w:val="1"/>
          <w:color w:val="auto"/>
        </w:rPr>
        <w:t xml:space="preserve"> Brain Commerce </w:t>
      </w:r>
      <w:r>
        <w:rPr>
          <w:rFonts w:ascii="Times New Roman" w:cs="Times New Roman" w:eastAsia="Times New Roman" w:hAnsi="Times New Roman"/>
          <w:sz w:val="18"/>
          <w:szCs w:val="18"/>
          <w:color w:val="auto"/>
        </w:rPr>
        <w:t>allows customers, either online or instore, to interact naturally in a conversational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similar to engaging via a highly knowledgeable and customer centric store colleague, via voice or text and in 95 languages. Customers can ask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74" w:lineRule="exact"/>
        <w:rPr>
          <w:rFonts w:ascii="Times New Roman" w:cs="Times New Roman" w:eastAsia="Times New Roman" w:hAnsi="Times New Roman"/>
          <w:sz w:val="18"/>
          <w:szCs w:val="18"/>
          <w:i w:val="1"/>
          <w:iCs w:val="1"/>
          <w:color w:val="auto"/>
        </w:rPr>
      </w:pPr>
    </w:p>
    <w:p>
      <w:pPr>
        <w:ind w:left="1020" w:right="80" w:hanging="503"/>
        <w:spacing w:after="0" w:line="261"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Customer Loyalty Programs. </w:t>
      </w:r>
      <w:r>
        <w:rPr>
          <w:rFonts w:ascii="Times New Roman" w:cs="Times New Roman" w:eastAsia="Times New Roman" w:hAnsi="Times New Roman"/>
          <w:sz w:val="18"/>
          <w:szCs w:val="18"/>
          <w:color w:val="auto"/>
        </w:rPr>
        <w:t>We expect to bring together merchants and consumers with the goal of empowering merchants to engage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with their customers and not solely through third-party intermediaries. By enabling direct consumer engagement, merchants are able to build customer loyalty and can launch campaigns or targeted offers through the Brain Checkout with a higher level of engagement and relevancy.</w:t>
      </w:r>
    </w:p>
    <w:p>
      <w:pPr>
        <w:spacing w:after="0" w:line="72" w:lineRule="exact"/>
        <w:rPr>
          <w:sz w:val="20"/>
          <w:szCs w:val="20"/>
          <w:color w:val="auto"/>
        </w:rPr>
      </w:pPr>
    </w:p>
    <w:p>
      <w:pPr>
        <w:ind w:left="1020" w:right="40" w:hanging="503"/>
        <w:spacing w:after="0" w:line="267"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preferences, which they can use to drive further consumer engagement. For brands that typically sell their products through third-party intermediaries, these insights are useful for building brand affinity and loyalty.</w:t>
      </w:r>
    </w:p>
    <w:p>
      <w:pPr>
        <w:spacing w:after="0" w:line="65" w:lineRule="exact"/>
        <w:rPr>
          <w:rFonts w:ascii="Times New Roman" w:cs="Times New Roman" w:eastAsia="Times New Roman" w:hAnsi="Times New Roman"/>
          <w:sz w:val="18"/>
          <w:szCs w:val="18"/>
          <w:i w:val="1"/>
          <w:iCs w:val="1"/>
          <w:color w:val="auto"/>
        </w:rPr>
      </w:pPr>
    </w:p>
    <w:p>
      <w:pPr>
        <w:ind w:left="1020" w:right="40" w:hanging="503"/>
        <w:spacing w:after="0" w:line="284"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Mobile Vouchering</w:t>
      </w:r>
      <w:r>
        <w:rPr>
          <w:rFonts w:ascii="Times New Roman" w:cs="Times New Roman" w:eastAsia="Times New Roman" w:hAnsi="Times New Roman"/>
          <w:sz w:val="18"/>
          <w:szCs w:val="18"/>
          <w:color w:val="auto"/>
        </w:rPr>
        <w:t>. We expect to enable merchants to be more flexible in their offerings to consumers. With the Rezolve platform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merchants’ apps, consumers are able to scan products and buy them through the app, eliminating the need to wait online in retail stores.</w:t>
      </w:r>
    </w:p>
    <w:p>
      <w:pPr>
        <w:spacing w:after="0" w:line="50" w:lineRule="exact"/>
        <w:rPr>
          <w:rFonts w:ascii="Times New Roman" w:cs="Times New Roman" w:eastAsia="Times New Roman" w:hAnsi="Times New Roman"/>
          <w:sz w:val="18"/>
          <w:szCs w:val="18"/>
          <w:i w:val="1"/>
          <w:iCs w:val="1"/>
          <w:color w:val="auto"/>
        </w:rPr>
      </w:pPr>
    </w:p>
    <w:p>
      <w:pPr>
        <w:ind w:left="1020" w:right="140" w:hanging="503"/>
        <w:spacing w:after="0" w:line="284"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shoppable campaigns and to track consumers’ shopping trends.</w:t>
      </w:r>
    </w:p>
    <w:p>
      <w:pPr>
        <w:spacing w:after="0" w:line="50" w:lineRule="exact"/>
        <w:rPr>
          <w:rFonts w:ascii="Times New Roman" w:cs="Times New Roman" w:eastAsia="Times New Roman" w:hAnsi="Times New Roman"/>
          <w:sz w:val="18"/>
          <w:szCs w:val="18"/>
          <w:i w:val="1"/>
          <w:iCs w:val="1"/>
          <w:color w:val="auto"/>
        </w:rPr>
      </w:pPr>
    </w:p>
    <w:p>
      <w:pPr>
        <w:ind w:left="1020" w:right="200" w:hanging="503"/>
        <w:spacing w:after="0" w:line="315" w:lineRule="auto"/>
        <w:tabs>
          <w:tab w:leader="none" w:pos="1020" w:val="left"/>
        </w:tabs>
        <w:numPr>
          <w:ilvl w:val="0"/>
          <w:numId w:val="5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26" w:lineRule="exact"/>
        <w:rPr>
          <w:rFonts w:ascii="Times New Roman" w:cs="Times New Roman" w:eastAsia="Times New Roman" w:hAnsi="Times New Roman"/>
          <w:sz w:val="17"/>
          <w:szCs w:val="17"/>
          <w:i w:val="1"/>
          <w:iCs w:val="1"/>
          <w:color w:val="auto"/>
        </w:rPr>
      </w:pPr>
    </w:p>
    <w:p>
      <w:pPr>
        <w:ind w:left="1020" w:right="140" w:hanging="503"/>
        <w:spacing w:after="0" w:line="267"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 Consumers are able to find offers nearby and browse through products both online and offline. For local offers, consumers can simply go into the brick-and-mortar stores or can order through an app.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15" w:lineRule="exact"/>
        <w:rPr>
          <w:sz w:val="20"/>
          <w:szCs w:val="20"/>
          <w:color w:val="auto"/>
        </w:rPr>
      </w:pPr>
    </w:p>
    <w:p>
      <w:pPr>
        <w:ind w:left="760" w:hanging="513"/>
        <w:spacing w:after="0"/>
        <w:tabs>
          <w:tab w:leader="none" w:pos="7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Brain Commerc</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i w:val="1"/>
          <w:iCs w:val="1"/>
          <w:color w:val="auto"/>
        </w:rPr>
      </w:pPr>
    </w:p>
    <w:p>
      <w:pPr>
        <w:ind w:left="760" w:right="580" w:hanging="513"/>
        <w:spacing w:after="0" w:line="284" w:lineRule="auto"/>
        <w:tabs>
          <w:tab w:leader="none" w:pos="7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via Brain Checkout .</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2" w:name="page73"/>
    <w:bookmarkEnd w:id="72"/>
    <w:p>
      <w:pPr>
        <w:ind w:left="760" w:right="300" w:hanging="513"/>
        <w:spacing w:after="0" w:line="284" w:lineRule="auto"/>
        <w:tabs>
          <w:tab w:leader="none" w:pos="76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indoor and outdoor locations.</w:t>
      </w:r>
    </w:p>
    <w:p>
      <w:pPr>
        <w:spacing w:after="0" w:line="50" w:lineRule="exact"/>
        <w:rPr>
          <w:rFonts w:ascii="Times New Roman" w:cs="Times New Roman" w:eastAsia="Times New Roman" w:hAnsi="Times New Roman"/>
          <w:sz w:val="18"/>
          <w:szCs w:val="18"/>
          <w:i w:val="1"/>
          <w:iCs w:val="1"/>
          <w:color w:val="auto"/>
        </w:rPr>
      </w:pPr>
    </w:p>
    <w:p>
      <w:pPr>
        <w:ind w:left="760" w:right="700" w:hanging="513"/>
        <w:spacing w:after="0" w:line="284" w:lineRule="auto"/>
        <w:tabs>
          <w:tab w:leader="none" w:pos="76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64" w:lineRule="exact"/>
        <w:rPr>
          <w:sz w:val="20"/>
          <w:szCs w:val="20"/>
          <w:color w:val="auto"/>
        </w:rPr>
      </w:pPr>
    </w:p>
    <w:p>
      <w:pPr>
        <w:ind w:left="520" w:right="20" w:hanging="512"/>
        <w:spacing w:after="0" w:line="254" w:lineRule="auto"/>
        <w:tabs>
          <w:tab w:leader="none" w:pos="5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Artificial Intelligence. </w:t>
      </w:r>
      <w:r>
        <w:rPr>
          <w:rFonts w:ascii="Times New Roman" w:cs="Times New Roman" w:eastAsia="Times New Roman" w:hAnsi="Times New Roman"/>
          <w:sz w:val="18"/>
          <w:szCs w:val="18"/>
          <w:color w:val="auto"/>
        </w:rPr>
        <w:t>Our Large Language Model (“</w:t>
      </w:r>
      <w:r>
        <w:rPr>
          <w:rFonts w:ascii="Times New Roman" w:cs="Times New Roman" w:eastAsia="Times New Roman" w:hAnsi="Times New Roman"/>
          <w:sz w:val="18"/>
          <w:szCs w:val="18"/>
          <w:b w:val="1"/>
          <w:bCs w:val="1"/>
          <w:i w:val="1"/>
          <w:iCs w:val="1"/>
          <w:color w:val="auto"/>
        </w:rPr>
        <w:t>LLM</w:t>
      </w:r>
      <w:r>
        <w:rPr>
          <w:rFonts w:ascii="Times New Roman" w:cs="Times New Roman" w:eastAsia="Times New Roman" w:hAnsi="Times New Roman"/>
          <w:sz w:val="18"/>
          <w:szCs w:val="18"/>
          <w:color w:val="auto"/>
        </w:rPr>
        <w:t>”) uses proprietary AI to interrogate presales, sales and post-sales content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130175</wp:posOffset>
            </wp:positionV>
            <wp:extent cx="4320540" cy="254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2054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503"/>
        <w:spacing w:after="0" w:line="284"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 GDPR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17"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We have been certified as a PCI DSS Level 1 compliant service provider, which is the highest level of</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73" w:name="page74"/>
    <w:bookmarkEnd w:id="73"/>
    <w:p>
      <w:pPr>
        <w:ind w:left="1020"/>
        <w:spacing w:after="0" w:line="282" w:lineRule="auto"/>
        <w:rPr>
          <w:sz w:val="20"/>
          <w:szCs w:val="20"/>
          <w:color w:val="auto"/>
        </w:rPr>
      </w:pPr>
      <w:r>
        <w:rPr>
          <w:rFonts w:ascii="Times New Roman" w:cs="Times New Roman" w:eastAsia="Times New Roman" w:hAnsi="Times New Roman"/>
          <w:sz w:val="18"/>
          <w:szCs w:val="18"/>
          <w:color w:val="auto"/>
        </w:rPr>
        <w:t>compliance available. We use firewalls, denial of service mitigation appliances, advanced encryption, intrusion detection systems, two-factor authentication and other technology to keep our merchants’ data secure.</w:t>
      </w:r>
    </w:p>
    <w:p>
      <w:pPr>
        <w:spacing w:after="0" w:line="52" w:lineRule="exact"/>
        <w:rPr>
          <w:sz w:val="20"/>
          <w:szCs w:val="20"/>
          <w:color w:val="auto"/>
        </w:rPr>
      </w:pPr>
    </w:p>
    <w:p>
      <w:pPr>
        <w:ind w:left="1020" w:right="140" w:hanging="503"/>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65"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71"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Android and iOS app. The accompanying SDK sample app and documents allow third-party developers to quickly leverage the power of our solution.</w:t>
      </w:r>
    </w:p>
    <w:p>
      <w:pPr>
        <w:spacing w:after="0" w:line="65" w:lineRule="exact"/>
        <w:rPr>
          <w:rFonts w:ascii="Times New Roman" w:cs="Times New Roman" w:eastAsia="Times New Roman" w:hAnsi="Times New Roman"/>
          <w:sz w:val="18"/>
          <w:szCs w:val="18"/>
          <w:color w:val="auto"/>
        </w:rPr>
      </w:pPr>
    </w:p>
    <w:p>
      <w:pPr>
        <w:ind w:left="1020" w:right="260" w:hanging="503"/>
        <w:spacing w:after="0" w:line="284"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50"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Analytics Engine to churn out smart Dashboards and Reports.</w:t>
      </w:r>
    </w:p>
    <w:p>
      <w:pPr>
        <w:spacing w:after="0" w:line="50"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 gateway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eCommerce platforms with minimum effort. Rezolve already supports a large number of payment providers and ramping up support for e-commerce platforms via its unique plugin architecture and webhooks.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65"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triggers via Rezolve’s Experience Platform when combined with its SDK delivers a powerful tool to Merchants to deliver non spamming targeted engagements.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Microsoft and Google among others.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acquirer Channels promote the use of Rezolve technology embedded into their apps directly (using Rezolve’s SDK and mobile application libraries). All merchants are encouraged to use our Rezolve Experience Platform to create engagements with their end-customers, whether it is labeled with the brand of the Channel or our brand.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54"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74" w:name="page75"/>
    <w:bookmarkEnd w:id="74"/>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83"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headquartered in London, England, United Kingdom.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7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5" w:name="page76"/>
    <w:bookmarkEnd w:id="75"/>
    <w:p>
      <w:pPr>
        <w:ind w:right="600"/>
        <w:spacing w:after="0" w:line="282" w:lineRule="auto"/>
        <w:rPr>
          <w:sz w:val="20"/>
          <w:szCs w:val="20"/>
          <w:color w:val="auto"/>
        </w:rPr>
      </w:pPr>
      <w:r>
        <w:rPr>
          <w:rFonts w:ascii="Times New Roman" w:cs="Times New Roman" w:eastAsia="Times New Roman" w:hAnsi="Times New Roman"/>
          <w:sz w:val="18"/>
          <w:szCs w:val="18"/>
          <w:color w:val="auto"/>
        </w:rPr>
        <w:t>access instruments, electronic funds transfers, foreign exchange, anti-money laundering, counter-terrorist financing, banking and import and export restrictions. Depending on how our merchant solutions evolve, we may be subject to additional laws.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6" w:name="page77"/>
    <w:bookmarkEnd w:id="76"/>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COMPENSATION</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sets forth the names, business addresses and functions of the Company’s directors and senior management as of the date of this prospectus. The Company’s Articles of Association provide that the Company Board of Directors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three classes of directors with the directors of each class serving staggered three-year terms. Class I directors shall serve a term expiring at Company’s 2025 annual meeting of shareholders, Class II directors shall serve a term expiring at Company’s 2026 annual meeting of shareholders and Class III directors shall serve a term expiring at Company’s 2027 annual meeting of shareholders.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5"/>
                <w:szCs w:val="15"/>
                <w:color w:val="auto"/>
              </w:rPr>
            </w:pPr>
          </w:p>
        </w:tc>
        <w:tc>
          <w:tcPr>
            <w:tcW w:w="536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42"/>
        </w:trPr>
        <w:tc>
          <w:tcPr>
            <w:tcW w:w="4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Directors</w:t>
            </w:r>
          </w:p>
        </w:tc>
        <w:tc>
          <w:tcPr>
            <w:tcW w:w="2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360" w:type="dxa"/>
            <w:vAlign w:val="bottom"/>
            <w:shd w:val="clear" w:color="auto" w:fill="CFF0FC"/>
          </w:tcPr>
          <w:p>
            <w:pPr>
              <w:spacing w:after="0"/>
              <w:rPr>
                <w:sz w:val="12"/>
                <w:szCs w:val="12"/>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92</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80</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64</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79</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4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36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53</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Commercial Officer and General Manager (EMEA)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49</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CEO Products, Technology, and Digital Services</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Daniel Wagner.</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Wagner.</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Herbert.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 Mr. Burchill served as Group Finance Director with Rezolve. Prior to joining Rezolve, he was the Group</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78" w:name="page79"/>
    <w:bookmarkEnd w:id="78"/>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First-Class Honours degree in computer science and a doctorate in 3D graphics and AI from Loughborough University.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right="40" w:firstLine="576"/>
        <w:spacing w:after="0" w:line="282" w:lineRule="auto"/>
        <w:rPr>
          <w:sz w:val="20"/>
          <w:szCs w:val="20"/>
          <w:color w:val="auto"/>
        </w:rPr>
      </w:pPr>
      <w:r>
        <w:rPr>
          <w:rFonts w:ascii="Times New Roman" w:cs="Times New Roman" w:eastAsia="Times New Roman" w:hAnsi="Times New Roman"/>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68" w:lineRule="exact"/>
        <w:rPr>
          <w:sz w:val="20"/>
          <w:szCs w:val="20"/>
          <w:color w:val="auto"/>
        </w:rPr>
      </w:pPr>
    </w:p>
    <w:p>
      <w:pPr>
        <w:ind w:left="1020" w:right="20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53" w:lineRule="exact"/>
        <w:rPr>
          <w:rFonts w:ascii="Times New Roman" w:cs="Times New Roman" w:eastAsia="Times New Roman" w:hAnsi="Times New Roman"/>
          <w:sz w:val="18"/>
          <w:szCs w:val="18"/>
          <w:i w:val="1"/>
          <w:iCs w:val="1"/>
          <w:color w:val="auto"/>
        </w:rPr>
      </w:pPr>
    </w:p>
    <w:p>
      <w:pPr>
        <w:ind w:left="1020" w:right="20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53" w:lineRule="exact"/>
        <w:rPr>
          <w:rFonts w:ascii="Times New Roman" w:cs="Times New Roman" w:eastAsia="Times New Roman" w:hAnsi="Times New Roman"/>
          <w:sz w:val="18"/>
          <w:szCs w:val="18"/>
          <w:i w:val="1"/>
          <w:iCs w:val="1"/>
          <w:color w:val="auto"/>
        </w:rPr>
      </w:pPr>
    </w:p>
    <w:p>
      <w:pPr>
        <w:ind w:left="1020" w:right="6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53" w:lineRule="exact"/>
        <w:rPr>
          <w:rFonts w:ascii="Times New Roman" w:cs="Times New Roman" w:eastAsia="Times New Roman" w:hAnsi="Times New Roman"/>
          <w:sz w:val="18"/>
          <w:szCs w:val="18"/>
          <w:i w:val="1"/>
          <w:iCs w:val="1"/>
          <w:color w:val="auto"/>
        </w:rPr>
      </w:pPr>
    </w:p>
    <w:p>
      <w:pPr>
        <w:ind w:left="1020" w:right="22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53" w:lineRule="exact"/>
        <w:rPr>
          <w:rFonts w:ascii="Times New Roman" w:cs="Times New Roman" w:eastAsia="Times New Roman" w:hAnsi="Times New Roman"/>
          <w:sz w:val="18"/>
          <w:szCs w:val="18"/>
          <w:i w:val="1"/>
          <w:iCs w:val="1"/>
          <w:color w:val="auto"/>
        </w:rPr>
      </w:pPr>
    </w:p>
    <w:p>
      <w:pPr>
        <w:ind w:left="1020" w:right="28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right="140" w:hanging="503"/>
        <w:spacing w:after="0" w:line="261"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72"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i w:val="1"/>
          <w:iCs w:val="1"/>
          <w:color w:val="auto"/>
        </w:rPr>
      </w:pPr>
    </w:p>
    <w:p>
      <w:pPr>
        <w:ind w:left="1020" w:right="100" w:hanging="503"/>
        <w:spacing w:after="0" w:line="282" w:lineRule="auto"/>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53" w:lineRule="exact"/>
        <w:rPr>
          <w:rFonts w:ascii="Times New Roman" w:cs="Times New Roman" w:eastAsia="Times New Roman" w:hAnsi="Times New Roman"/>
          <w:sz w:val="18"/>
          <w:szCs w:val="18"/>
          <w:i w:val="1"/>
          <w:iCs w:val="1"/>
          <w:color w:val="auto"/>
        </w:rPr>
      </w:pPr>
    </w:p>
    <w:p>
      <w:pPr>
        <w:ind w:left="1020" w:right="300" w:hanging="503"/>
        <w:spacing w:after="0" w:line="282" w:lineRule="auto"/>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we are an “emerging growth company” as defined in the JOBS Act and have elected to comply with certain reduced public company reporting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is comprised of eight directors (provided that Daniel Wagner has the right to appoint an additional director to the Board from time to time), five of whom qualify as independent directors as defined in the Nasdaq listing requirements. Daniel Wagner serves as the Chairman of the board of directors and Anthony Sharp serves as deputy Chairman.</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0" w:name="page81"/>
    <w:bookmarkEnd w:id="80"/>
    <w:p>
      <w:pPr>
        <w:ind w:right="60"/>
        <w:spacing w:after="0" w:line="282" w:lineRule="auto"/>
        <w:rPr>
          <w:sz w:val="20"/>
          <w:szCs w:val="20"/>
          <w:color w:val="auto"/>
        </w:rPr>
      </w:pPr>
      <w:r>
        <w:rPr>
          <w:rFonts w:ascii="Times New Roman" w:cs="Times New Roman" w:eastAsia="Times New Roman" w:hAnsi="Times New Roman"/>
          <w:sz w:val="18"/>
          <w:szCs w:val="18"/>
          <w:color w:val="auto"/>
        </w:rPr>
        <w:t>the other directors at a meeting of the directors, or by written notice from all of the other directors. Each of our directors holds office until he or she resigns or is vacated from office. There will be a three-year rotation pattern.</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board is divided into three classes serving staggered three 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 directors and will serve until our annual meeting in 2026. Messrs. Dan Wagner and John Wagner are Class III directors and will serve until our annual meeting in 2027.</w:t>
      </w:r>
    </w:p>
    <w:p>
      <w:pPr>
        <w:spacing w:after="0" w:line="18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117"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color w:val="auto"/>
        </w:rPr>
        <w:t>Following the Closing, the board of directors established three standing committees: (i) an audit committee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(ii) a remuneration committee (the "</w:t>
      </w:r>
      <w:r>
        <w:rPr>
          <w:rFonts w:ascii="Times New Roman" w:cs="Times New Roman" w:eastAsia="Times New Roman" w:hAnsi="Times New Roman"/>
          <w:sz w:val="18"/>
          <w:szCs w:val="18"/>
          <w:b w:val="1"/>
          <w:bCs w:val="1"/>
          <w:i w:val="1"/>
          <w:iCs w:val="1"/>
          <w:color w:val="auto"/>
        </w:rPr>
        <w:t>Remuneration Committee</w:t>
      </w:r>
      <w:r>
        <w:rPr>
          <w:rFonts w:ascii="Times New Roman" w:cs="Times New Roman" w:eastAsia="Times New Roman" w:hAnsi="Times New Roman"/>
          <w:sz w:val="18"/>
          <w:szCs w:val="18"/>
          <w:color w:val="auto"/>
        </w:rPr>
        <w:t>"), and (iii) a nominating and corporate governance committee (the "</w:t>
      </w:r>
      <w:r>
        <w:rPr>
          <w:rFonts w:ascii="Times New Roman" w:cs="Times New Roman" w:eastAsia="Times New Roman" w:hAnsi="Times New Roman"/>
          <w:sz w:val="18"/>
          <w:szCs w:val="18"/>
          <w:b w:val="1"/>
          <w:bCs w:val="1"/>
          <w:i w:val="1"/>
          <w:iCs w:val="1"/>
          <w:color w:val="auto"/>
        </w:rPr>
        <w:t>Nominating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Governance Committee</w:t>
      </w:r>
      <w:r>
        <w:rPr>
          <w:rFonts w:ascii="Times New Roman" w:cs="Times New Roman" w:eastAsia="Times New Roman" w:hAnsi="Times New Roman"/>
          <w:sz w:val="18"/>
          <w:szCs w:val="18"/>
          <w:color w:val="auto"/>
        </w:rPr>
        <w:t>"). In addition, from time to time, special committees may be established under the direction of our board of directors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to address specific issues.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17" w:lineRule="exact"/>
        <w:rPr>
          <w:sz w:val="20"/>
          <w:szCs w:val="20"/>
          <w:color w:val="auto"/>
        </w:rPr>
      </w:pPr>
    </w:p>
    <w:p>
      <w:pPr>
        <w:ind w:left="520" w:right="66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1" w:name="page82"/>
    <w:bookmarkEnd w:id="81"/>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Remuneration Committee is responsible for, among other things:</w:t>
      </w:r>
    </w:p>
    <w:p>
      <w:pPr>
        <w:spacing w:after="0" w:line="117" w:lineRule="exact"/>
        <w:rPr>
          <w:sz w:val="20"/>
          <w:szCs w:val="20"/>
          <w:color w:val="auto"/>
        </w:rPr>
      </w:pPr>
    </w:p>
    <w:p>
      <w:pPr>
        <w:ind w:left="1020" w:right="120" w:hanging="503"/>
        <w:spacing w:after="0" w:line="266"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Remuneration Committee consists of Anthony Sharp and Steve Perry, with Steve Perry serving as the chair of the committee. Our board of directors has adopted a written terms of reference for the Remuneration Committee, which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117"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2" w:name="page83"/>
    <w:bookmarkEnd w:id="82"/>
    <w:p>
      <w:pPr>
        <w:jc w:val="both"/>
        <w:spacing w:after="0" w:line="255" w:lineRule="auto"/>
        <w:rPr>
          <w:sz w:val="20"/>
          <w:szCs w:val="20"/>
          <w:color w:val="auto"/>
        </w:rPr>
      </w:pPr>
      <w:r>
        <w:rPr>
          <w:rFonts w:ascii="Times New Roman" w:cs="Times New Roman" w:eastAsia="Times New Roman" w:hAnsi="Times New Roman"/>
          <w:sz w:val="18"/>
          <w:szCs w:val="18"/>
          <w:color w:val="auto"/>
        </w:rPr>
        <w:t>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have also purchased a policy of directors’ and officers’ liability insurance effective upon completion of the Business Combination that insures our officers and directors against the cost of defense, settlement or payment of a judgment in some circumstances and insures us against our obligations to indemnify our officers and directors.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our articles of association, see the section entitled “</w:t>
      </w:r>
      <w:r>
        <w:rPr>
          <w:rFonts w:ascii="Times New Roman" w:cs="Times New Roman" w:eastAsia="Times New Roman" w:hAnsi="Times New Roman"/>
          <w:sz w:val="18"/>
          <w:szCs w:val="18"/>
          <w:i w:val="1"/>
          <w:iCs w:val="1"/>
          <w:color w:val="auto"/>
        </w:rPr>
        <w:t>Description of Ordinary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of this prospectus, and for a summary of the indemnification agreement, see the section entitled “</w:t>
      </w:r>
      <w:r>
        <w:rPr>
          <w:rFonts w:ascii="Times New Roman" w:cs="Times New Roman" w:eastAsia="Times New Roman" w:hAnsi="Times New Roman"/>
          <w:sz w:val="18"/>
          <w:szCs w:val="18"/>
          <w:i w:val="1"/>
          <w:iCs w:val="1"/>
          <w:color w:val="auto"/>
        </w:rPr>
        <w:t>Indemnification Agreements with Officers and Directors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33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3" w:name="page84"/>
    <w:bookmarkEnd w:id="83"/>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979,186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29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Non-executive Director Letters of Appointment (John Wagner, Anthony Sharp, Sir David Wright, Derek Smith, Stephen Perry, and Stephen Herbert)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(John Wagner, Anthony Sharp, Sir David Wright, Derek Smith, and Stephen Perry)</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(Stephen Herbert)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 on the same terms as set out above with the exception of the term of appointment and compensation, which will be for a period of one year with no cash compensation.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84" w:name="page85"/>
    <w:bookmarkEnd w:id="84"/>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“Holders”) (the “Investor Rights Agreement”). Pursuant to the terms of the Investor Rights Agreement, the Holders are entitled to certain piggyback registration rights and customary demand registration rights. The Investor Rights Agreement provides that the Company will, as soon as practicable, and in any event within 21 days after August 16, 2024, file with the SEC a shelf registration statement. The Company will use its commercially reasonable efforts to have such shelf registration statement declared effective as soon as practicable after the filing thereof, but no later than the 45th day (or the 5th day business after the Securities and Exchange Commission (the “SEC”) notifies the Company that it will “review” such shelf registration statement) following the filing deadline, in each case subject to the terms and conditions set forth therein; and the Company will not be subject to any form of monetary penalty for its failure to do so.</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Pursuant to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Ordinary Shares for cash, securities, or other property.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Lock-In Agreements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At the Closing, the Company entered into separate Lock-In Agreements (the“Lock-In Agreements) with certain holders of the Company (such persons, the “Rezolve Holders”), pursuant to which the Ordinary Shares held by the Rezolve Holders will be locked-up and subject to transfer restrictions for 180 days following the Closing,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their Ordinary Shares for cash, securities, or other property.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Bluedot Acquisition</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On February 4, 2025, the Company entered into the Bluedot Purchase Agreement, by and between the Company and DBLP, pursuant to which the Company agreed to purchase, and DBLP agreed to sell, the entire issued and to be issued share capital of Bluedot.</w:t>
      </w:r>
    </w:p>
    <w:p>
      <w:pPr>
        <w:spacing w:after="0" w:line="162" w:lineRule="exact"/>
        <w:rPr>
          <w:sz w:val="20"/>
          <w:szCs w:val="20"/>
          <w:color w:val="auto"/>
        </w:rPr>
      </w:pPr>
    </w:p>
    <w:p>
      <w:pPr>
        <w:ind w:right="260" w:firstLine="554"/>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DBLP Settlement Agreement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February 7, 2025, the Company entered into the DBLP Settlement Agreement, pursuant to which the Company agreed to issue DBLP 800,000 Ordinary Shares in exchange for the full and final settlement of all amounts owed to DBLP in the amount of $5,958,593.22.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amounts due to related parties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2024, we have the $137,019 due to Arthur Yao and $17,433 due to Steve Perry. All of these outstanding amounts will be settled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3"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Rezolve has also purchased a policy of directors’ and officers’ liability insurance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72"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7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6" w:name="page87"/>
    <w:bookmarkEnd w:id="86"/>
    <w:p>
      <w:pPr>
        <w:spacing w:after="0" w:line="2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May 23, 2025 by:</w:t>
      </w:r>
    </w:p>
    <w:p>
      <w:pPr>
        <w:spacing w:after="0" w:line="117"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outstanding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percentage of Ordinary Shares beneficially owned is computed on the basis of 243,671,374 Ordinary Shares outstanding.</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 of Beneficial Owners</w:t>
            </w:r>
            <w:r>
              <w:rPr>
                <w:rFonts w:ascii="Times New Roman" w:cs="Times New Roman" w:eastAsia="Times New Roman" w:hAnsi="Times New Roman"/>
                <w:sz w:val="19"/>
                <w:szCs w:val="19"/>
                <w:b w:val="1"/>
                <w:bCs w:val="1"/>
                <w:i w:val="1"/>
                <w:iCs w:val="1"/>
                <w:color w:val="auto"/>
                <w:vertAlign w:val="superscript"/>
              </w:rPr>
              <w:t>(1)</w:t>
            </w:r>
          </w:p>
        </w:tc>
        <w:tc>
          <w:tcPr>
            <w:tcW w:w="120" w:type="dxa"/>
            <w:vAlign w:val="bottom"/>
          </w:tcPr>
          <w:p>
            <w:pPr>
              <w:spacing w:after="0"/>
              <w:rPr>
                <w:sz w:val="18"/>
                <w:szCs w:val="18"/>
                <w:color w:val="auto"/>
              </w:rPr>
            </w:pPr>
          </w:p>
        </w:tc>
        <w:tc>
          <w:tcPr>
            <w:tcW w:w="14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i w:val="1"/>
                <w:iCs w:val="1"/>
                <w:color w:val="auto"/>
              </w:rPr>
              <w:t>Number of Shares</w:t>
            </w:r>
          </w:p>
        </w:tc>
        <w:tc>
          <w:tcPr>
            <w:tcW w:w="460" w:type="dxa"/>
            <w:vAlign w:val="bottom"/>
          </w:tcPr>
          <w:p>
            <w:pPr>
              <w:spacing w:after="0"/>
              <w:rPr>
                <w:sz w:val="18"/>
                <w:szCs w:val="18"/>
                <w:color w:val="auto"/>
              </w:rPr>
            </w:pPr>
          </w:p>
        </w:tc>
        <w:tc>
          <w:tcPr>
            <w:tcW w:w="132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12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auto"/>
                <w:vertAlign w:val="subscript"/>
              </w:rPr>
              <w:t>(3)</w:t>
            </w:r>
            <w:r>
              <w:rPr>
                <w:rFonts w:ascii="Times New Roman" w:cs="Times New Roman" w:eastAsia="Times New Roman" w:hAnsi="Times New Roman"/>
                <w:sz w:val="12"/>
                <w:szCs w:val="12"/>
                <w:color w:val="auto"/>
              </w:rPr>
              <w:t>(2)</w:t>
            </w:r>
          </w:p>
        </w:tc>
        <w:tc>
          <w:tcPr>
            <w:tcW w:w="13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53,429,933</w:t>
            </w:r>
          </w:p>
        </w:tc>
        <w:tc>
          <w:tcPr>
            <w:tcW w:w="460" w:type="dxa"/>
            <w:vAlign w:val="bottom"/>
            <w:vMerge w:val="continue"/>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49,554,221</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(4)</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1,921,793</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495,343</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791,556</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199,971</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1,153,633</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58,893,222</w:t>
            </w:r>
          </w:p>
        </w:tc>
        <w:tc>
          <w:tcPr>
            <w:tcW w:w="4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178"/>
        </w:trPr>
        <w:tc>
          <w:tcPr>
            <w:tcW w:w="660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w w:val="87"/>
              </w:rPr>
              <w:t>(10)</w:t>
            </w:r>
            <w:r>
              <w:rPr>
                <w:rFonts w:ascii="Times New Roman" w:cs="Times New Roman" w:eastAsia="Times New Roman" w:hAnsi="Times New Roman"/>
                <w:sz w:val="24"/>
                <w:szCs w:val="24"/>
                <w:color w:val="auto"/>
                <w:w w:val="87"/>
                <w:vertAlign w:val="superscript"/>
              </w:rPr>
              <w:t>(9)</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60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DBLP Sea Cow Limited</w:t>
            </w:r>
            <w:r>
              <w:rPr>
                <w:rFonts w:ascii="Times New Roman" w:cs="Times New Roman" w:eastAsia="Times New Roman" w:hAnsi="Times New Roman"/>
                <w:sz w:val="24"/>
                <w:szCs w:val="24"/>
                <w:color w:val="auto"/>
                <w:vertAlign w:val="superscript"/>
              </w:rPr>
              <w:t>(8)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48,731,428</w:t>
            </w:r>
          </w:p>
        </w:tc>
        <w:tc>
          <w:tcPr>
            <w:tcW w:w="460" w:type="dxa"/>
            <w:vAlign w:val="bottom"/>
            <w:vMerge w:val="continue"/>
          </w:tcPr>
          <w:p>
            <w:pPr>
              <w:spacing w:after="0"/>
              <w:rPr>
                <w:sz w:val="22"/>
                <w:szCs w:val="22"/>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35,843,258</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180"/>
        </w:trPr>
        <w:tc>
          <w:tcPr>
            <w:tcW w:w="660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(11)</w:t>
            </w: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Brooks Newmark</w:t>
            </w:r>
          </w:p>
        </w:tc>
        <w:tc>
          <w:tcPr>
            <w:tcW w:w="15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17,070,000</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(12)</w:t>
            </w:r>
          </w:p>
        </w:tc>
        <w:tc>
          <w:tcPr>
            <w:tcW w:w="150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Brad Wickens</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25,864,807</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(13)</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Aperion Investment Group Limited</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25,097,545</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-2331085</wp:posOffset>
            </wp:positionV>
            <wp:extent cx="641223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-2056765</wp:posOffset>
            </wp:positionV>
            <wp:extent cx="641223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-1782445</wp:posOffset>
            </wp:positionV>
            <wp:extent cx="641223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-1508125</wp:posOffset>
            </wp:positionV>
            <wp:extent cx="641223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-685165</wp:posOffset>
            </wp:positionV>
            <wp:extent cx="641223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-410845</wp:posOffset>
            </wp:positionV>
            <wp:extent cx="641223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117"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W1S 3DN, United Kingdom.</w:t>
      </w:r>
    </w:p>
    <w:p>
      <w:pPr>
        <w:spacing w:after="0" w:line="113" w:lineRule="exact"/>
        <w:rPr>
          <w:rFonts w:ascii="Times New Roman" w:cs="Times New Roman" w:eastAsia="Times New Roman" w:hAnsi="Times New Roman"/>
          <w:sz w:val="18"/>
          <w:szCs w:val="18"/>
          <w:color w:val="auto"/>
        </w:rPr>
      </w:pPr>
    </w:p>
    <w:p>
      <w:pPr>
        <w:ind w:left="520" w:right="160" w:hanging="512"/>
        <w:spacing w:after="0" w:line="28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4,698,505 shares directly held by Daniel Wagner; (ii) 37,052,254 shares directly held by DBLP Sea Cow Limited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and (iii) 11,679,174 shares issuable to DBLP upon conversion of certain options granted under Rezolve's Long Term</w:t>
      </w:r>
    </w:p>
    <w:p>
      <w:pPr>
        <w:spacing w:after="0" w:line="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7" w:name="page88"/>
    <w:bookmarkEnd w:id="87"/>
    <w:p>
      <w:pPr>
        <w:ind w:left="512" w:right="200"/>
        <w:spacing w:after="0" w:line="282" w:lineRule="auto"/>
        <w:rPr>
          <w:sz w:val="20"/>
          <w:szCs w:val="20"/>
          <w:color w:val="auto"/>
        </w:rPr>
      </w:pPr>
      <w:r>
        <w:rPr>
          <w:rFonts w:ascii="Times New Roman" w:cs="Times New Roman" w:eastAsia="Times New Roman" w:hAnsi="Times New Roman"/>
          <w:sz w:val="18"/>
          <w:szCs w:val="18"/>
          <w:color w:val="auto"/>
        </w:rPr>
        <w:t>Incentive Plan ("LTIP"). DBLP is wholly legally owned by Mr. Wagner and Mr. Wagner is a director of DBLP and therefore Mr. Wagner may be deemed to share voting and investment power over the shares held by DBLP.</w:t>
      </w:r>
    </w:p>
    <w:p>
      <w:pPr>
        <w:spacing w:after="0" w:line="54" w:lineRule="exact"/>
        <w:rPr>
          <w:sz w:val="20"/>
          <w:szCs w:val="20"/>
          <w:color w:val="auto"/>
        </w:rPr>
      </w:pPr>
    </w:p>
    <w:p>
      <w:pPr>
        <w:ind w:left="512" w:hanging="512"/>
        <w:spacing w:after="0" w:line="258"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815,989 shares directly held by John Wagner; (ii) 2,835 Ordinary Shares issued upon conversion of the Promissory Note held by Mr. Wagner; (iii) 3,969 Ordinary Shares underlying the Private Warrants held by Mr. Wagner (iv) 37,052,254 shares directly held by DBLP; and (v) 11,679,174 shares issuable to DBLP upon conversion of certain options granted under the LTIP. DBLP is beneficially owned by Mr. John Wagner and Mr. John Wagner is a director of DBLP and therefore Mr. Wagner may be deemed to share voting and investment power over the shares held by DBLP.</w:t>
      </w:r>
    </w:p>
    <w:p>
      <w:pPr>
        <w:spacing w:after="0" w:line="75" w:lineRule="exact"/>
        <w:rPr>
          <w:rFonts w:ascii="Times New Roman" w:cs="Times New Roman" w:eastAsia="Times New Roman" w:hAnsi="Times New Roman"/>
          <w:sz w:val="18"/>
          <w:szCs w:val="18"/>
          <w:color w:val="auto"/>
        </w:rPr>
      </w:pPr>
    </w:p>
    <w:p>
      <w:pPr>
        <w:ind w:left="512" w:right="26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1,879,352 Ordinary Shares; and (ii) 42,441 Ordinary Shares issued upon the conversion of the Advance Subscription made by Mr. Sharp. Excludes 15,850 Ordinary Shares underlying the Private Warrants held by Mr. Sharp.</w:t>
      </w:r>
    </w:p>
    <w:p>
      <w:pPr>
        <w:spacing w:after="0" w:line="53" w:lineRule="exact"/>
        <w:rPr>
          <w:rFonts w:ascii="Times New Roman" w:cs="Times New Roman" w:eastAsia="Times New Roman" w:hAnsi="Times New Roman"/>
          <w:sz w:val="18"/>
          <w:szCs w:val="18"/>
          <w:color w:val="auto"/>
        </w:rPr>
      </w:pPr>
    </w:p>
    <w:p>
      <w:pPr>
        <w:ind w:left="512" w:right="120" w:hanging="512"/>
        <w:spacing w:after="0" w:line="289" w:lineRule="auto"/>
        <w:tabs>
          <w:tab w:leader="none" w:pos="512"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564,935 Ordinary Shares; (ii) 110,000 Ordinary Shares issued upon the conversion of the Advance Subscription made by Mr. Perry; and (iii) 69,526 Ordinary Shares issued upon conversion of the Convertible Note held by Mr. Perry. Excludes (i) 34,395 Ordinary Shares issued upon conversion of the Promissory Note held by Mr. Perry; and (ii) 12,700 Ordinary Shares underlying the Private Warrants held by Mr. Perry.</w:t>
      </w:r>
    </w:p>
    <w:p>
      <w:pPr>
        <w:spacing w:after="0" w:line="49" w:lineRule="exact"/>
        <w:rPr>
          <w:rFonts w:ascii="Times New Roman" w:cs="Times New Roman" w:eastAsia="Times New Roman" w:hAnsi="Times New Roman"/>
          <w:sz w:val="17"/>
          <w:szCs w:val="17"/>
          <w:color w:val="auto"/>
        </w:rPr>
      </w:pPr>
    </w:p>
    <w:p>
      <w:pPr>
        <w:ind w:left="512" w:hanging="512"/>
        <w:spacing w:after="0"/>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33,334 Ordinary Shares issued upon the conversion of the Advance Subscription made by Mr. Smith.</w:t>
      </w:r>
    </w:p>
    <w:p>
      <w:pPr>
        <w:spacing w:after="0" w:line="117"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1,142,384 Ordinary Shares and (ii) 11,249 Ordinary Shares issued upon the conversion of the Advance Subscription made by Mr. Vesco.</w:t>
      </w:r>
    </w:p>
    <w:p>
      <w:pPr>
        <w:spacing w:after="0" w:line="53"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is wholly legally owned by Daniel Wagner and is wholly beneficially owned by John Wagner. Both Daniel Wagner and John Wagner are directors of DBLP.</w:t>
      </w:r>
    </w:p>
    <w:p>
      <w:pPr>
        <w:spacing w:after="0" w:line="53" w:lineRule="exact"/>
        <w:rPr>
          <w:rFonts w:ascii="Times New Roman" w:cs="Times New Roman" w:eastAsia="Times New Roman" w:hAnsi="Times New Roman"/>
          <w:sz w:val="18"/>
          <w:szCs w:val="18"/>
          <w:color w:val="auto"/>
        </w:rPr>
      </w:pPr>
    </w:p>
    <w:p>
      <w:pPr>
        <w:ind w:left="512" w:right="20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37,052,254 Ordinary Shares; and (ii) 11,679,174 shares issuable to DBLP upon conversion of certain options granted under the LTIP. Excludes (i) 3,592,193 shares subject to a call option currently exercisable by Brad Wickens.</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34,649,207 Ordinary Shares; and (ii) 1,194,051 Ordinary Shares issued upon conversion of the Convertible Note held by Mr. Lychagov.</w:t>
      </w:r>
    </w:p>
    <w:p>
      <w:pPr>
        <w:spacing w:after="0" w:line="117" w:lineRule="exact"/>
        <w:rPr>
          <w:rFonts w:ascii="Times New Roman" w:cs="Times New Roman" w:eastAsia="Times New Roman" w:hAnsi="Times New Roman"/>
          <w:sz w:val="18"/>
          <w:szCs w:val="18"/>
          <w:color w:val="auto"/>
        </w:rPr>
      </w:pPr>
    </w:p>
    <w:p>
      <w:pPr>
        <w:ind w:left="512" w:right="28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7,870,000 Ordinary Shares and (ii) 9,200,000 Ordinary Shares issued upon the conversion of the Advance Subscription made by Mr. Newmark.</w:t>
      </w:r>
    </w:p>
    <w:p>
      <w:pPr>
        <w:spacing w:after="0" w:line="53" w:lineRule="exact"/>
        <w:rPr>
          <w:rFonts w:ascii="Times New Roman" w:cs="Times New Roman" w:eastAsia="Times New Roman" w:hAnsi="Times New Roman"/>
          <w:sz w:val="18"/>
          <w:szCs w:val="18"/>
          <w:color w:val="auto"/>
        </w:rPr>
      </w:pPr>
    </w:p>
    <w:p>
      <w:pPr>
        <w:ind w:left="512" w:right="80" w:hanging="512"/>
        <w:spacing w:after="0" w:line="258"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9,638,692 Ordinary Shares; (ii) 1,240,865 Ordinary Shares currently held by Apeiron on Mr. Wickens' behalf; (iii) 3,592,194 Ordinary Shares currently held by DBLP but subject to a call option currently exercisable by Mr. Wickens; (iv) 156,250 Ordinary Shares issued upon conversion of the Promissory Note held by Mr. Wickens; (iv) 333,333 Ordinary Shares issued upon the conversion of the Advance Subscription made by Mr. Wickens, (v) 62,500 Ordinary Shares underlying the Private Warrants held by Mr. Wickens; and (vi) 10,840,973 Ordinary Shares issued upon conversion of the Convertible Note held by Mr. Wickens.</w:t>
      </w:r>
    </w:p>
    <w:p>
      <w:pPr>
        <w:spacing w:after="0" w:line="75" w:lineRule="exact"/>
        <w:rPr>
          <w:rFonts w:ascii="Times New Roman" w:cs="Times New Roman" w:eastAsia="Times New Roman" w:hAnsi="Times New Roman"/>
          <w:sz w:val="18"/>
          <w:szCs w:val="18"/>
          <w:color w:val="auto"/>
        </w:rPr>
      </w:pPr>
    </w:p>
    <w:p>
      <w:pPr>
        <w:ind w:left="512" w:right="40" w:hanging="512"/>
        <w:spacing w:after="0" w:line="257"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10,712,645 Ordinary Shares, (ii) 333,333 Ordinary Shares issued upon conversion of the Advance Subscription made by Apeiron; (iii) 182,886 Ordinary Shares issuable upon potential conversion of the Promissory Note held by Apeiron; (iii) 62,500 Ordinary Shares underlying the Private Warrants held by Apeiron; and (iv) 13,806,181 Ordinary Shares issued upon conversion of the Convertible Note held by Apeiron. Excludes</w:t>
      </w:r>
    </w:p>
    <w:p>
      <w:pPr>
        <w:spacing w:after="0" w:line="1" w:lineRule="exact"/>
        <w:rPr>
          <w:rFonts w:ascii="Times New Roman" w:cs="Times New Roman" w:eastAsia="Times New Roman" w:hAnsi="Times New Roman"/>
          <w:sz w:val="18"/>
          <w:szCs w:val="18"/>
          <w:color w:val="auto"/>
        </w:rPr>
      </w:pPr>
    </w:p>
    <w:p>
      <w:pPr>
        <w:ind w:left="5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1,240,865 Ordinary Shares held by Apeiron on Brad Wickens' behalf.</w:t>
      </w:r>
    </w:p>
    <w:p>
      <w:pPr>
        <w:spacing w:after="0" w:line="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20" w:right="359" w:bottom="1440" w:gutter="0" w:footer="0" w:header="0"/>
        </w:sectPr>
      </w:pPr>
    </w:p>
    <w:bookmarkStart w:id="88" w:name="page89"/>
    <w:bookmarkEnd w:id="88"/>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prospectus relates to the resale by certain of the Selling Holders of up to 20,249,283 Ordinary Shares, consisting of (i) up to 2,760,848 Ordinary Shares issued in connection with the Bluedot Acquisition; (ii) up to 3,999,145 Ordinary Shares issued in connection with the GroupBy Acquisition (iii) up to 12,300,000 Ordinary Shares issuable to WAB in connection with the WAB Subscription Letter; (iv) up to 89,290 Ordinary Shares issuable to Roth Capital Partners, LLC as transaction-based compensation for the performance of advisory services rendered to the Company in connection with the Business Combination; (v) up to 300,000 Ordinary Shares issued to Radio Group Holding GmbH and certain other holders in connection with the settlement of an agreement; and (vi) up to 800,000 Ordinary Shares issuable to DBLP in connection with the DBLP Settlement Agreement.</w:t>
      </w:r>
    </w:p>
    <w:p>
      <w:pPr>
        <w:spacing w:after="0" w:line="18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4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May 23, 2025. In calculating percentages of Ordinary Shares owned by a particular Selling Holder, we treated as outstanding the number of Ordinary Shares issuable upon exercise of that particular Selling Holder’s Warrants and upon the conversion of that Selling Holder’s Convertible Notes, YA Note or Promissory Notes, if any, and did not assume the exercise of any other Selling Holder’s Warrants or the conversion of any other Selling Holder’s Convertible Notes, YA Note or Promissory Notes.</w:t>
      </w:r>
    </w:p>
    <w:p>
      <w:pPr>
        <w:spacing w:after="0" w:line="14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United Kingdom, W1S 3DN.</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9" w:name="page90"/>
    <w:bookmarkEnd w:id="89"/>
    <w:tbl>
      <w:tblPr>
        <w:tblLayout w:type="fixed"/>
        <w:tblInd w:w="10" w:type="dxa"/>
        <w:tblCellMar>
          <w:top w:w="0" w:type="dxa"/>
          <w:left w:w="0" w:type="dxa"/>
          <w:bottom w:w="0" w:type="dxa"/>
          <w:right w:w="0" w:type="dxa"/>
        </w:tblCellMar>
      </w:tblPr>
      <w:tr>
        <w:trPr>
          <w:trHeight w:val="255"/>
        </w:trPr>
        <w:tc>
          <w:tcPr>
            <w:tcW w:w="1980" w:type="dxa"/>
            <w:vAlign w:val="bottom"/>
            <w:tcBorders>
              <w:top w:val="single" w:sz="8" w:color="auto"/>
              <w:left w:val="single" w:sz="8" w:color="auto"/>
              <w:right w:val="single" w:sz="8" w:color="auto"/>
            </w:tcBorders>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3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2240" w:type="dxa"/>
            <w:vAlign w:val="bottom"/>
            <w:tcBorders>
              <w:top w:val="single" w:sz="8" w:color="auto"/>
              <w:right w:val="single" w:sz="8" w:color="auto"/>
            </w:tcBorders>
          </w:tcPr>
          <w:p>
            <w:pPr>
              <w:spacing w:after="0"/>
              <w:rPr>
                <w:sz w:val="22"/>
                <w:szCs w:val="22"/>
                <w:color w:val="auto"/>
              </w:rPr>
            </w:pPr>
          </w:p>
        </w:tc>
      </w:tr>
      <w:tr>
        <w:trPr>
          <w:trHeight w:val="217"/>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150"/>
        </w:trPr>
        <w:tc>
          <w:tcPr>
            <w:tcW w:w="198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210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w:t>
            </w:r>
          </w:p>
        </w:tc>
        <w:tc>
          <w:tcPr>
            <w:tcW w:w="1720" w:type="dxa"/>
            <w:vAlign w:val="bottom"/>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Maximum Number</w:t>
            </w:r>
          </w:p>
        </w:tc>
        <w:tc>
          <w:tcPr>
            <w:tcW w:w="400" w:type="dxa"/>
            <w:vAlign w:val="bottom"/>
            <w:tcBorders>
              <w:right w:val="single" w:sz="8" w:color="auto"/>
            </w:tcBorders>
          </w:tcPr>
          <w:p>
            <w:pPr>
              <w:spacing w:after="0"/>
              <w:rPr>
                <w:sz w:val="13"/>
                <w:szCs w:val="13"/>
                <w:color w:val="auto"/>
              </w:rPr>
            </w:pPr>
          </w:p>
        </w:tc>
        <w:tc>
          <w:tcPr>
            <w:tcW w:w="280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 Owned After</w:t>
            </w:r>
          </w:p>
        </w:tc>
        <w:tc>
          <w:tcPr>
            <w:tcW w:w="22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Percent Owned After the</w:t>
            </w: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 Offering</w:t>
            </w: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4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the Offered Shares are Sold</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 Sold</w:t>
            </w:r>
          </w:p>
        </w:tc>
      </w:tr>
      <w:tr>
        <w:trPr>
          <w:trHeight w:val="238"/>
        </w:trPr>
        <w:tc>
          <w:tcPr>
            <w:tcW w:w="1980" w:type="dxa"/>
            <w:vAlign w:val="bottom"/>
            <w:tcBorders>
              <w:left w:val="single" w:sz="8" w:color="auto"/>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03"/>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DBLP Sea Cow Ltd.</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48,731,428</w:t>
            </w:r>
            <w:r>
              <w:rPr>
                <w:rFonts w:ascii="Times New Roman" w:cs="Times New Roman" w:eastAsia="Times New Roman" w:hAnsi="Times New Roman"/>
                <w:sz w:val="24"/>
                <w:szCs w:val="24"/>
                <w:color w:val="auto"/>
                <w:vertAlign w:val="superscript"/>
              </w:rPr>
              <w:t>(2)</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1,619,737</w:t>
            </w:r>
            <w:r>
              <w:rPr>
                <w:rFonts w:ascii="Times New Roman" w:cs="Times New Roman" w:eastAsia="Times New Roman" w:hAnsi="Times New Roman"/>
                <w:sz w:val="24"/>
                <w:szCs w:val="24"/>
                <w:color w:val="auto"/>
                <w:vertAlign w:val="superscript"/>
              </w:rPr>
              <w:t>(3)</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47,111,691</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19.33</w:t>
            </w: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Radio Group Holding</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120,000</w:t>
            </w:r>
            <w:r>
              <w:rPr>
                <w:rFonts w:ascii="Times New Roman" w:cs="Times New Roman" w:eastAsia="Times New Roman" w:hAnsi="Times New Roman"/>
                <w:sz w:val="24"/>
                <w:szCs w:val="24"/>
                <w:color w:val="auto"/>
                <w:vertAlign w:val="superscript"/>
              </w:rPr>
              <w:t>(4)</w:t>
            </w: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120,000</w:t>
            </w: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GmbH</w:t>
            </w:r>
          </w:p>
        </w:tc>
        <w:tc>
          <w:tcPr>
            <w:tcW w:w="210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Roth Capital Partners,</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10,000</w:t>
            </w:r>
            <w:r>
              <w:rPr>
                <w:rFonts w:ascii="Times New Roman" w:cs="Times New Roman" w:eastAsia="Times New Roman" w:hAnsi="Times New Roman"/>
                <w:sz w:val="24"/>
                <w:szCs w:val="24"/>
                <w:color w:val="auto"/>
                <w:vertAlign w:val="superscript"/>
              </w:rPr>
              <w:t>(5)</w:t>
            </w:r>
          </w:p>
        </w:tc>
        <w:tc>
          <w:tcPr>
            <w:tcW w:w="1720" w:type="dxa"/>
            <w:vAlign w:val="bottom"/>
          </w:tcPr>
          <w:p>
            <w:pPr>
              <w:ind w:left="100"/>
              <w:spacing w:after="0" w:line="232" w:lineRule="exact"/>
              <w:rPr>
                <w:sz w:val="20"/>
                <w:szCs w:val="20"/>
                <w:color w:val="auto"/>
              </w:rPr>
            </w:pPr>
            <w:r>
              <w:rPr>
                <w:rFonts w:ascii="Times New Roman" w:cs="Times New Roman" w:eastAsia="Times New Roman" w:hAnsi="Times New Roman"/>
                <w:sz w:val="18"/>
                <w:szCs w:val="18"/>
                <w:color w:val="auto"/>
              </w:rPr>
              <w:t>89,290</w:t>
            </w:r>
            <w:r>
              <w:rPr>
                <w:rFonts w:ascii="Times New Roman" w:cs="Times New Roman" w:eastAsia="Times New Roman" w:hAnsi="Times New Roman"/>
                <w:sz w:val="24"/>
                <w:szCs w:val="24"/>
                <w:color w:val="auto"/>
                <w:vertAlign w:val="superscript"/>
              </w:rPr>
              <w:t>(6)</w:t>
            </w: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LLC</w:t>
            </w:r>
          </w:p>
        </w:tc>
        <w:tc>
          <w:tcPr>
            <w:tcW w:w="210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Stephan Schwenk</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180,000</w:t>
            </w:r>
            <w:r>
              <w:rPr>
                <w:rFonts w:ascii="Times New Roman" w:cs="Times New Roman" w:eastAsia="Times New Roman" w:hAnsi="Times New Roman"/>
                <w:sz w:val="24"/>
                <w:szCs w:val="24"/>
                <w:color w:val="auto"/>
                <w:vertAlign w:val="superscript"/>
              </w:rPr>
              <w:t>(7)</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180,000</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Tanist Group Limited</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2,731,566</w:t>
            </w:r>
            <w:r>
              <w:rPr>
                <w:rFonts w:ascii="Times New Roman" w:cs="Times New Roman" w:eastAsia="Times New Roman" w:hAnsi="Times New Roman"/>
                <w:sz w:val="24"/>
                <w:szCs w:val="24"/>
                <w:color w:val="auto"/>
                <w:vertAlign w:val="superscript"/>
              </w:rPr>
              <w:t>(8)</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1,941,111</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790,455</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Western Alliance Bank</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12,300,000</w:t>
            </w:r>
            <w:r>
              <w:rPr>
                <w:rFonts w:ascii="Times New Roman" w:cs="Times New Roman" w:eastAsia="Times New Roman" w:hAnsi="Times New Roman"/>
                <w:sz w:val="24"/>
                <w:szCs w:val="24"/>
                <w:color w:val="auto"/>
                <w:vertAlign w:val="superscript"/>
              </w:rPr>
              <w:t>(9)</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Will Warren</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52,838 </w:t>
            </w:r>
            <w:r>
              <w:rPr>
                <w:rFonts w:ascii="Times New Roman" w:cs="Times New Roman" w:eastAsia="Times New Roman" w:hAnsi="Times New Roman"/>
                <w:sz w:val="24"/>
                <w:szCs w:val="24"/>
                <w:color w:val="auto"/>
                <w:vertAlign w:val="superscript"/>
              </w:rPr>
              <w:t>(10)</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52,838</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Jerome Cheung-Bret</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44,031 </w:t>
            </w:r>
            <w:r>
              <w:rPr>
                <w:rFonts w:ascii="Times New Roman" w:cs="Times New Roman" w:eastAsia="Times New Roman" w:hAnsi="Times New Roman"/>
                <w:sz w:val="24"/>
                <w:szCs w:val="24"/>
                <w:color w:val="auto"/>
                <w:vertAlign w:val="superscript"/>
              </w:rPr>
              <w:t>(11)</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44,031</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Laura Gossage</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168,587 </w:t>
            </w:r>
            <w:r>
              <w:rPr>
                <w:rFonts w:ascii="Times New Roman" w:cs="Times New Roman" w:eastAsia="Times New Roman" w:hAnsi="Times New Roman"/>
                <w:sz w:val="24"/>
                <w:szCs w:val="24"/>
                <w:color w:val="auto"/>
                <w:vertAlign w:val="superscript"/>
              </w:rPr>
              <w:t>(12)</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168,587</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Roland Gossage</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203,020 </w:t>
            </w:r>
            <w:r>
              <w:rPr>
                <w:rFonts w:ascii="Times New Roman" w:cs="Times New Roman" w:eastAsia="Times New Roman" w:hAnsi="Times New Roman"/>
                <w:sz w:val="24"/>
                <w:szCs w:val="24"/>
                <w:color w:val="auto"/>
                <w:vertAlign w:val="superscript"/>
              </w:rPr>
              <w:t>(13)</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203,020</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Susanne Bundy</w:t>
            </w:r>
          </w:p>
        </w:tc>
        <w:tc>
          <w:tcPr>
            <w:tcW w:w="2100" w:type="dxa"/>
            <w:vAlign w:val="bottom"/>
            <w:tcBorders>
              <w:bottom w:val="single" w:sz="8" w:color="auto"/>
              <w:right w:val="single" w:sz="8" w:color="auto"/>
            </w:tcBorders>
          </w:tcPr>
          <w:p>
            <w:pPr>
              <w:ind w:left="80"/>
              <w:spacing w:after="0" w:line="276" w:lineRule="exact"/>
              <w:rPr>
                <w:sz w:val="20"/>
                <w:szCs w:val="20"/>
                <w:color w:val="auto"/>
              </w:rPr>
            </w:pPr>
            <w:r>
              <w:rPr>
                <w:rFonts w:ascii="Times New Roman" w:cs="Times New Roman" w:eastAsia="Times New Roman" w:hAnsi="Times New Roman"/>
                <w:sz w:val="32"/>
                <w:szCs w:val="32"/>
                <w:color w:val="auto"/>
                <w:vertAlign w:val="subscript"/>
              </w:rPr>
              <w:t>708</w:t>
            </w:r>
            <w:r>
              <w:rPr>
                <w:rFonts w:ascii="Times New Roman" w:cs="Times New Roman" w:eastAsia="Times New Roman" w:hAnsi="Times New Roman"/>
                <w:sz w:val="12"/>
                <w:szCs w:val="12"/>
                <w:color w:val="auto"/>
              </w:rPr>
              <w:t xml:space="preserve"> (14)</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708</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Amanda Young</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14,506 </w:t>
            </w:r>
            <w:r>
              <w:rPr>
                <w:rFonts w:ascii="Times New Roman" w:cs="Times New Roman" w:eastAsia="Times New Roman" w:hAnsi="Times New Roman"/>
                <w:sz w:val="24"/>
                <w:szCs w:val="24"/>
                <w:color w:val="auto"/>
                <w:vertAlign w:val="superscript"/>
              </w:rPr>
              <w:t>(15)</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14,506</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Grange</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14,319 </w:t>
            </w:r>
            <w:r>
              <w:rPr>
                <w:rFonts w:ascii="Times New Roman" w:cs="Times New Roman" w:eastAsia="Times New Roman" w:hAnsi="Times New Roman"/>
                <w:sz w:val="24"/>
                <w:szCs w:val="24"/>
                <w:color w:val="auto"/>
                <w:vertAlign w:val="superscript"/>
              </w:rPr>
              <w:t>(16)</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14,319</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Kenneth A. Devlin</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6,173 </w:t>
            </w:r>
            <w:r>
              <w:rPr>
                <w:rFonts w:ascii="Times New Roman" w:cs="Times New Roman" w:eastAsia="Times New Roman" w:hAnsi="Times New Roman"/>
                <w:sz w:val="24"/>
                <w:szCs w:val="24"/>
                <w:color w:val="auto"/>
                <w:vertAlign w:val="superscript"/>
              </w:rPr>
              <w:t>(17)</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6,173</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Long</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6,173 </w:t>
            </w:r>
            <w:r>
              <w:rPr>
                <w:rFonts w:ascii="Times New Roman" w:cs="Times New Roman" w:eastAsia="Times New Roman" w:hAnsi="Times New Roman"/>
                <w:sz w:val="24"/>
                <w:szCs w:val="24"/>
                <w:color w:val="auto"/>
                <w:vertAlign w:val="superscript"/>
              </w:rPr>
              <w:t>(18)</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6,173</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Eric Ehgoetz</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12,346 </w:t>
            </w:r>
            <w:r>
              <w:rPr>
                <w:rFonts w:ascii="Times New Roman" w:cs="Times New Roman" w:eastAsia="Times New Roman" w:hAnsi="Times New Roman"/>
                <w:sz w:val="24"/>
                <w:szCs w:val="24"/>
                <w:color w:val="auto"/>
                <w:vertAlign w:val="superscript"/>
              </w:rPr>
              <w:t>(19)</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12,346</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Estate of Gerd</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 xml:space="preserve">12,346 </w:t>
            </w:r>
            <w:r>
              <w:rPr>
                <w:rFonts w:ascii="Times New Roman" w:cs="Times New Roman" w:eastAsia="Times New Roman" w:hAnsi="Times New Roman"/>
                <w:sz w:val="24"/>
                <w:szCs w:val="24"/>
                <w:color w:val="auto"/>
                <w:vertAlign w:val="superscript"/>
              </w:rPr>
              <w:t>(20)</w:t>
            </w: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12,346</w:t>
            </w: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Opderbeck</w:t>
            </w:r>
          </w:p>
        </w:tc>
        <w:tc>
          <w:tcPr>
            <w:tcW w:w="210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 Belcourt Consulting</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 xml:space="preserve">18,519 </w:t>
            </w:r>
            <w:r>
              <w:rPr>
                <w:rFonts w:ascii="Times New Roman" w:cs="Times New Roman" w:eastAsia="Times New Roman" w:hAnsi="Times New Roman"/>
                <w:sz w:val="24"/>
                <w:szCs w:val="24"/>
                <w:color w:val="auto"/>
                <w:vertAlign w:val="superscript"/>
              </w:rPr>
              <w:t>(21)</w:t>
            </w: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18,519</w:t>
            </w: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Group Inc.</w:t>
            </w:r>
          </w:p>
        </w:tc>
        <w:tc>
          <w:tcPr>
            <w:tcW w:w="210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ITF KKLM</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 xml:space="preserve">8,025 </w:t>
            </w:r>
            <w:r>
              <w:rPr>
                <w:rFonts w:ascii="Times New Roman" w:cs="Times New Roman" w:eastAsia="Times New Roman" w:hAnsi="Times New Roman"/>
                <w:sz w:val="24"/>
                <w:szCs w:val="24"/>
                <w:color w:val="auto"/>
                <w:vertAlign w:val="superscript"/>
              </w:rPr>
              <w:t>(22)</w:t>
            </w: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8,025</w:t>
            </w: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Investments CO. Ltd.</w:t>
            </w:r>
          </w:p>
        </w:tc>
        <w:tc>
          <w:tcPr>
            <w:tcW w:w="210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2432332 Ontario Inc.</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53,024 </w:t>
            </w:r>
            <w:r>
              <w:rPr>
                <w:rFonts w:ascii="Times New Roman" w:cs="Times New Roman" w:eastAsia="Times New Roman" w:hAnsi="Times New Roman"/>
                <w:sz w:val="24"/>
                <w:szCs w:val="24"/>
                <w:color w:val="auto"/>
                <w:vertAlign w:val="superscript"/>
              </w:rPr>
              <w:t>(23)</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53,024</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Holger Opderbeck</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24,691 </w:t>
            </w:r>
            <w:r>
              <w:rPr>
                <w:rFonts w:ascii="Times New Roman" w:cs="Times New Roman" w:eastAsia="Times New Roman" w:hAnsi="Times New Roman"/>
                <w:sz w:val="24"/>
                <w:szCs w:val="24"/>
                <w:color w:val="auto"/>
                <w:vertAlign w:val="superscript"/>
              </w:rPr>
              <w:t>(24)</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24,691</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Austin Ventures X,</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 xml:space="preserve">9,114 </w:t>
            </w:r>
            <w:r>
              <w:rPr>
                <w:rFonts w:ascii="Times New Roman" w:cs="Times New Roman" w:eastAsia="Times New Roman" w:hAnsi="Times New Roman"/>
                <w:sz w:val="24"/>
                <w:szCs w:val="24"/>
                <w:color w:val="auto"/>
                <w:vertAlign w:val="superscript"/>
              </w:rPr>
              <w:t>(25)</w:t>
            </w: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9,114</w:t>
            </w: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w:t>
            </w:r>
          </w:p>
        </w:tc>
        <w:tc>
          <w:tcPr>
            <w:tcW w:w="210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Dejan Mircevski</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10,058 </w:t>
            </w:r>
            <w:r>
              <w:rPr>
                <w:rFonts w:ascii="Times New Roman" w:cs="Times New Roman" w:eastAsia="Times New Roman" w:hAnsi="Times New Roman"/>
                <w:sz w:val="24"/>
                <w:szCs w:val="24"/>
                <w:color w:val="auto"/>
                <w:vertAlign w:val="superscript"/>
              </w:rPr>
              <w:t>(26)</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10,058</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Dunlap</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79,093 </w:t>
            </w:r>
            <w:r>
              <w:rPr>
                <w:rFonts w:ascii="Times New Roman" w:cs="Times New Roman" w:eastAsia="Times New Roman" w:hAnsi="Times New Roman"/>
                <w:sz w:val="24"/>
                <w:szCs w:val="24"/>
                <w:color w:val="auto"/>
                <w:vertAlign w:val="superscript"/>
              </w:rPr>
              <w:t>(27)</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79,093</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Leonard Meloff</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59,451 </w:t>
            </w:r>
            <w:r>
              <w:rPr>
                <w:rFonts w:ascii="Times New Roman" w:cs="Times New Roman" w:eastAsia="Times New Roman" w:hAnsi="Times New Roman"/>
                <w:sz w:val="24"/>
                <w:szCs w:val="24"/>
                <w:color w:val="auto"/>
                <w:vertAlign w:val="superscript"/>
              </w:rPr>
              <w:t>(28)</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59,451</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Stibbe</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205,803 </w:t>
            </w:r>
            <w:r>
              <w:rPr>
                <w:rFonts w:ascii="Times New Roman" w:cs="Times New Roman" w:eastAsia="Times New Roman" w:hAnsi="Times New Roman"/>
                <w:sz w:val="24"/>
                <w:szCs w:val="24"/>
                <w:color w:val="auto"/>
                <w:vertAlign w:val="superscript"/>
              </w:rPr>
              <w:t>(29)</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205,803</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Srikant Nayak</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21,610 </w:t>
            </w:r>
            <w:r>
              <w:rPr>
                <w:rFonts w:ascii="Times New Roman" w:cs="Times New Roman" w:eastAsia="Times New Roman" w:hAnsi="Times New Roman"/>
                <w:sz w:val="24"/>
                <w:szCs w:val="24"/>
                <w:color w:val="auto"/>
                <w:vertAlign w:val="superscript"/>
              </w:rPr>
              <w:t>(30)</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21,610</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Alder</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2,379 </w:t>
            </w:r>
            <w:r>
              <w:rPr>
                <w:rFonts w:ascii="Times New Roman" w:cs="Times New Roman" w:eastAsia="Times New Roman" w:hAnsi="Times New Roman"/>
                <w:sz w:val="24"/>
                <w:szCs w:val="24"/>
                <w:color w:val="auto"/>
                <w:vertAlign w:val="superscript"/>
              </w:rPr>
              <w:t>(31)</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2,379</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1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763"/>
        </w:trPr>
        <w:tc>
          <w:tcPr>
            <w:tcW w:w="19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90" w:name="page91"/>
    <w:bookmarkEnd w:id="90"/>
    <w:tbl>
      <w:tblPr>
        <w:tblLayout w:type="fixed"/>
        <w:tblInd w:w="10" w:type="dxa"/>
        <w:tblCellMar>
          <w:top w:w="0" w:type="dxa"/>
          <w:left w:w="0" w:type="dxa"/>
          <w:bottom w:w="0" w:type="dxa"/>
          <w:right w:w="0" w:type="dxa"/>
        </w:tblCellMar>
      </w:tblPr>
      <w:tr>
        <w:trPr>
          <w:trHeight w:val="255"/>
        </w:trPr>
        <w:tc>
          <w:tcPr>
            <w:tcW w:w="19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Gorstidge Consulting</w:t>
            </w:r>
          </w:p>
        </w:tc>
        <w:tc>
          <w:tcPr>
            <w:tcW w:w="2100" w:type="dxa"/>
            <w:vAlign w:val="bottom"/>
            <w:tcBorders>
              <w:top w:val="single" w:sz="8" w:color="auto"/>
              <w:right w:val="single" w:sz="8" w:color="auto"/>
            </w:tcBorders>
          </w:tcPr>
          <w:p>
            <w:pPr>
              <w:ind w:left="80"/>
              <w:spacing w:after="0" w:line="255" w:lineRule="exact"/>
              <w:rPr>
                <w:sz w:val="20"/>
                <w:szCs w:val="20"/>
                <w:color w:val="auto"/>
              </w:rPr>
            </w:pPr>
            <w:r>
              <w:rPr>
                <w:rFonts w:ascii="Times New Roman" w:cs="Times New Roman" w:eastAsia="Times New Roman" w:hAnsi="Times New Roman"/>
                <w:sz w:val="18"/>
                <w:szCs w:val="18"/>
                <w:color w:val="auto"/>
              </w:rPr>
              <w:t xml:space="preserve">36,278 </w:t>
            </w:r>
            <w:r>
              <w:rPr>
                <w:rFonts w:ascii="Times New Roman" w:cs="Times New Roman" w:eastAsia="Times New Roman" w:hAnsi="Times New Roman"/>
                <w:sz w:val="24"/>
                <w:szCs w:val="24"/>
                <w:color w:val="auto"/>
                <w:vertAlign w:val="superscript"/>
              </w:rPr>
              <w:t>(32)</w:t>
            </w:r>
          </w:p>
        </w:tc>
        <w:tc>
          <w:tcPr>
            <w:tcW w:w="21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36,278</w:t>
            </w:r>
          </w:p>
        </w:tc>
        <w:tc>
          <w:tcPr>
            <w:tcW w:w="2800" w:type="dxa"/>
            <w:vAlign w:val="bottom"/>
            <w:tcBorders>
              <w:top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top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w:t>
            </w:r>
          </w:p>
        </w:tc>
        <w:tc>
          <w:tcPr>
            <w:tcW w:w="21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64"/>
        </w:trPr>
        <w:tc>
          <w:tcPr>
            <w:tcW w:w="1980" w:type="dxa"/>
            <w:vAlign w:val="bottom"/>
            <w:tcBorders>
              <w:left w:val="single" w:sz="8" w:color="auto"/>
              <w:bottom w:val="single" w:sz="8" w:color="auto"/>
              <w:right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r>
      <w:tr>
        <w:trPr>
          <w:trHeight w:val="240"/>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Shashikant Nayak</w:t>
            </w:r>
          </w:p>
        </w:tc>
        <w:tc>
          <w:tcPr>
            <w:tcW w:w="2100" w:type="dxa"/>
            <w:vAlign w:val="bottom"/>
            <w:tcBorders>
              <w:bottom w:val="single" w:sz="8" w:color="auto"/>
              <w:right w:val="single" w:sz="8" w:color="auto"/>
            </w:tcBorders>
          </w:tcPr>
          <w:p>
            <w:pPr>
              <w:ind w:left="80"/>
              <w:spacing w:after="0" w:line="240" w:lineRule="exact"/>
              <w:rPr>
                <w:sz w:val="20"/>
                <w:szCs w:val="20"/>
                <w:color w:val="auto"/>
              </w:rPr>
            </w:pPr>
            <w:r>
              <w:rPr>
                <w:rFonts w:ascii="Times New Roman" w:cs="Times New Roman" w:eastAsia="Times New Roman" w:hAnsi="Times New Roman"/>
                <w:sz w:val="18"/>
                <w:szCs w:val="18"/>
                <w:color w:val="auto"/>
              </w:rPr>
              <w:t xml:space="preserve">10,824 </w:t>
            </w:r>
            <w:r>
              <w:rPr>
                <w:rFonts w:ascii="Times New Roman" w:cs="Times New Roman" w:eastAsia="Times New Roman" w:hAnsi="Times New Roman"/>
                <w:sz w:val="24"/>
                <w:szCs w:val="24"/>
                <w:color w:val="auto"/>
                <w:vertAlign w:val="superscript"/>
              </w:rPr>
              <w:t>(33)</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10,824</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Deepa Shashikant</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4,937 </w:t>
            </w:r>
            <w:r>
              <w:rPr>
                <w:rFonts w:ascii="Times New Roman" w:cs="Times New Roman" w:eastAsia="Times New Roman" w:hAnsi="Times New Roman"/>
                <w:sz w:val="24"/>
                <w:szCs w:val="24"/>
                <w:color w:val="auto"/>
                <w:vertAlign w:val="superscript"/>
              </w:rPr>
              <w:t>(34)</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4,937</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Jacquie Estey</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44,733 </w:t>
            </w:r>
            <w:r>
              <w:rPr>
                <w:rFonts w:ascii="Times New Roman" w:cs="Times New Roman" w:eastAsia="Times New Roman" w:hAnsi="Times New Roman"/>
                <w:sz w:val="24"/>
                <w:szCs w:val="24"/>
                <w:color w:val="auto"/>
                <w:vertAlign w:val="superscript"/>
              </w:rPr>
              <w:t>(35)</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44,733</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Jian Yang</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43,404 </w:t>
            </w:r>
            <w:r>
              <w:rPr>
                <w:rFonts w:ascii="Times New Roman" w:cs="Times New Roman" w:eastAsia="Times New Roman" w:hAnsi="Times New Roman"/>
                <w:sz w:val="24"/>
                <w:szCs w:val="24"/>
                <w:color w:val="auto"/>
                <w:vertAlign w:val="superscript"/>
              </w:rPr>
              <w:t>(36)</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43,404</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Kevin D’Souza</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21,601 </w:t>
            </w:r>
            <w:r>
              <w:rPr>
                <w:rFonts w:ascii="Times New Roman" w:cs="Times New Roman" w:eastAsia="Times New Roman" w:hAnsi="Times New Roman"/>
                <w:sz w:val="24"/>
                <w:szCs w:val="24"/>
                <w:color w:val="auto"/>
                <w:vertAlign w:val="superscript"/>
              </w:rPr>
              <w:t>(37)</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21,601</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Cole</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16,468 </w:t>
            </w:r>
            <w:r>
              <w:rPr>
                <w:rFonts w:ascii="Times New Roman" w:cs="Times New Roman" w:eastAsia="Times New Roman" w:hAnsi="Times New Roman"/>
                <w:sz w:val="24"/>
                <w:szCs w:val="24"/>
                <w:color w:val="auto"/>
                <w:vertAlign w:val="superscript"/>
              </w:rPr>
              <w:t>(38)</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16,468</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PeakSpan Capital</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 xml:space="preserve">2,071,560 </w:t>
            </w:r>
            <w:r>
              <w:rPr>
                <w:rFonts w:ascii="Times New Roman" w:cs="Times New Roman" w:eastAsia="Times New Roman" w:hAnsi="Times New Roman"/>
                <w:sz w:val="24"/>
                <w:szCs w:val="24"/>
                <w:color w:val="auto"/>
                <w:vertAlign w:val="superscript"/>
              </w:rPr>
              <w:t>(39)</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2,071,560</w:t>
            </w:r>
          </w:p>
        </w:tc>
        <w:tc>
          <w:tcPr>
            <w:tcW w:w="2800" w:type="dxa"/>
            <w:vAlign w:val="bottom"/>
            <w:tcBorders>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Growth Partners I, L.P.</w:t>
            </w:r>
          </w:p>
        </w:tc>
        <w:tc>
          <w:tcPr>
            <w:tcW w:w="21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PeakSpan Capital</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 xml:space="preserve">14,253 </w:t>
            </w:r>
            <w:r>
              <w:rPr>
                <w:rFonts w:ascii="Times New Roman" w:cs="Times New Roman" w:eastAsia="Times New Roman" w:hAnsi="Times New Roman"/>
                <w:sz w:val="24"/>
                <w:szCs w:val="24"/>
                <w:color w:val="auto"/>
                <w:vertAlign w:val="superscript"/>
              </w:rPr>
              <w:t>(40)</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14,253</w:t>
            </w:r>
          </w:p>
        </w:tc>
        <w:tc>
          <w:tcPr>
            <w:tcW w:w="2800" w:type="dxa"/>
            <w:vAlign w:val="bottom"/>
            <w:tcBorders>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Growth Partners l-A,</w:t>
            </w:r>
          </w:p>
        </w:tc>
        <w:tc>
          <w:tcPr>
            <w:tcW w:w="21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w:t>
            </w:r>
          </w:p>
        </w:tc>
        <w:tc>
          <w:tcPr>
            <w:tcW w:w="21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Ramona D’Souza</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21,601 </w:t>
            </w:r>
            <w:r>
              <w:rPr>
                <w:rFonts w:ascii="Times New Roman" w:cs="Times New Roman" w:eastAsia="Times New Roman" w:hAnsi="Times New Roman"/>
                <w:sz w:val="24"/>
                <w:szCs w:val="24"/>
                <w:color w:val="auto"/>
                <w:vertAlign w:val="superscript"/>
              </w:rPr>
              <w:t>(41)</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21,601</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Randy Cornelisse</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11,203 </w:t>
            </w:r>
            <w:r>
              <w:rPr>
                <w:rFonts w:ascii="Times New Roman" w:cs="Times New Roman" w:eastAsia="Times New Roman" w:hAnsi="Times New Roman"/>
                <w:sz w:val="24"/>
                <w:szCs w:val="24"/>
                <w:color w:val="auto"/>
                <w:vertAlign w:val="superscript"/>
              </w:rPr>
              <w:t>(42)</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11,203</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Ravish Diwakar</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 xml:space="preserve">15,788 </w:t>
            </w:r>
            <w:r>
              <w:rPr>
                <w:rFonts w:ascii="Times New Roman" w:cs="Times New Roman" w:eastAsia="Times New Roman" w:hAnsi="Times New Roman"/>
                <w:sz w:val="24"/>
                <w:szCs w:val="24"/>
                <w:color w:val="auto"/>
                <w:vertAlign w:val="superscript"/>
              </w:rPr>
              <w:t>(43)</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15,788</w:t>
            </w:r>
          </w:p>
        </w:tc>
        <w:tc>
          <w:tcPr>
            <w:tcW w:w="2800" w:type="dxa"/>
            <w:vAlign w:val="bottom"/>
            <w:tcBorders>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Kamath</w:t>
            </w:r>
          </w:p>
        </w:tc>
        <w:tc>
          <w:tcPr>
            <w:tcW w:w="21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Srinivasan Kesavan</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10,769 </w:t>
            </w:r>
            <w:r>
              <w:rPr>
                <w:rFonts w:ascii="Times New Roman" w:cs="Times New Roman" w:eastAsia="Times New Roman" w:hAnsi="Times New Roman"/>
                <w:sz w:val="24"/>
                <w:szCs w:val="24"/>
                <w:color w:val="auto"/>
                <w:vertAlign w:val="superscript"/>
              </w:rPr>
              <w:t>(44)</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10,769</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William J Halpenny</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51,593 </w:t>
            </w:r>
            <w:r>
              <w:rPr>
                <w:rFonts w:ascii="Times New Roman" w:cs="Times New Roman" w:eastAsia="Times New Roman" w:hAnsi="Times New Roman"/>
                <w:sz w:val="24"/>
                <w:szCs w:val="24"/>
                <w:color w:val="auto"/>
                <w:vertAlign w:val="superscript"/>
              </w:rPr>
              <w:t>(45)</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51,593</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CHC Direct Investment</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 xml:space="preserve">597,319 </w:t>
            </w:r>
            <w:r>
              <w:rPr>
                <w:rFonts w:ascii="Times New Roman" w:cs="Times New Roman" w:eastAsia="Times New Roman" w:hAnsi="Times New Roman"/>
                <w:sz w:val="24"/>
                <w:szCs w:val="24"/>
                <w:color w:val="auto"/>
                <w:vertAlign w:val="superscript"/>
              </w:rPr>
              <w:t>(46)</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597,319</w:t>
            </w:r>
          </w:p>
        </w:tc>
        <w:tc>
          <w:tcPr>
            <w:tcW w:w="2800" w:type="dxa"/>
            <w:vAlign w:val="bottom"/>
            <w:tcBorders>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I, L.P.</w:t>
            </w:r>
          </w:p>
        </w:tc>
        <w:tc>
          <w:tcPr>
            <w:tcW w:w="21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117" w:lineRule="exact"/>
        <w:rPr>
          <w:sz w:val="20"/>
          <w:szCs w:val="20"/>
          <w:color w:val="auto"/>
        </w:rPr>
      </w:pPr>
    </w:p>
    <w:p>
      <w:pPr>
        <w:ind w:left="140" w:hanging="132"/>
        <w:spacing w:after="0"/>
        <w:tabs>
          <w:tab w:leader="none" w:pos="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ind w:left="1020" w:right="260" w:hanging="503"/>
        <w:spacing w:after="0" w:line="261"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Ordinary Shares to be beneficially owned after completion of this offering is calculated on the basis of 243,671,374 Ordinary Shares outstanding, which includes the issuance of all Ordinary Shares issuable upon conversion of the notes, the exercise of all currently outstanding Warrants, the sale of all securities offered hereby by that particular Selling Holder and does not assume the exercise, conversion or sale, as applicable, by any other Selling Holder.</w:t>
      </w:r>
    </w:p>
    <w:p>
      <w:pPr>
        <w:spacing w:after="0" w:line="179"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48,481,428 Ordinary Shares; and (ii) 250,000 Ordinary Shares underlying the Private Warrants held by DBLP Sea Cow Ltd (“DBLP”). DBLP is wholly legally owned by Daniel Wagner and is wholly beneficially owned by John Wagner. Messrs. Daniel and John Wagner are each directors of DBLP and may be deemed to share voting and investment power over the shares held by DBLP. Messrs. Daniel and John Wagner are each director of Rezolve.</w:t>
      </w:r>
    </w:p>
    <w:p>
      <w:pPr>
        <w:spacing w:after="0" w:line="179"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up to 819,737 Ordinary Shares issued to DBLP as consideration for the BlueDot Acquisition; and (ii) up to 800,000 Ordinary Shares issuable to DBLP in connection pursuant to the DBLP Settlement Agreement.</w:t>
      </w:r>
    </w:p>
    <w:p>
      <w:pPr>
        <w:spacing w:after="0" w:line="161"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120,000 Ordinary Shares issued to Radio Group Holding GmbH in connection with the termination and settlement of an agreement.</w:t>
      </w:r>
    </w:p>
    <w:p>
      <w:pPr>
        <w:spacing w:after="0" w:line="161"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10,000 Ordinary Shares directly held by Roth Capital Partners, LLC (“Roth Capital”). The business address of Roth Capital is 888 San Clemente Drive, Suite 400, Newport Beach, CA 92660.</w:t>
      </w:r>
    </w:p>
    <w:p>
      <w:pPr>
        <w:spacing w:after="0" w:line="161"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to 89,290 Ordinary Shares issuable to Roth Capital as transaction-based compensation for the performance of advisory services rendered to the Company in connection with the Business Combination.</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to 180,000 Ordinary Shares issued to Stephan Schwenk in connection with the termination and settlement of an agreement.</w:t>
      </w:r>
    </w:p>
    <w:p>
      <w:pPr>
        <w:spacing w:after="0" w:line="225"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790,455 Ordinary Shares directly held and (ii) up to 1,941,111 Ordinary Shares issued to Tanist Group Limited as consideration for the BlueDot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-3871595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91" w:name="page92"/>
    <w:bookmarkEnd w:id="91"/>
    <w:p>
      <w:pPr>
        <w:ind w:left="503" w:right="60" w:hanging="503"/>
        <w:spacing w:after="0" w:line="282" w:lineRule="auto"/>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to 12,300,000 Ordinary Shares issuable to WAB in connection with the WAB Subscription Letter. The business address of WAB is One East Washington Street, Suite 1400, Phoenix, Arizona 85004.</w:t>
      </w:r>
    </w:p>
    <w:p>
      <w:pPr>
        <w:spacing w:after="0" w:line="16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Warren is 6545 Helgesen Road, Sooke, BC V9Z OV7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Cheung-Bret is 219 Roslin Avenue, Toronto, ON M4N 1Z5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Ms. Gossage is 59 Wanita Road, Toronto, ON M1C 1V3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Gossage is 59 Wanita Road, Toronto, ON M1C 1V3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Ms. Bundy is 1200 Barton Creek Blvd. #54, Austin TX 78735 United States.</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Ms. Young is 39 Albany Ave, Toronto, ON M5R 3C2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Grange is 14139 Creditview Road, Cheltenham, ON L7C 3G5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Devlin is 338 Kennedy Ave, Toronto, ON M6P 3C3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Long is 2912 West Broadway, Suite 146, Vancouver, BC V6K 0E9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Ehgoetz is 125 West Ridge Drive, Thornbury, ON N0H 2P0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Estate of Gerd Opderbeck is 16 Bridle Lane, Newtown Square, PA 19073 United States.</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 Belcourt Consulting Group Inc. is 087238, 7th Sideroad, Thornbury ON, Box 83 NOH 2PO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ITF KKLM Investments CO. Ltd. is 36 Forest Hill Road, Toronto, Ontario M4V 2L3.</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2432332 Ontario Inc. is 348024 15 Sideroad, Mono, Ontario L9W 6S6,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Opderbeck is 363 Good Hope Rd, Bluffton, SC 29909 United States.</w:t>
      </w:r>
    </w:p>
    <w:p>
      <w:pPr>
        <w:spacing w:after="0" w:line="23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Austin Ventures X, L.P. is 1700 West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Street, Austin, TX 78703.</w:t>
      </w:r>
    </w:p>
    <w:p>
      <w:pPr>
        <w:spacing w:after="0" w:line="17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Mircevski is 656 Blair Creek Drive, Kitchener, ON N2P 0E7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Dunlap is 16630 Dufferin Street, King, ON L7B1K5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Meloff is 10 Fairland Road, Toronto, ON M4G 2T8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Stibbe is 36 Redwood Avenue, Toronto, ON M4L 2S6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Ms. Srikant Nayak is 53 Schooner Drive, Brampton, ON L7A 3H6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Alder is 5708 Loyalist Street, Ottawa, ON K0A 2W0 Canada.</w:t>
      </w:r>
    </w:p>
    <w:p>
      <w:pPr>
        <w:spacing w:after="0" w:line="225"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Roland Gossage is the main owner and director of Gorstidge Consulting Inc. and is an employee of GroupBy. The business address of Gorstidge Consulting Inc. is 59 Wanita Road, Toronto, ON M1c 1V3.</w:t>
      </w:r>
    </w:p>
    <w:p>
      <w:pPr>
        <w:spacing w:after="0" w:line="16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Shashikant Nayak is 39 Fairhill Ave, Brampton, ON L7A 2E7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Ms. Shashikant is 39 Fairhill Ave, Brampton, ON L7A 2E7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Ms. Estey is 159 Rosedale Hts Dr, Toronto, ON M4T 1C7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Yang is 60 Wilson Way, SPC 112, Milpitas, CA 95035 USA.</w:t>
      </w:r>
    </w:p>
    <w:p>
      <w:pPr>
        <w:spacing w:after="0" w:line="333" w:lineRule="exact"/>
        <w:rPr>
          <w:sz w:val="20"/>
          <w:szCs w:val="20"/>
          <w:color w:val="auto"/>
        </w:rPr>
      </w:pPr>
    </w:p>
    <w:p>
      <w:pPr>
        <w:jc w:val="center"/>
        <w:ind w:right="257"/>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837" w:top="1012" w:right="579" w:bottom="1440" w:gutter="0" w:footer="0" w:header="0"/>
        </w:sectPr>
      </w:pPr>
    </w:p>
    <w:bookmarkStart w:id="92" w:name="page93"/>
    <w:bookmarkEnd w:id="92"/>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D’Souza is 18 Dalmeny Drive, Brampton, ON L6X 0X3 Canada.</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Cole is 43 Norden Crescent, Toronto, ON M3B 1B7 Canada.</w:t>
      </w:r>
    </w:p>
    <w:p>
      <w:pPr>
        <w:spacing w:after="0" w:line="225" w:lineRule="exact"/>
        <w:rPr>
          <w:rFonts w:ascii="Times New Roman" w:cs="Times New Roman" w:eastAsia="Times New Roman" w:hAnsi="Times New Roman"/>
          <w:sz w:val="18"/>
          <w:szCs w:val="18"/>
          <w:color w:val="auto"/>
        </w:rPr>
      </w:pPr>
    </w:p>
    <w:p>
      <w:pPr>
        <w:ind w:left="1020" w:right="100" w:hanging="503"/>
        <w:spacing w:after="0" w:line="241"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PeakSpan Capital, LLC is the general partner of PeakSpan Capital Growth Partners I, L.P., and Mr. Phil Dur is the majority owner of PeakSpan Capital, LLC. The business address of PeakSpan Capital Growth Partners I, L.P. is 192 Lexington Avenue,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10016.</w:t>
      </w:r>
    </w:p>
    <w:p>
      <w:pPr>
        <w:spacing w:after="0" w:line="198" w:lineRule="exact"/>
        <w:rPr>
          <w:rFonts w:ascii="Times New Roman" w:cs="Times New Roman" w:eastAsia="Times New Roman" w:hAnsi="Times New Roman"/>
          <w:sz w:val="18"/>
          <w:szCs w:val="18"/>
          <w:color w:val="auto"/>
        </w:rPr>
      </w:pPr>
    </w:p>
    <w:p>
      <w:pPr>
        <w:jc w:val="both"/>
        <w:ind w:left="1020" w:right="380" w:hanging="503"/>
        <w:spacing w:after="0" w:line="241"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PeakSpan Capital, LLC is the general partner of PeakSpan Capital Growth Partners l-A, L.P., and Mr. Phil Dur is the majority owner of PeakSpan Capital, LLC. The business address of PeakSpan Capital Growth Partners l-A, L.P. is 192 Lexington Avenue,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10016.</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Ms. D’Souza is 18 Dalmeny Drive, Brampton, ON L6X 0X3 Canada.</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Cornelisse is 42 Stockdale Road, Needham, MA 02492 United States.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Kamath is 797 Spinning Wheel Crescent, Mississauga, ON L5W 1W4 Canada.</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Kesavan is 2240 Foxfield Rd, Oakville, ON L6M 4C5 Canada.</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Halpenny is 3 Relmar Gardens, Toronto, ON M5P 1S1 Canada.</w:t>
      </w:r>
    </w:p>
    <w:p>
      <w:pPr>
        <w:spacing w:after="0" w:line="225"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 Lawn Direct Investment Fund GP, LLC is the managing general partner of CHC Direct Investment Fund I, L.P. The business address of CHC Direct Investment Fund I, L.P. is 3953 Maple Avenue, Suite 250, Dallas TX 75219.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 ARTICLES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7" w:lineRule="exact"/>
        <w:rPr>
          <w:sz w:val="20"/>
          <w:szCs w:val="20"/>
          <w:color w:val="auto"/>
        </w:rPr>
      </w:pPr>
    </w:p>
    <w:p>
      <w:pPr>
        <w:ind w:left="760" w:hanging="378"/>
        <w:spacing w:after="0"/>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 w:lineRule="exact"/>
        <w:rPr>
          <w:rFonts w:ascii="Times New Roman" w:cs="Times New Roman" w:eastAsia="Times New Roman" w:hAnsi="Times New Roman"/>
          <w:sz w:val="22"/>
          <w:szCs w:val="22"/>
          <w:color w:val="auto"/>
        </w:rPr>
      </w:pPr>
    </w:p>
    <w:p>
      <w:pPr>
        <w:jc w:val="both"/>
        <w:ind w:left="760" w:hanging="378"/>
        <w:spacing w:after="0" w:line="241"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issued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3" w:name="page94"/>
    <w:bookmarkEnd w:id="93"/>
    <w:p>
      <w:pPr>
        <w:ind w:left="760" w:hanging="378"/>
        <w:spacing w:after="0" w:line="234"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20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7" w:lineRule="exact"/>
        <w:rPr>
          <w:sz w:val="20"/>
          <w:szCs w:val="20"/>
          <w:color w:val="auto"/>
        </w:rPr>
      </w:pPr>
    </w:p>
    <w:p>
      <w:pPr>
        <w:ind w:left="760" w:hanging="378"/>
        <w:spacing w:after="0"/>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4" w:name="page95"/>
    <w:bookmarkEnd w:id="94"/>
    <w:p>
      <w:pPr>
        <w:jc w:val="both"/>
        <w:spacing w:after="0" w:line="266" w:lineRule="auto"/>
        <w:rPr>
          <w:sz w:val="20"/>
          <w:szCs w:val="20"/>
          <w:color w:val="auto"/>
        </w:rPr>
      </w:pPr>
      <w:r>
        <w:rPr>
          <w:rFonts w:ascii="Times New Roman" w:cs="Times New Roman" w:eastAsia="Times New Roman" w:hAnsi="Times New Roman"/>
          <w:sz w:val="18"/>
          <w:szCs w:val="18"/>
          <w:color w:val="auto"/>
        </w:rPr>
        <w:t>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76"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jc w:val="both"/>
        <w:ind w:firstLine="57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 (subject to any restrictions under the UK Companies Act):</w:t>
      </w:r>
    </w:p>
    <w:p>
      <w:pPr>
        <w:ind w:left="760" w:hanging="378"/>
        <w:spacing w:after="0" w:line="234"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whole and not in part;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 a price of $0.01 per warrant;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2"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9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8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of 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5" w:name="page96"/>
    <w:bookmarkEnd w:id="95"/>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aggregate number of votes attaching to all the issued shares held by Daniel Wagner as the “Rezolve Founder” or in which he is interested shall be equal to the higher of:</w:t>
      </w:r>
    </w:p>
    <w:p>
      <w:pPr>
        <w:spacing w:after="0"/>
        <w:rPr>
          <w:sz w:val="20"/>
          <w:szCs w:val="20"/>
          <w:color w:val="auto"/>
        </w:rPr>
      </w:pPr>
      <w:r>
        <w:rPr>
          <w:rFonts w:ascii="Times New Roman" w:cs="Times New Roman" w:eastAsia="Times New Roman" w:hAnsi="Times New Roman"/>
          <w:sz w:val="18"/>
          <w:szCs w:val="18"/>
          <w:color w:val="auto"/>
        </w:rPr>
        <w:t>(i)75% of the votes attaching to all shares in the capital of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(ii)the total number of votes that would otherwise have been conferred on Daniel Wagner.</w:t>
      </w:r>
    </w:p>
    <w:p>
      <w:pPr>
        <w:spacing w:after="0" w:line="207"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6" w:name="page97"/>
    <w:bookmarkEnd w:id="96"/>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7" w:name="page98"/>
    <w:bookmarkEnd w:id="97"/>
    <w:p>
      <w:pPr>
        <w:ind w:left="580"/>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8" w:name="page99"/>
    <w:bookmarkEnd w:id="98"/>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83"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9" w:name="page100"/>
    <w:bookmarkEnd w:id="99"/>
    <w:p>
      <w:pPr>
        <w:jc w:val="both"/>
        <w:spacing w:after="0" w:line="282" w:lineRule="auto"/>
        <w:rPr>
          <w:sz w:val="20"/>
          <w:szCs w:val="20"/>
          <w:color w:val="auto"/>
        </w:rPr>
      </w:pPr>
      <w:r>
        <w:rPr>
          <w:rFonts w:ascii="Times New Roman" w:cs="Times New Roman" w:eastAsia="Times New Roman" w:hAnsi="Times New Roman"/>
          <w:sz w:val="18"/>
          <w:szCs w:val="18"/>
          <w:color w:val="auto"/>
        </w:rPr>
        <w:t>their voting or would have been agreed to without their voting. Such authorization is subject to any limitations imposed by the directors and is liable to be varied or revoked at any time.</w:t>
      </w:r>
    </w:p>
    <w:p>
      <w:pPr>
        <w:spacing w:after="0" w:line="16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36" w:lineRule="exact"/>
        <w:rPr>
          <w:sz w:val="20"/>
          <w:szCs w:val="20"/>
          <w:color w:val="auto"/>
        </w:rPr>
      </w:pPr>
    </w:p>
    <w:p>
      <w:pPr>
        <w:ind w:left="760" w:hanging="378"/>
        <w:spacing w:after="0" w:line="234"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10" w:lineRule="exact"/>
        <w:rPr>
          <w:rFonts w:ascii="Times New Roman" w:cs="Times New Roman" w:eastAsia="Times New Roman" w:hAnsi="Times New Roman"/>
          <w:sz w:val="22"/>
          <w:szCs w:val="22"/>
          <w:color w:val="auto"/>
        </w:rPr>
      </w:pPr>
    </w:p>
    <w:p>
      <w:pPr>
        <w:ind w:left="760" w:right="20" w:hanging="378"/>
        <w:spacing w:after="0" w:line="234"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198"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12" w:lineRule="exact"/>
        <w:rPr>
          <w:sz w:val="20"/>
          <w:szCs w:val="20"/>
          <w:color w:val="auto"/>
        </w:rPr>
      </w:pPr>
    </w:p>
    <w:p>
      <w:pPr>
        <w:ind w:left="760" w:hanging="378"/>
        <w:spacing w:after="0" w:line="234"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43"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1" w:name="page102"/>
    <w:bookmarkEnd w:id="101"/>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ind w:left="760" w:hanging="378"/>
        <w:spacing w:after="0" w:line="235"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198"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1" w:lineRule="exact"/>
        <w:rPr>
          <w:sz w:val="20"/>
          <w:szCs w:val="20"/>
          <w:color w:val="auto"/>
        </w:rPr>
      </w:pPr>
    </w:p>
    <w:p>
      <w:pPr>
        <w:ind w:left="760" w:hanging="378"/>
        <w:spacing w:after="0" w:line="250"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2" w:name="page103"/>
    <w:bookmarkEnd w:id="102"/>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900" w:firstLine="576"/>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UK General Data Protection Regulation and the Data Protection Act 2018 (“</w:t>
      </w:r>
      <w:r>
        <w:rPr>
          <w:rFonts w:ascii="Times New Roman" w:cs="Times New Roman" w:eastAsia="Times New Roman" w:hAnsi="Times New Roman"/>
          <w:sz w:val="18"/>
          <w:szCs w:val="18"/>
          <w:b w:val="1"/>
          <w:bCs w:val="1"/>
          <w:i w:val="1"/>
          <w:iCs w:val="1"/>
          <w:color w:val="auto"/>
        </w:rPr>
        <w:t>UK 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7" w:lineRule="exact"/>
        <w:rPr>
          <w:sz w:val="20"/>
          <w:szCs w:val="20"/>
          <w:color w:val="auto"/>
        </w:rPr>
      </w:pPr>
    </w:p>
    <w:p>
      <w:pPr>
        <w:ind w:left="760" w:hanging="378"/>
        <w:spacing w:after="0"/>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2" w:lineRule="exact"/>
        <w:rPr>
          <w:rFonts w:ascii="Times New Roman" w:cs="Times New Roman" w:eastAsia="Times New Roman" w:hAnsi="Times New Roman"/>
          <w:sz w:val="22"/>
          <w:szCs w:val="22"/>
          <w:color w:val="auto"/>
        </w:rPr>
      </w:pPr>
    </w:p>
    <w:p>
      <w:pPr>
        <w:ind w:left="760" w:right="20" w:hanging="378"/>
        <w:spacing w:after="0" w:line="233"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3" w:name="page104"/>
    <w:bookmarkEnd w:id="103"/>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4" w:name="page105"/>
    <w:bookmarkEnd w:id="104"/>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 UK.</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Ordinary Shares.</w:t>
      </w:r>
    </w:p>
    <w:p>
      <w:pPr>
        <w:spacing w:after="0" w:line="221"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8"/>
          <w:szCs w:val="18"/>
          <w:color w:val="auto"/>
        </w:rPr>
        <w:t>An agreement to transfer Ordinary Shares or Warrants other than to a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will normally give rise to a charge to UK SDRT at the rate of 0.5% of the amount or value of the consideration payable for the transfer, subject to the application</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jc w:val="both"/>
        <w:spacing w:after="0" w:line="258" w:lineRule="auto"/>
        <w:rPr>
          <w:sz w:val="20"/>
          <w:szCs w:val="20"/>
          <w:color w:val="auto"/>
        </w:rPr>
      </w:pPr>
      <w:r>
        <w:rPr>
          <w:rFonts w:ascii="Times New Roman" w:cs="Times New Roman" w:eastAsia="Times New Roman" w:hAnsi="Times New Roman"/>
          <w:sz w:val="18"/>
          <w:szCs w:val="18"/>
          <w:color w:val="auto"/>
        </w:rPr>
        <w:t>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83"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ind w:left="760" w:hanging="378"/>
        <w:spacing w:after="0" w:line="236"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brokers, dealers and other investors that do not own their Ordinary Shares or Warrants as capital assets;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own (directly, indirectly, or by attribution) 5% or more (by vote or value) of the Armada Common Stock or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holding Ordinary Shares or Warrants as part of a straddle, hedging or conversion transaction, constructive sale, or other arrangement involving more than one position;</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required to accelerate the recognition of any item of gross income with respect to Ordinary Shares or Warrants as a result of such income being recognized on an applicable financial statement;</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whose functional currency is not the U.S. dollar;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received Ordinary Shares or Warrants as compensation for services; or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194"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w:t>
      </w:r>
      <w:r>
        <w:rPr>
          <w:rFonts w:ascii="Times New Roman" w:cs="Times New Roman" w:eastAsia="Times New Roman" w:hAnsi="Times New Roman"/>
          <w:sz w:val="18"/>
          <w:szCs w:val="18"/>
          <w:b w:val="1"/>
          <w:bCs w:val="1"/>
          <w:i w:val="1"/>
          <w:iCs w:val="1"/>
          <w:color w:val="auto"/>
        </w:rPr>
        <w:t>Treasury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published rulings by the IRS and court decisions, all as of the date hereof. These laws are subject to change, possibly on a retroactive basis.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 IRS will not take positions concerning the tax consequences of the Business Combination that are different from those discussed below, or that any such different positions would not be sustained by a court.</w:t>
      </w:r>
    </w:p>
    <w:p>
      <w:pPr>
        <w:spacing w:after="0" w:line="189"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U.S. holder means a beneficial owner of Ordinary Shares or Warrants that is, for U.S. federal income tax purposes:</w:t>
      </w:r>
    </w:p>
    <w:p>
      <w:pPr>
        <w:ind w:left="760" w:hanging="378"/>
        <w:spacing w:after="0" w:line="233" w:lineRule="auto"/>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ind w:left="760" w:hanging="378"/>
        <w:spacing w:after="0" w:line="230" w:lineRule="auto"/>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6" w:name="page107"/>
    <w:bookmarkEnd w:id="106"/>
    <w:p>
      <w:pPr>
        <w:jc w:val="both"/>
        <w:ind w:left="760" w:hanging="378"/>
        <w:spacing w:after="0" w:line="239" w:lineRule="auto"/>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20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Holders who are not U.S. holders should consult with their own tax advisors regarding the U.S. federal income tax consequences of holding Rezolve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11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the gross amount of any distribution on Ordinary Shares that is made out of Rezolve’s current or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183" w:lineRule="exact"/>
        <w:rPr>
          <w:sz w:val="20"/>
          <w:szCs w:val="20"/>
          <w:color w:val="auto"/>
        </w:rPr>
      </w:pPr>
    </w:p>
    <w:p>
      <w:pPr>
        <w:jc w:val="both"/>
        <w:ind w:firstLine="576"/>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dividends received by non-corporate U.S. holders (including individuals) from a “qualified foreign corporation”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8"/>
          <w:szCs w:val="18"/>
          <w:i w:val="1"/>
          <w:iCs w:val="1"/>
          <w:color w:val="auto"/>
        </w:rPr>
        <w:t>Material Tax Considerations - Material U.S. Federal Income Tax Considerations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 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Ordinary Shares and Warrants</w:t>
      </w:r>
    </w:p>
    <w:p>
      <w:pPr>
        <w:spacing w:after="0" w:line="11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a U.S. holder generally will recognize gain or loss on any sale, exchange, redemption or other taxable disposition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7" w:name="page108"/>
    <w:bookmarkEnd w:id="107"/>
    <w:p>
      <w:pPr>
        <w:jc w:val="both"/>
        <w:spacing w:after="0" w:line="282" w:lineRule="auto"/>
        <w:rPr>
          <w:sz w:val="20"/>
          <w:szCs w:val="20"/>
          <w:color w:val="auto"/>
        </w:rPr>
      </w:pPr>
      <w:r>
        <w:rPr>
          <w:rFonts w:ascii="Times New Roman" w:cs="Times New Roman" w:eastAsia="Times New Roman" w:hAnsi="Times New Roman"/>
          <w:sz w:val="18"/>
          <w:szCs w:val="18"/>
          <w:color w:val="auto"/>
        </w:rPr>
        <w:t>subject to limitations. Any gain or loss recognized by a U.S. holder on the sale or exchange of Ordinary Shares or Warrants generally will be treated as U.S. source gain or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a Warrant</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Ordinary Shares for which the Warrant may be exercised or to the exercise price of the Warrant in certain events, as discussed in the section entitled “</w:t>
      </w:r>
      <w:r>
        <w:rPr>
          <w:rFonts w:ascii="Times New Roman" w:cs="Times New Roman" w:eastAsia="Times New Roman" w:hAnsi="Times New Roman"/>
          <w:sz w:val="18"/>
          <w:szCs w:val="18"/>
          <w:i w:val="1"/>
          <w:iCs w:val="1"/>
          <w:color w:val="auto"/>
        </w:rPr>
        <w:t>Description of Rezolve Securities</w:t>
      </w:r>
      <w:r>
        <w:rPr>
          <w:rFonts w:ascii="Times New Roman" w:cs="Times New Roman" w:eastAsia="Times New Roman" w:hAnsi="Times New Roman"/>
          <w:sz w:val="18"/>
          <w:szCs w:val="18"/>
          <w:color w:val="auto"/>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cs="Times New Roman" w:eastAsia="Times New Roman" w:hAnsi="Times New Roman"/>
          <w:sz w:val="18"/>
          <w:szCs w:val="18"/>
          <w:i w:val="1"/>
          <w:iCs w:val="1"/>
          <w:color w:val="auto"/>
        </w:rPr>
        <w:t>Material Tax Considerations -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 Distributions on Ordinary Shares.</w:t>
      </w:r>
      <w:r>
        <w:rPr>
          <w:rFonts w:ascii="Times New Roman" w:cs="Times New Roman" w:eastAsia="Times New Roman" w:hAnsi="Times New Roman"/>
          <w:sz w:val="18"/>
          <w:szCs w:val="18"/>
          <w:color w:val="auto"/>
        </w:rPr>
        <w:t>” Such constructive distribution would be subject to tax as described under that section in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treatment of U.S. holders of the Ordinary Shares could be materially different from that described above if Rezolve is treated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2"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 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88"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w:t>
      </w:r>
    </w:p>
    <w:p>
      <w:pPr>
        <w:jc w:val="both"/>
        <w:ind w:firstLine="8"/>
        <w:spacing w:after="0" w:line="255" w:lineRule="auto"/>
        <w:tabs>
          <w:tab w:leader="none" w:pos="31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8" w:name="page109"/>
    <w:bookmarkEnd w:id="108"/>
    <w:p>
      <w:pPr>
        <w:jc w:val="both"/>
        <w:spacing w:after="0" w:line="282" w:lineRule="auto"/>
        <w:rPr>
          <w:sz w:val="20"/>
          <w:szCs w:val="20"/>
          <w:color w:val="auto"/>
        </w:rPr>
      </w:pPr>
      <w:r>
        <w:rPr>
          <w:rFonts w:ascii="Times New Roman" w:cs="Times New Roman" w:eastAsia="Times New Roman" w:hAnsi="Times New Roman"/>
          <w:sz w:val="18"/>
          <w:szCs w:val="18"/>
          <w:color w:val="auto"/>
        </w:rPr>
        <w:t>However, dividends paid by a PFIC are generally not eligible for the lower rates of taxation applicable to qualified dividend income (“QDI”) under any of the foregoing regimes.</w:t>
      </w:r>
    </w:p>
    <w:p>
      <w:pPr>
        <w:spacing w:after="0" w:line="160"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“excess distribution regime” under the PFIC rules with respect to (i) any gain realized on a sale or other 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ind w:left="760" w:hanging="378"/>
        <w:spacing w:after="0" w:line="235"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98"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174" w:lineRule="exact"/>
        <w:rPr>
          <w:sz w:val="20"/>
          <w:szCs w:val="20"/>
          <w:color w:val="auto"/>
        </w:rPr>
      </w:pPr>
    </w:p>
    <w:p>
      <w:pPr>
        <w:jc w:val="both"/>
        <w:ind w:firstLine="57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spacing w:after="0" w:line="19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warrants) by making and maintaining a timely and valid qualified electing fund (“QEF”)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83"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Ordinary Shares will be required to file an annual report on IRS Form 8621 containing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9" w:name="page110"/>
    <w:bookmarkEnd w:id="109"/>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89"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8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0" w:name="page111"/>
    <w:bookmarkEnd w:id="110"/>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registering the resale, from time to time, by the Selling Holders or their permitted transferees of up to 20,249,283 Ordinary Shares, consisting of (i) up to 2,760,848 Ordinary Shares issued in connection with the Bluedot Acquisition; (ii) up to 3,999,145 Ordinary Shares issued in connection with the GroupBy Acquisition (iii) up to 12,300,000 Ordinary Shares issuable to WAB in connection with the WAB Subscription Letter; (iv) up to 89,290 Ordinary Shares issuable to Roth Capital Partners, LLC as transaction-based compensation for the performance of advisory services rendered to the Company in connection with the Business Combination; (v) up to 300,000 Ordinary Shares issued to Radio Group Holding GmbH and certain other holders in connection with the settlement of an agreement; and (vi) up to 800,000 Ordinary Shares issuable to DBLP in connection with the DBLP Settlement Agreement.</w:t>
      </w:r>
    </w:p>
    <w:p>
      <w:pPr>
        <w:spacing w:after="0" w:line="189"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Ordinary Shares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207" w:lineRule="exact"/>
        <w:rPr>
          <w:sz w:val="20"/>
          <w:szCs w:val="20"/>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in the over-the-counter market or on any other national securities exchange on which our securities are listed or traded;</w:t>
      </w:r>
    </w:p>
    <w:p>
      <w:pPr>
        <w:spacing w:after="0" w:line="252"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in privately negotiated transactions;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w:t>
      </w:r>
    </w:p>
    <w:p>
      <w:pPr>
        <w:spacing w:after="0" w:line="252"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a broker-dealer will attempt to sell the offered securities as agent but may purchase and resell a portion of the block as principal to facilitate the transaction;</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252"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to sell a specified number of the securities at a stipulated price per share or warrant;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or through market makers or into an existing market for the securities; or</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1" w:name="page112"/>
    <w:bookmarkEnd w:id="111"/>
    <w:p>
      <w:pPr>
        <w:ind w:right="20" w:firstLine="576"/>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176"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180"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87"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87"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or, if necessary, a post-effective amendment to the registration statement that includes this prospectus,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12" w:name="page113"/>
    <w:bookmarkEnd w:id="112"/>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2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9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198"/>
        </w:trPr>
        <w:tc>
          <w:tcPr>
            <w:tcW w:w="9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140" w:hanging="132"/>
        <w:spacing w:after="0"/>
        <w:tabs>
          <w:tab w:leader="none" w:pos="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80" w:lineRule="exact"/>
        <w:rPr>
          <w:rFonts w:ascii="Times New Roman" w:cs="Times New Roman" w:eastAsia="Times New Roman" w:hAnsi="Times New Roman"/>
          <w:sz w:val="18"/>
          <w:szCs w:val="18"/>
          <w:color w:val="auto"/>
        </w:rPr>
      </w:pPr>
    </w:p>
    <w:p>
      <w:pPr>
        <w:ind w:left="4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DLA Piper LLP, New York, New York, and Taylor Wessing LLP, have passed upon the validity of the securities of Rezolve AI plc (formerly Rezolve AI Limited) offered by this prospectus and certain other legal matters related to this prospectus.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0" w:firstLine="576"/>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included in this prospectus and elsewhere in the registration statement have been audited by MNP, LLP an independent registered public accounting firm, as set forth in their report thereon, and are included in reliance on such report given upon the authority of such firm as experts in accounting and auditing.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189"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gridSpan w:val="1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589"/>
        </w:trPr>
        <w:tc>
          <w:tcPr>
            <w:tcW w:w="5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firm ID 606)</w:t>
            </w:r>
          </w:p>
        </w:tc>
        <w:tc>
          <w:tcPr>
            <w:tcW w:w="3440" w:type="dxa"/>
            <w:vAlign w:val="bottom"/>
            <w:gridSpan w:val="5"/>
          </w:tcPr>
          <w:p>
            <w:pPr>
              <w:spacing w:after="0"/>
              <w:rPr>
                <w:sz w:val="24"/>
                <w:szCs w:val="24"/>
                <w:color w:val="auto"/>
              </w:rPr>
            </w:pP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46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20" w:type="dxa"/>
            <w:vAlign w:val="bottom"/>
            <w:tcBorders>
              <w:bottom w:val="single" w:sz="8" w:color="0000EE"/>
            </w:tcBorders>
          </w:tcPr>
          <w:p>
            <w:pPr>
              <w:spacing w:after="0"/>
              <w:rPr>
                <w:sz w:val="17"/>
                <w:szCs w:val="17"/>
                <w:color w:val="auto"/>
              </w:rPr>
            </w:pPr>
          </w:p>
        </w:tc>
        <w:tc>
          <w:tcPr>
            <w:tcW w:w="4660" w:type="dxa"/>
            <w:vAlign w:val="bottom"/>
            <w:gridSpan w:val="8"/>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Comprehensive Loss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0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Deficit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December 31, 2023</w:t>
            </w:r>
          </w:p>
        </w:tc>
        <w:tc>
          <w:tcPr>
            <w:tcW w:w="1740" w:type="dxa"/>
            <w:vAlign w:val="bottom"/>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862"/>
        </w:trPr>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8"/>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GROUPBY INC.</w:t>
            </w:r>
          </w:p>
        </w:tc>
        <w:tc>
          <w:tcPr>
            <w:tcW w:w="190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12"/>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Combined Consolidated Financial Statements</w:t>
            </w:r>
          </w:p>
        </w:tc>
        <w:tc>
          <w:tcPr>
            <w:tcW w:w="1900" w:type="dxa"/>
            <w:vAlign w:val="bottom"/>
          </w:tcPr>
          <w:p>
            <w:pPr>
              <w:spacing w:after="0"/>
              <w:rPr>
                <w:sz w:val="19"/>
                <w:szCs w:val="19"/>
                <w:color w:val="auto"/>
              </w:rPr>
            </w:pPr>
          </w:p>
        </w:tc>
      </w:tr>
      <w:tr>
        <w:trPr>
          <w:trHeight w:val="234"/>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gridSpan w:val="1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391"/>
        </w:trPr>
        <w:tc>
          <w:tcPr>
            <w:tcW w:w="2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Independent Auditor's Report</w:t>
            </w:r>
          </w:p>
        </w:tc>
        <w:tc>
          <w:tcPr>
            <w:tcW w:w="20" w:type="dxa"/>
            <w:vAlign w:val="bottom"/>
            <w:tcBorders>
              <w:bottom w:val="single" w:sz="8" w:color="0000EE"/>
            </w:tcBorders>
          </w:tcPr>
          <w:p>
            <w:pPr>
              <w:spacing w:after="0"/>
              <w:rPr>
                <w:sz w:val="24"/>
                <w:szCs w:val="24"/>
                <w:color w:val="auto"/>
              </w:rPr>
            </w:pPr>
          </w:p>
        </w:tc>
        <w:tc>
          <w:tcPr>
            <w:tcW w:w="7180" w:type="dxa"/>
            <w:vAlign w:val="bottom"/>
            <w:gridSpan w:val="15"/>
          </w:tcPr>
          <w:p>
            <w:pPr>
              <w:spacing w:after="0"/>
              <w:rPr>
                <w:sz w:val="24"/>
                <w:szCs w:val="24"/>
                <w:color w:val="auto"/>
              </w:rPr>
            </w:pPr>
          </w:p>
        </w:tc>
        <w:tc>
          <w:tcPr>
            <w:tcW w:w="190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3"/>
              </w:rPr>
              <w:t>F-41</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 of Financial Position</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F-43</w:t>
            </w:r>
          </w:p>
        </w:tc>
      </w:tr>
      <w:tr>
        <w:trPr>
          <w:trHeight w:val="20"/>
        </w:trPr>
        <w:tc>
          <w:tcPr>
            <w:tcW w:w="36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50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Loss and Comprehensive Loss</w:t>
            </w:r>
          </w:p>
        </w:tc>
        <w:tc>
          <w:tcPr>
            <w:tcW w:w="4300" w:type="dxa"/>
            <w:vAlign w:val="bottom"/>
            <w:gridSpan w:val="7"/>
          </w:tcPr>
          <w:p>
            <w:pPr>
              <w:spacing w:after="0"/>
              <w:rPr>
                <w:sz w:val="17"/>
                <w:szCs w:val="17"/>
                <w:color w:val="auto"/>
              </w:rPr>
            </w:pP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F-44</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Statements of Changes in Stockholders’ Deficit</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F-45</w:t>
            </w:r>
          </w:p>
        </w:tc>
      </w:tr>
      <w:tr>
        <w:trPr>
          <w:trHeight w:val="196"/>
        </w:trPr>
        <w:tc>
          <w:tcPr>
            <w:tcW w:w="368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Cash Flows</w:t>
            </w:r>
          </w:p>
        </w:tc>
        <w:tc>
          <w:tcPr>
            <w:tcW w:w="20" w:type="dxa"/>
            <w:vAlign w:val="bottom"/>
            <w:tcBorders>
              <w:top w:val="single" w:sz="8" w:color="0000FF"/>
              <w:bottom w:val="single" w:sz="8" w:color="0000EE"/>
            </w:tcBorders>
          </w:tcPr>
          <w:p>
            <w:pPr>
              <w:spacing w:after="0"/>
              <w:rPr>
                <w:sz w:val="17"/>
                <w:szCs w:val="17"/>
                <w:color w:val="auto"/>
              </w:rPr>
            </w:pPr>
          </w:p>
        </w:tc>
        <w:tc>
          <w:tcPr>
            <w:tcW w:w="1520" w:type="dxa"/>
            <w:vAlign w:val="bottom"/>
            <w:tcBorders>
              <w:top w:val="single" w:sz="8" w:color="0000FF"/>
            </w:tcBorders>
            <w:gridSpan w:val="6"/>
          </w:tcPr>
          <w:p>
            <w:pPr>
              <w:spacing w:after="0"/>
              <w:rPr>
                <w:sz w:val="17"/>
                <w:szCs w:val="17"/>
                <w:color w:val="auto"/>
              </w:rPr>
            </w:pPr>
          </w:p>
        </w:tc>
        <w:tc>
          <w:tcPr>
            <w:tcW w:w="4120" w:type="dxa"/>
            <w:vAlign w:val="bottom"/>
            <w:gridSpan w:val="6"/>
          </w:tcPr>
          <w:p>
            <w:pPr>
              <w:spacing w:after="0"/>
              <w:rPr>
                <w:sz w:val="17"/>
                <w:szCs w:val="17"/>
                <w:color w:val="auto"/>
              </w:rPr>
            </w:pP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F-46</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Combined Consolidated Financial Statements</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F-47</w:t>
            </w:r>
          </w:p>
        </w:tc>
      </w:tr>
      <w:tr>
        <w:trPr>
          <w:trHeight w:val="885"/>
        </w:trPr>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6"/>
          </w:tcPr>
          <w:p>
            <w:pPr>
              <w:jc w:val="center"/>
              <w:ind w:right="3320"/>
              <w:spacing w:after="0"/>
              <w:rPr>
                <w:sz w:val="20"/>
                <w:szCs w:val="20"/>
                <w:color w:val="auto"/>
              </w:rPr>
            </w:pPr>
            <w:r>
              <w:rPr>
                <w:rFonts w:ascii="Times New Roman" w:cs="Times New Roman" w:eastAsia="Times New Roman" w:hAnsi="Times New Roman"/>
                <w:sz w:val="18"/>
                <w:szCs w:val="18"/>
                <w:color w:val="auto"/>
                <w:w w:val="95"/>
              </w:rPr>
              <w:t>F-1</w:t>
            </w:r>
          </w:p>
        </w:tc>
        <w:tc>
          <w:tcPr>
            <w:tcW w:w="1900" w:type="dxa"/>
            <w:vAlign w:val="bottom"/>
          </w:tcPr>
          <w:p>
            <w:pPr>
              <w:spacing w:after="0"/>
              <w:rPr>
                <w:sz w:val="24"/>
                <w:szCs w:val="24"/>
                <w:color w:val="auto"/>
              </w:rPr>
            </w:pPr>
          </w:p>
        </w:tc>
      </w:tr>
      <w:tr>
        <w:trPr>
          <w:trHeight w:val="763"/>
        </w:trPr>
        <w:tc>
          <w:tcPr>
            <w:tcW w:w="2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4" w:name="page115"/>
    <w:bookmarkEnd w:id="114"/>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Rezolve AI plc and Subsidiaries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Rezolve AI PLC and Subsidiaries (the Company) as of December 31, 2024 and 2023, and the related consolidated statements of operations, comprehensive loss, stockholders’ deficit and cash flows for each of the years in the two year period ended December 31, 2024, and the related notes (collectively referred to as the consolidated financial statements). In our opinion, the consolidated financial statements present fairly, in all material respects, the consolidated financial position of the Company as December 31, 2024 and 2023, and the results of its operations and its cash flows for each of the years in the two – year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9,450,944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12,534</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960,848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299,013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 asset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2,587,581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13,020,647</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321,988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79,593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6,750,178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2,134,903</w:t>
            </w:r>
          </w:p>
        </w:tc>
        <w:tc>
          <w:tcPr>
            <w:tcW w:w="100" w:type="dxa"/>
            <w:vAlign w:val="bottom"/>
          </w:tcPr>
          <w:p>
            <w:pPr>
              <w:spacing w:after="0"/>
              <w:rPr>
                <w:sz w:val="17"/>
                <w:szCs w:val="17"/>
                <w:color w:val="auto"/>
              </w:rPr>
            </w:pP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6,767,510</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2,214,496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7,303,060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4,569,703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Due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9,513,932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4,492,790</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Short term convertible debt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10,288,123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31,088,259</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convertible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Convertible promissory notes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6,428,825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Payable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8,223,928</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Share-based payment liability</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1,311,028</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Advisors loans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12,812,366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2,579,875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top w:val="single" w:sz="8" w:color="CFF0FC"/>
            </w:tcBorders>
          </w:tcPr>
          <w:p>
            <w:pPr>
              <w:spacing w:after="0"/>
              <w:rPr>
                <w:sz w:val="17"/>
                <w:szCs w:val="17"/>
                <w:color w:val="auto"/>
              </w:rPr>
            </w:pP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(refer to note 16)</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£0.0001 nominal value 208,260,754 shares issued and outstanding as of December 31, 2024;</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152,262,295 shares issued and outstanding as of December 31, 2023; 256,365,817 and 161,710,480 shares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authorized as of December 31, 2024 and 2023 (refer to note 2.19)</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127,310</w:t>
            </w:r>
          </w:p>
        </w:tc>
        <w:tc>
          <w:tcPr>
            <w:tcW w:w="100" w:type="dxa"/>
            <w:vAlign w:val="bottom"/>
          </w:tcPr>
          <w:p>
            <w:pPr>
              <w:spacing w:after="0"/>
              <w:rPr>
                <w:sz w:val="18"/>
                <w:szCs w:val="18"/>
                <w:color w:val="auto"/>
              </w:rPr>
            </w:pPr>
          </w:p>
        </w:tc>
      </w:tr>
      <w:tr>
        <w:trPr>
          <w:trHeight w:val="192"/>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Series A shares, £0.0001 nominal value 4,575,983 shares issued, authorized and outstanding as of December 31,</w:t>
            </w:r>
          </w:p>
        </w:tc>
        <w:tc>
          <w:tcPr>
            <w:tcW w:w="18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2023 (refer to note 2.19)</w:t>
            </w: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00" w:type="dxa"/>
            <w:vAlign w:val="bottom"/>
            <w:shd w:val="clear" w:color="auto" w:fill="CFF0FC"/>
          </w:tcPr>
          <w:p>
            <w:pPr>
              <w:spacing w:after="0"/>
              <w:rPr>
                <w:sz w:val="18"/>
                <w:szCs w:val="18"/>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194,062,767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172,204,832</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 subscription receivable</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(178,720)</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(232,075,815)</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(226,291,430)</w:t>
            </w: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(10,270)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(150,744)</w:t>
            </w:r>
          </w:p>
        </w:tc>
      </w:tr>
      <w:tr>
        <w:trPr>
          <w:trHeight w:val="20"/>
        </w:trPr>
        <w:tc>
          <w:tcPr>
            <w:tcW w:w="7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(37,996,582)</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(54,284,884)</w:t>
            </w: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-4379595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-3848100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-2013585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09"/>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 (see note 2.15)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r>
      <w:tr>
        <w:trPr>
          <w:trHeight w:val="198"/>
        </w:trPr>
        <w:tc>
          <w:tcPr>
            <w:tcW w:w="75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Sales and marketing expenses (including related party transactions of $1,011,119 and $2,072,224, see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 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20"/>
                <w:szCs w:val="20"/>
                <w:color w:val="auto"/>
              </w:rPr>
            </w:pPr>
          </w:p>
        </w:tc>
      </w:tr>
      <w:tr>
        <w:trPr>
          <w:trHeight w:val="198"/>
        </w:trPr>
        <w:tc>
          <w:tcPr>
            <w:tcW w:w="75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 (including related party transactions of $68,413,399 and</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$4,830,987, see note 13)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20"/>
                <w:szCs w:val="20"/>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(138,042,786)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(26,006,274)</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(30,672,690)</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3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(0.20)</w:t>
            </w:r>
          </w:p>
        </w:tc>
      </w:tr>
      <w:tr>
        <w:trPr>
          <w:trHeight w:val="210"/>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basic and diluted</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162,855,146</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151,256,853</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-1868170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-744855</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-462280</wp:posOffset>
            </wp:positionV>
            <wp:extent cx="77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(172,646,790)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140,474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(69,565)</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(172,506,316)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(30,805,663)</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774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8" w:name="page119"/>
    <w:bookmarkEnd w:id="11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Accumulate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78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70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Series A shares</w:t>
            </w:r>
          </w:p>
        </w:tc>
        <w:tc>
          <w:tcPr>
            <w:tcW w:w="980" w:type="dxa"/>
            <w:vAlign w:val="bottom"/>
            <w:gridSpan w:val="3"/>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subscriptio</w:t>
            </w:r>
          </w:p>
        </w:tc>
        <w:tc>
          <w:tcPr>
            <w:tcW w:w="8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9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7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82"/>
              </w:rPr>
              <w:t>n</w:t>
            </w:r>
          </w:p>
        </w:tc>
        <w:tc>
          <w:tcPr>
            <w:tcW w:w="120" w:type="dxa"/>
            <w:vAlign w:val="bottom"/>
          </w:tcPr>
          <w:p>
            <w:pPr>
              <w:spacing w:after="0"/>
              <w:rPr>
                <w:sz w:val="12"/>
                <w:szCs w:val="12"/>
                <w:color w:val="auto"/>
              </w:rPr>
            </w:pPr>
          </w:p>
        </w:tc>
        <w:tc>
          <w:tcPr>
            <w:tcW w:w="76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sive</w:t>
            </w:r>
          </w:p>
        </w:tc>
        <w:tc>
          <w:tcPr>
            <w:tcW w:w="96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60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1"/>
                <w:szCs w:val="11"/>
                <w:color w:val="auto"/>
              </w:rPr>
            </w:pPr>
          </w:p>
        </w:tc>
        <w:tc>
          <w:tcPr>
            <w:tcW w:w="820" w:type="dxa"/>
            <w:vAlign w:val="bottom"/>
            <w:gridSpan w:val="2"/>
          </w:tcPr>
          <w:p>
            <w:pPr>
              <w:jc w:val="right"/>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8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receivable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151,419,</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163,165,0</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(195,555,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January 1, 2023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672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126,677</w:t>
            </w: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332)</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(81,179)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(32,519,603)</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to related parties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26,634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199,954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from exercise of share-options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815,989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related parties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Employee share-based compensation</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(30,736,0</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(30,736,098)</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(loss)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1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at December 31, 2023</w:t>
            </w: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152,262,</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172,204,8</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(226,291,</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(150,74</w:t>
            </w: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295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127,310</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430)</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(54,284,884)</w:t>
            </w:r>
          </w:p>
        </w:tc>
        <w:tc>
          <w:tcPr>
            <w:tcW w:w="0" w:type="dxa"/>
            <w:vAlign w:val="bottom"/>
          </w:tcPr>
          <w:p>
            <w:pPr>
              <w:spacing w:after="0"/>
              <w:rPr>
                <w:sz w:val="1"/>
                <w:szCs w:val="1"/>
                <w:color w:val="auto"/>
              </w:rPr>
            </w:pPr>
          </w:p>
        </w:tc>
      </w:tr>
      <w:tr>
        <w:trPr>
          <w:trHeight w:val="97"/>
        </w:trPr>
        <w:tc>
          <w:tcPr>
            <w:tcW w:w="3100" w:type="dxa"/>
            <w:vAlign w:val="bottom"/>
            <w:tcBorders>
              <w:top w:val="single" w:sz="8" w:color="CFF0FC"/>
            </w:tcBorders>
          </w:tcPr>
          <w:p>
            <w:pPr>
              <w:spacing w:after="0" w:line="98" w:lineRule="exact"/>
              <w:rPr>
                <w:sz w:val="20"/>
                <w:szCs w:val="20"/>
                <w:color w:val="auto"/>
              </w:rPr>
            </w:pPr>
            <w:r>
              <w:rPr>
                <w:rFonts w:ascii="Times New Roman" w:cs="Times New Roman" w:eastAsia="Times New Roman" w:hAnsi="Times New Roman"/>
                <w:sz w:val="10"/>
                <w:szCs w:val="10"/>
                <w:color w:val="auto"/>
              </w:rPr>
              <w:t>Ordinary shares issued in lieu of cash payment for</w:t>
            </w: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304,137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issued with loan</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Recapitalization upon demerger of Rezolve Limited to</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(107,36</w:t>
            </w:r>
          </w:p>
        </w:tc>
        <w:tc>
          <w:tcPr>
            <w:tcW w:w="24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(176,274,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176,207,4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Rezolve AI plc</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83)</w:t>
            </w:r>
          </w:p>
        </w:tc>
        <w:tc>
          <w:tcPr>
            <w:tcW w:w="14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(3,868)</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941)</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 employees shares restrictions</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9,512,82</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18,834,88</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lifted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18,836,099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63,001,39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 - related parties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63,001,392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employees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payments for consultancy</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5,826,79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(9,345,05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ordinary shares upon acquisition of Armada</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(9,344,318)</w:t>
            </w: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exercised</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574,993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1,930,03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17,949,33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Ordinary shares issued on conversion of advisors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17,949,589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6,600,00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16,241,54</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Ordinary shares issued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16,242,944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11,053,0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under the rights issue</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9,009,884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9,011,193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senior secured</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12,035,0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52,399,82</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convertible notes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52,401,332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convertible</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4,310,20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14,008,07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promissory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14,008,437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(172,646,79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790)</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gain</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208,260,</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194,062,7</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(232,075,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December 31, 2024</w:t>
            </w:r>
          </w:p>
        </w:tc>
        <w:tc>
          <w:tcPr>
            <w:tcW w:w="6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754</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26,816</w:t>
            </w:r>
          </w:p>
        </w:tc>
        <w:tc>
          <w:tcPr>
            <w:tcW w:w="24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67</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815)</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(80)</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(10,270)</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(37,996,582)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-2630805</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-2613660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-2630805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-2613660</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-2630805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-2613660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-2630805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-2613660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-2630805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-2613660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-2630805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-2613660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-2630805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-2613660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-2630805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-2613660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-24765</wp:posOffset>
            </wp:positionV>
            <wp:extent cx="768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9" w:name="page120"/>
    <w:bookmarkEnd w:id="11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20" w:type="dxa"/>
            <w:vAlign w:val="bottom"/>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(172,646,790)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(30,736,098)</w:t>
            </w:r>
          </w:p>
        </w:tc>
      </w:tr>
      <w:tr>
        <w:trPr>
          <w:trHeight w:val="203"/>
        </w:trPr>
        <w:tc>
          <w:tcPr>
            <w:tcW w:w="6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242,436</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Impairment of loans receivable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255,412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1,156,316</w:t>
            </w:r>
          </w:p>
        </w:tc>
        <w:tc>
          <w:tcPr>
            <w:tcW w:w="100" w:type="dxa"/>
            <w:vAlign w:val="bottom"/>
            <w:shd w:val="clear" w:color="auto" w:fill="CFF0FC"/>
          </w:tcPr>
          <w:p>
            <w:pPr>
              <w:spacing w:after="0"/>
              <w:rPr>
                <w:sz w:val="17"/>
                <w:szCs w:val="17"/>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 employees shares restrictions lifted</w:t>
            </w:r>
          </w:p>
        </w:tc>
        <w:tc>
          <w:tcPr>
            <w:tcW w:w="1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18,836,099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employees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4,314,649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5,079,201</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based compensation issued to related parties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63,001,392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3,646,017</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consultancy services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217,365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Ordinary shares issued in lieu of cash payment for services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Northlands Securities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5,141,250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J.V.B. Financial Group (refer to note 7.7)</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Cantor Fitzgerald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10,557,714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4,791,782</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Gain on derivatives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(19,001,681)</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44,332,819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Unrealized foreign exchange (gain)/loss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(1,329,775)</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375,298</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expenses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(8,739)</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(3,679)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prepaid expense and other current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(906,198)</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(416,069)</w:t>
            </w:r>
          </w:p>
        </w:tc>
      </w:tr>
      <w:tr>
        <w:trPr>
          <w:trHeight w:val="202"/>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payable, accrued expenses and other payables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1,354,146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2,310,465</w:t>
            </w:r>
          </w:p>
        </w:tc>
        <w:tc>
          <w:tcPr>
            <w:tcW w:w="100" w:type="dxa"/>
            <w:vAlign w:val="bottom"/>
          </w:tcPr>
          <w:p>
            <w:pPr>
              <w:spacing w:after="0"/>
              <w:rPr>
                <w:sz w:val="17"/>
                <w:szCs w:val="17"/>
                <w:color w:val="auto"/>
              </w:rPr>
            </w:pPr>
          </w:p>
        </w:tc>
      </w:tr>
      <w:tr>
        <w:trPr>
          <w:trHeight w:val="203"/>
        </w:trPr>
        <w:tc>
          <w:tcPr>
            <w:tcW w:w="6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payables due to related parties</w:t>
            </w:r>
          </w:p>
        </w:tc>
        <w:tc>
          <w:tcPr>
            <w:tcW w:w="132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209,997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552,456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(21,642,715)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(13,001,875)</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(4,774)</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(14,376)</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Development of intangible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(3,523,852)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(1,767,148)</w:t>
            </w:r>
          </w:p>
        </w:tc>
      </w:tr>
      <w:tr>
        <w:trPr>
          <w:trHeight w:val="20"/>
        </w:trPr>
        <w:tc>
          <w:tcPr>
            <w:tcW w:w="62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(3,528,626)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(1,781,524)</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merger with Armada</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rights issuance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1,405,592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7,767,674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short-term debt from related party</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6,623,541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4,369,413</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short-term debt obligation from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(1,153,750)</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(250,000)</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convertible promissory loans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11,859,249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promissory notes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(1,471,852)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promissory notes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to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199,974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rights issue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ordinary shares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16,444,773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obligation</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2,625,000</w:t>
            </w:r>
          </w:p>
        </w:tc>
        <w:tc>
          <w:tcPr>
            <w:tcW w:w="100" w:type="dxa"/>
            <w:vAlign w:val="bottom"/>
            <w:shd w:val="clear" w:color="auto" w:fill="CFF0FC"/>
          </w:tcPr>
          <w:p>
            <w:pPr>
              <w:spacing w:after="0"/>
              <w:rPr>
                <w:sz w:val="17"/>
                <w:szCs w:val="17"/>
                <w:color w:val="auto"/>
              </w:rPr>
            </w:pPr>
          </w:p>
        </w:tc>
      </w:tr>
      <w:tr>
        <w:trPr>
          <w:trHeight w:val="196"/>
        </w:trPr>
        <w:tc>
          <w:tcPr>
            <w:tcW w:w="62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flow generated from financing activities</w:t>
            </w:r>
          </w:p>
        </w:tc>
        <w:tc>
          <w:tcPr>
            <w:tcW w:w="1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34,585,896</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14,712,061</w:t>
            </w:r>
          </w:p>
        </w:tc>
        <w:tc>
          <w:tcPr>
            <w:tcW w:w="100" w:type="dxa"/>
            <w:vAlign w:val="bottom"/>
            <w:tcBorders>
              <w:top w:val="single" w:sz="8" w:color="CFF0FC"/>
            </w:tcBorders>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25,948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42,399</w:t>
            </w: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9,440,503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(28,939)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39,380</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9,450,944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10,441</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payment for development of intangible asset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1,275,000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115,190</w:t>
            </w:r>
          </w:p>
        </w:tc>
        <w:tc>
          <w:tcPr>
            <w:tcW w:w="100" w:type="dxa"/>
            <w:vAlign w:val="bottom"/>
          </w:tcPr>
          <w:p>
            <w:pPr>
              <w:spacing w:after="0"/>
              <w:rPr>
                <w:sz w:val="17"/>
                <w:szCs w:val="17"/>
                <w:color w:val="auto"/>
              </w:rPr>
            </w:pPr>
          </w:p>
        </w:tc>
      </w:tr>
      <w:tr>
        <w:trPr>
          <w:trHeight w:val="202"/>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Cash paid for interest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114,966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paid for taxes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interest payable converted to principal</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1,339,800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4,040,989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-3702685</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-3154045</wp:posOffset>
            </wp:positionV>
            <wp:extent cx="774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-1319530</wp:posOffset>
            </wp:positionV>
            <wp:extent cx="774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0" w:name="page121"/>
    <w:bookmarkEnd w:id="12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hanging="512"/>
        <w:spacing w:after="0"/>
        <w:tabs>
          <w:tab w:leader="none" w:pos="5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21 Sackville Street, London, W1S 3DN, United Kingdom.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460" w:firstLine="8"/>
        <w:spacing w:after="0" w:line="377" w:lineRule="auto"/>
        <w:tabs>
          <w:tab w:leader="none" w:pos="509"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2.1 Basis of presentation</w:t>
      </w:r>
    </w:p>
    <w:p>
      <w:pPr>
        <w:spacing w:after="0" w:line="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Rezolve AI plc and subsidiaries (together “the Company” or “we”) have been prepared in accordance with accounting principles generally accepted in the United States of America (“US GAAP”). The consolidated financial statements have been prepared using the United Stated Dollar (“$” or “US dollar”) as the reporting currency.</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Rezolve AI plc,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Chinese Business”) which were abandoned on January 3, 2023 (see below).</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“Pre-Closing Demerger” or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Pre-Closing Demerger was completed on July 4, 2024. A new holding company Rezolve AI plc was established.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Therefore upon the completion of the Pre-Closing Demerger, Rezolve AI plc ended up with the same business as Rezolve Limited but without the Chinese business.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Rezolve AI plc and Rezolve Merger Sub, Inc., a Delaware corporation (“Rezolve Merger Sub”), consummated a business combination (the “Business Combination”) pursuant to which the Company effected a company reorganization whereby the Company’s series A shares were reclassified as ordinary shares and Armada merged with and into Rezolve Merger Sub, with Armada surviving as a wholly owned subsidiary of Rezolve, with shareholders of Armada receiving ordinary shares of the Company in exchange for their existing Armada common stock and Armada warrant holders having their warrants automatically exchanged for warrants of the Company (see note 8). Upon the closing of the Business Combination, the Company became the direct parent of Armada. The Business Combination was accounted for as a reverse merger under ASC 805, whereby Rezolve AI plc was deemed to be the accounting acquirer for financial reporting purposes and Armada was treated as the accounting acquiree. This determination was primarily based on the expectation that, immediately following the reverse merger: former Rezolve AI plc’s stockholders own a substantial majority of the voting rights in the combined company; former Rezolve AI plc’s largest stockholders retain the largest interest in the combined company and former Rezolve AI plc’s executive management team became the management team of the combined company.</w:t>
      </w:r>
    </w:p>
    <w:p>
      <w:pPr>
        <w:spacing w:after="0" w:line="19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For accounting purposes the Business Combination, accounted for as a reverse merger, was treated as the equivalent of Rezolve AI plc issuing 5,827,796 ordinary shares to acquire the net liabilities of Armada. The excess amount paid by an investor over the par</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1" w:name="page122"/>
    <w:bookmarkEnd w:id="12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value of ordinary shares issued usually is allocated to additional paid-in capital, however as the Business Combination resulted in the issuance of ordinary shares to acquire the net liabilities of Armada, it rendered a negative amount of additional paid-in capital. In accordance with ASC 505-30-30-8, the Company made an accounting policy election that additional paid-in capital cannot be a negative amount and therefore the negative amount was allocated to accumulated deficit.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liabilities of Armada are recorded at their acquisition-date fair value in the Consolidated Financial Statements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500" w:type="dxa"/>
            <w:vAlign w:val="bottom"/>
          </w:tcPr>
          <w:p>
            <w:pPr>
              <w:spacing w:after="0"/>
              <w:rPr>
                <w:sz w:val="18"/>
                <w:szCs w:val="18"/>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169,425</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(4,873,019)</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Debt (promissory notes)</w:t>
            </w:r>
          </w:p>
        </w:tc>
        <w:tc>
          <w:tcPr>
            <w:tcW w:w="2500" w:type="dxa"/>
            <w:vAlign w:val="bottom"/>
          </w:tcPr>
          <w:p>
            <w:pPr>
              <w:spacing w:after="0"/>
              <w:rPr>
                <w:sz w:val="18"/>
                <w:szCs w:val="18"/>
                <w:color w:val="auto"/>
              </w:rPr>
            </w:pP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(3,144,883)</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(1,499,936)</w:t>
            </w:r>
          </w:p>
        </w:tc>
      </w:tr>
      <w:tr>
        <w:trPr>
          <w:trHeight w:val="20"/>
        </w:trPr>
        <w:tc>
          <w:tcPr>
            <w:tcW w:w="5160" w:type="dxa"/>
            <w:vAlign w:val="bottom"/>
            <w:shd w:val="clear" w:color="auto" w:fill="CFF0FC"/>
          </w:tcPr>
          <w:p>
            <w:pPr>
              <w:spacing w:after="0" w:line="20" w:lineRule="exact"/>
              <w:rPr>
                <w:sz w:val="1"/>
                <w:szCs w:val="1"/>
                <w:color w:val="auto"/>
              </w:rPr>
            </w:pPr>
          </w:p>
        </w:tc>
        <w:tc>
          <w:tcPr>
            <w:tcW w:w="2500" w:type="dxa"/>
            <w:vAlign w:val="bottom"/>
            <w:shd w:val="clear" w:color="auto" w:fill="CFF0FC"/>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liabilities acquired</w:t>
            </w:r>
          </w:p>
        </w:tc>
        <w:tc>
          <w:tcPr>
            <w:tcW w:w="2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3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Consolidated Financial Statements of Rezolve AI plc and subsidiaries have been prepared on the following basis:</w:t>
      </w:r>
    </w:p>
    <w:p>
      <w:pPr>
        <w:spacing w:after="0" w:line="117" w:lineRule="exact"/>
        <w:rPr>
          <w:sz w:val="20"/>
          <w:szCs w:val="20"/>
          <w:color w:val="auto"/>
        </w:rPr>
      </w:pPr>
    </w:p>
    <w:p>
      <w:pPr>
        <w:ind w:left="1020" w:right="100" w:hanging="503"/>
        <w:spacing w:after="0" w:line="254" w:lineRule="auto"/>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Pre-Closing Demerger was completed retrospectively on December 31, 2021, and thus reflects the predecessor company, Rezolve Limited, prior to completion of the Pre-Closing Demerger. These Consolidated Financial Statements are therefore prepared on a carve-out basis. All costs of doing business in Rezolve Limited have been reflected in Rezolve AI plc on a 100% allocation basis since management feels that this fully reflects the Consolidated Financial Statements had the Demerger completed on December 31, 2022. Investments made in the China Business by Rezolve Limited in the People’s Republic of China (“China”) for the years ending December 31, 2024 and December 31, 2023 have been recorded as “Business development expenses”, a component of General and Administrative expenses within the Company’s 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(“SAB 1-B1”). Management asserts that this method used is reasonable.</w:t>
      </w:r>
    </w:p>
    <w:p>
      <w:pPr>
        <w:spacing w:after="0" w:line="83" w:lineRule="exact"/>
        <w:rPr>
          <w:rFonts w:ascii="Times New Roman" w:cs="Times New Roman" w:eastAsia="Times New Roman" w:hAnsi="Times New Roman"/>
          <w:sz w:val="18"/>
          <w:szCs w:val="18"/>
          <w:color w:val="auto"/>
        </w:rPr>
      </w:pPr>
    </w:p>
    <w:p>
      <w:pPr>
        <w:ind w:left="1020" w:right="180" w:hanging="503"/>
        <w:spacing w:after="0" w:line="256" w:lineRule="auto"/>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ownership structure of Rezolve Limited and Rezolve AI plc, the Pre-Closing Demerger was accounted for as a common control transaction in accordance with the common control guidance in ASC 805. The net liabilities of Rezolve Limited were transferred to Rezolve AI plc at their carrying values immediately prior to the Pre-Closing Demerger transaction, with an offsetting impact to Additional Paid in Capital which was then recapitalized to Accumulated Deficit. The Consolidated Financial Statements as of and for the year ended December 31, 2023 and the period January 1, 2024 to July 4, 2024 for Rezolve Limited have been aggregated with the Consolidated Financial Statements of the Company for the period July 5, 2024 to December 31, 2024.</w:t>
      </w:r>
    </w:p>
    <w:p>
      <w:pPr>
        <w:spacing w:after="0" w:line="79"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issued in Rezolve AI plc to the shareholders of Rezolve Limited pursuant to the Pre-Closing Demerger was in the order of 1 share in Rezolve AI plc for each 6.13 shares held in Rezolve Limited. This adjustment in share numbers enabled the issuance of the appropriate number of shares in Rezolve AI plc so that each Company Shareholder will after the Pre-Closing Demerger hold their applicable pro rata portion of the aggregate stock consideration in accordance with the terms of the Pre-Closing Demerger transaction. All share and per share amounts in these Consolidated Financial Statements and notes thereto have been retroactively adjusted for all periods presented to give effect to the Pre-Closing Demerger transaction. Additionally, holders of Series A shares of Rezolve AI plc received one Ordinary share in the Company for each Series A share held in Rezolve AI plc.</w:t>
      </w:r>
    </w:p>
    <w:p>
      <w:pPr>
        <w:spacing w:after="0" w:line="29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with the most significant impact on the entity’s economic performance, and (2) the right to receive benefits or the obligation to absorb losses from the entity which could potentially be significant to the entity.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2" w:name="page123"/>
    <w:bookmarkEnd w:id="12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list of subsidiaries and Rezolve AI plc’s holding as of December 31, 2024 and 2023 is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3"/>
                <w:szCs w:val="13"/>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shareholding</w:t>
            </w:r>
          </w:p>
        </w:tc>
        <w:tc>
          <w:tcPr>
            <w:tcW w:w="0" w:type="dxa"/>
            <w:vAlign w:val="bottom"/>
          </w:tcPr>
          <w:p>
            <w:pPr>
              <w:spacing w:after="0"/>
              <w:rPr>
                <w:sz w:val="1"/>
                <w:szCs w:val="1"/>
                <w:color w:val="auto"/>
              </w:rPr>
            </w:pPr>
          </w:p>
        </w:tc>
      </w:tr>
      <w:tr>
        <w:trPr>
          <w:trHeight w:val="173"/>
        </w:trPr>
        <w:tc>
          <w:tcPr>
            <w:tcW w:w="3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8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40" w:type="dxa"/>
            <w:vAlign w:val="bottom"/>
            <w:shd w:val="clear" w:color="auto" w:fill="CFF0FC"/>
          </w:tcPr>
          <w:p>
            <w:pPr>
              <w:spacing w:after="0"/>
              <w:rPr>
                <w:sz w:val="18"/>
                <w:szCs w:val="18"/>
                <w:color w:val="auto"/>
              </w:rPr>
            </w:pPr>
          </w:p>
        </w:tc>
        <w:tc>
          <w:tcPr>
            <w:tcW w:w="2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Rezolve Technology (India) Private</w:t>
            </w:r>
          </w:p>
        </w:tc>
        <w:tc>
          <w:tcPr>
            <w:tcW w:w="16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19, 2021</w:t>
            </w:r>
          </w:p>
        </w:tc>
        <w:tc>
          <w:tcPr>
            <w:tcW w:w="140" w:type="dxa"/>
            <w:vAlign w:val="bottom"/>
          </w:tcPr>
          <w:p>
            <w:pPr>
              <w:spacing w:after="0"/>
              <w:rPr>
                <w:sz w:val="17"/>
                <w:szCs w:val="17"/>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480" w:type="dxa"/>
            <w:vAlign w:val="bottom"/>
            <w:gridSpan w:val="2"/>
            <w:vMerge w:val="restart"/>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Limited</w:t>
            </w:r>
          </w:p>
        </w:tc>
        <w:tc>
          <w:tcPr>
            <w:tcW w:w="1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Mobile Commerce Inc.</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40" w:type="dxa"/>
            <w:vAlign w:val="bottom"/>
            <w:shd w:val="clear" w:color="auto" w:fill="CFF0FC"/>
          </w:tcPr>
          <w:p>
            <w:pPr>
              <w:spacing w:after="0"/>
              <w:rPr>
                <w:sz w:val="18"/>
                <w:szCs w:val="18"/>
                <w:color w:val="auto"/>
              </w:rPr>
            </w:pPr>
          </w:p>
        </w:tc>
        <w:tc>
          <w:tcPr>
            <w:tcW w:w="2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25, 2020</w:t>
            </w:r>
          </w:p>
        </w:tc>
        <w:tc>
          <w:tcPr>
            <w:tcW w:w="1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Rezolve AI IP Holdings Limited</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19,</w:t>
            </w:r>
          </w:p>
        </w:tc>
        <w:tc>
          <w:tcPr>
            <w:tcW w:w="140" w:type="dxa"/>
            <w:vAlign w:val="bottom"/>
            <w:shd w:val="clear" w:color="auto" w:fill="CFF0FC"/>
          </w:tcPr>
          <w:p>
            <w:pPr>
              <w:spacing w:after="0"/>
              <w:rPr>
                <w:sz w:val="17"/>
                <w:szCs w:val="17"/>
                <w:color w:val="auto"/>
              </w:rPr>
            </w:pPr>
          </w:p>
        </w:tc>
        <w:tc>
          <w:tcPr>
            <w:tcW w:w="2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1480" w:type="dxa"/>
            <w:vAlign w:val="bottom"/>
            <w:gridSpan w:val="2"/>
            <w:vMerge w:val="restart"/>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40" w:type="dxa"/>
            <w:vAlign w:val="bottom"/>
            <w:shd w:val="clear" w:color="auto" w:fill="CFF0FC"/>
          </w:tcPr>
          <w:p>
            <w:pPr>
              <w:spacing w:after="0"/>
              <w:rPr>
                <w:sz w:val="10"/>
                <w:szCs w:val="10"/>
                <w:color w:val="auto"/>
              </w:rPr>
            </w:pPr>
          </w:p>
        </w:tc>
        <w:tc>
          <w:tcPr>
            <w:tcW w:w="1580" w:type="dxa"/>
            <w:vAlign w:val="bottom"/>
            <w:gridSpan w:val="2"/>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shd w:val="clear" w:color="auto" w:fill="CFF0FC"/>
          </w:tcPr>
          <w:p>
            <w:pPr>
              <w:spacing w:after="0"/>
              <w:rPr>
                <w:sz w:val="10"/>
                <w:szCs w:val="10"/>
                <w:color w:val="auto"/>
              </w:rPr>
            </w:pPr>
          </w:p>
        </w:tc>
        <w:tc>
          <w:tcPr>
            <w:tcW w:w="2720" w:type="dxa"/>
            <w:vAlign w:val="bottom"/>
            <w:vMerge w:val="continue"/>
            <w:shd w:val="clear" w:color="auto" w:fill="CFF0FC"/>
          </w:tcPr>
          <w:p>
            <w:pPr>
              <w:spacing w:after="0"/>
              <w:rPr>
                <w:sz w:val="10"/>
                <w:szCs w:val="10"/>
                <w:color w:val="auto"/>
              </w:rPr>
            </w:pPr>
          </w:p>
        </w:tc>
        <w:tc>
          <w:tcPr>
            <w:tcW w:w="14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shd w:val="clear" w:color="auto" w:fill="CFF0FC"/>
          </w:tcPr>
          <w:p>
            <w:pPr>
              <w:spacing w:after="0"/>
              <w:rPr>
                <w:sz w:val="9"/>
                <w:szCs w:val="9"/>
                <w:color w:val="auto"/>
              </w:rPr>
            </w:pPr>
          </w:p>
        </w:tc>
        <w:tc>
          <w:tcPr>
            <w:tcW w:w="158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Armada Acquisition Corp. I</w:t>
            </w:r>
          </w:p>
        </w:tc>
        <w:tc>
          <w:tcPr>
            <w:tcW w:w="1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15, 2024</w:t>
            </w:r>
          </w:p>
        </w:tc>
        <w:tc>
          <w:tcPr>
            <w:tcW w:w="14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using the United Stated Dollar ($) as its reporting currency.</w:t>
      </w:r>
    </w:p>
    <w:p>
      <w:pPr>
        <w:spacing w:after="0" w:line="3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2.3  Emerging Growth Company</w:t>
      </w:r>
    </w:p>
    <w:p>
      <w:pPr>
        <w:spacing w:after="0" w:line="12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an accumulated deficit of $232.1 million. For the year ended December 31, 2024, the Company incurred a net loss of $172.6 million and net cash used in operating activities was $21.6 million. Cash and cash equivalents totaled $9.5 million as of December 31, 2024, an increase of $9.4 million from December 31, 2023. The Company has a working capital deficit of $44.8 million as at December 31, 2024. The Company continues to incur losses while it develops technological services, targets customers and incurs costs for an initial public offering or business combination. Our sources of cash for these activities rely on debt and equity funding.</w:t>
      </w:r>
    </w:p>
    <w:p>
      <w:pPr>
        <w:spacing w:after="0" w:line="183"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5460" w:right="3760" w:hanging="4943"/>
        <w:spacing w:after="0" w:line="407" w:lineRule="auto"/>
        <w:tabs>
          <w:tab w:leader="none" w:pos="103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3" w:name="page124"/>
    <w:bookmarkEnd w:id="12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capitalized software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and its predecessor company, Rezolve Limited, predominantly generates cash through financing transactions and expended cash in.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Cash</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£85,000 in accordance with the regulations of the United Kingdom’s Financial Conduct Authority. The Company has not experienced any losses associated with cash held with financial institutions.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Account receivable consists primarily of amounts related to fees charged to customers. Credit is extended based on evaluation of a customer’s financial condition and generally collateral is not required. Accounts receivable is stated at amounts due from customers net of an allowance for expected credit losses.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pacing w:after="0" w:line="200"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9"/>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2.10.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computer software and internal-use software.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2024 and 2023.</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 The Company has not commenced amortizing the in-development software as it not yet ready for its intended use. The Company reviews internal-use software for impairment when an event or changes in business circumstances indicate that the carrying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5" w:name="page126"/>
    <w:bookmarkEnd w:id="12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 of the asset may not be fully recoverable. There were no indicators of impairment for internal-use software as of December 31, 2024 and December 31, 2023 and the years then 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Impairment of assets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definite-life intangible assets,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indicators of impairment for any of the long-lived assets as of December 31, 2024 and December 31, 2023 and the years then ended.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Convertible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Convertible notes are regarded as hybrid instruments, consisting of a liability component and an equity component.</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host instrument (i.e., convertible note or debt element of the outstanding instruments) is classified as a financial liability and recorded at the present value of the Company’s obligation to make future interest payments in cash and settle the redemption value of the instrument in cash. The carrying value of the host instrument is accounted for at amortized cost and is therefore accreted to the original face value of the instrument, over the life, using the effective interest method.</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When the Company issues debt with a conversion feature, we assess, in accordance with ASC 480-10 -Distinguishing Liabilities from Equity and ASC 815 - Derivatives and Hedging, whether the conversion feature meets the requirements to be treated as a derivative, as follows: (a) one or more underlying’s, typically the price of our common stock; (b) one or more notional amounts or payment provisions or both, generally the number of shares upon conversion; (c) no initial net investment, which typically excludes the amount borrowed; and (d) net settlement provisions, which in the case of convertible debt generally means the stock received upon conversion can be readily sold for cash.</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conversion features of convertible debt instruments issued by the Company, that meet the requirements to be bifurcated and treated as derivatives, are recorded as either financial assets or financial liabilities, in accordance with the substance of the contractual arrangements and the definitions of either a financial asset or a financial liability. These financial assets or a financial liabilities are initially recognized at fair value and classified as derivative assets or liabilities in the consolidated balance sheet. Changes in the fair value of the derivative assets or liabilities are subsequently accounted for directly through the consolidated statements of operations and comprehensive income (loss) and are included in operating activities in the consolidated statements of cash flows as non-cash adjustment.</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conversion options are valued using certain directly and indirectly observable inputs and are classified as Level 2 in the fair value hierarchy in accordance with ASC 820 - Fair Value Measurement. The Company utilizes a third party valuation expert to determine the estimated fair value of the derivatives. The third party valuation expert estimates the fair value of the derivative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also considers the impact, if any, of the dilutive effect of the shares of its common stock issuable upon conversion of the outstanding convertible debt in its diluted income per share, see note 2.20.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Deferred financing costs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2.14.  Revenue recognition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6" w:name="page127"/>
    <w:bookmarkEnd w:id="12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Liga pays a commission for each football ticket sold through our platform technology.</w:t>
      </w:r>
    </w:p>
    <w:p>
      <w:pPr>
        <w:spacing w:after="0" w:line="20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  Cost of revenue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the impairment of current assets (see note 2.11).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Operating segments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the Company operates as one operating segment, financial data provided in the consolidated financial statements, including total revenues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$187,788 (2023:$145,051), total operating expenses of $138,230,574 (2023:$26,151,325), consolidated net loss of $172,646,790 (2023: $30,736,098),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of $19,788,157 (2023: $2,536,484), represent the performance of our single reportable segment. The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 the same level of significant expense categories regularly provided to the CODM for decision-making purposes. Sales and 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in the consolidated statements of operations includes advertising expenses, payroll expenses, and consultancy charges (see note 12).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reported in the consolidated statements of operations includes IT expenses, legal and professional expenses, payroll expenses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consultancy charges (see note 12).</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CODM does not review segment assets at a different level or category than those disclosed in the consolidated balance sheet.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2.17.  Research and development credits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2.18.  Share-based compensation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7" w:name="page128"/>
    <w:bookmarkEnd w:id="12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2.19.  Shareholders’ deficit and reserves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one class of issued shares, ordinary shares. As of December 31, 2023, the Company had two classes of issued shares, ordinary shares and Series A preferred shares. On August 15, 2024, the Company’s series A shares were reclassified as Ordinary Shares, see note 2.1.</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December 31, 2024 and 2023, the Company’s Board of Directors had not declared any dividends for ordinary shares.</w:t>
      </w:r>
    </w:p>
    <w:p>
      <w:pPr>
        <w:spacing w:after="0" w:line="68"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The authorized and outstanding shares as of December 31, 2024 and December 31, 2023 as are follows, reflecting the impact of the Pre-Closing Demerger transaction whereby one share in Rezolve AI plc was issued to shareholders of Rezolve Limited for each 6.13 shares held (see note 2.1):</w:t>
      </w:r>
    </w:p>
    <w:p>
      <w:pPr>
        <w:spacing w:after="0" w:line="32" w:lineRule="exact"/>
        <w:rPr>
          <w:sz w:val="20"/>
          <w:szCs w:val="20"/>
          <w:color w:val="auto"/>
        </w:rPr>
      </w:pPr>
    </w:p>
    <w:p>
      <w:pPr>
        <w:ind w:left="1020" w:right="20" w:hanging="503"/>
        <w:spacing w:after="0" w:line="282" w:lineRule="auto"/>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£0.0001 nominal value 208,260,754 shares issued and outstanding as of December 31, 2024; 152,262,295 shares issued and outstanding as of December 31, 2023; 256,365,817 and 161,710,480 shares authorized as of December 31, 2024 and 2023.</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shares: £0.0001 nominal value 4,575,983 shares issued, authorized and outstanding as of December 31, 2023.</w:t>
      </w:r>
    </w:p>
    <w:p>
      <w:pPr>
        <w:spacing w:after="0" w:line="225"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176"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2.20.  Fair value measurement and concentration of credit risk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line="282"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5"/>
                <w:szCs w:val="15"/>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20" w:type="dxa"/>
            <w:vAlign w:val="bottom"/>
          </w:tcPr>
          <w:p>
            <w:pPr>
              <w:spacing w:after="0"/>
              <w:rPr>
                <w:sz w:val="18"/>
                <w:szCs w:val="18"/>
                <w:color w:val="auto"/>
              </w:rPr>
            </w:pPr>
          </w:p>
        </w:tc>
        <w:tc>
          <w:tcPr>
            <w:tcW w:w="47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right="280" w:hanging="512"/>
        <w:spacing w:after="0" w:line="261"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See note 7.5.</w:t>
      </w:r>
    </w:p>
    <w:p>
      <w:pPr>
        <w:ind w:left="520" w:right="20" w:hanging="512"/>
        <w:spacing w:after="0" w:line="253"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 See note 2.12.</w:t>
      </w:r>
    </w:p>
    <w:p>
      <w:pPr>
        <w:spacing w:after="0" w:line="18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(see note 7.7).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(note 7.6), J.V.B. Financial Group and Northlands Securities (see note 7.7). On August 15, 2024, the Company recognized derivative liabilities and an offsetting debt discount associated with the embedded conversion features in its senior secured convertible notes (see note 7.3), convertible promissory notes (see note 7.6) and advisors loans (see note 7.7). The Company previously did not bifurcate the embedded conversion features as derivatives due to the lack of an underlying share price prior to the Company's acquisition of Armada and listing of its Ordinary Shares on the NASDAQ. The Company no longer recognizes a derivative liability associated with the following debt liabilities due to the investors having exercised their conversion features by December 31, 2024:</w:t>
      </w:r>
    </w:p>
    <w:p>
      <w:pPr>
        <w:spacing w:after="0" w:line="81" w:lineRule="exact"/>
        <w:rPr>
          <w:sz w:val="20"/>
          <w:szCs w:val="20"/>
          <w:color w:val="auto"/>
        </w:rPr>
      </w:pPr>
    </w:p>
    <w:p>
      <w:pPr>
        <w:ind w:left="1020" w:hanging="503"/>
        <w:spacing w:after="0"/>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 (note 7.3);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 (note 7.6);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(note 7.6)</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9" w:name="page130"/>
    <w:bookmarkEnd w:id="12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at December 31, 2024,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At December 31, 2024 and 2023, the following vendors represented more than 10% of total accounts payable.</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1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DLA Piper LLP</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Donnelley Financial LLC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40" w:type="dxa"/>
            <w:vAlign w:val="bottom"/>
          </w:tcPr>
          <w:p>
            <w:pPr>
              <w:jc w:val="right"/>
              <w:ind w:right="224"/>
              <w:spacing w:after="0"/>
              <w:rPr>
                <w:sz w:val="20"/>
                <w:szCs w:val="20"/>
                <w:color w:val="auto"/>
              </w:rPr>
            </w:pPr>
            <w:r>
              <w:rPr>
                <w:rFonts w:ascii="Times New Roman" w:cs="Times New Roman" w:eastAsia="Times New Roman" w:hAnsi="Times New Roman"/>
                <w:sz w:val="16"/>
                <w:szCs w:val="16"/>
                <w:color w:val="auto"/>
              </w:rPr>
              <w:t>Less than 10%</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KPMG LLP</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21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14%</w:t>
            </w:r>
          </w:p>
        </w:tc>
      </w:tr>
    </w:tbl>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2024 and 2023,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  Income taxes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83"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2.22.  Loss and earnings per share</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ASC 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0" w:name="page131"/>
    <w:bookmarkEnd w:id="13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2024 and 2023 the Company incurred net losses and therefore no potential dilutive ordinary share were utilized in the calculation of losses per share.</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(note 7)</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10,944,628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13,019,976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3,521,846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17,559,511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848,287</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2,639,169</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4,574,146</w:t>
            </w:r>
          </w:p>
        </w:tc>
        <w:tc>
          <w:tcPr>
            <w:tcW w:w="80" w:type="dxa"/>
            <w:vAlign w:val="bottom"/>
          </w:tcPr>
          <w:p>
            <w:pPr>
              <w:spacing w:after="0"/>
              <w:rPr>
                <w:sz w:val="18"/>
                <w:szCs w:val="18"/>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(note 7)</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2,335,092</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48,042,040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13,013,845</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w:t>
      </w:r>
    </w:p>
    <w:p>
      <w:pPr>
        <w:spacing w:after="0" w:line="200" w:lineRule="exact"/>
        <w:rPr>
          <w:sz w:val="20"/>
          <w:szCs w:val="20"/>
          <w:color w:val="auto"/>
        </w:rPr>
      </w:pPr>
    </w:p>
    <w:p>
      <w:pPr>
        <w:spacing w:after="0" w:line="300"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March 2024, Financial Accounting Standards Board (the “FASB”) issued Accounting Standards Update (“ASU”) 2024-02, Codification Improvements—Amendments to Remove References to the Concepts Statements (“ASU 2024-02”), which is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The Company is currently assessing the impact of ASU 2024-02 on its consolidated financial statements.</w:t>
      </w:r>
    </w:p>
    <w:p>
      <w:pPr>
        <w:spacing w:after="0" w:line="1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ASU 2023-09 requires additional disclosures related to rate reconciliation, income taxes paid, and other disclosures.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2023-09, for each annual periods presented, public entities are required to (1) disclose specific categories in the tabular rate reconciliation and (2) provide additional information for reconciling items that meet a quantitative threshold. In addition, ASU 2023-09 requires all reporting entities to disclose on an annual basis the amount of income taxes paid disaggregated by federal, state, and foreign taxes as well as the amount of income taxes paid by individual jurisdiction. ASU 2023-09 is effective for public business entities for annual periods beginning after December 15, 2024, and can be applied on a prospective</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1" w:name="page132"/>
    <w:bookmarkEnd w:id="13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basis with an option to apply the standard retrospectively. Early adoption is permitted. The Company is currently evaluating the impact of ASU 2023-09 on its consolidated financial statements and related disclosures.</w:t>
      </w:r>
    </w:p>
    <w:p>
      <w:pPr>
        <w:spacing w:after="0" w:line="16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2023-07, </w:t>
      </w:r>
      <w:r>
        <w:rPr>
          <w:rFonts w:ascii="Times New Roman" w:cs="Times New Roman" w:eastAsia="Times New Roman" w:hAnsi="Times New Roman"/>
          <w:sz w:val="18"/>
          <w:szCs w:val="18"/>
          <w:i w:val="1"/>
          <w:iCs w:val="1"/>
          <w:color w:val="auto"/>
        </w:rPr>
        <w:t>Segment Reporting—Improvements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which requires incremental disclosures related to a public entity’s reportable segments. Required disclosures include,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2024.The adoption had no impact on the reportable segment the Company has identified, and additional required disclosures have been included in Note 2.16.</w:t>
      </w:r>
    </w:p>
    <w:p>
      <w:pPr>
        <w:spacing w:after="0" w:line="19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October 2023, the FASB issued Accounting Standards Update 2023-06, Disclosure Improvements (“ASU 2023-06”), to clarify or improve disclosure and presentation requirements of a variety of topics and align the requirements in the FASB ASC with the SEC’s regulations. The amendments in ASU 2023-06 will become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 of ASU 2023-06 on its consolidated financial statements and disclosures.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237,462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1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697,214</w:t>
            </w:r>
          </w:p>
        </w:tc>
        <w:tc>
          <w:tcPr>
            <w:tcW w:w="1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960,848</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170,954</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(153,912)</w:t>
            </w: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(115,837)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52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17,332</w:t>
            </w:r>
          </w:p>
        </w:tc>
        <w:tc>
          <w:tcPr>
            <w:tcW w:w="1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-1422400</wp:posOffset>
            </wp:positionV>
            <wp:extent cx="431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-1405255</wp:posOffset>
            </wp:positionV>
            <wp:extent cx="431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-1422400</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-1405255</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and 2023 was $41,673 and $44,556 respectively.</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1,014,967</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In-development intangible asset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6,655,623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7,670,590</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amortization for Software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(920,412)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(736,834)</w:t>
            </w:r>
          </w:p>
        </w:tc>
        <w:tc>
          <w:tcPr>
            <w:tcW w:w="168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6,750,178</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52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6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F-19</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-1156335</wp:posOffset>
            </wp:positionV>
            <wp:extent cx="514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-1156335</wp:posOffset>
            </wp:positionV>
            <wp:extent cx="603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-864870</wp:posOffset>
            </wp:positionV>
            <wp:extent cx="51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-847725</wp:posOffset>
            </wp:positionV>
            <wp:extent cx="514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-864870</wp:posOffset>
            </wp:positionV>
            <wp:extent cx="603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-847725</wp:posOffset>
            </wp:positionV>
            <wp:extent cx="603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2" w:name="page133"/>
    <w:bookmarkEnd w:id="13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software for the years ended December 31, 2024 and 2023 was $183,578 and $197,800 respectively. The Company has not commenced amortizing the in-development intangible asset as it not yet ready for its intended use.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92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w w:val="99"/>
              </w:rPr>
              <w:t>As of December 31, 2024, expected amortization expense for Software over its remaining life is as follows: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75,960</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94,555</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to related parties (7.1)</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5,102,211</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shares payable (7.2)</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1,206,609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(7.3)</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10,288,123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(7.4)</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95,309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 (7.5)</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1,400,000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6,428,825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12,812,366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(Gain)/loss on extinguishment</w:t>
            </w: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(7.3)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39,658,290</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convertible debt (7.3)</w:t>
            </w:r>
          </w:p>
        </w:tc>
        <w:tc>
          <w:tcPr>
            <w:tcW w:w="18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(1,306,077)</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4,175,791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1,804,814</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44,332,819</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-2990850</wp:posOffset>
            </wp:positionV>
            <wp:extent cx="431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-2973705</wp:posOffset>
            </wp:positionV>
            <wp:extent cx="431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-1139190</wp:posOffset>
            </wp:positionV>
            <wp:extent cx="431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-1122045</wp:posOffset>
            </wp:positionV>
            <wp:extent cx="431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-1139190</wp:posOffset>
            </wp:positionV>
            <wp:extent cx="431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-1122045</wp:posOffset>
            </wp:positionV>
            <wp:extent cx="431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76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857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ind w:left="520" w:right="620" w:hanging="508"/>
        <w:spacing w:after="0" w:line="282"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16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3" w:name="page134"/>
    <w:bookmarkEnd w:id="13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340" w:hanging="503"/>
        <w:spacing w:after="0" w:line="282" w:lineRule="auto"/>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3" w:lineRule="exact"/>
        <w:rPr>
          <w:sz w:val="20"/>
          <w:szCs w:val="20"/>
          <w:color w:val="auto"/>
        </w:rPr>
      </w:pPr>
    </w:p>
    <w:p>
      <w:pPr>
        <w:jc w:val="both"/>
        <w:ind w:left="5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2.1).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75" w:lineRule="exact"/>
        <w:rPr>
          <w:sz w:val="20"/>
          <w:szCs w:val="20"/>
          <w:color w:val="auto"/>
        </w:rPr>
      </w:pPr>
    </w:p>
    <w:p>
      <w:pPr>
        <w:ind w:left="520" w:right="1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68" w:lineRule="exact"/>
        <w:rPr>
          <w:sz w:val="20"/>
          <w:szCs w:val="20"/>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1020" w:hanging="503"/>
        <w:spacing w:after="0"/>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until May 23, 2023. The Company estimated that the difference between amortizing the debt discounts and the issuance costs using the straight line method as compared to using effective interest rate method was immaterial. As noted below, senior secured convertible note has been accounted for as a troubled debt restructuring since May 23, 2023 and as a result the effective interest rate method has been applied prospectively from this date.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4" w:name="page135"/>
    <w:bookmarkEnd w:id="13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b w:val="1"/>
          <w:bCs w:val="1"/>
          <w:color w:val="auto"/>
        </w:rPr>
      </w:pPr>
    </w:p>
    <w:p>
      <w:pPr>
        <w:ind w:left="1020" w:right="440" w:hanging="503"/>
        <w:spacing w:after="0" w:line="282" w:lineRule="auto"/>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line="282" w:lineRule="auto"/>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b w:val="1"/>
          <w:bCs w:val="1"/>
          <w:color w:val="auto"/>
        </w:rPr>
      </w:pPr>
    </w:p>
    <w:p>
      <w:pPr>
        <w:ind w:left="1020" w:right="360" w:hanging="503"/>
        <w:spacing w:after="0" w:line="282" w:lineRule="auto"/>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b w:val="1"/>
          <w:bCs w:val="1"/>
          <w:color w:val="auto"/>
        </w:rPr>
      </w:pPr>
    </w:p>
    <w:p>
      <w:pPr>
        <w:ind w:left="1020" w:right="180" w:hanging="503"/>
        <w:spacing w:after="0" w:line="261" w:lineRule="auto"/>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1" w:lineRule="exact"/>
        <w:rPr>
          <w:rFonts w:ascii="Times New Roman" w:cs="Times New Roman" w:eastAsia="Times New Roman" w:hAnsi="Times New Roman"/>
          <w:sz w:val="18"/>
          <w:szCs w:val="18"/>
          <w:b w:val="1"/>
          <w:bCs w:val="1"/>
          <w:color w:val="auto"/>
        </w:rPr>
      </w:pPr>
    </w:p>
    <w:p>
      <w:pPr>
        <w:ind w:left="1020" w:hanging="503"/>
        <w:spacing w:after="0" w:line="255" w:lineRule="auto"/>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 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a troubled debt restructuring since May 23, 2023. No gain has been recognized.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5" w:name="page136"/>
    <w:bookmarkEnd w:id="13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the convertible debt as at December 31, 2023 does not include the $8,500,000 of notes issuable upon completion of the Demerger. These were contingent upon completion of the Demerger therefore upon close of the Demerger on July 4, 2024, they were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Senior Secured Convertible Notes converted all of their $8,000,000 outstanding Convertible Notes at a conversion price of $7 per ordinary share. The Company recognized a gain on extinguishment of $1,306,077, equal to the book value of the debt less the fair value of the ordinary shares issued on conversion.</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$41,892,080 million of outstanding Senior Secured Convertible Notes was revised to equal $2 per ordinary share.</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Pursuant to the Agreement, Apeiron Investment Group and Bradley Wickens will also procure that the registered nominees holding $41,512,877 of outstanding Convertible Notes and accrued interest of $1,851,020 (on behalf of Apeiron Investment Group Ltd. and Bradley Wickens) will exercise their option to convert all such outstanding Convertible Notes, at a conversion price of $2 per ordinary share. On December 27, 2024, 10,840,974 ordinary shares were issued to settle $20,756,439 and $925,510 of interest, respectively. The Company recorded a debt conversion expense of $39,658,290, equal to the fair value of the ordinary shares given up less the carrying value of the debt including accrued interest. On January 15, 2025 and February 13, 2025, respectively, a further 3,009,849 and 7,987,374 ordinary shares were issued to settle $20,756,439 and $925,510 of principle and interest. Following such conversions, there remains $0.4 million of Senior Secured Convertible Notes outstanding under the Loan Note Instrument.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4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(1,590,572)</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7,176,741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(7,401,611)</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12,103,565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r>
      <w:tr>
        <w:trPr>
          <w:trHeight w:val="250"/>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convertible debt under troubled debt restructuring</w:t>
            </w:r>
          </w:p>
        </w:tc>
        <w:tc>
          <w:tcPr>
            <w:tcW w:w="5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10,383,432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5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4,872,506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3,067,309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5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2,113,742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491,928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6,986,248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3,559,237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ind w:left="520" w:right="20" w:hanging="37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debt and $7,269 of interest.</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520" w:right="80" w:hanging="37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Jaymax, the Company agreed to issue $1,400,000 in Rezolve ordinary shares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7.6  </w:t>
      </w:r>
      <w:r>
        <w:rPr>
          <w:rFonts w:ascii="Times New Roman" w:cs="Times New Roman" w:eastAsia="Times New Roman" w:hAnsi="Times New Roman"/>
          <w:sz w:val="18"/>
          <w:szCs w:val="18"/>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2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50"/>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2, 2024, the Company obtained an unsecured loan of $2,000,000 from YA II PN, LTD (“Yorkville” or “YA”)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7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daily volume weighted average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Other Promissory Notes are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volume weighted average share price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"First YA Note")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xml:space="preserve">”, and together with the </w:t>
      </w:r>
      <w:r>
        <w:rPr>
          <w:rFonts w:ascii="Times New Roman" w:cs="Times New Roman" w:eastAsia="Times New Roman" w:hAnsi="Times New Roman"/>
          <w:sz w:val="18"/>
          <w:szCs w:val="18"/>
          <w:b w:val="1"/>
          <w:bCs w:val="1"/>
          <w:i w:val="1"/>
          <w:iCs w:val="1"/>
          <w:color w:val="auto"/>
        </w:rPr>
        <w:t>First YA Note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and a further 1,413,946 Ordinary Shares in January 2025. A loss on extinguishment of $4,175,791 was recognized. As of December 31, 2024, $2,705,929 in principal and interest was outstanding, which was subsequently settled in Ordinary Shares on February 5, 2025, and no further amounts remain outstanding.</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Promissory notes</w:t>
      </w:r>
    </w:p>
    <w:p>
      <w:pPr>
        <w:spacing w:after="0" w:line="121"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w:t>
      </w:r>
    </w:p>
    <w:p>
      <w:pPr>
        <w:ind w:right="20" w:firstLine="8"/>
        <w:spacing w:after="0" w:line="251" w:lineRule="auto"/>
        <w:tabs>
          <w:tab w:leader="none" w:pos="26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Trigger, the date Rezolve AI plc has obtained stockholder approval to increase the number of ordinary shares under the Exchange Cap (or if the Exchange Cap no longer applies), unless a subsequent Promissory Note Trigger Event occurs.</w:t>
      </w:r>
    </w:p>
    <w:p>
      <w:pPr>
        <w:spacing w:after="0" w:line="54"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Cohen &amp; Company Financial Management LLC</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7.7  Advisors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for fees payable contingent on the close of the Business Combination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Rezolve AI plc. On February 26, 2025, the Company issued 778,165 ordinary shares to settle $2,000,000 of principle outstanding to the JVB promissory note.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was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for advisors loans remain outstanding as of December 31,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1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Subscription Agreements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February 1, 2024, pursuant to the Promissory notes issued to certain institutional investors (see note 7.6), each holder of a Promissory note was also granted a freely transferable warrant (“Subscription Agreement Warrants”) by Rezolve upon completion of the Business Combination. The Subscription Agreement Warrants have an exercise price of $8.00 per share and may be exercised at any time during their three year term ending on January 31, 2027.</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certain circumstances, the Company may make an offer to all holders of its Ordinary Shares for the purchase by the Company of any of its Ordinary Shares. If such as offer is made by the Company, the Company shall give each holder of a Subscription Agreement Warrants at least 21 days’ notice that they are required to exercise their Subscription Agreement Warrants. If the holders of the Subscription Agreement Warrants do not exercise their Subscription Agreement Warrants within 14 days of receiving notice, the Company are authorized to execute a transaction to exercise the Subscription Agreement Warrants, deliver the Ordinary Shares to the holder and cancel the Subscription Agreement Warrants.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Subscription Agreement Warrants qualify for equity classification under ASC 815-40 as it is considered indexed to the Company's stock under ASC 815-40-15 and the Subscription Agreement Warrants permit the Company to share settle it. In no event will the Company be required to net cash settle any Subscription Agreement Warrants. The Company recorded these Subscription Agreement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569,982 Subscription Agreement Warrants outstanding at December 31, 2024 continue to qualify for equity classification. The Subscription Agreement Warrants have a remaining term of two years and one month as of December 31, 2024.</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Armada warrants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15, 2024, under the terms of the Business Combination (see note 2.1), each outstanding Armada Warrant was exchanged for a Rezolve Warrant that entitles the holder to purchase one Rezolve Ordinary Share, at an exercise price of $11.50 per share, in lieu of one share of Armada Common Stock and otherwise on substantially the same terms and conditions as the terms of the original Armada Warrants. The Rezolve Warrants have a term of five years from the consummation of the Business Combination.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qualify for equity classification under ASC 815-40 as it is considered indexed to the Company's stock under ASC 815-40-15 and Rezolve Warrants permit the Company to share settle it. In no event will the Company be required to net cash settle any Rezolve Warrant. The Company recorded these warrants in equity on the date of issuance which was August 15, 2024 when the Business Combination was consummated (see note 2.1) as part of the accounting for the Business Combination as a reverse merger under ASC 805.</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trade under the symbol on the Nasdaq Stock Market LLC under the symbol RZLV.W. The initial carrying amount of a freestanding equity-classified instrument is not subsequently adjusted to fair value unless, in subsequent periods, the instrument no longer qualifies for equity classification and so must be reclassified as an asset or a liability. The 7,499,994 Rezolve Warrants outstanding at December 31, 2024 continue to qualify for equity classification. The Rezolve Warrants have a remaining term of four years and seven and a half months as of December 31, 2024.</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 issued to institutional investors</w:t>
      </w:r>
    </w:p>
    <w:p>
      <w:pPr>
        <w:spacing w:after="0" w:line="11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On December 23, 2024, the Company completed a registered offering of (i) 5,000,000 Ordinary Shares, par value £0.0001 per share, and (ii) 5,000,000 warrants exercisable for an aggregate of 5,000,000 Ordinary Shares (the “Offering Warrants”), issued pursuant to the securities purchase agreement, dated December 19, 2024, between the Company and certain institutional investors.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offering price of each Ordinary Share and accompanying Offering Warrant was $3.00.</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Offering Warrants have an exercise price of $3.00 per share, are exercisable immediately upon issuance and will expire on the earlier of (i) thirty days after the volume weighted average price of the Ordinary Shares is at or above $6.00 for five consecutive trading days and (ii) five years from the date of issuance.</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consideration of H.C. Wainwright &amp; Co., LLC serving as the placement agent of this offering, the Company paid the H.C. Wainwright &amp; Co., LLC a cash fee equal to 5.5% of the aggregate gross proceeds of the Offering, and reimbursed the H.C. Wainwright &amp; Co., LLC for certain expenses and legal fees.</w:t>
      </w:r>
    </w:p>
    <w:p>
      <w:pPr>
        <w:spacing w:after="0" w:line="6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Ordinary Shares and Offering Warrants were offered pursuant to a registration statement on Form F-1 (File No. 333-283622), as amended, which was declared effective by the Securities and Exchange Commission on December 19, 2024.</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$13.8 million from this offering, after deducting offering expenses payable by the Company, including H.C. Wainwright &amp; Co., LLC’s commissions and fees. The Company intends to use the net proceeds from the Offering for working capital, repayment of convertible debt and for general corporate purposes.</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Offering Warrants qualify for equity classification under ASC 815-40 as it is considered indexed to the Company's stock under ASC 815-40-15 and the Offering Warrants permit the Company to share settle it. In no event will the Company be required to net cash settle any Offering Warrants. The Company recorded these Offering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5,000,000 Offering Warrants outstanding at December 31, 2024 continue to qualify for equity classification. The Offering Warrants have a remaining term of five years as of December 31, 2024.</w:t>
      </w:r>
    </w:p>
    <w:p>
      <w:pPr>
        <w:spacing w:after="0" w:line="200" w:lineRule="exact"/>
        <w:rPr>
          <w:sz w:val="20"/>
          <w:szCs w:val="20"/>
          <w:color w:val="auto"/>
        </w:rPr>
      </w:pPr>
    </w:p>
    <w:p>
      <w:pPr>
        <w:spacing w:after="0" w:line="307" w:lineRule="exact"/>
        <w:rPr>
          <w:sz w:val="20"/>
          <w:szCs w:val="20"/>
          <w:color w:val="auto"/>
        </w:rPr>
      </w:pPr>
    </w:p>
    <w:p>
      <w:pPr>
        <w:ind w:left="520" w:hanging="512"/>
        <w:spacing w:after="0"/>
        <w:tabs>
          <w:tab w:leader="none" w:pos="5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issued in lieu of cash payment for services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issued 4,514 ordinary shares to Sales Force in lieu of a cash payment for customer relationship platform services provided to the Company.</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D. Boral Capital LLC in lieu of a cash payment for financial and capital raising advisory services provided to the Company.</w:t>
      </w:r>
    </w:p>
    <w:p>
      <w:pPr>
        <w:spacing w:after="0" w:line="54"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the Maxim Group in lieu of a cash payment for advisory services provided to the Company.</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the guidance in ASC 505, the ordinary shares issued in lieu of cash payment for services were measured based on the fair value of services received or the ordinary shares granted, whichever was more reliably determinable. As the ordinary shares are publicly traded, the market price of the ordinary shares were readily and reliably determinable. The Company recognized expense and equity equal to the number of ordinary shares issued multiplied by the fair value per share on date of issuance. The equity impact consisted of ordinary shares at par value and the remaining proceeds in additional paid-in capital.</w:t>
      </w:r>
    </w:p>
    <w:p>
      <w:pPr>
        <w:spacing w:after="0" w:line="287" w:lineRule="exact"/>
        <w:rPr>
          <w:sz w:val="20"/>
          <w:szCs w:val="20"/>
          <w:color w:val="auto"/>
        </w:rPr>
      </w:pPr>
    </w:p>
    <w:p>
      <w:pPr>
        <w:ind w:left="520" w:hanging="512"/>
        <w:spacing w:after="0"/>
        <w:tabs>
          <w:tab w:leader="none" w:pos="5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1" w:name="page142"/>
    <w:bookmarkEnd w:id="14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LTIP Plan</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the Company was authorized to issue a maximum number of 8,596,486 ordinary shares before any grants made in the year to directors, shareholders, consultants or financers to purchase or acquire ordinary shares. After awarding 277,325 warrants (note 8), 815,661 and 4,444,773 ordinary shares to financers, a consultant and its principal shareholder and founder, respectively, the Company had 3,058,728 ordinary shares available to grant. The Company granted 2,569,331 share options under the 2022 LTIP.</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 only two employees whose combined 407,830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6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Grants in 2022 under the 2022</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LTIP</w:t>
            </w:r>
          </w:p>
        </w:tc>
      </w:tr>
      <w:tr>
        <w:trPr>
          <w:trHeight w:val="210"/>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rPr>
              <w:t>2.5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- 63.5%</w:t>
            </w: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- 4.2%</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98" w:lineRule="exact"/>
        <w:rPr>
          <w:sz w:val="20"/>
          <w:szCs w:val="20"/>
          <w:color w:val="auto"/>
        </w:rPr>
      </w:pPr>
    </w:p>
    <w:p>
      <w:pPr>
        <w:ind w:left="1020" w:right="60" w:hanging="503"/>
        <w:spacing w:after="0" w:line="282" w:lineRule="auto"/>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LTIP Plan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the Company was authorized to issue a maximum number of 8,043,318 ordinary shares before any grants made in the year to directors, shareholders, consultants or financers to purchase or acquire ordinary shares. The Company granted 8,043,318 share options in the year ended December 31, 2023 including 4,078,303 share options issued to DBLP Sea Cow Ltd. (principal shareholder, and company owned by founder, chairman and CEO Dan Wagner).</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granted 13,611,563 share options in the year ended December 31, 2024 including 4,876,969 share options issued to DBLP Sea Cow Ltd. (principal shareholder, and company owned by founder, chairman and CEO Dan Wagner).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17" w:lineRule="exact"/>
        <w:rPr>
          <w:sz w:val="20"/>
          <w:szCs w:val="20"/>
          <w:color w:val="auto"/>
        </w:rPr>
      </w:pPr>
    </w:p>
    <w:p>
      <w:pPr>
        <w:ind w:left="1020" w:right="540" w:hanging="503"/>
        <w:spacing w:after="0" w:line="282"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2" w:name="page143"/>
    <w:bookmarkEnd w:id="14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4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Grants in 2023 and 2024 under</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the 2023 LTIP</w:t>
            </w:r>
          </w:p>
        </w:tc>
        <w:tc>
          <w:tcPr>
            <w:tcW w:w="60" w:type="dxa"/>
            <w:vAlign w:val="bottom"/>
          </w:tcPr>
          <w:p>
            <w:pPr>
              <w:spacing w:after="0"/>
              <w:rPr>
                <w:sz w:val="15"/>
                <w:szCs w:val="15"/>
                <w:color w:val="auto"/>
              </w:rPr>
            </w:pPr>
          </w:p>
        </w:tc>
      </w:tr>
      <w:tr>
        <w:trPr>
          <w:trHeight w:val="210"/>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2120" w:type="dxa"/>
            <w:vAlign w:val="bottom"/>
            <w:gridSpan w:val="3"/>
            <w:shd w:val="clear" w:color="auto" w:fill="CFF0FC"/>
          </w:tcPr>
          <w:p>
            <w:pPr>
              <w:jc w:val="center"/>
              <w:ind w:left="102"/>
              <w:spacing w:after="0"/>
              <w:rPr>
                <w:sz w:val="20"/>
                <w:szCs w:val="20"/>
                <w:color w:val="auto"/>
              </w:rPr>
            </w:pPr>
            <w:r>
              <w:rPr>
                <w:rFonts w:ascii="Times New Roman" w:cs="Times New Roman" w:eastAsia="Times New Roman" w:hAnsi="Times New Roman"/>
                <w:sz w:val="18"/>
                <w:szCs w:val="18"/>
                <w:color w:val="auto"/>
              </w:rPr>
              <w:t>1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2520" w:type="dxa"/>
            <w:vAlign w:val="bottom"/>
            <w:gridSpan w:val="2"/>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- 63.5%</w:t>
            </w:r>
          </w:p>
        </w:tc>
        <w:tc>
          <w:tcPr>
            <w:tcW w:w="60" w:type="dxa"/>
            <w:vAlign w:val="bottom"/>
            <w:shd w:val="clear" w:color="auto" w:fill="CFF0FC"/>
          </w:tcPr>
          <w:p>
            <w:pPr>
              <w:spacing w:after="0"/>
              <w:rPr>
                <w:sz w:val="18"/>
                <w:szCs w:val="18"/>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3480" w:type="dxa"/>
            <w:vAlign w:val="bottom"/>
            <w:gridSpan w:val="3"/>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1020" w:hanging="503"/>
        <w:spacing w:after="0" w:line="282" w:lineRule="auto"/>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2024 was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10,612,649</w:t>
            </w: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13,611,563</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(587,296)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17,559,511</w:t>
            </w:r>
          </w:p>
        </w:tc>
        <w:tc>
          <w:tcPr>
            <w:tcW w:w="3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-333375</wp:posOffset>
            </wp:positionV>
            <wp:extent cx="603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-316230</wp:posOffset>
            </wp:positionV>
            <wp:extent cx="603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-333375</wp:posOffset>
            </wp:positionV>
            <wp:extent cx="60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-316230</wp:posOffset>
            </wp:positionV>
            <wp:extent cx="60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-333375</wp:posOffset>
            </wp:positionV>
            <wp:extent cx="596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-316230</wp:posOffset>
            </wp:positionV>
            <wp:extent cx="596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-333375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-316230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03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0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032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2024 and December 31, 2023 was $5.10 and $0.61, respectively. The total fair value of the options that vested during the year ended December 31, 2024 and December 31, 2023 was $68.8 million and $8,725,218, respectively.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31,2024, the Company had $6.1 million of unrecognized share-based compensation expense related to share options. This cost is expected to be recognized over a weighted-average period of 3 years and 9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payables</w:t>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43" w:name="page144"/>
    <w:bookmarkEnd w:id="14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17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2,225,906</w:t>
            </w: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5,694,788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1,323,842</w:t>
            </w:r>
          </w:p>
        </w:tc>
        <w:tc>
          <w:tcPr>
            <w:tcW w:w="8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duty and excise tax liability</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1,557,733</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188,766</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347,848</w:t>
            </w:r>
          </w:p>
        </w:tc>
        <w:tc>
          <w:tcPr>
            <w:tcW w:w="80" w:type="dxa"/>
            <w:vAlign w:val="bottom"/>
          </w:tcPr>
          <w:p>
            <w:pPr>
              <w:spacing w:after="0"/>
              <w:rPr>
                <w:sz w:val="18"/>
                <w:szCs w:val="18"/>
                <w:color w:val="auto"/>
              </w:rPr>
            </w:pPr>
          </w:p>
        </w:tc>
      </w:tr>
      <w:tr>
        <w:trPr>
          <w:trHeight w:val="250"/>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9,513,932</w:t>
            </w:r>
          </w:p>
        </w:tc>
        <w:tc>
          <w:tcPr>
            <w:tcW w:w="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431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ind w:left="520" w:right="6400" w:hanging="512"/>
        <w:spacing w:after="0" w:line="412" w:lineRule="auto"/>
        <w:tabs>
          <w:tab w:leader="none" w:pos="5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income/(expense), net </w:t>
      </w:r>
      <w:r>
        <w:rPr>
          <w:rFonts w:ascii="Times New Roman" w:cs="Times New Roman" w:eastAsia="Times New Roman" w:hAnsi="Times New Roman"/>
          <w:sz w:val="18"/>
          <w:szCs w:val="18"/>
          <w:i w:val="1"/>
          <w:iCs w:val="1"/>
          <w:color w:val="auto"/>
        </w:rPr>
        <w:t>Sales and marketing expenses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Advertisement and publicity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887,333</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423,710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1,371,468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4,076,671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1,602,332</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508,288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2,649,012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389,444</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6,285,446</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6,731,254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782,665</w:t>
            </w:r>
          </w:p>
        </w:tc>
        <w:tc>
          <w:tcPr>
            <w:tcW w:w="3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1,135,355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36,486,915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2,274,891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17,511,920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4,340,558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3,662,209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3,249,635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3,806,361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2,543,621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62,611,948</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2,306,182</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gridSpan w:val="2"/>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1,600,599</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874,045</w:t>
            </w:r>
          </w:p>
        </w:tc>
        <w:tc>
          <w:tcPr>
            <w:tcW w:w="80" w:type="dxa"/>
            <w:vAlign w:val="bottom"/>
            <w:tcBorders>
              <w:bottom w:val="single" w:sz="8" w:color="CFF0FC"/>
            </w:tcBorders>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131,430,412</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non-operating income (expense),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497,978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1,329,781</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Related party disclosures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520" w:type="dxa"/>
            <w:vAlign w:val="bottom"/>
            <w:vMerge w:val="continue"/>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 w:type="dxa"/>
            <w:vAlign w:val="bottom"/>
          </w:tcPr>
          <w:p>
            <w:pPr>
              <w:spacing w:after="0"/>
              <w:rPr>
                <w:sz w:val="24"/>
                <w:szCs w:val="24"/>
                <w:color w:val="auto"/>
              </w:rPr>
            </w:pPr>
          </w:p>
        </w:tc>
        <w:tc>
          <w:tcPr>
            <w:tcW w:w="5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Key managerial personnel (KMP) and Members of their immediate families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8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F-31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-5031105</wp:posOffset>
            </wp:positionV>
            <wp:extent cx="431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-5031105</wp:posOffset>
            </wp:positionV>
            <wp:extent cx="431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-2973705</wp:posOffset>
            </wp:positionV>
            <wp:extent cx="5143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-2973705</wp:posOffset>
            </wp:positionV>
            <wp:extent cx="514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-1876425</wp:posOffset>
            </wp:positionV>
            <wp:extent cx="431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-1876425</wp:posOffset>
            </wp:positionV>
            <wp:extent cx="514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87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tc>
      </w:tr>
      <w:tr>
        <w:trPr>
          <w:trHeight w:val="238"/>
        </w:trPr>
        <w:tc>
          <w:tcPr>
            <w:tcW w:w="2540" w:type="dxa"/>
            <w:vAlign w:val="bottom"/>
          </w:tcPr>
          <w:p>
            <w:pPr>
              <w:spacing w:after="0"/>
              <w:rPr>
                <w:sz w:val="20"/>
                <w:szCs w:val="20"/>
                <w:color w:val="auto"/>
              </w:rPr>
            </w:pPr>
          </w:p>
        </w:tc>
        <w:tc>
          <w:tcPr>
            <w:tcW w:w="870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43"/>
        </w:trPr>
        <w:tc>
          <w:tcPr>
            <w:tcW w:w="2540" w:type="dxa"/>
            <w:vAlign w:val="bottom"/>
          </w:tcPr>
          <w:p>
            <w:pPr>
              <w:spacing w:after="0"/>
              <w:rPr>
                <w:sz w:val="21"/>
                <w:szCs w:val="21"/>
                <w:color w:val="auto"/>
              </w:rPr>
            </w:pPr>
          </w:p>
        </w:tc>
        <w:tc>
          <w:tcPr>
            <w:tcW w:w="8700" w:type="dxa"/>
            <w:vAlign w:val="bottom"/>
          </w:tcPr>
          <w:p>
            <w:pPr>
              <w:spacing w:after="0"/>
              <w:rPr>
                <w:sz w:val="21"/>
                <w:szCs w:val="21"/>
                <w:color w:val="auto"/>
              </w:rPr>
            </w:pP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 Wagner</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Director and chief executive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Richard Burchill</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executive officer, products, technology and digital services</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Salman Ahmad</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technical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Peter Vesco</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commercial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Arthur Yao (1)</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executive officer, Rezolve China</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deputy chairman</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Sir David Wright</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Derek Smith</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 (resigned May 19, 2023)</w:t>
            </w:r>
          </w:p>
        </w:tc>
      </w:tr>
      <w:tr>
        <w:trPr>
          <w:trHeight w:val="210"/>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Susan Wagner</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Transactions and outstanding balances of related parties were as follows: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5" w:name="page146"/>
    <w:bookmarkEnd w:id="14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42"/>
        </w:trPr>
        <w:tc>
          <w:tcPr>
            <w:tcW w:w="71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Share Capital Issued at nominal value</w:t>
            </w:r>
          </w:p>
        </w:tc>
        <w:tc>
          <w:tcPr>
            <w:tcW w:w="140" w:type="dxa"/>
            <w:vAlign w:val="bottom"/>
            <w:tcBorders>
              <w:top w:val="single" w:sz="8" w:color="auto"/>
            </w:tcBorders>
            <w:shd w:val="clear" w:color="auto" w:fill="CFF0FC"/>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7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Brooks Newmark</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repaid</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Repaid</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taken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Ltd.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Debt converted into shares, including interest</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3,559,380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132,269</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4,463,322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191,405</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5,587,343</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Managerial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Key Management Personnel</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306,725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296,067</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281,164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271,395</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817,933</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789,997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Share-based compensation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61,230,453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756,944</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1,153,439</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1,326,703</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228,056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tcPr>
          <w:p>
            <w:pPr>
              <w:spacing w:after="0"/>
              <w:rPr>
                <w:sz w:val="12"/>
                <w:szCs w:val="12"/>
                <w:color w:val="auto"/>
              </w:rPr>
            </w:pP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CFF0FC"/>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842,746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389,444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963,858</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62,611,948</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2,306,182</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Consulting fees</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321,675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414,926</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621,675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714,926</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Director remuneration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Sir David Wright</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Anthony Sharp</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383,406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380,084</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Derek Smith</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670,961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657,647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Management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1,011,119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2,072,224</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64,400,841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4,053,826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65,411,960</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6,126,050</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Business development expenses</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4"/>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Rezolve China (3)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4,750,430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777,161</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-3384550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-3384550</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-2621915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-2621915</wp:posOffset>
            </wp:positionV>
            <wp:extent cx="77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-1850390</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-1850390</wp:posOffset>
            </wp:positionV>
            <wp:extent cx="7747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-692785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-692785</wp:posOffset>
            </wp:positionV>
            <wp:extent cx="774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-307340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-307340</wp:posOffset>
            </wp:positionV>
            <wp:extent cx="774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6" w:name="page147"/>
    <w:bookmarkEnd w:id="14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220" w:hanging="503"/>
        <w:spacing w:after="0" w:line="282"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liquidated through the Demerger (Refer to Note 2.1—Basis of presentation).</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former subsidiary Rezolve China (Refer to Note 2.1—Basis of presentation).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debt to related party</w:t>
            </w: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54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4,655,144</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191,405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5,587,343</w:t>
            </w:r>
          </w:p>
        </w:tc>
        <w:tc>
          <w:tcPr>
            <w:tcW w:w="80" w:type="dxa"/>
            <w:vAlign w:val="bottom"/>
          </w:tcPr>
          <w:p>
            <w:pPr>
              <w:spacing w:after="0"/>
              <w:rPr>
                <w:sz w:val="17"/>
                <w:szCs w:val="17"/>
                <w:color w:val="auto"/>
              </w:rPr>
            </w:pPr>
          </w:p>
        </w:tc>
      </w:tr>
      <w:tr>
        <w:trPr>
          <w:trHeight w:val="196"/>
        </w:trPr>
        <w:tc>
          <w:tcPr>
            <w:tcW w:w="5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Due to related party</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899,978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147,605</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Arthur Yao</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137,019</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61,945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Peter Vesco</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31,248</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17,433</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58,320</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127,325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convertible debt</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 Subscription Receivables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111,845</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4"/>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119,844</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-921385</wp:posOffset>
            </wp:positionV>
            <wp:extent cx="431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-921385</wp:posOffset>
            </wp:positionV>
            <wp:extent cx="514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-141605</wp:posOffset>
            </wp:positionV>
            <wp:extent cx="431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-141605</wp:posOffset>
            </wp:positionV>
            <wp:extent cx="514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78" w:lineRule="exact"/>
        <w:rPr>
          <w:sz w:val="20"/>
          <w:szCs w:val="20"/>
          <w:color w:val="auto"/>
        </w:rPr>
      </w:pPr>
    </w:p>
    <w:p>
      <w:pPr>
        <w:ind w:left="1020" w:right="580" w:hanging="503"/>
        <w:spacing w:after="0" w:line="282" w:lineRule="auto"/>
        <w:tabs>
          <w:tab w:leader="none" w:pos="1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the Company's lease arrangements in place during the years ended December 31, 2024 and 2023 are short-term leases as they have lease</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terms of 12 months or less and do not include options to purchase the underlying assets. Upon adoption of ASC 842, the Company elected not to record short-term leases on its consolidated balance sheet and instead recognize lease payments in its consolidated statement of operations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United States (“the US”), Spain, India and Taiwan. The income taxes of the Company are presented on a separate return basis for each tax-paying entity.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loss (income) before income taxes are as follows: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47" w:name="page148"/>
    <w:bookmarkEnd w:id="14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171,670,156</w:t>
            </w: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29,427,631</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696,137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994,933</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262,064</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298,927</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(92,982)</w:t>
            </w: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30,672,690</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7747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-153670</wp:posOffset>
            </wp:positionV>
            <wp:extent cx="1111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Current and deferred income tax expense consist of:</w:t>
      </w:r>
    </w:p>
    <w:p>
      <w:pPr>
        <w:spacing w:after="0" w:line="219"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425"/>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24"/>
                <w:szCs w:val="24"/>
                <w:color w:val="auto"/>
              </w:rPr>
            </w:pPr>
          </w:p>
        </w:tc>
      </w:tr>
      <w:tr>
        <w:trPr>
          <w:trHeight w:val="210"/>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0"/>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-299720</wp:posOffset>
            </wp:positionV>
            <wp:extent cx="514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514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14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(172,601,857)</w:t>
            </w:r>
          </w:p>
        </w:tc>
        <w:tc>
          <w:tcPr>
            <w:tcW w:w="220" w:type="dxa"/>
            <w:vAlign w:val="bottom"/>
            <w:tcBorders>
              <w:lef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43,150,464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(29,893,933)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(2,050,426)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(12,858,776)</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(4,996,208)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-153670</wp:posOffset>
            </wp:positionV>
            <wp:extent cx="514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-153670</wp:posOffset>
            </wp:positionV>
            <wp:extent cx="514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520" w:hanging="377"/>
        <w:spacing w:after="0" w:line="266" w:lineRule="auto"/>
        <w:tabs>
          <w:tab w:leader="none" w:pos="5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25% for 2024 and 23.5% for 2023.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67" w:lineRule="exact"/>
        <w:rPr>
          <w:rFonts w:ascii="Times New Roman" w:cs="Times New Roman" w:eastAsia="Times New Roman" w:hAnsi="Times New Roman"/>
          <w:sz w:val="18"/>
          <w:szCs w:val="18"/>
          <w:color w:val="auto"/>
        </w:rPr>
      </w:pPr>
    </w:p>
    <w:p>
      <w:pPr>
        <w:ind w:left="520" w:right="460" w:hanging="377"/>
        <w:spacing w:after="0" w:line="282" w:lineRule="auto"/>
        <w:tabs>
          <w:tab w:leader="none" w:pos="5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Tax loss</w:t>
            </w:r>
          </w:p>
        </w:tc>
        <w:tc>
          <w:tcPr>
            <w:tcW w:w="180" w:type="dxa"/>
            <w:vAlign w:val="bottom"/>
          </w:tcPr>
          <w:p>
            <w:pPr>
              <w:spacing w:after="0"/>
              <w:rPr>
                <w:sz w:val="13"/>
                <w:szCs w:val="13"/>
                <w:color w:val="auto"/>
              </w:rPr>
            </w:pPr>
          </w:p>
        </w:tc>
        <w:tc>
          <w:tcPr>
            <w:tcW w:w="12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carryforward</w:t>
            </w:r>
          </w:p>
        </w:tc>
        <w:tc>
          <w:tcPr>
            <w:tcW w:w="18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UK (1)</w:t>
            </w: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41,980,917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US</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6,238,596</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Spain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1,106,475</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India</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Taiwan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2,421,606</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right="540" w:hanging="512"/>
        <w:spacing w:after="0" w:line="266" w:lineRule="auto"/>
        <w:tabs>
          <w:tab w:leader="none" w:pos="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were not transferred to Rezolve AI plc in the Pre-Closing Demerger. As a result, all tax losses previously created in the UK was lost upon completion of the Pre-Closing Demerger, see note 2.1. Tax losses incurred subsequent to the Pre-Closing Demerger have an indefinite life.</w:t>
      </w:r>
    </w:p>
    <w:p>
      <w:pPr>
        <w:spacing w:after="0" w:line="6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8" w:name="page149"/>
    <w:bookmarkEnd w:id="14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6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24,388,433</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10,719,324</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6,882,336</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(based on tax return)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16,505,726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losses lost on demerger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(47,942,752)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80" w:type="dxa"/>
            <w:vAlign w:val="bottom"/>
          </w:tcPr>
          <w:p>
            <w:pPr>
              <w:spacing w:after="0"/>
              <w:rPr>
                <w:sz w:val="18"/>
                <w:szCs w:val="18"/>
                <w:color w:val="auto"/>
              </w:rPr>
            </w:pPr>
          </w:p>
        </w:tc>
      </w:tr>
      <w:tr>
        <w:trPr>
          <w:trHeight w:val="210"/>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6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-7620</wp:posOffset>
            </wp:positionV>
            <wp:extent cx="514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2025, we do not expect any material reductions to our unrecognized tax benefits related to tax positions taken as of December 31, 2024. No assurance can be given as to the nature or impact of any changes in our unrecognized tax positions during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19"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5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PP&amp;E</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1,556,454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5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7,382,329</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8,110,222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22,001,800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43,748,501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(646,895)</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(485,477)</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(1,132,372)</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20,869,428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(20,869,428)</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 net of valuation allowance</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-1148080</wp:posOffset>
            </wp:positionV>
            <wp:extent cx="5143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-1148080</wp:posOffset>
            </wp:positionV>
            <wp:extent cx="431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-582295</wp:posOffset>
            </wp:positionV>
            <wp:extent cx="5143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-582295</wp:posOffset>
            </wp:positionV>
            <wp:extent cx="431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431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w:t>
      </w:r>
    </w:p>
    <w:p>
      <w:pPr>
        <w:spacing w:after="0" w:line="33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w:t>
      </w:r>
    </w:p>
    <w:p>
      <w:pPr>
        <w:spacing w:after="0" w:line="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149" w:name="page150"/>
    <w:bookmarkEnd w:id="14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09"/>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For financial statements as of December 31, 2024, we have evaluated subsequent events through April 23, 2025, which is the date such financial statements are available to be issued.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Senior-secured term-loan facility</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January 23, 2025, the Company entered into a senior-secured term-loan facility (the “Facility”) with Joh. Berenberg, Gossler &amp; Co. KG, a financial institution established under the laws of the Federal Republic of Germany (the “Lender”). Capitalized terms used but not defined herein shall have the meanings ascribed to them in the Facility.</w:t>
      </w:r>
    </w:p>
    <w:p>
      <w:pPr>
        <w:spacing w:after="0" w:line="68" w:lineRule="exact"/>
        <w:rPr>
          <w:sz w:val="20"/>
          <w:szCs w:val="20"/>
          <w:color w:val="auto"/>
        </w:rPr>
      </w:pPr>
    </w:p>
    <w:p>
      <w:pPr>
        <w:ind w:right="100" w:firstLine="554"/>
        <w:spacing w:after="0" w:line="282" w:lineRule="auto"/>
        <w:rPr>
          <w:sz w:val="20"/>
          <w:szCs w:val="20"/>
          <w:color w:val="auto"/>
        </w:rPr>
      </w:pPr>
      <w:r>
        <w:rPr>
          <w:rFonts w:ascii="Times New Roman" w:cs="Times New Roman" w:eastAsia="Times New Roman" w:hAnsi="Times New Roman"/>
          <w:sz w:val="18"/>
          <w:szCs w:val="18"/>
          <w:color w:val="auto"/>
        </w:rPr>
        <w:t>The committed amount of the Facility is $30,000,000 (the “Committed Amount”). The Company may draw the Committed Amount, in full but not in part, until February 20, 2025 upon the satisfaction or waiver of certain customary conditions precedent.</w:t>
      </w:r>
    </w:p>
    <w:p>
      <w:pPr>
        <w:spacing w:after="0" w:line="54"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Following a draw of the Committed Amount, the Company must repay the Facility in five (5) monthly installments of $6,000,000 beginning on August 15, 2025. If the Company fails to make a scheduled repayment, a 5% fee will be added to the outstanding balance remaining under the Facility. The Company may, in its sole discretion, make prepayments of at least $3,000,000.</w:t>
      </w:r>
    </w:p>
    <w:p>
      <w:pPr>
        <w:spacing w:after="0" w:line="68"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The Facility bears no interest. However, the Company will pay a $3,000,000 arrangement fee to the Lender on the earlier of (i) the drawing the Committed Amount and (ii) February 21, 2025. The arrangement fee will be deducted from the Committed Amount disbursed to the Company. As set forth in the Facility, the arrangement fee will be reduced in connection with any prepayments made by the Company.</w:t>
      </w:r>
    </w:p>
    <w:p>
      <w:pPr>
        <w:spacing w:after="0" w:line="68"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In connection with the Facility, the Company has made certain customary representations and warranties and is required to comply with various covenants, reporting requirements and other customary requirements for similar facilities. The Company has also agreed to repay the Facility in accordance with the amortization schedule described above, beginning on August 15, 2025, and may use the proceeds it receives under or in connection with that certain Second Amended and Restated Standby Equity Purchase Agreement entered with YA II PN, Ltd. on September 6, 2024 to do so.</w:t>
      </w:r>
    </w:p>
    <w:p>
      <w:pPr>
        <w:spacing w:after="0" w:line="72" w:lineRule="exact"/>
        <w:rPr>
          <w:sz w:val="20"/>
          <w:szCs w:val="20"/>
          <w:color w:val="auto"/>
        </w:rPr>
      </w:pPr>
    </w:p>
    <w:p>
      <w:pPr>
        <w:ind w:right="120" w:firstLine="554"/>
        <w:spacing w:after="0" w:line="266" w:lineRule="auto"/>
        <w:rPr>
          <w:sz w:val="20"/>
          <w:szCs w:val="20"/>
          <w:color w:val="auto"/>
        </w:rPr>
      </w:pPr>
      <w:r>
        <w:rPr>
          <w:rFonts w:ascii="Times New Roman" w:cs="Times New Roman" w:eastAsia="Times New Roman" w:hAnsi="Times New Roman"/>
          <w:sz w:val="18"/>
          <w:szCs w:val="18"/>
          <w:color w:val="auto"/>
        </w:rPr>
        <w:t>The Facility contains customary events of default for similar financing transactions, including, among other things, if a change of control of the Company occurs. At any time after an event of default, the Lender may accelerate and make payable all or part of the Facility. The Facility is governed by the laws of Germany, and the courts of Hamburg have exclusive jurisdiction over any disputes arising out of or in connection with the Facility.</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Lender or its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0" w:name="page151"/>
    <w:bookmarkEnd w:id="15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to DBLP.</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Ltd.and Bluedot Innovation Pty. Ltd, together “Bluedot”, is a developer of mobile location technology to enhance customer experiences.</w:t>
      </w:r>
    </w:p>
    <w:p>
      <w:pPr>
        <w:spacing w:after="0" w:line="5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Bluedot Acquisition and issued the above mentioned ordinary shares as consideration to DBLP and the Tanist Group, respectively.</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Bluedot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21, 2025, the Company entered into a Securities Purchase Agreement (the “SPA”) with each of the investors listed on the Schedule of Buyers attached thereto (the “Buyers”). Capitalized terms used but not defined herein shall have the meanings ascribed to them in the SPA or the form of Convertible Note (as defined below), as applicable.</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Pursuant to the SPA, the Company has agreed to sell to the Buyers up to $1 billion of Convertible Notes. The Company has agreed to use all of the proceeds it receives from the sale of the Convertible Notes to cause a newly formed, wholly owned subsidiary of the Company (the “New SPV Subsidiary”), to purchase and hold Bitcoin, subject to certain conditions being met, as set out in the terms of the Convertible Notes.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1" w:name="page152"/>
    <w:bookmarkEnd w:id="15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the Company will initially sell $100 million of Convertible Notes (the “Initial Notes”) to the Buyers (the “Initial Closing”). In connection with the Initial Closing, the Company will also issue a number of ordinary shares (“Closing Commitment Shares”) of the Company, par value £0.0001 (“Ordinary Shares”) equal to the applicable Commitment Shares Calculation set forth in the SPA. The Closing Commitment Shares shall be purchased for a price of £0.0001 per Closing Commitment Share and shall be delivered to the Buyers as set forth in the Schedule of Buyers on the date the Closing Commitment Shares are registered for resale under the Securities Exchange Act of 1934, as amended.</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beginning on June 25, 2025 and until February 21, 2028, the Lead Buyer may cause the Company to participate in additional closings (each, an “Additional Closing”) for up to $900 million of additional Convertible Notes (the “Additional Notes” and, together with the Initial Notes, the “Convertible Notes”) with a conversion price equal to the 20-day VWAP of the Ordinary Shares on the date of the applicable Additional Closing. In connection with each Additional Closing, the Company will sell Additional Notes to the Buyers and issue a number of Ordinary Shares (“Additional Commitment Shares” and, together with Closing Commitment Shares, “Commitment Shares”) to the Buyers equal to the applicable Commitment Shares Calculation set forth in the SPA. The Additional Commitment Shares shall be purchased for a price of £0.0001 per Additional Commitment Share and shall be delivered to the Buyers on a pro rata basis upon the delivery of the Conversion Notice associated with the Additional Notes purchased at the respective Additional Closing.</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that the Lead Buyer does not purchase any Additional Notes on or prior to the earlier of (i) the Company meeting the Equity Conditions or (ii) December 24, 2025, the Company may reduce the maximum number Additional Notes purchasable by the Buyers from $900 million to $500 million.</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Each Convertible Note shall mature on the fifth anniversary of its issuance date, subject to acceleration through full redemption or conversion pursuant to its terms, and shall accrue interest at the Effective Federal Funds Rate. Upon the option of the Buyers, (i) the Initial Notes will be convertible into Ordinary Shares at a conversion price of $3 per share and (ii) the Additional Notes will be convertible into Ordinary Shares at a conversion price equal to the 20-day VWAP of the Ordinary Shares as of the date of the applicable Additional Closing on which such Additional Notes were purchased. The conversion price will be subject to adjustment as provided in the Convertible Notes if, so long as any Convertible Notes remain outstanding, the Company issues or sells, or is deemed to have issued or sold, any Ordinary Shares or other instruments convertible into Ordinary Shares at an Effective Issuance Price Per Ordinary Share less than the Conversion Price of the then-outstanding Convertible Notes.</w:t>
      </w:r>
    </w:p>
    <w:p>
      <w:pPr>
        <w:spacing w:after="0" w:line="189"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Convertible Notes will be guaranteed by the Company and all of its direct and indirect subsidiaries, including the New SPV Subsidiary. Additionally, the Convertible Notes will be secured by a first priority perfected security interest in (i) all of the Bitcoin purchased by the New SPV Subsidiary and (i) all remaining cash proceeds from the sale of the Convertible Notes held by the New SPV Subsidiary.</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Initial Closing, the Company will enter into a Pledge Agreement and Registration Rights Agreement in favor of the Buyers. The Registration Rights Agreement will register for resale all of the Ordinary Shares issued upon conversion of the Convertible Notes and all of the Commitment Shares.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Convertible Notes contain customary events of default for similar financing transactions, but with sole recourse (save in the case of certain major events of default set forth in the Note) to the segregated accounts held by the New SPV Subsidiary and irrespective to the market price of Bitcoin. In the event Bitcoin trades above the value of the Convertible Notes, the value in excess of the Convertible Notes will be for the account of the Company. At any time after an event of default, the Convertible Notes will accrue interest at a rate equal to the then applicable interest rate plus 5.0% and the Buyers may accelerate or redeem the Convertible Notes, as set forth in the Convertible Notes.</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Certain of the Buyers or their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of additional paid-in-capital</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February 26, 2025, the board of the directors of the Company passed a resolution to reduce the additional paid-in-capital of the Company by $200,000,000. A recapitalization occurred capitalizing $200,000,000 to accumulated deficit.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other liabilities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2" w:name="page153"/>
    <w:bookmarkEnd w:id="15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the Company settled certain of its outstanding convertible debt through the issuance of ordinary shares and also issued additional ordinary shares to a subscriber under its advanced subscription agreement for ordinary shares. See note 7 for more information.</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765" w:right="679" w:bottom="1440" w:gutter="0" w:footer="0" w:header="0"/>
        </w:sectPr>
      </w:pPr>
    </w:p>
    <w:bookmarkStart w:id="153" w:name="page154"/>
    <w:bookmarkEnd w:id="15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Board of Directors and Shareholders of GroupBy Group of Companies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combined consolidated financial statements of GroupBy Group of Companies, which comprise the balance sheets as of December 31, 2024 and December 31, 2023, and the related statements of loss and other comprehensive loss, changes in deficit, and cash flows for the years then ended, and the related notes to the combined consolidated financial statements, including a summary of material accounting policies.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combined consolidated financial statements referred to above present fairly, in all material respects, the financial position of GroupBy Group of Companies as of December 31, 2024 and December 31, 2023, and the results of its operations and its cash flows for the years then ended in accordance with IFRS® Accounting Standards as issued by the International Accounting Standards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Our responsibilities under those standards are further described in the Auditor’s Responsibilities for the Audit of the Combined Consolidated Financial Statements section of our report. We are required to be independent of GroupBy Group of Companies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Uncertainty Related to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draw attention to Note 3 in the combined consolidated financial statements, which indicated that GroupBy Group of Companies incurred a net loss during the years ended December 31, 2024 and December 31, 2023, and as of those dates, GroupBy Group of Companies’ current liabilities exceeded its total assets. As stated in Note 3, these events or conditions, along with other matters as set forth in Note 3, indicate that material uncertainty exists that casts significant doubt on GroupBy Group of Companies’ ability to continue as a going concern. Our opinion is not modified in respect of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Combined Consolidated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combined consolidated financial statements in accordance with IFRS Accounting Standards as issued by the International Accounting Standards Board, and for the design, implementation, and maintenance of internal control relevant to the preparation and fair presentation of combined consolidated financial statements that are free from material misstatement, whether due to fraud or error.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combined consolidated financial statements, management is required to evaluate whether there are conditions or events, considered in the aggregate, that raise substantial doubt about GroupBy Group of Companies’ ability to continue as a going concern within one year after the date that the combined consolidated financial statements are available to be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Combined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combined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combined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generally accepted auditing standards, we:</w:t>
      </w:r>
    </w:p>
    <w:p>
      <w:pPr>
        <w:spacing w:after="0" w:line="117" w:lineRule="exact"/>
        <w:rPr>
          <w:sz w:val="20"/>
          <w:szCs w:val="20"/>
          <w:color w:val="auto"/>
        </w:rPr>
      </w:pPr>
    </w:p>
    <w:p>
      <w:pPr>
        <w:ind w:left="5460" w:right="3640" w:hanging="4943"/>
        <w:spacing w:after="0" w:line="407" w:lineRule="auto"/>
        <w:tabs>
          <w:tab w:leader="none" w:pos="107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 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4" w:name="page155"/>
    <w:bookmarkEnd w:id="154"/>
    <w:p>
      <w:pPr>
        <w:ind w:left="1020" w:right="220" w:hanging="503"/>
        <w:spacing w:after="0" w:line="266"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combined consolidated financial statements, whether due to fraud or error, and design and perform audit procedures responsive to those risks. Such procedures include examining, on a test basis, evidence regarding the amounts and disclosures in the combined consolidated financial statements.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GroupBy Group of Companies’ internal control. Accordingly, no such opinion is expressed.</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combined consolidated financial statements.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GroupBy Group of Companies’ ability to continue as a going concern for a reasonable period of time.We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MNP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2025</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18"/>
                <w:szCs w:val="18"/>
                <w:i w:val="1"/>
                <w:iCs w:val="1"/>
                <w:color w:val="auto"/>
              </w:rPr>
              <w:t>(Note 5, Note 15)</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1,594,710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Investment tax credits receivable </w:t>
            </w:r>
            <w:r>
              <w:rPr>
                <w:rFonts w:ascii="Times New Roman" w:cs="Times New Roman" w:eastAsia="Times New Roman" w:hAnsi="Times New Roman"/>
                <w:sz w:val="18"/>
                <w:szCs w:val="18"/>
                <w:i w:val="1"/>
                <w:iCs w:val="1"/>
                <w:color w:val="auto"/>
              </w:rPr>
              <w:t>(Note 7)</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148,630</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Prepaid expenses and deposits </w:t>
            </w:r>
            <w:r>
              <w:rPr>
                <w:rFonts w:ascii="Times New Roman" w:cs="Times New Roman" w:eastAsia="Times New Roman" w:hAnsi="Times New Roman"/>
                <w:sz w:val="18"/>
                <w:szCs w:val="18"/>
                <w:i w:val="1"/>
                <w:iCs w:val="1"/>
                <w:color w:val="auto"/>
              </w:rPr>
              <w:t>(Note 19)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1,146,327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1,153,536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222,222</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8,999,708</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6,273,772</w:t>
            </w:r>
          </w:p>
        </w:tc>
        <w:tc>
          <w:tcPr>
            <w:tcW w:w="100" w:type="dxa"/>
            <w:vAlign w:val="bottom"/>
            <w:tcBorders>
              <w:top w:val="single" w:sz="8" w:color="CFF0FC"/>
            </w:tcBorders>
          </w:tcPr>
          <w:p>
            <w:pPr>
              <w:spacing w:after="0"/>
              <w:rPr>
                <w:sz w:val="18"/>
                <w:szCs w:val="18"/>
                <w:color w:val="auto"/>
              </w:rPr>
            </w:pPr>
          </w:p>
        </w:tc>
      </w:tr>
      <w:tr>
        <w:trPr>
          <w:trHeight w:val="210"/>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Property and equipment </w:t>
            </w:r>
            <w:r>
              <w:rPr>
                <w:rFonts w:ascii="Times New Roman" w:cs="Times New Roman" w:eastAsia="Times New Roman" w:hAnsi="Times New Roman"/>
                <w:sz w:val="18"/>
                <w:szCs w:val="18"/>
                <w:i w:val="1"/>
                <w:iCs w:val="1"/>
                <w:color w:val="auto"/>
              </w:rPr>
              <w:t>(Note 6)</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Right-of-use asset </w:t>
            </w:r>
            <w:r>
              <w:rPr>
                <w:rFonts w:ascii="Times New Roman" w:cs="Times New Roman" w:eastAsia="Times New Roman" w:hAnsi="Times New Roman"/>
                <w:sz w:val="18"/>
                <w:szCs w:val="18"/>
                <w:i w:val="1"/>
                <w:iCs w:val="1"/>
                <w:color w:val="auto"/>
              </w:rPr>
              <w:t>(Note 8)</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374,938</w:t>
            </w:r>
          </w:p>
        </w:tc>
        <w:tc>
          <w:tcPr>
            <w:tcW w:w="100" w:type="dxa"/>
            <w:vAlign w:val="bottom"/>
          </w:tcPr>
          <w:p>
            <w:pPr>
              <w:spacing w:after="0"/>
              <w:rPr>
                <w:sz w:val="18"/>
                <w:szCs w:val="18"/>
                <w:color w:val="auto"/>
              </w:rPr>
            </w:pPr>
          </w:p>
        </w:tc>
      </w:tr>
      <w:tr>
        <w:trPr>
          <w:trHeight w:val="25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21"/>
                <w:szCs w:val="21"/>
                <w:color w:val="auto"/>
              </w:rPr>
            </w:pPr>
          </w:p>
        </w:tc>
      </w:tr>
      <w:tr>
        <w:trPr>
          <w:trHeight w:val="197"/>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Bank indebtedness </w:t>
            </w:r>
            <w:r>
              <w:rPr>
                <w:rFonts w:ascii="Times New Roman" w:cs="Times New Roman" w:eastAsia="Times New Roman" w:hAnsi="Times New Roman"/>
                <w:sz w:val="18"/>
                <w:szCs w:val="18"/>
                <w:i w:val="1"/>
                <w:iCs w:val="1"/>
                <w:color w:val="auto"/>
              </w:rPr>
              <w:t>(Note 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Accounts Payable and accrued liabilities </w:t>
            </w:r>
            <w:r>
              <w:rPr>
                <w:rFonts w:ascii="Times New Roman" w:cs="Times New Roman" w:eastAsia="Times New Roman" w:hAnsi="Times New Roman"/>
                <w:sz w:val="18"/>
                <w:szCs w:val="18"/>
                <w:i w:val="1"/>
                <w:iCs w:val="1"/>
                <w:color w:val="auto"/>
              </w:rPr>
              <w:t>(Note 10, Note 15)</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21,598,041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10,416,166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18"/>
                <w:szCs w:val="18"/>
                <w:i w:val="1"/>
                <w:iCs w:val="1"/>
                <w:color w:val="auto"/>
              </w:rPr>
              <w:t>(Note 19)</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8,584,886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Current portion of 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 liability </w:t>
            </w:r>
            <w:r>
              <w:rPr>
                <w:rFonts w:ascii="Times New Roman" w:cs="Times New Roman" w:eastAsia="Times New Roman" w:hAnsi="Times New Roman"/>
                <w:sz w:val="18"/>
                <w:szCs w:val="18"/>
                <w:i w:val="1"/>
                <w:iCs w:val="1"/>
                <w:color w:val="auto"/>
              </w:rPr>
              <w:t>(Note 11)</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20,149</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42,246,145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30,823,750</w:t>
            </w:r>
          </w:p>
        </w:tc>
        <w:tc>
          <w:tcPr>
            <w:tcW w:w="100" w:type="dxa"/>
            <w:vAlign w:val="bottom"/>
          </w:tcPr>
          <w:p>
            <w:pPr>
              <w:spacing w:after="0"/>
              <w:rPr>
                <w:sz w:val="18"/>
                <w:szCs w:val="18"/>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tcPr>
          <w:p>
            <w:pPr>
              <w:spacing w:after="0"/>
              <w:rPr>
                <w:sz w:val="18"/>
                <w:szCs w:val="18"/>
                <w:color w:val="auto"/>
              </w:rPr>
            </w:pPr>
          </w:p>
        </w:tc>
      </w:tr>
      <w:tr>
        <w:trPr>
          <w:trHeight w:val="24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42,395,090</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31,012,719</w:t>
            </w:r>
          </w:p>
        </w:tc>
        <w:tc>
          <w:tcPr>
            <w:tcW w:w="100" w:type="dxa"/>
            <w:vAlign w:val="bottom"/>
            <w:shd w:val="clear" w:color="auto" w:fill="CFF0FC"/>
          </w:tcPr>
          <w:p>
            <w:pPr>
              <w:spacing w:after="0"/>
              <w:rPr>
                <w:sz w:val="21"/>
                <w:szCs w:val="21"/>
                <w:color w:val="auto"/>
              </w:rPr>
            </w:pPr>
          </w:p>
        </w:tc>
      </w:tr>
      <w:tr>
        <w:trPr>
          <w:trHeight w:val="197"/>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i w:val="1"/>
                <w:iCs w:val="1"/>
                <w:color w:val="auto"/>
              </w:rPr>
              <w:t>(Note 21)</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Share capital </w:t>
            </w:r>
            <w:r>
              <w:rPr>
                <w:rFonts w:ascii="Times New Roman" w:cs="Times New Roman" w:eastAsia="Times New Roman" w:hAnsi="Times New Roman"/>
                <w:sz w:val="18"/>
                <w:szCs w:val="18"/>
                <w:i w:val="1"/>
                <w:iCs w:val="1"/>
                <w:color w:val="auto"/>
              </w:rPr>
              <w:t>(Note 13)</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14,005,728</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18"/>
                <w:szCs w:val="18"/>
                <w:i w:val="1"/>
                <w:iCs w:val="1"/>
                <w:color w:val="auto"/>
              </w:rPr>
              <w:t>(Note 14)</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(58,196,350)</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(49,263,493)</w:t>
            </w: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Contributed surplus </w:t>
            </w:r>
            <w:r>
              <w:rPr>
                <w:rFonts w:ascii="Times New Roman" w:cs="Times New Roman" w:eastAsia="Times New Roman" w:hAnsi="Times New Roman"/>
                <w:sz w:val="18"/>
                <w:szCs w:val="18"/>
                <w:i w:val="1"/>
                <w:iCs w:val="1"/>
                <w:color w:val="auto"/>
              </w:rPr>
              <w:t>(Note 20)</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(33,220,814)</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(24,364,009)</w:t>
            </w:r>
          </w:p>
        </w:tc>
      </w:tr>
      <w:tr>
        <w:trPr>
          <w:trHeight w:val="20"/>
        </w:trPr>
        <w:tc>
          <w:tcPr>
            <w:tcW w:w="6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19"/>
                <w:szCs w:val="19"/>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-3719830</wp:posOffset>
            </wp:positionV>
            <wp:extent cx="7747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-3154045</wp:posOffset>
            </wp:positionV>
            <wp:extent cx="7747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-2862580</wp:posOffset>
            </wp:positionV>
            <wp:extent cx="774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-2845435</wp:posOffset>
            </wp:positionV>
            <wp:extent cx="774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-1739265</wp:posOffset>
            </wp:positionV>
            <wp:extent cx="774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-1165225</wp:posOffset>
            </wp:positionV>
            <wp:extent cx="7747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-1148080</wp:posOffset>
            </wp:positionV>
            <wp:extent cx="774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774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6" w:name="page157"/>
    <w:bookmarkEnd w:id="156"/>
    <w:p>
      <w:pPr>
        <w:ind w:left="4100"/>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i w:val="1"/>
                <w:iCs w:val="1"/>
                <w:color w:val="auto"/>
              </w:rPr>
              <w:t>(Note 19)</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11,874,137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9,596,739</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7,016,797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10,252,082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18"/>
                <w:szCs w:val="18"/>
                <w:i w:val="1"/>
                <w:iCs w:val="1"/>
                <w:color w:val="auto"/>
              </w:rPr>
              <w:t>(Note 7)</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6,835,367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7,096,165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18"/>
                <w:szCs w:val="18"/>
                <w:i w:val="1"/>
                <w:iCs w:val="1"/>
                <w:color w:val="auto"/>
              </w:rPr>
              <w:t>(Note 19)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4,906,824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4,158,183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General and administration </w:t>
            </w:r>
            <w:r>
              <w:rPr>
                <w:rFonts w:ascii="Times New Roman" w:cs="Times New Roman" w:eastAsia="Times New Roman" w:hAnsi="Times New Roman"/>
                <w:sz w:val="18"/>
                <w:szCs w:val="18"/>
                <w:i w:val="1"/>
                <w:iCs w:val="1"/>
                <w:color w:val="auto"/>
              </w:rPr>
              <w:t>(Note 12, Note 15, Note 16)</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2,789,811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3,010,741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8"/>
                <w:szCs w:val="18"/>
                <w:i w:val="1"/>
                <w:iCs w:val="1"/>
                <w:color w:val="auto"/>
              </w:rPr>
              <w:t>(Note 6, Note 8)</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200,370</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14,732,372</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14,401,283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the undernoted</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(7,715,575)</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(4,149,201)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and accretion </w:t>
            </w:r>
            <w:r>
              <w:rPr>
                <w:rFonts w:ascii="Times New Roman" w:cs="Times New Roman" w:eastAsia="Times New Roman" w:hAnsi="Times New Roman"/>
                <w:sz w:val="18"/>
                <w:szCs w:val="18"/>
                <w:i w:val="1"/>
                <w:iCs w:val="1"/>
                <w:color w:val="auto"/>
              </w:rPr>
              <w:t>(Note 8, Note 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1,152,396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1,147,970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47,365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Gain on revaluation of warrant liability </w:t>
            </w:r>
            <w:r>
              <w:rPr>
                <w:rFonts w:ascii="Times New Roman" w:cs="Times New Roman" w:eastAsia="Times New Roman" w:hAnsi="Times New Roman"/>
                <w:sz w:val="18"/>
                <w:szCs w:val="18"/>
                <w:i w:val="1"/>
                <w:iCs w:val="1"/>
                <w:color w:val="auto"/>
              </w:rPr>
              <w:t>(Note 11)</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(7,474)</w:t>
            </w: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1,183,758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1,227,816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(8,899,333)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(5,377,017)</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i w:val="1"/>
                <w:iCs w:val="1"/>
                <w:color w:val="auto"/>
              </w:rPr>
              <w:t>(Note 18)</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33,524</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(5,697,931)</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-2133600</wp:posOffset>
            </wp:positionV>
            <wp:extent cx="768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768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768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768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6,085,161</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(43,565,562)</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(18,795,945)</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0" w:type="dxa"/>
            <w:vAlign w:val="bottom"/>
          </w:tcPr>
          <w:p>
            <w:pPr>
              <w:spacing w:after="0"/>
              <w:rPr>
                <w:sz w:val="1"/>
                <w:szCs w:val="1"/>
                <w:color w:val="auto"/>
              </w:rPr>
            </w:pPr>
          </w:p>
        </w:tc>
      </w:tr>
      <w:tr>
        <w:trPr>
          <w:trHeight w:val="149"/>
        </w:trPr>
        <w:tc>
          <w:tcPr>
            <w:tcW w:w="5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6,215,028</w:t>
            </w: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(49,263,493)</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(24,364,009)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6,291,080</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(58,196,350)</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(33,220,814)</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-410845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-410845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-410845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-410845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for) the following activities</w:t>
            </w:r>
          </w:p>
        </w:tc>
        <w:tc>
          <w:tcPr>
            <w:tcW w:w="17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(5,697,931)</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200,369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foreign exchange loss (gain)</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(3,044)</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warrant liability</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(16,004)</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(7,474)</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working capital accounts: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445,850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2,383,829</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148,630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(122,766)</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 (net)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(439,098)</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192,488</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7,209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(147,724)</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10,415,075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12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1,233,267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3,264,176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3,135,449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853,653</w:t>
            </w:r>
          </w:p>
        </w:tc>
        <w:tc>
          <w:tcPr>
            <w:tcW w:w="120" w:type="dxa"/>
            <w:vAlign w:val="bottom"/>
          </w:tcPr>
          <w:p>
            <w:pPr>
              <w:spacing w:after="0"/>
              <w:rPr>
                <w:sz w:val="18"/>
                <w:szCs w:val="18"/>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Advances of bank indebtedness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(90,630)</w:t>
            </w:r>
          </w:p>
        </w:tc>
      </w:tr>
      <w:tr>
        <w:trPr>
          <w:trHeight w:val="20"/>
        </w:trPr>
        <w:tc>
          <w:tcPr>
            <w:tcW w:w="570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1,909,370</w:t>
            </w:r>
          </w:p>
        </w:tc>
        <w:tc>
          <w:tcPr>
            <w:tcW w:w="120" w:type="dxa"/>
            <w:vAlign w:val="bottom"/>
          </w:tcPr>
          <w:p>
            <w:pPr>
              <w:spacing w:after="0"/>
              <w:rPr>
                <w:sz w:val="18"/>
                <w:szCs w:val="18"/>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(32,373)</w:t>
            </w: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(32,093)</w:t>
            </w: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 in cash</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3,105,402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2,730,930</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3,376,896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645,966</w:t>
            </w:r>
          </w:p>
        </w:tc>
        <w:tc>
          <w:tcPr>
            <w:tcW w:w="120" w:type="dxa"/>
            <w:vAlign w:val="bottom"/>
          </w:tcPr>
          <w:p>
            <w:pPr>
              <w:spacing w:after="0"/>
              <w:rPr>
                <w:sz w:val="18"/>
                <w:szCs w:val="18"/>
                <w:color w:val="auto"/>
              </w:rPr>
            </w:pPr>
          </w:p>
        </w:tc>
      </w:tr>
      <w:tr>
        <w:trPr>
          <w:trHeight w:val="209"/>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end of year</w:t>
            </w:r>
          </w:p>
        </w:tc>
        <w:tc>
          <w:tcPr>
            <w:tcW w:w="19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additions to right-of-use assets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(232,758)</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to lease liabilities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-2139315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-2139315</wp:posOffset>
            </wp:positionV>
            <wp:extent cx="7747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-1573530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-1573530</wp:posOffset>
            </wp:positionV>
            <wp:extent cx="7747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-1007745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-1007745</wp:posOffset>
            </wp:positionV>
            <wp:extent cx="7747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-433705</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-433705</wp:posOffset>
            </wp:positionV>
            <wp:extent cx="7747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9" w:name="page160"/>
    <w:bookmarkEnd w:id="15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COMBINED CONSOLIDIDATED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For the year ended December 31, 2024</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8" w:lineRule="exact"/>
        <w:rPr>
          <w:sz w:val="20"/>
          <w:szCs w:val="20"/>
          <w:color w:val="auto"/>
        </w:rPr>
      </w:pPr>
    </w:p>
    <w:p>
      <w:pPr>
        <w:ind w:left="520" w:hanging="512"/>
        <w:spacing w:after="0"/>
        <w:tabs>
          <w:tab w:leader="none" w:pos="5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GroupBy Group of Companies (the “Group”) provides e-commerce software solutions that help their customers better connect with their customers by creating a more relevant user experience.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and registered address of the Group’s registered office is 250 The Esplanade, Suite 500, Toronto, ON M5A 4J6.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Compliance</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in accordance with International Financial Reporting Standards (“IFRS”) and interpretations adopted by the International Accounting Standards Board (“IASB”). The combined consolidated financial statements have been prepared on a historical cost basis, except for certain financial instruments that are measured at fair value as described in the accounting policies.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combined consolidated financial statements were approved by the Group’s board of directors on April 12, 2025.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combined consolidated financial statements were prepared on a going concern basis under the historical cost basis except for the revaluation of certain financial instruments. The principal accounting policies are set out in Note 4.</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on a going concern basis assuming that the Group will be able to realize its assets and to discharge its liabilities in the normal course of its operations. The Group has yet to achieve profitable operations.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2024, the Group incurred a net loss before other expenses and income taxes of $ 7,715,575 (2023 - $4,149,201</w:t>
      </w:r>
    </w:p>
    <w:p>
      <w:pPr>
        <w:spacing w:after="0" w:line="27" w:lineRule="exact"/>
        <w:rPr>
          <w:sz w:val="20"/>
          <w:szCs w:val="20"/>
          <w:color w:val="auto"/>
        </w:rPr>
      </w:pPr>
    </w:p>
    <w:p>
      <w:pPr>
        <w:ind w:right="160" w:firstLine="8"/>
        <w:spacing w:after="0" w:line="253" w:lineRule="auto"/>
        <w:tabs>
          <w:tab w:leader="none" w:pos="1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net loss and comprehensive loss of $$8,932,857 (2023 - $$5,697,931). As at December 31,2024 , the Group has a deficit of $$58,196,350 (2023 - $$49,263,493), negative working capital of $33,212,913 (2023 - $24,648,395) and was not in compliance with their financial covenants (Note 9). These conditions, among others,create substantial doubt about the Group's ability to continue as a going concern. The Group is actively seeking new equity financing to relieve its debt load and provide sufficient capital to allow the Group to achieve positive operating cash flows. There can be no assurance the Group will be able to secure new financing or achieve its projected sales targets.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Management believes that the going concern assumption is appropriate for these combined consolidated financial statements. If the Group were unable to continue operations, material adjustments to the carrying amounts and classification of assets and liabilities would be necessary.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presentation currency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financial statements are presented in United States dollars, which is the functional currency of each entity within the Group.</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judgments, estimates and assumptions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the Group’s combined consolidated financial statements requires management to make judgments,estimates and assumptions that affect the reported amounts of revenues, expenses, assets and liabilities, and the disclosure of contingent liabilities, at the reporting date. These estimates and assumptions have been made using careful judgment; however, uncertainties could result in outcomes that would require a material adjustment to the carrying amount of the asset or liability affected in the future. The most significant estimates are as follows: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60" w:name="page161"/>
    <w:bookmarkEnd w:id="160"/>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Judgments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 examines the contracts with their customers to determine the individual performance obligations and then allocates the consideration of the contract to each performance obligation. The Group's services are to give customers access to cloud-based search-enhancing and data curation algorithms. The Group has determined that performance of this service obligation occurs over the time that the contract is outstanding and as such, has recognized the revenue from each contract on a straight-line basis.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and warrant liability</w:t>
      </w:r>
    </w:p>
    <w:p>
      <w:pPr>
        <w:spacing w:after="0" w:line="22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Estimating the fair value of warrants and conversion features requires determining the most appropriate valuation model,which is dependent on the terms and conditions of the grant. This estimate also requires determining the most appropriate inputs to the valuation model including the expected life of the warrants and conversion feature, volatility and dividend yield and making assumptions about them.</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Group's functional currency is dependent on which currency the Group primarily operates in. The Group has assessed its revenues and expenditures, financing, and cash balances, and determined that the primary revenues and expenditures of each entity within the Group are denominated in United States dollars.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the carrying values of property and equipment</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Group assesses its property and equipment for indications of impairment at the end of each reporting period. Such indicators include, but are not limited to, changes in the Group's business plans, changes in market conditions and evidence of physical damage.</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Determination as to whether and to what degree property and equipment are impaired, involves management's application of judgment on highly uncertain matters such as future selling and purchasing prices, projected revenues and expenses, the effect of inflation on operating expenses, the Group's weighted average cost of capital and the economics of the industry.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Identification of cash-generating units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Group has allocated its tangible assets to the smallest identifiable group of assets that generate cash inflows and that are largely independent of the cash inflows from other assets. The Group has applied judgment to determine its cash generating units.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assesses its current liquidity and operational environment to determine if the going concern assumption is appropriate.</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Key sources of estimation uncertainty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Depreciation of the Group's property and equipment involves estimating their useful lives and residual values. These estimates may change as more experience is obtained, thereby impacting the value of the Group's property and equipment.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Black-Scholes option pricing model was developed for use in estimating the fair value of traded options, which are fully transferable with no vesting restrictions. This option valuation model requires the input of highly subjective assumptions,including the expected stock price volatility, expected lives of the options, expected dividends to be paid by the Group and risk-free interest rates. Because the Group’s stock options have characteristics significantly different from those of traded options and because changes in the input assumptions can materially affect the fair value estimate, such value is subject to measurement uncertainty. The effect on the combined consolidated financial statements from changes in such estimates in future years could be significant.</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6" w:right="399" w:bottom="1440" w:gutter="0" w:footer="0" w:header="0"/>
        </w:sectPr>
      </w:pPr>
    </w:p>
    <w:bookmarkStart w:id="161" w:name="page162"/>
    <w:bookmarkEnd w:id="16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calculation of deferred taxes is based on assumptions, which are subject to uncertainty as to timing and which tax rates are expected to apply when temporary differences reverse. Deferred taxes recorded are also subject to uncertainty regarding the magnitude on non-capital losses available for carry forward and of the balances in various tax pools as the corporate tax return have not been prepared as of the date of financial statement preparation.</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These estimates and assumptions are reviewed periodically and as adjustments become necessary, they are reported in net loss in the years in which they become known. Actual results may differ significantly from management estimates.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Investment tax credits are accrued when the Group has made the qualifying expenditures, provided there is reasonable assurance that the credits will be realized. When the investment tax credits are not accrued in the year in which the qualifying expenditures are made due to no reasonable assurance that the credits will be realized, such credits are accrued in the subsequent year in which reasonable assurance of realization is first obtained. This is accounted for as a change in accounting estimate.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2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Group uses valuation techniques that include inputs that are not based on observable market data to estimate the fair value of certain types of financial instruments. Management believes that the chosen valuation techniques and assumptions used are appropriate in determining the fair value of financial instruments.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Group recognizes an allowance for expected credit losses associated with its financial assets, other than those financial assets measured at fair value through profit and loss. Expected credit losses are measured to reflect a probability weighted amount, the time value of money, and reasonable and supportable information regarding past events, current conditions and forecasts of future economic conditions. The Group assesses credit-impairment at each reporting date. The expected credit losses are presented in the combined consolidated statement of financial position as a deduction from the gross carrying amount of the financial asset.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Material accounting policy information</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principle accounting policies adopted in the preparation of the combined consolidated financial statements are set out below. The policies have been consistently applied to all the years presented, unless otherwise stated.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combination</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combined consolidated financial statements incorporate the financial statements of GroupBy Inc. and the consolidated financial statements of GroupBy International Ltd. and its subsidiaries. GroupBy Inc. and GroupBy International Ltd. are companies under common control and were incorporated on November 15, 2012 and November 18, 2013, respectively,under the laws of the Province of Ontario. GroupBy International Ltd.'s wholly owned subsidiary, GroupBy USA Inc., was incorporated under the laws of the State of Delaware on November 18, 2013. GroupBy International Ltd.'s other wholly owned subsidiary, GroupBy UK Ltd., was incorporated on November 23, 2018 under the Companies Act 2006 of England and Wales.</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Subsidiaries are entities controlled by the Group. Control is achieved where the Group is exposed, or has rights, to variable returns from its involvement with the entities and has the ability to affect those returns through its power over the entities. In assessing control, only rights that give the Group the current ability to direct the relevant activities and that the Group has the practical ability to exercise, are considered.</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results of subsidiaries are included in these combined consolidated financial statements from the effective date of acquisition, as appropriate. Where necessary, adjustments are made to the combined consolidated financial statements of acquired subsidiaries to conform their accounting policies to the Group's accounting policies. All inter-Group transactions,balances, income and expenses are eliminated on consolidation and combination.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62" w:name="page163"/>
    <w:bookmarkEnd w:id="162"/>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using uniform accounting policies for like transactions and other events in similar circumstances. Where necessary, adjustments are made to the financial statements of subsidiaries to ensure consistency with those used by other members of the Group.</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Any balances, unrealized gains and losses or income and expenses arising from inter-Group transactions, are eliminated upon consolidation and combination. Unrealized gains arising from transactions with equity accounted investees are eliminated against the investment to the extent of the Group’s interest in the investee. Unrealized losses are eliminated in the same manner as unrealized gains, but only to the extent that there is no evidence of impairment.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in United States ("US") dollars, the functional currency of the Group's operations.</w:t>
      </w:r>
    </w:p>
    <w:p>
      <w:pPr>
        <w:spacing w:after="0" w:line="16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Transactions denominated in foreign currencies are translated into the functional currency of the Group at exchange rates prevailing at the transaction dates (spot exchange rates). Monetary assets and liabilities are retranslated at the exchange rates at the combined consolidated statement of financial position date. Exchange gains and losses on translation or settlement are recognized in net loss for the year.</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Non-monetary items that are measured at historical cost are translated using the exchange rates at the date of the transaction and non-monetary items that are measured at fair value are translated using the exchange rates at the date when the items’ fair values were determined. Translation gains and losses are included in net loss and comprehensive loss for the year.</w:t>
      </w:r>
    </w:p>
    <w:p>
      <w:pPr>
        <w:spacing w:after="0" w:line="3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Group recognizes revenue when it transfers control of its services to the customer. As the Group has the right to bill customers in advance of providing the services, the Group recognizes the amount receivable with a corresponding deferred revenue. The Group follows a 5-step process to determine whether to recognize revenue:</w:t>
      </w:r>
    </w:p>
    <w:p>
      <w:pPr>
        <w:spacing w:after="0" w:line="176" w:lineRule="exact"/>
        <w:rPr>
          <w:sz w:val="20"/>
          <w:szCs w:val="20"/>
          <w:color w:val="auto"/>
        </w:rPr>
      </w:pPr>
    </w:p>
    <w:p>
      <w:pPr>
        <w:ind w:left="700" w:hanging="183"/>
        <w:spacing w:after="0"/>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with a customer</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performance obligations are satisfied.</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Group's principal service involves cloud-based software solutions, which include the "Searchandiser" and "Edgecase Enrich" products. These services provide customers with e-commerce curation and intelligent search tools along with available support. Additional server time can be purchased separately and most contracts span multiple years. The Group recognizes revenue on a straight-line basis over the contract term as access to the software is provided. Additional server time is billed on a data-consumption basis and is recognized at the time the additional server time is provided. The Group recognizes sales commissions incurred to obtain new contracts as an asset which is amortized into expense on a straight-line basis over the term of the related contract.</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Group recognizes an asset, included in prepaid expenses and deposits, for the incremental costs of obtaining a contract with a customer if it expects the costs to be recoverable and has determined that such costs meet the requirements to be capitalized. Capitalized contract acquisition costs are amortized consistent with the pattern of transfer to the customer for the services to which the asset relates. The Group does not capitalize incremental costs of obtaining contracts if the amortization period is one year or less.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deferred taxes</w:t>
      </w:r>
    </w:p>
    <w:p>
      <w:pPr>
        <w:spacing w:after="0" w:line="22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Income taxes are comprised of current and deferred taxes. Income taxes are recognized in the combined consolidated statement of loss and comprehensive loss except to the extent that it relates to items recognized directly in equity, in which case the income tax is also recognized directly in equity.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3" w:name="page164"/>
    <w:bookmarkEnd w:id="163"/>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Current tax is the expected taxes payable on the taxable income for the year, using tax rates enacted, or substantively enacted, at the end of the reporting period, and any adjustment to tax payable in respect of previous years.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Deferred tax is recognized in respect of temporary differences arising between the tax bases of assets and liabilities and their carrying amounts in the financial statements. Deferred tax is determined on a non-discounted basis using tax rates and laws that have been enacted or substantively enacted at the end of the reporting period and are expected to apply when the asset is realized, or liability is settled. Deferred tax assets are recognized for deductible temporary differences, unused tax losses and other income tax deductions to the extent that it is probable the Group will have taxable income against which those deductible temporary differences, unused tax losses and other income tax deductions can be utilized. The extent to which deductible temporary differences, unused tax losses and other income tax deductions are expected to be realized is reassessed at the end of each reporting period.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Investment tax credits (“ITCs”) are recognized where there is reasonable assurance that the ITCs will be received and all attached conditions will be complied with. When the ITCs relate to an expense item, it is recognized in revenue. Where the ITCs relate to an asset, it reduces the carrying amount of the asset. The ITCs are then recognized as income over the useful life of a depreciable asset by way of a reduced depreciation charge. The Group is actively engaged in scientific research and development (“R&amp;D”) and, accordingly, has previously filed for ITC refunds under both the Canadian federal and Ontario provincial Scientific Research and Experimental Development (“SR&amp;ED”) tax incentive programs. The ITCs recorded in the accounts are based on management’s interpretation of the Income Tax Act of Canada, provisions which govern the eligibility of R&amp;D costs. The claims are subject to review by the Canada Revenue Agency and the Minister of Revenue for Ontario before the refunds can be released.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losses. Cost includes expenditures that are directly attributable to the acquisition of the asset. Subsequent costs are included in the asset’s carrying amount or recognized as a separate asset, as appropriate, only when it is probable that future economic benefits associated with the item will flow to the Group and the cost can be measured reliably. The carrying amount of a replaced asset is derecognized when replaced. Repairs and maintenance costs are charged to the combined consolidated statement of loss and comprehensive loss during the period in which they are incurred.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Depreciation is provided using the declining balance method at rates intended to depreciate the cost of assets over their estimated useful lives.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methods of depreciation and depreciation rates applicable for each class of asset during the current and comparative years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492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66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3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Residual values, method of depreciation and useful lives of the assets are reviewed annually and adjusted, if required.</w:t>
      </w:r>
    </w:p>
    <w:p>
      <w:pPr>
        <w:spacing w:after="0" w:line="22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Gains and losses on disposals of property and equipment are determined by comparing the proceeds with the carrying amount of the asset and are included in the combined consolidated statement of loss and comprehensive loss.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Directors, officers, consultants, and employees of the Group receive remuneration in the form of share-based payment transactions, whereby directors, officers, consultants, and employees render services as consideration for equity instruments ("equity-settled share-based payments").</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Where equity instruments are issued and some or all of the goods or services received by the Group as consideration cannot be specifically identified, these non-identifiable goods or services are measured as the difference between the fair value of the share-based payment and the fair value of any identifiable goods or services received at the grant date.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4" w:name="page165"/>
    <w:bookmarkEnd w:id="164"/>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Equity-settled share-based payments to employees and others providing similar services are measured at the fair value of the equity instruments at the grant date. The fair value of the equity instruments granted is estimated using the Black-Scholes option pricing model, taking into account amounts that are believed to approximate the expected volatility of the trading price of the Group's stock, the expected lives of the awards of stock-based compensation, the fair value of the Group's stock and the risk-free interest rate, as determined at the grant date.</w:t>
      </w:r>
    </w:p>
    <w:p>
      <w:pPr>
        <w:spacing w:after="0" w:line="180"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equity instruments granted is recognized as an expense over the vesting period, based on the Group's estimate of the number of equity instruments that will eventually vest, with a corresponding increase to contributed surplus.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Group’s financial assets, upon initial recognition, are measured at fair value and are classified as Fair Value through Profit or Loss (“FVTPL”), Fair Value through Other Comprehensive Income (“FVOCI”), or amortized cost. The classification is determined at initial recognition and is dependent on the business model in which a financial asset is managed and the characteristics of the contractual cash flows. Subsequent reclassification may only occur on the first day of the reporting period following a change to the business model.</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Group’s financial liabilities, upon initial recognition, are measured at fair value and are classified as amortized cost or FVTPL. A financial liability is classified as amortized cost at initial recognition unless it is classified as held-for-trading, is a derivative instrument or is specifically designated as FVTPL. Financial liabilities classified as amortized cost are subsequently measured using the effective interest method while financial liabilities at FVTPL are subsequently measured at fair value with changes in fair value recognized in the combined consolidated statement of loss and comprehensive loss in the period in which such changes arise.</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for trade receivables. The Group records an allowance for expected credit losses for financial assets that are measured at amortized cost. At each reporting date, the Group measures the allowance at an amount equal to the lifetime expected credit losses if the credit risk on its financial assets has increased significantly since initial recognition. If credit risk has not significantly increased since initial recognition, the Group measures the loss allowance at an amount equal to the 12-month expected credit losses.</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Transaction costs, other than those related to financial instruments classified as FVTPL, which are expensed as incurred,are capitalized to the carrying amount of the instrument and amortized using the effective interest method.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Group's classification of their financial instruments is disclosed below:</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5"/>
                <w:szCs w:val="15"/>
                <w:color w:val="auto"/>
              </w:rPr>
            </w:pPr>
          </w:p>
        </w:tc>
      </w:tr>
      <w:tr>
        <w:trPr>
          <w:trHeight w:val="210"/>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and receivable</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bl>
    <w:p>
      <w:pPr>
        <w:spacing w:after="0" w:line="3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Compound financial instruments and embedded derivatives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examines the terms of its preferred shares for the correct classification in shareholders' deficit or liabilities. The Class A preferred shares have a conversion feature that includes a price-based antidilution adjustment. The price-based antidilution adjustment ensures Class A preferred shareholders are made whole in the event of a down financing round at the expense of common shareholders; therefore, the conversion feature was assessed to be a derivative liability, and measured at fair value. The residual amount was classified as equity. The derivative liability was determined to have a value of $nil (2023 - $nil) as at December 31, 2024. The derivative liability is revalued using the option pricing model at the end of each reporting period, with any changes recognized on the combined consolidated statement of loss and other comprehensive loss.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5" w:name="page166"/>
    <w:bookmarkEnd w:id="16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inception of a contract, the Group assesses whether a contract is, or contains, a lease based on whether the contract conveys the right to control the use of identified asset for a period of time in exchange for consideration. The Group recognizes a right-of-use asset and a lease liability at the lease commencement date. The right-of-use assets are initially measured based on the initial amount of the lease liability adjusted for any lease payments made at or before the commencement date, plus any initial direct costs incurred and an estimate of the costs to dismantle and remove the underlying assets or to restore the underlying assets or the site on which it is located, less any lease incentives received.The right-of-use assets are depreciated to the earlier of the end of their useful life or the lease term using the straight-line method as this most closely reflects the expected pattern of the consumption of the future economic benefits. The lease term includes periods covered by an option to extend if the Group is reasonably certain to exercise that option. In addition,the right-of-use assets can be periodically reduced by impairment losses, if any, and adjusted for certain remeasurements of the lease liability. The lease liabilities are initially measured at the present value of the lease payments that are not paid at the commencement date, discounted using the interest rate implicit in the lease or, if that rate cannot be readily determined, the Group’s incremental borrowing rate.</w:t>
      </w:r>
    </w:p>
    <w:p>
      <w:pPr>
        <w:spacing w:after="0" w:line="19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lease liabilities are measured at amortized cost using the effective interest method. It is remeasured when there is a change in future lease payments arising from the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in this way, a corresponding adjustment is made to the carrying amount of the right-of-use asset, unless it has been reduced to zero.</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Group has elected to apply the practical expedient not to recognize right-of-use assets and lease liabilities for short-term leases that have a lease term of 12 months or less or to leases of low value assets when applicable. The lease payments associated with those leases are recognized as an expense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 w:hanging="512"/>
        <w:spacing w:after="0"/>
        <w:tabs>
          <w:tab w:leader="none" w:pos="5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had the following receivables at the end of each reporting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9"/>
        </w:trPr>
        <w:tc>
          <w:tcPr>
            <w:tcW w:w="170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2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Harmonized sales tax receivable</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304,206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2,398,367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2,894,022</w:t>
            </w:r>
          </w:p>
        </w:tc>
        <w:tc>
          <w:tcPr>
            <w:tcW w:w="2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 for expected credit losses (Note 15)</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1,594,710</w:t>
            </w:r>
          </w:p>
        </w:tc>
        <w:tc>
          <w:tcPr>
            <w:tcW w:w="2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737"/>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2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w w:val="99"/>
              </w:rPr>
              <w:t>F-53</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-1293495</wp:posOffset>
            </wp:positionV>
            <wp:extent cx="431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-1293495</wp:posOffset>
            </wp:positionV>
            <wp:extent cx="431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-1002030</wp:posOffset>
            </wp:positionV>
            <wp:extent cx="431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-984885</wp:posOffset>
            </wp:positionV>
            <wp:extent cx="431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-1002030</wp:posOffset>
            </wp:positionV>
            <wp:extent cx="431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-984885</wp:posOffset>
            </wp:positionV>
            <wp:extent cx="431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6" w:name="page167"/>
    <w:bookmarkEnd w:id="166"/>
    <w:p>
      <w:pPr>
        <w:ind w:left="520" w:hanging="512"/>
        <w:spacing w:after="0"/>
        <w:tabs>
          <w:tab w:leader="none" w:pos="52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Funiture and</w:t>
            </w: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40" w:type="dxa"/>
            <w:vAlign w:val="bottom"/>
          </w:tcPr>
          <w:p>
            <w:pPr>
              <w:spacing w:after="0"/>
              <w:rPr>
                <w:sz w:val="13"/>
                <w:szCs w:val="13"/>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sofware</w:t>
            </w:r>
          </w:p>
        </w:tc>
        <w:tc>
          <w:tcPr>
            <w:tcW w:w="14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fixtures</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5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451,351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187,745</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688,404</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(451,351)</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(11,069)</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(187,745)</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51,489</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343,323</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143,723</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36,471</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534,586</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(455,225)</w:t>
            </w: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(11,048)</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(183,893)</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108,028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44,022</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-1859280</wp:posOffset>
            </wp:positionV>
            <wp:extent cx="768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-1859280</wp:posOffset>
            </wp:positionV>
            <wp:extent cx="7747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-1859280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-1859280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-1859280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-1576705</wp:posOffset>
            </wp:positionV>
            <wp:extent cx="768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-1576705</wp:posOffset>
            </wp:positionV>
            <wp:extent cx="774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-1576705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-1576705</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-1576705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-1010920</wp:posOffset>
            </wp:positionV>
            <wp:extent cx="7683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-1010920</wp:posOffset>
            </wp:positionV>
            <wp:extent cx="7747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-1010920</wp:posOffset>
            </wp:positionV>
            <wp:extent cx="685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-1010920</wp:posOffset>
            </wp:positionV>
            <wp:extent cx="685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-436245</wp:posOffset>
            </wp:positionV>
            <wp:extent cx="768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-436245</wp:posOffset>
            </wp:positionV>
            <wp:extent cx="7747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-436245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-436245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-436245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-153670</wp:posOffset>
            </wp:positionV>
            <wp:extent cx="768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-153670</wp:posOffset>
            </wp:positionV>
            <wp:extent cx="774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-153670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-153670</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-153670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Tax Credits</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Group undertakes certain scientific research and experimental development ("SR&amp;ED") activities. As at December 31,2024, the Group accrued $nil (2023 - $148,630) of investment tax credits ("ITCs") receivable. During the year, ITCs of $nil (2023 - $148,630) have been included as a reduction in research and development costs in relation to its current year claim.</w:t>
      </w:r>
    </w:p>
    <w:p>
      <w:pPr>
        <w:spacing w:after="0" w:line="200" w:lineRule="exact"/>
        <w:rPr>
          <w:sz w:val="20"/>
          <w:szCs w:val="20"/>
          <w:color w:val="auto"/>
        </w:rPr>
      </w:pPr>
    </w:p>
    <w:p>
      <w:pPr>
        <w:spacing w:after="0" w:line="296"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and lease liabilities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December 31, 2024, the Group's right-of-use assets and lease liabilities include a lease agreement for office premises in Toronto, Ontario.</w:t>
      </w:r>
    </w:p>
    <w:p>
      <w:pPr>
        <w:spacing w:after="0" w:line="2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Right-of-use assets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illustrates the right-of-use assets balance during the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73"/>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Office premises</w:t>
            </w:r>
          </w:p>
        </w:tc>
        <w:tc>
          <w:tcPr>
            <w:tcW w:w="0" w:type="dxa"/>
            <w:vAlign w:val="bottom"/>
          </w:tcPr>
          <w:p>
            <w:pPr>
              <w:spacing w:after="0"/>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09"/>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58,190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Additions to the right-of-use assets during the year were $nil (2023 - $232,758).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right-of-use assets are depreciated on a straight-line basis over the term of the respective leases.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sets out the maturity analysis of the 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752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Maturity analysis - contractual undiscounted cash flows</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51,264</w:t>
            </w:r>
          </w:p>
        </w:tc>
        <w:tc>
          <w:tcPr>
            <w:tcW w:w="6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159,320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More than five years</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liabilities as at December 31</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210,584</w:t>
            </w: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included in the statement of financial position as at December 31</w:t>
            </w:r>
          </w:p>
        </w:tc>
        <w:tc>
          <w:tcPr>
            <w:tcW w:w="2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192,014</w:t>
            </w: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-4594225</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7747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lease liabilities were measured at the present value of the remaining lease payments, discounted using the Group's estimated incremental borrowing rate at the inception of the leases. Leases are discounted at an estimated incremental borrowing rate of 9.00% (2023 - 9.75%). The expiration date of the outstanding lease agreement is September 2028 (2023 -September 2028).</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Group incurred interest expense of $nil (2023 - $2,783) on the lease liabilities, which was included in interest and accretion in the combined consolidated statement of loss and other comprehensive loss.</w:t>
      </w:r>
    </w:p>
    <w:p>
      <w:pPr>
        <w:spacing w:after="0" w:line="266" w:lineRule="exact"/>
        <w:rPr>
          <w:sz w:val="20"/>
          <w:szCs w:val="20"/>
          <w:color w:val="auto"/>
        </w:rPr>
      </w:pPr>
    </w:p>
    <w:p>
      <w:pPr>
        <w:ind w:left="520" w:hanging="512"/>
        <w:spacing w:after="0"/>
        <w:tabs>
          <w:tab w:leader="none" w:pos="5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indebtedness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Group has access to a revolving credit facility with Bridge Bank, a division of Western Alliance. This credit facility has a maximum credit limit of $12,000,000 (2023 - $12,000,000). As at December 31, 2024, the Group had utilized $12,000,000 (2023 - $12,000,000) of this facility. The facility bears interest at the greater of (i) 3.25% and; (ii) bank's prime rate plus 1.25% (2023 - greater of (i) 3.25% and; (ii) bank's prime rate plus 1.25%) per annum. The facility is secured by a first priority security interest over all rights, title and interests of the Group.</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During the year, the Group recognized interest expense of $1,147,083 (2023 - $1,140,563) related to the above facilities, which is included in interest and accretion expense on the combined consolidated statement of loss and other comprehensive loss.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68" w:name="page169"/>
    <w:bookmarkEnd w:id="168"/>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credit agreement with Bridge Bank, the Group is governed by standard operating covenants and must comply with certain financial covenants with respect to minimum annual recurring revenue and minimum liquidity, as defined in the loan and security agreement that the Group must achieve over a series of predefined periods. As at December 31, 2024, the Group was not in compliance with these financial covenants (2023 - not in compliance).</w:t>
      </w:r>
    </w:p>
    <w:p>
      <w:pPr>
        <w:spacing w:after="0" w:line="284"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remittances</w:t>
      </w:r>
    </w:p>
    <w:p>
      <w:pPr>
        <w:spacing w:after="0" w:line="22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Government remittances payable of $12,662 (2023 - $4,374) related to United States sales taxes and United Kingdom value added taxes are included in accounts payable and accrued liabilities as at December 31, 2024.</w:t>
      </w:r>
    </w:p>
    <w:p>
      <w:pPr>
        <w:spacing w:after="0" w:line="266"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22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Group has issued warrants to Silicon Valley Bank in connection to a credit facility that was fully repaid and closed in the prior year. Each warrant is exchangeable for one Class A preferred share of GroupBy International Ltd. and GroupBy Inc. with an exercise price of $1.45 (2023 - $1.45). Upon initial recognition, the warrants were determined to be and presented as a warrant liability as the terms of the warrants give the holder the option to settle in cash or to exchange the warrants for Class A preferred share of an equivalent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Share-based payments</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23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December 31, 2022</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14,883,972</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1,360,500</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(1,583,500)</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Options outstanding, December 31, 2023</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14,660,972</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1,361,750</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4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(132,500)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(1,164,666)</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 outstanding, December 31, 2024</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3"/>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620" w:type="dxa"/>
            <w:vAlign w:val="bottom"/>
            <w:gridSpan w:val="4"/>
          </w:tcPr>
          <w:p>
            <w:pPr>
              <w:jc w:val="right"/>
              <w:ind w:right="3140"/>
              <w:spacing w:after="0"/>
              <w:rPr>
                <w:sz w:val="20"/>
                <w:szCs w:val="20"/>
                <w:color w:val="auto"/>
              </w:rPr>
            </w:pPr>
            <w:r>
              <w:rPr>
                <w:rFonts w:ascii="Times New Roman" w:cs="Times New Roman" w:eastAsia="Times New Roman" w:hAnsi="Times New Roman"/>
                <w:sz w:val="18"/>
                <w:szCs w:val="18"/>
                <w:color w:val="auto"/>
              </w:rPr>
              <w:t>F-56</w:t>
            </w: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-1559560</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-1559560</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-993775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-993775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15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at</w:t>
            </w:r>
          </w:p>
        </w:tc>
        <w:tc>
          <w:tcPr>
            <w:tcW w:w="200" w:type="dxa"/>
            <w:vAlign w:val="bottom"/>
          </w:tcPr>
          <w:p>
            <w:pPr>
              <w:spacing w:after="0"/>
              <w:rPr>
                <w:sz w:val="12"/>
                <w:szCs w:val="12"/>
                <w:color w:val="auto"/>
              </w:rPr>
            </w:pPr>
          </w:p>
        </w:tc>
        <w:tc>
          <w:tcPr>
            <w:tcW w:w="10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Remaining life (years)</w:t>
            </w:r>
          </w:p>
        </w:tc>
        <w:tc>
          <w:tcPr>
            <w:tcW w:w="0" w:type="dxa"/>
            <w:vAlign w:val="bottom"/>
          </w:tcPr>
          <w:p>
            <w:pPr>
              <w:spacing w:after="0"/>
              <w:rPr>
                <w:sz w:val="1"/>
                <w:szCs w:val="1"/>
                <w:color w:val="auto"/>
              </w:rPr>
            </w:pPr>
          </w:p>
        </w:tc>
      </w:tr>
      <w:tr>
        <w:trPr>
          <w:trHeight w:val="173"/>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Liquidity Event</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17, 2014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27,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2015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21,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27,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15,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15, 2017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28,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2018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14,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30, 2019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26, 2020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31, 2020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16,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October 15,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5, 2023</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2024</w:t>
            </w:r>
          </w:p>
        </w:tc>
        <w:tc>
          <w:tcPr>
            <w:tcW w:w="14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2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at December 31, 2024, the weighted average exercise price of the outstanding and exercisable options is $0.50 (2023 -$0.50). The remaining contractual lives of outstanding and exercisable options and range between 0.1 and 1.4 years (2023- 0.1 and 2.4 years). Share-based payment expense for year was $76,062 (2023 - $129,867).</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are the assumptions that were used to value the options issued during the year ended December 31, 2024:</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120" w:type="dxa"/>
            <w:vAlign w:val="bottom"/>
            <w:gridSpan w:val="2"/>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r>
      <w:tr>
        <w:trPr>
          <w:trHeight w:val="210"/>
        </w:trPr>
        <w:tc>
          <w:tcPr>
            <w:tcW w:w="6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fair value per common share</w:t>
            </w:r>
          </w:p>
        </w:tc>
        <w:tc>
          <w:tcPr>
            <w:tcW w:w="280" w:type="dxa"/>
            <w:vAlign w:val="bottom"/>
          </w:tcPr>
          <w:p>
            <w:pPr>
              <w:spacing w:after="0"/>
              <w:rPr>
                <w:sz w:val="18"/>
                <w:szCs w:val="18"/>
                <w:color w:val="auto"/>
              </w:rPr>
            </w:pPr>
          </w:p>
        </w:tc>
        <w:tc>
          <w:tcPr>
            <w:tcW w:w="1840" w:type="dxa"/>
            <w:vAlign w:val="bottom"/>
            <w:tcBorders>
              <w:top w:val="single" w:sz="8" w:color="auto"/>
            </w:tcBorders>
          </w:tcPr>
          <w:p>
            <w:pPr>
              <w:jc w:val="right"/>
              <w:ind w:right="16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120" w:type="dxa"/>
            <w:vAlign w:val="bottom"/>
            <w:gridSpan w:val="2"/>
            <w:shd w:val="clear" w:color="auto" w:fill="CFF0FC"/>
          </w:tcPr>
          <w:p>
            <w:pPr>
              <w:jc w:val="right"/>
              <w:ind w:right="1676"/>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61.88%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2120" w:type="dxa"/>
            <w:vAlign w:val="bottom"/>
            <w:gridSpan w:val="2"/>
            <w:shd w:val="clear" w:color="auto" w:fill="CFF0FC"/>
          </w:tcPr>
          <w:p>
            <w:pPr>
              <w:jc w:val="center"/>
              <w:ind w:left="633"/>
              <w:spacing w:after="0"/>
              <w:rPr>
                <w:sz w:val="20"/>
                <w:szCs w:val="20"/>
                <w:color w:val="auto"/>
              </w:rPr>
            </w:pPr>
            <w:r>
              <w:rPr>
                <w:rFonts w:ascii="Times New Roman" w:cs="Times New Roman" w:eastAsia="Times New Roman" w:hAnsi="Times New Roman"/>
                <w:sz w:val="18"/>
                <w:szCs w:val="18"/>
                <w:b w:val="1"/>
                <w:bCs w:val="1"/>
                <w:color w:val="auto"/>
              </w:rPr>
              <w:t>0.8-1.6</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rPr>
              <w:t>0.00%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20" w:type="dxa"/>
            <w:vAlign w:val="bottom"/>
            <w:gridSpan w:val="2"/>
            <w:shd w:val="clear" w:color="auto" w:fill="CFF0FC"/>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2.79% - 4.39%</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center"/>
              <w:ind w:right="193"/>
              <w:spacing w:after="0"/>
              <w:rPr>
                <w:sz w:val="20"/>
                <w:szCs w:val="20"/>
                <w:color w:val="auto"/>
              </w:rPr>
            </w:pPr>
            <w:r>
              <w:rPr>
                <w:rFonts w:ascii="Times New Roman" w:cs="Times New Roman" w:eastAsia="Times New Roman" w:hAnsi="Times New Roman"/>
                <w:sz w:val="18"/>
                <w:szCs w:val="18"/>
                <w:color w:val="auto"/>
                <w:w w:val="99"/>
              </w:rPr>
              <w:t>3.56% - 4.96%</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Group's authorized capital consists of:- An unlimited number of Class A common shares in the capital of GroupBy Inc. and GroupBy International Ltd.</w:t>
      </w:r>
    </w:p>
    <w:p>
      <w:pPr>
        <w:spacing w:after="0" w:line="162" w:lineRule="exact"/>
        <w:rPr>
          <w:sz w:val="20"/>
          <w:szCs w:val="20"/>
          <w:color w:val="auto"/>
        </w:rPr>
      </w:pPr>
    </w:p>
    <w:p>
      <w:pPr>
        <w:ind w:left="5460" w:right="2580" w:hanging="4943"/>
        <w:spacing w:after="0" w:line="407" w:lineRule="auto"/>
        <w:tabs>
          <w:tab w:leader="none" w:pos="62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B common shares in the capital of GroupBy Inc. and GroupBy International Ltd. 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70" w:name="page171"/>
    <w:bookmarkEnd w:id="170"/>
    <w:p>
      <w:pPr>
        <w:ind w:left="620" w:hanging="103"/>
        <w:spacing w:after="0"/>
        <w:tabs>
          <w:tab w:leader="none" w:pos="6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C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D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A preferred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520" w:right="2380" w:hanging="3"/>
        <w:spacing w:after="0" w:line="500" w:lineRule="auto"/>
        <w:tabs>
          <w:tab w:leader="none" w:pos="62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number of Class A-1 preferred shares in the capital of GroupBy Inc. and GroupBy International Ltd. </w:t>
      </w:r>
      <w:r>
        <w:rPr>
          <w:rFonts w:ascii="Times New Roman" w:cs="Times New Roman" w:eastAsia="Times New Roman" w:hAnsi="Times New Roman"/>
          <w:sz w:val="18"/>
          <w:szCs w:val="18"/>
          <w:u w:val="single" w:color="auto"/>
          <w:color w:val="auto"/>
        </w:rPr>
        <w:t>Class A common shares</w:t>
      </w:r>
    </w:p>
    <w:p>
      <w:pPr>
        <w:spacing w:after="0" w:line="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share equally with the holders of the Class B common shares, Class C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notice of and attend any meeting of the shareholders of the Group and shall be entitled to one vote in respect of each Class A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B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share equally with the holders of the Class A common shares, Class C common shares and Class D common shares, share for share, in the remaining property of the Group upon the liquidation, dissolution or winding up of the Group, whether voluntary or involuntary.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B common share shall be entitled to receive notice of and attend any meeting of the shareholdersof the Group and shall be entitled to 1.0000000000001 votes in respect of each Class B common share held at all meetingsof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C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share equally with the holders of the Class A common shares, Class B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C common share shall be entitled to receive notice of and attend any meeting of the shareholders of the Group and shall be entitled to 1.0000000000002 votes in respect of each Class C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D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36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share equally with the holders of the Class A common shares, Class B common shares and Class C common shares, share for share, in the remaining property of the Group up on the liquidation, dissolution or winding up of the Group, whether voluntary or involuntary.The holders of the Class D common share shall be entitled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1" w:name="page172"/>
    <w:bookmarkEnd w:id="171"/>
    <w:p>
      <w:pPr>
        <w:ind w:right="340"/>
        <w:spacing w:after="0" w:line="282" w:lineRule="auto"/>
        <w:rPr>
          <w:sz w:val="20"/>
          <w:szCs w:val="20"/>
          <w:color w:val="auto"/>
        </w:rPr>
      </w:pPr>
      <w:r>
        <w:rPr>
          <w:rFonts w:ascii="Times New Roman" w:cs="Times New Roman" w:eastAsia="Times New Roman" w:hAnsi="Times New Roman"/>
          <w:sz w:val="18"/>
          <w:szCs w:val="18"/>
          <w:color w:val="auto"/>
        </w:rPr>
        <w:t>to receive notice of and attend any meeting of the shareholders of the Group and shall be entitled to 1.0000000000003 votes in respect of each Class D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A preferred shares and Class A-1 preferred shares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shall not declare, pay or set aside any dividends on shares of any other class of the Group unless the holders of the Class A and Class A-1 preferred shares then outstanding simultaneously receive, on a pro-rata basis, a dividend on each outstanding Class A and Class A-1 preferred share.In the event of any voluntary or involuntary liquidation, dissolution or winding up of the Group, the holders of Class A and Class A-1 preferred shares are entitled to be paid out of the assets of the Group available for distribution to its shareholders on a pro-rata basis with the holders of the Class A and Class A-1 preferred shares and before any payment shall be made to the holders of common shares, with the amount payable in respect of each Class A preferred shares equal to an amount per share equal to the Class A original issue price (US$1.4543 per share), plus any dividends declared but unpaid thereon.</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preferred shares shall be entitled to cast the number of votes equal to the number of whole common shares into which the Class A and Class A-1 preferred shares are convertible as of the record date for determining shareholders entitled to vote on such matter. Holders of Class A preferred shares shall vote together with the holders of preferred shares and the holders of common shares as a single class.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holders of Class A and A-1 preferred shares have conversion rights to convert, at the option of the holder, at any time and from time to time, and without payment of additional consideration by its holder, into such number of fully paid and nonassessable common shares as is determined by dividing the Class A original issue price by the Class A conversion price,as defined in the articles of the Group. Upon specific trigger events as specified in the articles of amendment, all outstanding Class A and Class A-1 preferred shares shall automatically be converted into common shares.</w:t>
      </w:r>
    </w:p>
    <w:p>
      <w:pPr>
        <w:spacing w:after="0" w:line="1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Each holder of Class A and Class A-1 preferred shares shall be entitled to elect to receive distributions (including dividends)from the Group on the preferred shares as a return of stated capital upon liquidation of the Group's business. Every dollar paid as a return of stated capital shall be considered to have satisfied one dollar of the distribution entitlement of each preferred share.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Borders>
              <w:bottom w:val="single" w:sz="8" w:color="auto"/>
            </w:tcBorders>
          </w:tcPr>
          <w:p>
            <w:pPr>
              <w:spacing w:after="0"/>
              <w:rPr>
                <w:sz w:val="15"/>
                <w:szCs w:val="15"/>
                <w:color w:val="auto"/>
              </w:rPr>
            </w:pPr>
          </w:p>
        </w:tc>
        <w:tc>
          <w:tcPr>
            <w:tcW w:w="668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6,075,633 Class A common shares (2023 - 6,075,633)</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836,742</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836,742</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28,188,792</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shares (2023 - 28,188,792)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4,533,882 Class D common shares (2023 - 4,533,882)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14,492,467</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preferred shares (2023 - 14,492,467)</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13,168,946</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13,168,946</w:t>
            </w:r>
          </w:p>
        </w:tc>
        <w:tc>
          <w:tcPr>
            <w:tcW w:w="100" w:type="dxa"/>
            <w:vAlign w:val="bottom"/>
          </w:tcPr>
          <w:p>
            <w:pPr>
              <w:spacing w:after="0"/>
              <w:rPr>
                <w:sz w:val="18"/>
                <w:szCs w:val="18"/>
                <w:color w:val="auto"/>
              </w:rPr>
            </w:pPr>
          </w:p>
        </w:tc>
      </w:tr>
      <w:tr>
        <w:trPr>
          <w:trHeight w:val="209"/>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100" w:type="dxa"/>
            <w:vAlign w:val="bottom"/>
            <w:shd w:val="clear" w:color="auto" w:fill="CFF0FC"/>
          </w:tcPr>
          <w:p>
            <w:pPr>
              <w:spacing w:after="0"/>
              <w:rPr>
                <w:sz w:val="18"/>
                <w:szCs w:val="18"/>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6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-8255</wp:posOffset>
            </wp:positionV>
            <wp:extent cx="7747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4"/>
        </w:trPr>
        <w:tc>
          <w:tcPr>
            <w:tcW w:w="3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300" w:type="dxa"/>
            <w:vAlign w:val="bottom"/>
          </w:tcPr>
          <w:p>
            <w:pPr>
              <w:spacing w:after="0"/>
              <w:rPr>
                <w:sz w:val="24"/>
                <w:szCs w:val="24"/>
                <w:color w:val="auto"/>
              </w:rPr>
            </w:pPr>
          </w:p>
        </w:tc>
        <w:tc>
          <w:tcPr>
            <w:tcW w:w="13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Weigthed Average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2022</w:t>
            </w:r>
          </w:p>
        </w:tc>
        <w:tc>
          <w:tcPr>
            <w:tcW w:w="180" w:type="dxa"/>
            <w:vAlign w:val="bottom"/>
          </w:tcPr>
          <w:p>
            <w:pPr>
              <w:spacing w:after="0"/>
              <w:rPr>
                <w:sz w:val="18"/>
                <w:szCs w:val="18"/>
                <w:color w:val="auto"/>
              </w:rPr>
            </w:pPr>
          </w:p>
        </w:tc>
        <w:tc>
          <w:tcPr>
            <w:tcW w:w="3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2023</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4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included in equity, December 31, 2024</w:t>
            </w:r>
          </w:p>
        </w:tc>
        <w:tc>
          <w:tcPr>
            <w:tcW w:w="180" w:type="dxa"/>
            <w:vAlign w:val="bottom"/>
          </w:tcPr>
          <w:p>
            <w:pPr>
              <w:spacing w:after="0"/>
              <w:rPr>
                <w:sz w:val="18"/>
                <w:szCs w:val="18"/>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11,429,093</w:t>
            </w:r>
          </w:p>
        </w:tc>
        <w:tc>
          <w:tcPr>
            <w:tcW w:w="4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-436245</wp:posOffset>
            </wp:positionV>
            <wp:extent cx="7683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-436245</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-436245</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-153670</wp:posOffset>
            </wp:positionV>
            <wp:extent cx="7683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-153670</wp:posOffset>
            </wp:positionV>
            <wp:extent cx="6858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-153670</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total warrants included in equity include 135,000 (2023 - 135,000) warrants exchangeable for one class A common share of GroupBy International Ltd. and GroupBy Inc. with an exercise price of $2.14 (2023 - $2.14) and 11,294,093 (2023 - 11,294,093) warrants exchangeable for one class A preferred share of GroupBy International Ltd. and GroupBy Inc. During the year ended December 31, 2024, 8,767,105 warrants had their expiration date extended by a year from July 2024 to July 2025, and 2,526,988 warrants had their expiration date extended by a year from September 2024 to September 2025. No remeasurement adjustments were made as a result of the extension of the expiration dates.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2" w:name="page173"/>
    <w:bookmarkEnd w:id="172"/>
    <w:p>
      <w:pPr>
        <w:ind w:left="520" w:hanging="512"/>
        <w:spacing w:after="0"/>
        <w:tabs>
          <w:tab w:leader="none" w:pos="52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Group as part of its operations carries a number of financial instruments. It is management's opinion that the Group is not exposed to significant interest, currency or credit risks arising from these financial instruments except as otherwise disclosed.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Fair value is the amount for which an asset could be exchanged, or a liability settled, between knowledgeable, willing parties in an arm’s length transaction. Cash is classified as Level 1 in the fair value hierarchy. The fair value of the Group’s cash, accounts receivable, investment tax credits receivable, bank indebtedness, accounts payable and accrued liabilities, and income taxes payable are estimated by management to approximate their carrying values due to their short-term nature. The fair value of the Group's lease liabilities and long-term debt are also fairly reflected by their carrying values as they have been financed at interest rates which are similar to current market interest rates. The fair value of the Group's warrant liability is estimated using the Black-Scholes option pricing model, as described in Note 11, and is therefore classified as Level 3 in the fair value hierarchy.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Interest rate risk is the risk that the value of a financial instrument might be adversely affected by a change in the interest rates. Changes in market interest rates may have an effect on the cash flows associated with some financial assets and liabilities, known as cash flow risk, and on the fair value of other financial assets or liabilities, known as price risk. The Group is exposed to interest rate risk through the impact of changes in market interest rates on the fair values of its instruments.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cash flow risk on its bank indebtedness as it is subject to a floating interest rate.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price risk on its lease liabilities as they are subject to fixed interest rates.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Group may not be able to generate sufficient cash resources to settle its obligations as they become due. The Group manages liquidity risk by maintaining adequate cash balances and borrowing facilities, by continuously monitoring forecast and actual cash flows, and by matching the maturity profiles of financial assets and liabilities.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Group's financial liabilities that would be settled by cash resources and contractual maturities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260" w:type="dxa"/>
            <w:vAlign w:val="bottom"/>
          </w:tcPr>
          <w:p>
            <w:pPr>
              <w:spacing w:after="0"/>
              <w:rPr>
                <w:sz w:val="15"/>
                <w:szCs w:val="15"/>
                <w:color w:val="auto"/>
              </w:rPr>
            </w:pPr>
          </w:p>
        </w:tc>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&gt; 3 years</w:t>
            </w: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20,831,240</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20,831,240</w:t>
            </w:r>
          </w:p>
        </w:tc>
        <w:tc>
          <w:tcPr>
            <w:tcW w:w="120" w:type="dxa"/>
            <w:vAlign w:val="bottom"/>
            <w:shd w:val="clear" w:color="auto" w:fill="CFF0FC"/>
          </w:tcPr>
          <w:p>
            <w:pPr>
              <w:spacing w:after="0"/>
              <w:rPr>
                <w:sz w:val="18"/>
                <w:szCs w:val="18"/>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120" w:type="dxa"/>
            <w:vAlign w:val="bottom"/>
          </w:tcPr>
          <w:p>
            <w:pPr>
              <w:spacing w:after="0"/>
              <w:rPr>
                <w:sz w:val="20"/>
                <w:szCs w:val="20"/>
                <w:color w:val="auto"/>
              </w:rPr>
            </w:pP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 8 describes the contractual maturities of the Group's lease liabilities.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Credit risk is the risk of loss associated with a counterparty’s inability to fulfill its payment obligations. The Group’s principal financial assets that expose it to credit risk are trade receivables and the Group mitigates this risk by monitoring the credit worthiness of its customers.</w:t>
      </w:r>
    </w:p>
    <w:p>
      <w:pPr>
        <w:spacing w:after="0" w:line="16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to provide for expected credit losses as prescribed by IFRS 9, which permits the use of the lifetime expected loss provision for all trade receivables and contract assets. The expected credit loss provision is based on the Group’s historical collections and loss experience and incorporates forward-looking factors, where appropriate. During the year, the Group recognized $nil (2023 - $103,685) of bad debt expense included in general and administrative expenses.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Lifetime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13"/>
              <w:spacing w:after="0"/>
              <w:rPr>
                <w:sz w:val="20"/>
                <w:szCs w:val="20"/>
                <w:color w:val="auto"/>
              </w:rPr>
            </w:pPr>
            <w:r>
              <w:rPr>
                <w:rFonts w:ascii="Times New Roman" w:cs="Times New Roman" w:eastAsia="Times New Roman" w:hAnsi="Times New Roman"/>
                <w:sz w:val="14"/>
                <w:szCs w:val="14"/>
                <w:color w:val="auto"/>
              </w:rPr>
              <w:t>Lifetime</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Trade receivable aging</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200" w:type="dxa"/>
            <w:vAlign w:val="bottom"/>
            <w:vMerge w:val="restart"/>
          </w:tcPr>
          <w:p>
            <w:pPr>
              <w:spacing w:after="0"/>
              <w:rPr>
                <w:sz w:val="12"/>
                <w:szCs w:val="12"/>
                <w:color w:val="auto"/>
              </w:rPr>
            </w:pPr>
          </w:p>
        </w:tc>
        <w:tc>
          <w:tcPr>
            <w:tcW w:w="6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expected credit</w:t>
            </w:r>
          </w:p>
        </w:tc>
        <w:tc>
          <w:tcPr>
            <w:tcW w:w="220" w:type="dxa"/>
            <w:vAlign w:val="bottom"/>
            <w:vMerge w:val="restart"/>
          </w:tcPr>
          <w:p>
            <w:pPr>
              <w:spacing w:after="0"/>
              <w:rPr>
                <w:sz w:val="12"/>
                <w:szCs w:val="12"/>
                <w:color w:val="auto"/>
              </w:rPr>
            </w:pPr>
          </w:p>
        </w:tc>
        <w:tc>
          <w:tcPr>
            <w:tcW w:w="5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 allowance</w:t>
            </w:r>
          </w:p>
        </w:tc>
        <w:tc>
          <w:tcPr>
            <w:tcW w:w="20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loss allowance</w:t>
            </w:r>
          </w:p>
        </w:tc>
        <w:tc>
          <w:tcPr>
            <w:tcW w:w="22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0-30 days</w:t>
            </w:r>
          </w:p>
        </w:tc>
        <w:tc>
          <w:tcPr>
            <w:tcW w:w="180" w:type="dxa"/>
            <w:vAlign w:val="bottom"/>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921,012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172,789</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1,397,441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217,685</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31-60 days</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225,992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129,560</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177,415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96,525</w:t>
            </w:r>
          </w:p>
        </w:tc>
        <w:tc>
          <w:tcPr>
            <w:tcW w:w="10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61-90 days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than 90 days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12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100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-153670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-153670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-153670</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-153670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credit concentration exists relating to accounts receivable. As at December 31, 2024, three customers (2022 - four) accounted for approximately 63% (2023 - 68% ) of accounts receivable and two customers (2023 - two) accounted for 43% of revenues from operations (2023 - 33%).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 financial instrument will fluctuate because of changes in foreign exchange rates. The Group undertakes transactions denominated in foreign currencies and for which the related revenues, expenses, accounts receivable and accounts payable balances are subject to exchange rate fluctuations. Management regularly reviews the foreign exchange rates in relation to the United States dollar and the Group's foreign currency position. As at December 31, 2024, the following items are denominated in foreign currencies and are converted to the U.S. dollar equivalent: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Canadian Dollar</w:t>
            </w:r>
          </w:p>
        </w:tc>
        <w:tc>
          <w:tcPr>
            <w:tcW w:w="28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296,117</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81,651</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304,207</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194,594</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393,091</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439,784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British pound sterling</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105,975</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320" w:type="dxa"/>
            <w:vAlign w:val="bottom"/>
            <w:shd w:val="clear" w:color="auto" w:fill="CFF0FC"/>
          </w:tcPr>
          <w:p>
            <w:pPr>
              <w:spacing w:after="0"/>
              <w:rPr>
                <w:sz w:val="18"/>
                <w:szCs w:val="18"/>
                <w:color w:val="auto"/>
              </w:rPr>
            </w:pPr>
          </w:p>
        </w:tc>
      </w:tr>
      <w:tr>
        <w:trPr>
          <w:trHeight w:val="238"/>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9,751</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3,148.00</w:t>
            </w:r>
          </w:p>
        </w:tc>
        <w:tc>
          <w:tcPr>
            <w:tcW w:w="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right="7360" w:hanging="512"/>
        <w:spacing w:after="0" w:line="503" w:lineRule="auto"/>
        <w:tabs>
          <w:tab w:leader="none" w:pos="52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and balances </w:t>
      </w:r>
      <w:r>
        <w:rPr>
          <w:rFonts w:ascii="Times New Roman" w:cs="Times New Roman" w:eastAsia="Times New Roman" w:hAnsi="Times New Roman"/>
          <w:sz w:val="18"/>
          <w:szCs w:val="18"/>
          <w:b w:val="1"/>
          <w:bCs w:val="1"/>
          <w:i w:val="1"/>
          <w:iCs w:val="1"/>
          <w:color w:val="auto"/>
        </w:rPr>
        <w:t>Key management compensation of the Group</w:t>
      </w: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Key management personnel are comprised of four (2023 - four) of the Group’s directors and executive officers. In addition to salaries and benefits, key management personnel also receive share-based payments, which are further described in Note 12, and management fees.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management personnel compensation is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580" w:type="dxa"/>
            <w:vAlign w:val="bottom"/>
            <w:gridSpan w:val="2"/>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8,421</w:t>
            </w:r>
          </w:p>
        </w:tc>
        <w:tc>
          <w:tcPr>
            <w:tcW w:w="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 (included in general and administrative expenses)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375,154</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431,998</w:t>
            </w:r>
          </w:p>
        </w:tc>
        <w:tc>
          <w:tcPr>
            <w:tcW w:w="32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(included in general and administrative expenses)</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474,213</w:t>
            </w:r>
          </w:p>
        </w:tc>
        <w:tc>
          <w:tcPr>
            <w:tcW w:w="3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493,169</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09"/>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857,788</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943,942</w:t>
            </w:r>
          </w:p>
        </w:tc>
        <w:tc>
          <w:tcPr>
            <w:tcW w:w="32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-153670</wp:posOffset>
            </wp:positionV>
            <wp:extent cx="7747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-153670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74" w:name="page175"/>
    <w:bookmarkEnd w:id="174"/>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Group's objective in managing capital is to ensure sufficient liquidity to pursue its strategy of organic growth combined with strategic acquisitions, so that it can provide above average returns for its shareholders. The Group defines capital that it manages as the aggregate of its shareholders' deficit, which consists of issued capital, warrants, and deficit.</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Group manages its capital structure and makes adjustments to it in light of general economic conditions and the risk characteristics of the underlying assets and the Group's working capital requirements. In order to maintain or adjust the capital structure, the Group, upon approval from its Board of Directors, may issue shares, repurchase shares through a normal course issuer bid and pay dividends. The Board of Directors reviews and approves any material transactions not in the ordinary course of business that may include various acquisition proposals, as well as capital and operating budgets. No changes were made in the objectives, policies or processes of capital management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 w:hanging="512"/>
        <w:spacing w:after="0"/>
        <w:tabs>
          <w:tab w:leader="none" w:pos="52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of the combined Canadian federal and provincial statutory income tax rate of 26.5% (2023- 26.5%) to the effective tax rate is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jc w:val="right"/>
              <w:ind w:right="9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before recovery of income taxes</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(8,899,333)</w:t>
            </w:r>
          </w:p>
        </w:tc>
        <w:tc>
          <w:tcPr>
            <w:tcW w:w="100" w:type="dxa"/>
            <w:vAlign w:val="bottom"/>
            <w:shd w:val="clear" w:color="auto" w:fill="CFF0FC"/>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(5,377,017)</w:t>
            </w: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Expected income tax recovery at 26.5%</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(2,358,330.00)</w:t>
            </w: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(1,424,909.00)</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Difference in tax rates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(1,355)</w:t>
            </w: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26,044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6,615</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State Tax</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2,131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FX translation</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948,432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(248,663)</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 based compensation and non-deductible expenses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133,605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94,328</w:t>
            </w:r>
          </w:p>
        </w:tc>
        <w:tc>
          <w:tcPr>
            <w:tcW w:w="100" w:type="dxa"/>
            <w:vAlign w:val="bottom"/>
            <w:shd w:val="clear" w:color="auto" w:fill="CFF0FC"/>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Book to filing adjustment</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45,162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44,758</w:t>
            </w:r>
          </w:p>
        </w:tc>
        <w:tc>
          <w:tcPr>
            <w:tcW w:w="100" w:type="dxa"/>
            <w:vAlign w:val="bottom"/>
          </w:tcPr>
          <w:p>
            <w:pPr>
              <w:spacing w:after="0"/>
              <w:rPr>
                <w:sz w:val="12"/>
                <w:szCs w:val="12"/>
                <w:color w:val="auto"/>
              </w:rPr>
            </w:pPr>
          </w:p>
        </w:tc>
      </w:tr>
      <w:tr>
        <w:trPr>
          <w:trHeight w:val="148"/>
        </w:trPr>
        <w:tc>
          <w:tcPr>
            <w:tcW w:w="61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tax benefits not recognized</w:t>
            </w:r>
          </w:p>
        </w:tc>
        <w:tc>
          <w:tcPr>
            <w:tcW w:w="22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1,225,375</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1,850,140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tax expense</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Group's income tax is allocated as follows: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tax expense</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expense</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2"/>
        </w:trPr>
        <w:tc>
          <w:tcPr>
            <w:tcW w:w="61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Borders>
              <w:top w:val="single" w:sz="8" w:color="CFF0FC"/>
            </w:tcBorders>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following table summarizes the components of deferred tax:</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 Assets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obligations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59,653</w:t>
            </w:r>
          </w:p>
        </w:tc>
        <w:tc>
          <w:tcPr>
            <w:tcW w:w="100" w:type="dxa"/>
            <w:vAlign w:val="bottom"/>
            <w:shd w:val="clear" w:color="auto" w:fill="CFF0FC"/>
          </w:tcPr>
          <w:p>
            <w:pPr>
              <w:spacing w:after="0"/>
              <w:rPr>
                <w:sz w:val="12"/>
                <w:szCs w:val="12"/>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SR&amp;ED pool from T661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47,699</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(13,593)</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Financing costs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Federal ITCs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(31,510)</w:t>
            </w:r>
          </w:p>
        </w:tc>
      </w:tr>
      <w:tr>
        <w:trPr>
          <w:trHeight w:val="149"/>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and lease receivables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(58,599.00)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12(1)(x) Inducement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(3,650.00)</w:t>
            </w:r>
          </w:p>
        </w:tc>
      </w:tr>
      <w:tr>
        <w:trPr>
          <w:trHeight w:val="142"/>
        </w:trPr>
        <w:tc>
          <w:tcPr>
            <w:tcW w:w="61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-1859280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-1422400</wp:posOffset>
            </wp:positionV>
            <wp:extent cx="685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have been offset where they relate to income taxes levied by the same taxation authority and the Group has the legal right and intent to offset. During the year, $nil (2023 - $nil) net deferred tax liabilities were recognized in net loss and $nil (2023 - $nil) net deferred tax liabilities were recognized in equity.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Unrecognized deferred tax assets:</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Deferred taxes are provided as a result of temporary differences that arise due to the differences between the income tax values and the carrying amount of assets and liabilities. Deferred tax assets have not been recognized in respect of the following deductible temporary differences: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1,084,954</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1,242,482</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reserves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1,272,731</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issuance costs - 20(1)(e)</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21,779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Non-capital losses carried forward - Canada</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37,762,917</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Non-capital losses carried forward - Foreign</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3,235,107</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208,466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SR&amp;ED pool from T661</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1,048,835</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1,025,175</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Costs - US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118,445</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144,446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ORDTC</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35,887</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39,043</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22,404</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Charitable donations carryforward</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46,418,316</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41,731,303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-8255</wp:posOffset>
            </wp:positionV>
            <wp:extent cx="6858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Canadian non-capital loss carry forwards expire as noted in the table below. Share issue and financing costs will be fully amortized in 2024. The remaining deductible temporary differences may be carried forward indefinitely. Deferred tax assets have not been recognized in respect of these items because it is not probable that future taxable profit will be available against which the Group can utilize the benefits there from.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Group's unused Canadian non-capital income tax losses, for which no deferred tax has been recognized, expires as follows:</w:t>
      </w:r>
    </w:p>
    <w:p>
      <w:pPr>
        <w:spacing w:after="0" w:line="200" w:lineRule="exact"/>
        <w:rPr>
          <w:sz w:val="20"/>
          <w:szCs w:val="20"/>
          <w:color w:val="auto"/>
        </w:rPr>
      </w:pPr>
    </w:p>
    <w:p>
      <w:pPr>
        <w:spacing w:after="0" w:line="259"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2034</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491,819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2035</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493,259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2036</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1,275,928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2037</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3,580,452</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2038</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4,935,279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2039</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4,948,348</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2040</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2,178,411</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2041</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3,157,169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2042</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8,197,548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2043</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5,312,888</w:t>
            </w:r>
          </w:p>
        </w:tc>
        <w:tc>
          <w:tcPr>
            <w:tcW w:w="3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2044</w:t>
            </w:r>
          </w:p>
        </w:tc>
        <w:tc>
          <w:tcPr>
            <w:tcW w:w="146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5,014,108</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10"/>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-153670</wp:posOffset>
            </wp:positionV>
            <wp:extent cx="431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Revenue is disaggregated primarily by geographical market. The Group has one reportable segment (cloud-based services). Contract liabilities include deferred revenue which represents cash received in advance of service being provided.Contract costs include prepaid commissions which are paid in advance and deferred over the life of the contract. These prepaid commissions are included in prepaid expenses and deposits.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geography</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270,805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301,842</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8,361,218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11,763,759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5,722,919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4,915,000</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1,223,946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783,420</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3,003,926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1,780,000</w:t>
            </w:r>
          </w:p>
        </w:tc>
        <w:tc>
          <w:tcPr>
            <w:tcW w:w="100" w:type="dxa"/>
            <w:vAlign w:val="bottom"/>
          </w:tcPr>
          <w:p>
            <w:pPr>
              <w:spacing w:after="0"/>
              <w:rPr>
                <w:sz w:val="18"/>
                <w:szCs w:val="18"/>
                <w:color w:val="auto"/>
              </w:rPr>
            </w:pPr>
          </w:p>
        </w:tc>
      </w:tr>
      <w:tr>
        <w:trPr>
          <w:trHeight w:val="21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308,120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tcPr>
          <w:p>
            <w:pPr>
              <w:spacing w:after="0"/>
              <w:rPr>
                <w:sz w:val="18"/>
                <w:szCs w:val="18"/>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Contract costs (included in prepaid expenses and deposits)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561,085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422,123</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679,520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831,259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(included in sales and marketing expenses)</w:t>
            </w:r>
          </w:p>
        </w:tc>
        <w:tc>
          <w:tcPr>
            <w:tcW w:w="16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(573,611)</w:t>
            </w:r>
          </w:p>
        </w:tc>
        <w:tc>
          <w:tcPr>
            <w:tcW w:w="14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(692,297)</w:t>
            </w:r>
          </w:p>
        </w:tc>
      </w:tr>
      <w:tr>
        <w:trPr>
          <w:trHeight w:val="210"/>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666,994</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8,118,419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4,854,243</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19,785,348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22,719,505</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recognized to revenue</w:t>
            </w:r>
          </w:p>
        </w:tc>
        <w:tc>
          <w:tcPr>
            <w:tcW w:w="16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(18,552,081)</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(19,455,329)</w:t>
            </w:r>
          </w:p>
        </w:tc>
      </w:tr>
      <w:tr>
        <w:trPr>
          <w:trHeight w:val="209"/>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9,351,686</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-710565</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Contributed surplus</w:t>
            </w: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8"/>
        </w:trPr>
        <w:tc>
          <w:tcPr>
            <w:tcW w:w="3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r>
      <w:tr>
        <w:trPr>
          <w:trHeight w:val="210"/>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6,215,028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6,085,161</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(Note 12)</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00" w:type="dxa"/>
            <w:vAlign w:val="bottom"/>
          </w:tcPr>
          <w:p>
            <w:pPr>
              <w:spacing w:after="0"/>
              <w:rPr>
                <w:sz w:val="18"/>
                <w:szCs w:val="18"/>
                <w:color w:val="auto"/>
              </w:rPr>
            </w:pPr>
          </w:p>
        </w:tc>
      </w:tr>
      <w:tr>
        <w:trPr>
          <w:trHeight w:val="210"/>
        </w:trPr>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27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Group is subject to various claims in the normal course of operations. Litigation is subject to many uncertainties, and the outcome of individual matters is not predictable with assurance. In the opinion of management, based on the advice and information provided by the Group's legal counsel, final determination of these other litigations will not materially affect the Group's financial position or results of operations.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July 27, 2021</w:t>
      </w:r>
    </w:p>
    <w:p>
      <w:pPr>
        <w:spacing w:after="0" w:line="22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On July 27, 2021, the Group filed a claim against Wondr Gaming Corp (the "Defendant"), alleging breach of contract and unjust enrichment and seeking $4,136,807 plus interest and costs. The Defendant is contesting the claim.</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September 7, 2021, the Defendant filed a Statement of Defence and Counterclaim in the Ontario Superior Court of Justice against GroupBy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Defendant claims, among other things, the Group's failure to perform the services and misrepresentation and seeks dismissal of the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the Company is counterclaiming seeking damages of $400,000 plus costs for breach of contract and negligent misrepresentation.</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May 16, 2024</w:t>
      </w:r>
    </w:p>
    <w:p>
      <w:pPr>
        <w:spacing w:after="0" w:line="22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May 16, 2024, the Group was named as a defendant in a case to recover a payment of $2,500,000 made by Bed Bath &amp; Beyond Inc. ("BBB") to the Company on February 20,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7" w:name="page178"/>
    <w:bookmarkEnd w:id="177"/>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Subsequent to year end, Rezolve AI plc ("Rezolve") acquired all issued and outstanding shares of the Group in exchange for 3,999,902 shares in Rezolve. Upon acquisition of the shares, the Group entered into a novation agreement to novate its rights, benefits, obligations, and liabilities under the bank indebtedness to Rezolve. The options outstanding as of the closing date were deemed to be underwater and cancelled on the closing date, in accordance with the terms of the option plan and existing option agreements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8" w:name="page179"/>
    <w:bookmarkEnd w:id="1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EBA5D23"/>
    <w:multiLevelType w:val="hybridMultilevel"/>
    <w:lvl w:ilvl="0">
      <w:lvlJc w:val="left"/>
      <w:lvlText w:val="(%1)"/>
      <w:numFmt w:val="lowerRoman"/>
      <w:start w:val="5"/>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1"/>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1."/>
      <w:numFmt w:val="upperLetter"/>
      <w:start w:val="1"/>
    </w:lvl>
  </w:abstractNum>
  <w:abstractNum w:abstractNumId="8">
    <w:nsid w:val="11447B73"/>
    <w:multiLevelType w:val="hybridMultilevel"/>
    <w:lvl w:ilvl="0">
      <w:lvlJc w:val="left"/>
      <w:lvlText w:val="%1."/>
      <w:numFmt w:val="upperLetter"/>
      <w:start w:val="1"/>
    </w:lvl>
  </w:abstractNum>
  <w:abstractNum w:abstractNumId="9">
    <w:nsid w:val="42963E5A"/>
    <w:multiLevelType w:val="hybridMultilevel"/>
    <w:lvl w:ilvl="0">
      <w:lvlJc w:val="left"/>
      <w:lvlText w:val="%1."/>
      <w:numFmt w:val="upperLetter"/>
      <w:start w:val="7"/>
    </w:lvl>
  </w:abstractNum>
  <w:abstractNum w:abstractNumId="10">
    <w:nsid w:val="A0382C5"/>
    <w:multiLevelType w:val="hybridMultilevel"/>
    <w:lvl w:ilvl="0">
      <w:lvlJc w:val="left"/>
      <w:lvlText w:val="%1."/>
      <w:numFmt w:val="decimal"/>
      <w:start w:val="1"/>
    </w:lvl>
  </w:abstractNum>
  <w:abstractNum w:abstractNumId="11">
    <w:nsid w:val="8F2B15E"/>
    <w:multiLevelType w:val="hybridMultilevel"/>
    <w:lvl w:ilvl="0">
      <w:lvlJc w:val="left"/>
      <w:lvlText w:val="%1."/>
      <w:numFmt w:val="decimal"/>
      <w:start w:val="1"/>
    </w:lvl>
  </w:abstractNum>
  <w:abstractNum w:abstractNumId="12">
    <w:nsid w:val="1A32234B"/>
    <w:multiLevelType w:val="hybridMultilevel"/>
    <w:lvl w:ilvl="0">
      <w:lvlJc w:val="left"/>
      <w:lvlText w:val="(%1)"/>
      <w:numFmt w:val="lowerLetter"/>
      <w:start w:val="1"/>
    </w:lvl>
  </w:abstractNum>
  <w:abstractNum w:abstractNumId="13">
    <w:nsid w:val="3B0FD379"/>
    <w:multiLevelType w:val="hybridMultilevel"/>
    <w:lvl w:ilvl="0">
      <w:lvlJc w:val="left"/>
      <w:lvlText w:val="(%1)"/>
      <w:numFmt w:val="lowerLetter"/>
      <w:start w:val="5"/>
    </w:lvl>
  </w:abstractNum>
  <w:abstractNum w:abstractNumId="14">
    <w:nsid w:val="68EB2F63"/>
    <w:multiLevelType w:val="hybridMultilevel"/>
    <w:lvl w:ilvl="0">
      <w:lvlJc w:val="left"/>
      <w:lvlText w:val="%1."/>
      <w:numFmt w:val="decimal"/>
      <w:start w:val="1"/>
    </w:lvl>
  </w:abstractNum>
  <w:abstractNum w:abstractNumId="15">
    <w:nsid w:val="4962813B"/>
    <w:multiLevelType w:val="hybridMultilevel"/>
    <w:lvl w:ilvl="0">
      <w:lvlJc w:val="left"/>
      <w:lvlText w:val="(%1)"/>
      <w:numFmt w:val="lowerRoman"/>
      <w:start w:val="1"/>
    </w:lvl>
  </w:abstractNum>
  <w:abstractNum w:abstractNumId="16">
    <w:nsid w:val="60B6DF70"/>
    <w:multiLevelType w:val="hybridMultilevel"/>
    <w:lvl w:ilvl="0">
      <w:lvlJc w:val="left"/>
      <w:lvlText w:val="%1."/>
      <w:numFmt w:val="decimal"/>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1)"/>
      <w:numFmt w:val="lowerLetter"/>
      <w:start w:val="1"/>
    </w:lvl>
  </w:abstractNum>
  <w:abstractNum w:abstractNumId="19">
    <w:nsid w:val="7FFFCA11"/>
    <w:multiLevelType w:val="hybridMultilevel"/>
    <w:lvl w:ilvl="0">
      <w:lvlJc w:val="left"/>
      <w:lvlText w:val="(%1)"/>
      <w:numFmt w:val="lowerLetter"/>
      <w:start w:val="4"/>
    </w:lvl>
  </w:abstractNum>
  <w:abstractNum w:abstractNumId="20">
    <w:nsid w:val="1A27709E"/>
    <w:multiLevelType w:val="hybridMultilevel"/>
    <w:lvl w:ilvl="0">
      <w:lvlJc w:val="left"/>
      <w:lvlText w:val="(%1)"/>
      <w:numFmt w:val="lowerLetter"/>
      <w:start w:val="18"/>
    </w:lvl>
  </w:abstractNum>
  <w:abstractNum w:abstractNumId="21">
    <w:nsid w:val="71EA1109"/>
    <w:multiLevelType w:val="hybridMultilevel"/>
    <w:lvl w:ilvl="0">
      <w:lvlJc w:val="left"/>
      <w:lvlText w:val="(%1)"/>
      <w:numFmt w:val="lowerLetter"/>
      <w:start w:val="20"/>
    </w:lvl>
  </w:abstractNum>
  <w:abstractNum w:abstractNumId="22">
    <w:nsid w:val="100F59DC"/>
    <w:multiLevelType w:val="hybridMultilevel"/>
    <w:lvl w:ilvl="0">
      <w:lvlJc w:val="left"/>
      <w:lvlText w:val="(%1)"/>
      <w:numFmt w:val="lowerLetter"/>
      <w:start w:val="27"/>
    </w:lvl>
  </w:abstractNum>
  <w:abstractNum w:abstractNumId="23">
    <w:nsid w:val="7FB7E0AA"/>
    <w:multiLevelType w:val="hybridMultilevel"/>
    <w:lvl w:ilvl="0">
      <w:lvlJc w:val="left"/>
      <w:lvlText w:val="2"/>
      <w:numFmt w:val="bullet"/>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abstractNum>
  <w:abstractNum w:abstractNumId="31">
    <w:nsid w:val="14E17E33"/>
    <w:multiLevelType w:val="hybridMultilevel"/>
    <w:lvl w:ilvl="0">
      <w:lvlJc w:val="left"/>
      <w:lvlText w:val="1"/>
      <w:numFmt w:val="bullet"/>
      <w:start w:val="1"/>
    </w:lvl>
  </w:abstractNum>
  <w:abstractNum w:abstractNumId="32">
    <w:nsid w:val="3222E7CD"/>
    <w:multiLevelType w:val="hybridMultilevel"/>
    <w:lvl w:ilvl="0">
      <w:lvlJc w:val="left"/>
      <w:lvlText w:val="2"/>
      <w:numFmt w:val="bullet"/>
      <w:start w:val="1"/>
    </w:lvl>
  </w:abstractNum>
  <w:abstractNum w:abstractNumId="33">
    <w:nsid w:val="74DE0EE3"/>
    <w:multiLevelType w:val="hybridMultilevel"/>
    <w:lvl w:ilvl="0">
      <w:lvlJc w:val="left"/>
      <w:lvlText w:val="3"/>
      <w:numFmt w:val="bullet"/>
      <w:start w:val="1"/>
    </w:lvl>
  </w:abstractNum>
  <w:abstractNum w:abstractNumId="34">
    <w:nsid w:val="68EBC550"/>
    <w:multiLevelType w:val="hybridMultilevel"/>
    <w:lvl w:ilvl="0">
      <w:lvlJc w:val="left"/>
      <w:lvlText w:val="7"/>
      <w:numFmt w:val="bullet"/>
      <w:start w:val="1"/>
    </w:lvl>
    <w:lvl w:ilvl="1">
      <w:lvlJc w:val="left"/>
      <w:lvlText w:val="%2."/>
      <w:numFmt w:val="upperLetter"/>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1"/>
      <w:numFmt w:val="bullet"/>
      <w:start w:val="1"/>
    </w:lvl>
  </w:abstractNum>
  <w:abstractNum w:abstractNumId="37">
    <w:nsid w:val="4A2AC315"/>
    <w:multiLevelType w:val="hybridMultilevel"/>
    <w:lvl w:ilvl="0">
      <w:lvlJc w:val="left"/>
      <w:lvlText w:val="1"/>
      <w:numFmt w:val="bullet"/>
      <w:start w:val="1"/>
    </w:lvl>
  </w:abstractNum>
  <w:abstractNum w:abstractNumId="38">
    <w:nsid w:val="39EE015C"/>
    <w:multiLevelType w:val="hybridMultilevel"/>
    <w:lvl w:ilvl="0">
      <w:lvlJc w:val="left"/>
      <w:lvlText w:val="2"/>
      <w:numFmt w:val="bullet"/>
      <w:start w:val="1"/>
    </w:lvl>
  </w:abstractNum>
  <w:abstractNum w:abstractNumId="39">
    <w:nsid w:val="57FC4FBB"/>
    <w:multiLevelType w:val="hybridMultilevel"/>
    <w:lvl w:ilvl="0">
      <w:lvlJc w:val="left"/>
      <w:lvlText w:val="•"/>
      <w:numFmt w:val="bullet"/>
      <w:start w:val="1"/>
    </w:lvl>
  </w:abstractNum>
  <w:abstractNum w:abstractNumId="40">
    <w:nsid w:val="CC1016F"/>
    <w:multiLevelType w:val="hybridMultilevel"/>
    <w:lvl w:ilvl="0">
      <w:lvlJc w:val="left"/>
      <w:lvlText w:val="(%1)"/>
      <w:numFmt w:val="lowerRoman"/>
      <w:start w:val="2"/>
    </w:lvl>
  </w:abstractNum>
  <w:abstractNum w:abstractNumId="41">
    <w:nsid w:val="43F18422"/>
    <w:multiLevelType w:val="hybridMultilevel"/>
    <w:lvl w:ilvl="0">
      <w:lvlJc w:val="left"/>
      <w:lvlText w:val="(%1)"/>
      <w:numFmt w:val="decimal"/>
      <w:start w:val="1"/>
    </w:lvl>
  </w:abstractNum>
  <w:abstractNum w:abstractNumId="42">
    <w:nsid w:val="60EF0119"/>
    <w:multiLevelType w:val="hybridMultilevel"/>
    <w:lvl w:ilvl="0">
      <w:lvlJc w:val="left"/>
      <w:lvlText w:val="%1."/>
      <w:numFmt w:val="decimal"/>
      <w:start w:val="1"/>
    </w:lvl>
  </w:abstractNum>
  <w:abstractNum w:abstractNumId="43">
    <w:nsid w:val="26F324BA"/>
    <w:multiLevelType w:val="hybridMultilevel"/>
    <w:lvl w:ilvl="0">
      <w:lvlJc w:val="left"/>
      <w:lvlText w:val="(%1)"/>
      <w:numFmt w:val="lowerLetter"/>
      <w:start w:val="1"/>
    </w:lvl>
  </w:abstractNum>
  <w:abstractNum w:abstractNumId="44">
    <w:nsid w:val="7F01579B"/>
    <w:multiLevelType w:val="hybridMultilevel"/>
    <w:lvl w:ilvl="0">
      <w:lvlJc w:val="left"/>
      <w:lvlText w:val="%1."/>
      <w:numFmt w:val="upperLetter"/>
      <w:start w:val="3"/>
    </w:lvl>
  </w:abstractNum>
  <w:abstractNum w:abstractNumId="45">
    <w:nsid w:val="49DA307D"/>
    <w:multiLevelType w:val="hybridMultilevel"/>
    <w:lvl w:ilvl="0">
      <w:lvlJc w:val="left"/>
      <w:lvlText w:val="%1."/>
      <w:numFmt w:val="decimal"/>
      <w:start w:val="1"/>
    </w:lvl>
  </w:abstractNum>
  <w:abstractNum w:abstractNumId="46">
    <w:nsid w:val="7055A5F5"/>
    <w:multiLevelType w:val="hybridMultilevel"/>
    <w:lvl w:ilvl="0">
      <w:lvlJc w:val="left"/>
      <w:lvlText w:val="%1."/>
      <w:numFmt w:val="upperLetter"/>
      <w:start w:val="5"/>
    </w:lvl>
  </w:abstractNum>
  <w:abstractNum w:abstractNumId="47">
    <w:nsid w:val="5FB8370B"/>
    <w:multiLevelType w:val="hybridMultilevel"/>
    <w:lvl w:ilvl="0">
      <w:lvlJc w:val="left"/>
      <w:lvlText w:val="%1."/>
      <w:numFmt w:val="decimal"/>
      <w:start w:val="1"/>
    </w:lvl>
  </w:abstractNum>
  <w:abstractNum w:abstractNumId="48">
    <w:nsid w:val="50801EE1"/>
    <w:multiLevelType w:val="hybridMultilevel"/>
    <w:lvl w:ilvl="0">
      <w:lvlJc w:val="left"/>
      <w:lvlText w:val="%1."/>
      <w:numFmt w:val="decimal"/>
      <w:start w:val="1"/>
    </w:lvl>
  </w:abstractNum>
  <w:abstractNum w:abstractNumId="49">
    <w:nsid w:val="488AC1A"/>
    <w:multiLevelType w:val="hybridMultilevel"/>
    <w:lvl w:ilvl="0">
      <w:lvlJc w:val="left"/>
      <w:lvlText w:val="%1."/>
      <w:numFmt w:val="decimal"/>
      <w:start w:val="6"/>
    </w:lvl>
  </w:abstractNum>
  <w:abstractNum w:abstractNumId="50">
    <w:nsid w:val="5FB8011C"/>
    <w:multiLevelType w:val="hybridMultilevel"/>
    <w:lvl w:ilvl="0">
      <w:lvlJc w:val="left"/>
      <w:lvlText w:val="%1."/>
      <w:numFmt w:val="decimal"/>
      <w:start w:val="1"/>
    </w:lvl>
  </w:abstractNum>
  <w:abstractNum w:abstractNumId="51">
    <w:nsid w:val="6AA78F7F"/>
    <w:multiLevelType w:val="hybridMultilevel"/>
    <w:lvl w:ilvl="0">
      <w:lvlJc w:val="left"/>
      <w:lvlText w:val="%1."/>
      <w:numFmt w:val="upperLetter"/>
      <w:start w:val="1"/>
    </w:lvl>
  </w:abstractNum>
  <w:abstractNum w:abstractNumId="52">
    <w:nsid w:val="7672BD23"/>
    <w:multiLevelType w:val="hybridMultilevel"/>
    <w:lvl w:ilvl="0">
      <w:lvlJc w:val="left"/>
      <w:lvlText w:val="%1."/>
      <w:numFmt w:val="upperLetter"/>
      <w:start w:val="5"/>
    </w:lvl>
  </w:abstractNum>
  <w:abstractNum w:abstractNumId="53">
    <w:nsid w:val="6FC75AF8"/>
    <w:multiLevelType w:val="hybridMultilevel"/>
    <w:lvl w:ilvl="0">
      <w:lvlJc w:val="left"/>
      <w:lvlText w:val="%1."/>
      <w:numFmt w:val="decimal"/>
      <w:start w:val="1"/>
    </w:lvl>
  </w:abstractNum>
  <w:abstractNum w:abstractNumId="54">
    <w:nsid w:val="6A5F7029"/>
    <w:multiLevelType w:val="hybridMultilevel"/>
    <w:lvl w:ilvl="0">
      <w:lvlJc w:val="left"/>
      <w:lvlText w:val="%1."/>
      <w:numFmt w:val="decimal"/>
      <w:start w:val="1"/>
    </w:lvl>
  </w:abstractNum>
  <w:abstractNum w:abstractNumId="55">
    <w:nsid w:val="7D5E18F8"/>
    <w:multiLevelType w:val="hybridMultilevel"/>
    <w:lvl w:ilvl="0">
      <w:lvlJc w:val="left"/>
      <w:lvlText w:val="%1."/>
      <w:numFmt w:val="decimal"/>
      <w:start w:val="1"/>
    </w:lvl>
  </w:abstractNum>
  <w:abstractNum w:abstractNumId="56">
    <w:nsid w:val="5F3534A4"/>
    <w:multiLevelType w:val="hybridMultilevel"/>
    <w:lvl w:ilvl="0">
      <w:lvlJc w:val="left"/>
      <w:lvlText w:val="%1."/>
      <w:numFmt w:val="decimal"/>
      <w:start w:val="6"/>
    </w:lvl>
  </w:abstractNum>
  <w:abstractNum w:abstractNumId="57">
    <w:nsid w:val="73A1821B"/>
    <w:multiLevelType w:val="hybridMultilevel"/>
    <w:lvl w:ilvl="0">
      <w:lvlJc w:val="left"/>
      <w:lvlText w:val="%1."/>
      <w:numFmt w:val="decimal"/>
      <w:start w:val="1"/>
    </w:lvl>
  </w:abstractNum>
  <w:abstractNum w:abstractNumId="58">
    <w:nsid w:val="7DE67713"/>
    <w:multiLevelType w:val="hybridMultilevel"/>
    <w:lvl w:ilvl="0">
      <w:lvlJc w:val="left"/>
      <w:lvlText w:val="(%1)"/>
      <w:numFmt w:val="decimal"/>
      <w:start w:val="1"/>
    </w:lvl>
  </w:abstractNum>
  <w:abstractNum w:abstractNumId="59">
    <w:nsid w:val="555C55B5"/>
    <w:multiLevelType w:val="hybridMultilevel"/>
    <w:lvl w:ilvl="0">
      <w:lvlJc w:val="left"/>
      <w:lvlText w:val="(%1)"/>
      <w:numFmt w:val="decimal"/>
      <w:start w:val="4"/>
    </w:lvl>
  </w:abstractNum>
  <w:abstractNum w:abstractNumId="60">
    <w:nsid w:val="3FA62ACA"/>
    <w:multiLevelType w:val="hybridMultilevel"/>
    <w:lvl w:ilvl="0">
      <w:lvlJc w:val="left"/>
      <w:lvlText w:val="(%1)"/>
      <w:numFmt w:val="lowerRoman"/>
      <w:start w:val="1"/>
    </w:lvl>
  </w:abstractNum>
  <w:abstractNum w:abstractNumId="61">
    <w:nsid w:val="14FCE74E"/>
    <w:multiLevelType w:val="hybridMultilevel"/>
    <w:lvl w:ilvl="0">
      <w:lvlJc w:val="left"/>
      <w:lvlText w:val="(%1)"/>
      <w:numFmt w:val="lowerRoman"/>
      <w:start w:val="6"/>
    </w:lvl>
  </w:abstractNum>
  <w:abstractNum w:abstractNumId="62">
    <w:nsid w:val="6A3DD3E8"/>
    <w:multiLevelType w:val="hybridMultilevel"/>
    <w:lvl w:ilvl="0">
      <w:lvlJc w:val="left"/>
      <w:lvlText w:val="(%1)"/>
      <w:numFmt w:val="decimal"/>
      <w:start w:val="2"/>
    </w:lvl>
  </w:abstractNum>
  <w:abstractNum w:abstractNumId="63">
    <w:nsid w:val="71C91298"/>
    <w:multiLevelType w:val="hybridMultilevel"/>
    <w:lvl w:ilvl="0">
      <w:lvlJc w:val="left"/>
      <w:lvlText w:val="(%1)"/>
      <w:numFmt w:val="decimal"/>
      <w:start w:val="3"/>
    </w:lvl>
  </w:abstractNum>
  <w:abstractNum w:abstractNumId="64">
    <w:nsid w:val="9DAF632"/>
    <w:multiLevelType w:val="hybridMultilevel"/>
    <w:lvl w:ilvl="0">
      <w:lvlJc w:val="left"/>
      <w:lvlText w:val="(%1)"/>
      <w:numFmt w:val="upperLetter"/>
      <w:start w:val="1"/>
    </w:lvl>
  </w:abstractNum>
  <w:abstractNum w:abstractNumId="65">
    <w:nsid w:val="53299938"/>
    <w:multiLevelType w:val="hybridMultilevel"/>
    <w:lvl w:ilvl="0">
      <w:lvlJc w:val="left"/>
      <w:lvlText w:val="•"/>
      <w:numFmt w:val="bullet"/>
      <w:start w:val="1"/>
    </w:lvl>
  </w:abstractNum>
  <w:abstractNum w:abstractNumId="66">
    <w:nsid w:val="1FBFE8E0"/>
    <w:multiLevelType w:val="hybridMultilevel"/>
    <w:lvl w:ilvl="0">
      <w:lvlJc w:val="left"/>
      <w:lvlText w:val="•"/>
      <w:numFmt w:val="bullet"/>
      <w:start w:val="1"/>
    </w:lvl>
  </w:abstractNum>
  <w:abstractNum w:abstractNumId="67">
    <w:nsid w:val="5092CA79"/>
    <w:multiLevelType w:val="hybridMultilevel"/>
    <w:lvl w:ilvl="0">
      <w:lvlJc w:val="left"/>
      <w:lvlText w:val="•"/>
      <w:numFmt w:val="bullet"/>
      <w:start w:val="1"/>
    </w:lvl>
  </w:abstractNum>
  <w:abstractNum w:abstractNumId="68">
    <w:nsid w:val="1D545C4D"/>
    <w:multiLevelType w:val="hybridMultilevel"/>
    <w:lvl w:ilvl="0">
      <w:lvlJc w:val="left"/>
      <w:lvlText w:val="•"/>
      <w:numFmt w:val="bullet"/>
      <w:start w:val="1"/>
    </w:lvl>
  </w:abstractNum>
  <w:abstractNum w:abstractNumId="69">
    <w:nsid w:val="59ADEA3D"/>
    <w:multiLevelType w:val="hybridMultilevel"/>
    <w:lvl w:ilvl="0">
      <w:lvlJc w:val="left"/>
      <w:lvlText w:val="%1."/>
      <w:numFmt w:val="decimal"/>
      <w:start w:val="1"/>
    </w:lvl>
  </w:abstractNum>
  <w:abstractNum w:abstractNumId="70">
    <w:nsid w:val="288F1A34"/>
    <w:multiLevelType w:val="hybridMultilevel"/>
    <w:lvl w:ilvl="0">
      <w:lvlJc w:val="left"/>
      <w:lvlText w:val="%1."/>
      <w:numFmt w:val="decimal"/>
      <w:start w:val="3"/>
    </w:lvl>
  </w:abstractNum>
  <w:abstractNum w:abstractNumId="71">
    <w:nsid w:val="2A155DBC"/>
    <w:multiLevelType w:val="hybridMultilevel"/>
    <w:lvl w:ilvl="0">
      <w:lvlJc w:val="left"/>
      <w:lvlText w:val="*"/>
      <w:numFmt w:val="bullet"/>
      <w:start w:val="1"/>
    </w:lvl>
    <w:lvl w:ilvl="1">
      <w:lvlJc w:val="left"/>
      <w:lvlText w:val="(%2)"/>
      <w:numFmt w:val="decimal"/>
      <w:start w:val="1"/>
    </w:lvl>
  </w:abstractNum>
  <w:abstractNum w:abstractNumId="72">
    <w:nsid w:val="1D9F6E5F"/>
    <w:multiLevelType w:val="hybridMultilevel"/>
    <w:lvl w:ilvl="0">
      <w:lvlJc w:val="left"/>
      <w:lvlText w:val="(%1)"/>
      <w:numFmt w:val="decimal"/>
      <w:start w:val="9"/>
    </w:lvl>
  </w:abstractNum>
  <w:abstractNum w:abstractNumId="73">
    <w:nsid w:val="97E1B4E"/>
    <w:multiLevelType w:val="hybridMultilevel"/>
    <w:lvl w:ilvl="0">
      <w:lvlJc w:val="left"/>
      <w:lvlText w:val="(%1)"/>
      <w:numFmt w:val="decimal"/>
      <w:start w:val="37"/>
    </w:lvl>
  </w:abstractNum>
  <w:abstractNum w:abstractNumId="74">
    <w:nsid w:val="51088277"/>
    <w:multiLevelType w:val="hybridMultilevel"/>
    <w:lvl w:ilvl="0">
      <w:lvlJc w:val="left"/>
      <w:lvlText w:val="•"/>
      <w:numFmt w:val="bullet"/>
      <w:start w:val="1"/>
    </w:lvl>
  </w:abstractNum>
  <w:abstractNum w:abstractNumId="75">
    <w:nsid w:val="1CA0C5FA"/>
    <w:multiLevelType w:val="hybridMultilevel"/>
    <w:lvl w:ilvl="0">
      <w:lvlJc w:val="left"/>
      <w:lvlText w:val="•"/>
      <w:numFmt w:val="bullet"/>
      <w:start w:val="1"/>
    </w:lvl>
  </w:abstractNum>
  <w:abstractNum w:abstractNumId="76">
    <w:nsid w:val="53584BCB"/>
    <w:multiLevelType w:val="hybridMultilevel"/>
    <w:lvl w:ilvl="0">
      <w:lvlJc w:val="left"/>
      <w:lvlText w:val="•"/>
      <w:numFmt w:val="bullet"/>
      <w:start w:val="1"/>
    </w:lvl>
  </w:abstractNum>
  <w:abstractNum w:abstractNumId="77">
    <w:nsid w:val="415E286C"/>
    <w:multiLevelType w:val="hybridMultilevel"/>
    <w:lvl w:ilvl="0">
      <w:lvlJc w:val="left"/>
      <w:lvlText w:val="•"/>
      <w:numFmt w:val="bullet"/>
      <w:start w:val="1"/>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
      <w:numFmt w:val="bullet"/>
      <w:start w:val="1"/>
    </w:lvl>
  </w:abstractNum>
  <w:abstractNum w:abstractNumId="81">
    <w:nsid w:val="5C10FE21"/>
    <w:multiLevelType w:val="hybridMultilevel"/>
    <w:lvl w:ilvl="0">
      <w:lvlJc w:val="left"/>
      <w:lvlText w:val="•"/>
      <w:numFmt w:val="bullet"/>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
      <w:numFmt w:val="bullet"/>
      <w:start w:val="1"/>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
      <w:numFmt w:val="bullet"/>
      <w:start w:val="1"/>
    </w:lvl>
  </w:abstractNum>
  <w:abstractNum w:abstractNumId="86">
    <w:nsid w:val="39B7AAA2"/>
    <w:multiLevelType w:val="hybridMultilevel"/>
    <w:lvl w:ilvl="0">
      <w:lvlJc w:val="left"/>
      <w:lvlText w:val="(%1)"/>
      <w:numFmt w:val="lowerRoman"/>
      <w:start w:val="3"/>
    </w:lvl>
  </w:abstractNum>
  <w:abstractNum w:abstractNumId="87">
    <w:nsid w:val="2B0D8DBE"/>
    <w:multiLevelType w:val="hybridMultilevel"/>
    <w:lvl w:ilvl="0">
      <w:lvlJc w:val="left"/>
      <w:lvlText w:val="•"/>
      <w:numFmt w:val="bullet"/>
      <w:start w:val="1"/>
    </w:lvl>
  </w:abstractNum>
  <w:abstractNum w:abstractNumId="88">
    <w:nsid w:val="6C80EC70"/>
    <w:multiLevelType w:val="hybridMultilevel"/>
    <w:lvl w:ilvl="0">
      <w:lvlJc w:val="left"/>
      <w:lvlText w:val="•"/>
      <w:numFmt w:val="bullet"/>
      <w:start w:val="1"/>
    </w:lvl>
  </w:abstractNum>
  <w:abstractNum w:abstractNumId="89">
    <w:nsid w:val="379E21B5"/>
    <w:multiLevelType w:val="hybridMultilevel"/>
    <w:lvl w:ilvl="0">
      <w:lvlJc w:val="left"/>
      <w:lvlText w:val="*"/>
      <w:numFmt w:val="bullet"/>
      <w:start w:val="1"/>
    </w:lvl>
  </w:abstractNum>
  <w:abstractNum w:abstractNumId="90">
    <w:nsid w:val="69E373"/>
    <w:multiLevelType w:val="hybridMultilevel"/>
    <w:lvl w:ilvl="0">
      <w:lvlJc w:val="left"/>
      <w:lvlText w:val="%1."/>
      <w:numFmt w:val="decimal"/>
      <w:start w:val="1"/>
    </w:lvl>
  </w:abstractNum>
  <w:abstractNum w:abstractNumId="91">
    <w:nsid w:val="2C27173B"/>
    <w:multiLevelType w:val="hybridMultilevel"/>
    <w:lvl w:ilvl="0">
      <w:lvlJc w:val="left"/>
      <w:lvlText w:val="2"/>
      <w:numFmt w:val="bullet"/>
      <w:start w:val="1"/>
    </w:lvl>
  </w:abstractNum>
  <w:abstractNum w:abstractNumId="92">
    <w:nsid w:val="4C9B0904"/>
    <w:multiLevelType w:val="hybridMultilevel"/>
    <w:lvl w:ilvl="0">
      <w:lvlJc w:val="left"/>
      <w:lvlText w:val="•"/>
      <w:numFmt w:val="bullet"/>
      <w:start w:val="1"/>
    </w:lvl>
  </w:abstractNum>
  <w:abstractNum w:abstractNumId="93">
    <w:nsid w:val="6AA7B75C"/>
    <w:multiLevelType w:val="hybridMultilevel"/>
    <w:lvl w:ilvl="0">
      <w:lvlJc w:val="left"/>
      <w:lvlText w:val="•"/>
      <w:numFmt w:val="bullet"/>
      <w:start w:val="1"/>
    </w:lvl>
  </w:abstractNum>
  <w:abstractNum w:abstractNumId="94">
    <w:nsid w:val="1DF029D3"/>
    <w:multiLevelType w:val="hybridMultilevel"/>
    <w:lvl w:ilvl="0">
      <w:lvlJc w:val="left"/>
      <w:lvlText w:val="•"/>
      <w:numFmt w:val="bullet"/>
      <w:start w:val="1"/>
    </w:lvl>
  </w:abstractNum>
  <w:abstractNum w:abstractNumId="95">
    <w:nsid w:val="5675FF36"/>
    <w:multiLevelType w:val="hybridMultilevel"/>
    <w:lvl w:ilvl="0">
      <w:lvlJc w:val="left"/>
      <w:lvlText w:val="•"/>
      <w:numFmt w:val="bullet"/>
      <w:start w:val="1"/>
    </w:lvl>
  </w:abstractNum>
  <w:abstractNum w:abstractNumId="96">
    <w:nsid w:val="3DD15094"/>
    <w:multiLevelType w:val="hybridMultilevel"/>
    <w:lvl w:ilvl="0">
      <w:lvlJc w:val="left"/>
      <w:lvlText w:val="•"/>
      <w:numFmt w:val="bullet"/>
      <w:start w:val="1"/>
    </w:lvl>
  </w:abstractNum>
  <w:abstractNum w:abstractNumId="97">
    <w:nsid w:val="3DB012B3"/>
    <w:multiLevelType w:val="hybridMultilevel"/>
    <w:lvl w:ilvl="0">
      <w:lvlJc w:val="left"/>
      <w:lvlText w:val="•"/>
      <w:numFmt w:val="bullet"/>
      <w:start w:val="1"/>
    </w:lvl>
  </w:abstractNum>
  <w:abstractNum w:abstractNumId="98">
    <w:nsid w:val="2708C9AF"/>
    <w:multiLevelType w:val="hybridMultilevel"/>
    <w:lvl w:ilvl="0">
      <w:lvlJc w:val="left"/>
      <w:lvlText w:val="(%1)"/>
      <w:numFmt w:val="decimal"/>
      <w:start w:val="1"/>
    </w:lvl>
  </w:abstractNum>
  <w:abstractNum w:abstractNumId="99">
    <w:nsid w:val="5B25ACE2"/>
    <w:multiLevelType w:val="hybridMultilevel"/>
    <w:lvl w:ilvl="0">
      <w:lvlJc w:val="left"/>
      <w:lvlText w:val="•"/>
      <w:numFmt w:val="bullet"/>
      <w:start w:val="1"/>
    </w:lvl>
  </w:abstractNum>
  <w:abstractNum w:abstractNumId="100">
    <w:nsid w:val="175DFCF0"/>
    <w:multiLevelType w:val="hybridMultilevel"/>
    <w:lvl w:ilvl="0">
      <w:lvlJc w:val="left"/>
      <w:lvlText w:val="%1."/>
      <w:numFmt w:val="decimal"/>
      <w:start w:val="3"/>
    </w:lvl>
  </w:abstractNum>
  <w:abstractNum w:abstractNumId="101">
    <w:nsid w:val="4F97E3E4"/>
    <w:multiLevelType w:val="hybridMultilevel"/>
    <w:lvl w:ilvl="0">
      <w:lvlJc w:val="left"/>
      <w:lvlText w:val="•"/>
      <w:numFmt w:val="bullet"/>
      <w:start w:val="1"/>
    </w:lvl>
  </w:abstractNum>
  <w:abstractNum w:abstractNumId="102">
    <w:nsid w:val="53B0A9E"/>
    <w:multiLevelType w:val="hybridMultilevel"/>
    <w:lvl w:ilvl="0">
      <w:lvlJc w:val="left"/>
      <w:lvlText w:val="•"/>
      <w:numFmt w:val="bullet"/>
      <w:start w:val="1"/>
    </w:lvl>
  </w:abstractNum>
  <w:abstractNum w:abstractNumId="103">
    <w:nsid w:val="34FD6B4F"/>
    <w:multiLevelType w:val="hybridMultilevel"/>
    <w:lvl w:ilvl="0">
      <w:lvlJc w:val="left"/>
      <w:lvlText w:val="•"/>
      <w:numFmt w:val="bullet"/>
      <w:start w:val="1"/>
    </w:lvl>
  </w:abstractNum>
  <w:abstractNum w:abstractNumId="104">
    <w:nsid w:val="5915FF32"/>
    <w:multiLevelType w:val="hybridMultilevel"/>
    <w:lvl w:ilvl="0">
      <w:lvlJc w:val="left"/>
      <w:lvlText w:val="•"/>
      <w:numFmt w:val="bullet"/>
      <w:start w:val="1"/>
    </w:lvl>
  </w:abstractNum>
  <w:abstractNum w:abstractNumId="105">
    <w:nsid w:val="56438D15"/>
    <w:multiLevelType w:val="hybridMultilevel"/>
    <w:lvl w:ilvl="0">
      <w:lvlJc w:val="left"/>
      <w:lvlText w:val="•"/>
      <w:numFmt w:val="bullet"/>
      <w:start w:val="1"/>
    </w:lvl>
  </w:abstractNum>
  <w:abstractNum w:abstractNumId="106">
    <w:nsid w:val="519E3149"/>
    <w:multiLevelType w:val="hybridMultilevel"/>
    <w:lvl w:ilvl="0">
      <w:lvlJc w:val="left"/>
      <w:lvlText w:val="(%1)"/>
      <w:numFmt w:val="lowerRoman"/>
      <w:start w:val="2"/>
    </w:lvl>
  </w:abstractNum>
  <w:abstractNum w:abstractNumId="107">
    <w:nsid w:val="2C6E4AFD"/>
    <w:multiLevelType w:val="hybridMultilevel"/>
    <w:lvl w:ilvl="0">
      <w:lvlJc w:val="left"/>
      <w:lvlText w:val="%1."/>
      <w:numFmt w:val="decimal"/>
      <w:start w:val="8"/>
    </w:lvl>
  </w:abstractNum>
  <w:abstractNum w:abstractNumId="108">
    <w:nsid w:val="17A1B582"/>
    <w:multiLevelType w:val="hybridMultilevel"/>
    <w:lvl w:ilvl="0">
      <w:lvlJc w:val="left"/>
      <w:lvlText w:val="%1."/>
      <w:numFmt w:val="decimal"/>
      <w:start w:val="9"/>
    </w:lvl>
  </w:abstractNum>
  <w:abstractNum w:abstractNumId="109">
    <w:nsid w:val="4DF72E4E"/>
    <w:multiLevelType w:val="hybridMultilevel"/>
    <w:lvl w:ilvl="0">
      <w:lvlJc w:val="left"/>
      <w:lvlText w:val="%1."/>
      <w:numFmt w:val="decimal"/>
      <w:start w:val="10"/>
    </w:lvl>
  </w:abstractNum>
  <w:abstractNum w:abstractNumId="110">
    <w:nsid w:val="5046B5A9"/>
    <w:multiLevelType w:val="hybridMultilevel"/>
    <w:lvl w:ilvl="0">
      <w:lvlJc w:val="left"/>
      <w:lvlText w:val="%1."/>
      <w:numFmt w:val="decimal"/>
      <w:start w:val="1"/>
    </w:lvl>
  </w:abstractNum>
  <w:abstractNum w:abstractNumId="111">
    <w:nsid w:val="5D888A08"/>
    <w:multiLevelType w:val="hybridMultilevel"/>
    <w:lvl w:ilvl="0">
      <w:lvlJc w:val="left"/>
      <w:lvlText w:val="%1."/>
      <w:numFmt w:val="decimal"/>
      <w:start w:val="1"/>
    </w:lvl>
  </w:abstractNum>
  <w:abstractNum w:abstractNumId="112">
    <w:nsid w:val="2A082C70"/>
    <w:multiLevelType w:val="hybridMultilevel"/>
    <w:lvl w:ilvl="0">
      <w:lvlJc w:val="left"/>
      <w:lvlText w:val="(%1)"/>
      <w:numFmt w:val="decimal"/>
      <w:start w:val="1"/>
    </w:lvl>
  </w:abstractNum>
  <w:abstractNum w:abstractNumId="113">
    <w:nsid w:val="5EC6AFD4"/>
    <w:multiLevelType w:val="hybridMultilevel"/>
    <w:lvl w:ilvl="0">
      <w:lvlJc w:val="left"/>
      <w:lvlText w:val="%1."/>
      <w:numFmt w:val="decimal"/>
      <w:start w:val="11"/>
    </w:lvl>
  </w:abstractNum>
  <w:abstractNum w:abstractNumId="114">
    <w:nsid w:val="19E21BB2"/>
    <w:multiLevelType w:val="hybridMultilevel"/>
    <w:lvl w:ilvl="0">
      <w:lvlJc w:val="left"/>
      <w:lvlText w:val="%1."/>
      <w:numFmt w:val="decimal"/>
      <w:start w:val="12"/>
    </w:lvl>
  </w:abstractNum>
  <w:abstractNum w:abstractNumId="115">
    <w:nsid w:val="75E0858A"/>
    <w:multiLevelType w:val="hybridMultilevel"/>
    <w:lvl w:ilvl="0">
      <w:lvlJc w:val="left"/>
      <w:lvlText w:val="%1."/>
      <w:numFmt w:val="decimal"/>
      <w:start w:val="1"/>
    </w:lvl>
  </w:abstractNum>
  <w:abstractNum w:abstractNumId="116">
    <w:nsid w:val="57A61A29"/>
    <w:multiLevelType w:val="hybridMultilevel"/>
    <w:lvl w:ilvl="0">
      <w:lvlJc w:val="left"/>
      <w:lvlText w:val="%1"/>
      <w:numFmt w:val="decimal"/>
      <w:start w:val="1"/>
    </w:lvl>
    <w:lvl w:ilvl="1">
      <w:lvlJc w:val="left"/>
      <w:lvlText w:val="%2."/>
      <w:numFmt w:val="decimal"/>
      <w:start w:val="2"/>
    </w:lvl>
  </w:abstractNum>
  <w:abstractNum w:abstractNumId="117">
    <w:nsid w:val="5399C654"/>
    <w:multiLevelType w:val="hybridMultilevel"/>
    <w:lvl w:ilvl="0">
      <w:lvlJc w:val="left"/>
      <w:lvlText w:val="%1."/>
      <w:numFmt w:val="decimal"/>
      <w:start w:val="14"/>
    </w:lvl>
    <w:lvl w:ilvl="1">
      <w:lvlJc w:val="left"/>
      <w:lvlText w:val="%2"/>
      <w:numFmt w:val="decimal"/>
      <w:start w:val="1"/>
    </w:lvl>
  </w:abstractNum>
  <w:abstractNum w:abstractNumId="118">
    <w:nsid w:val="20EE1348"/>
    <w:multiLevelType w:val="hybridMultilevel"/>
    <w:lvl w:ilvl="0">
      <w:lvlJc w:val="left"/>
      <w:lvlText w:val="%1."/>
      <w:numFmt w:val="decimal"/>
      <w:start w:val="15"/>
    </w:lvl>
  </w:abstractNum>
  <w:abstractNum w:abstractNumId="119">
    <w:nsid w:val="4427069A"/>
    <w:multiLevelType w:val="hybridMultilevel"/>
    <w:lvl w:ilvl="0">
      <w:lvlJc w:val="left"/>
      <w:lvlText w:val="%1."/>
      <w:numFmt w:val="lowerLetter"/>
      <w:start w:val="1"/>
    </w:lvl>
  </w:abstractNum>
  <w:abstractNum w:abstractNumId="120">
    <w:nsid w:val="B37E80A"/>
    <w:multiLevelType w:val="hybridMultilevel"/>
    <w:lvl w:ilvl="0">
      <w:lvlJc w:val="left"/>
      <w:lvlText w:val="%1."/>
      <w:numFmt w:val="decimal"/>
      <w:start w:val="1"/>
    </w:lvl>
  </w:abstractNum>
  <w:abstractNum w:abstractNumId="121">
    <w:nsid w:val="2157F6BC"/>
    <w:multiLevelType w:val="hybridMultilevel"/>
    <w:lvl w:ilvl="0">
      <w:lvlJc w:val="left"/>
      <w:lvlText w:val="%1"/>
      <w:numFmt w:val="decimal"/>
      <w:start w:val="1"/>
    </w:lvl>
    <w:lvl w:ilvl="1">
      <w:lvlJc w:val="left"/>
      <w:lvlText w:val="(%2)"/>
      <w:numFmt w:val="lowerLetter"/>
      <w:start w:val="1"/>
    </w:lvl>
  </w:abstractNum>
  <w:abstractNum w:abstractNumId="122">
    <w:nsid w:val="704E1DD5"/>
    <w:multiLevelType w:val="hybridMultilevel"/>
    <w:lvl w:ilvl="0">
      <w:lvlJc w:val="left"/>
      <w:lvlText w:val="%1."/>
      <w:numFmt w:val="decimal"/>
      <w:start w:val="17"/>
    </w:lvl>
    <w:lvl w:ilvl="1">
      <w:lvlJc w:val="left"/>
      <w:lvlText w:val="%2"/>
      <w:numFmt w:val="lowerLetter"/>
      <w:start w:val="1"/>
    </w:lvl>
  </w:abstractNum>
  <w:abstractNum w:abstractNumId="123">
    <w:nsid w:val="57D2F10E"/>
    <w:multiLevelType w:val="hybridMultilevel"/>
    <w:lvl w:ilvl="0">
      <w:lvlJc w:val="left"/>
      <w:lvlText w:val="▪"/>
      <w:numFmt w:val="bullet"/>
      <w:start w:val="1"/>
    </w:lvl>
  </w:abstractNum>
  <w:abstractNum w:abstractNumId="124">
    <w:nsid w:val="BFFAE18"/>
    <w:multiLevelType w:val="hybridMultilevel"/>
    <w:lvl w:ilvl="0">
      <w:lvlJc w:val="left"/>
      <w:lvlText w:val="▪"/>
      <w:numFmt w:val="bullet"/>
      <w:start w:val="1"/>
    </w:lvl>
  </w:abstractNum>
  <w:abstractNum w:abstractNumId="125">
    <w:nsid w:val="E3E47A8"/>
    <w:multiLevelType w:val="hybridMultilevel"/>
    <w:lvl w:ilvl="0">
      <w:lvlJc w:val="left"/>
      <w:lvlText w:val="%1."/>
      <w:numFmt w:val="decimal"/>
      <w:start w:val="1"/>
    </w:lvl>
  </w:abstractNum>
  <w:abstractNum w:abstractNumId="126">
    <w:nsid w:val="2E48F044"/>
    <w:multiLevelType w:val="hybridMultilevel"/>
    <w:lvl w:ilvl="0">
      <w:lvlJc w:val="left"/>
      <w:lvlText w:val="%1."/>
      <w:numFmt w:val="decimal"/>
      <w:start w:val="2"/>
    </w:lvl>
  </w:abstractNum>
  <w:abstractNum w:abstractNumId="127">
    <w:nsid w:val="49D0FEAC"/>
    <w:multiLevelType w:val="hybridMultilevel"/>
    <w:lvl w:ilvl="0">
      <w:lvlJc w:val="left"/>
      <w:lvlText w:val="%1."/>
      <w:numFmt w:val="decimal"/>
      <w:start w:val="3"/>
    </w:lvl>
  </w:abstractNum>
  <w:abstractNum w:abstractNumId="128">
    <w:nsid w:val="4BEE5A5B"/>
    <w:multiLevelType w:val="hybridMultilevel"/>
    <w:lvl w:ilvl="0">
      <w:lvlJc w:val="left"/>
      <w:lvlText w:val=")"/>
      <w:numFmt w:val="bullet"/>
      <w:start w:val="1"/>
    </w:lvl>
  </w:abstractNum>
  <w:abstractNum w:abstractNumId="129">
    <w:nsid w:val="5551B9F3"/>
    <w:multiLevelType w:val="hybridMultilevel"/>
    <w:lvl w:ilvl="0">
      <w:lvlJc w:val="left"/>
      <w:lvlText w:val="%1."/>
      <w:numFmt w:val="decimal"/>
      <w:start w:val="1"/>
    </w:lvl>
  </w:abstractNum>
  <w:abstractNum w:abstractNumId="130">
    <w:nsid w:val="24F6AB8E"/>
    <w:multiLevelType w:val="hybridMultilevel"/>
    <w:lvl w:ilvl="0">
      <w:lvlJc w:val="left"/>
      <w:lvlText w:val="%1."/>
      <w:numFmt w:val="decimal"/>
      <w:start w:val="5"/>
    </w:lvl>
  </w:abstractNum>
  <w:abstractNum w:abstractNumId="131">
    <w:nsid w:val="634C574C"/>
    <w:multiLevelType w:val="hybridMultilevel"/>
    <w:lvl w:ilvl="0">
      <w:lvlJc w:val="left"/>
      <w:lvlText w:val="%1."/>
      <w:numFmt w:val="decimal"/>
      <w:start w:val="6"/>
    </w:lvl>
  </w:abstractNum>
  <w:abstractNum w:abstractNumId="132">
    <w:nsid w:val="24E99DD7"/>
    <w:multiLevelType w:val="hybridMultilevel"/>
    <w:lvl w:ilvl="0">
      <w:lvlJc w:val="left"/>
      <w:lvlText w:val="%1."/>
      <w:numFmt w:val="decimal"/>
      <w:start w:val="7"/>
    </w:lvl>
  </w:abstractNum>
  <w:abstractNum w:abstractNumId="133">
    <w:nsid w:val="2A31B62D"/>
    <w:multiLevelType w:val="hybridMultilevel"/>
    <w:lvl w:ilvl="0">
      <w:lvlJc w:val="left"/>
      <w:lvlText w:val="%1."/>
      <w:numFmt w:val="decimal"/>
      <w:start w:val="8"/>
    </w:lvl>
  </w:abstractNum>
  <w:abstractNum w:abstractNumId="134">
    <w:nsid w:val="1849C29B"/>
    <w:multiLevelType w:val="hybridMultilevel"/>
    <w:lvl w:ilvl="0">
      <w:lvlJc w:val="left"/>
      <w:lvlText w:val="%1."/>
      <w:numFmt w:val="decimal"/>
      <w:start w:val="9"/>
    </w:lvl>
  </w:abstractNum>
  <w:abstractNum w:abstractNumId="135">
    <w:nsid w:val="7DFF9D09"/>
    <w:multiLevelType w:val="hybridMultilevel"/>
    <w:lvl w:ilvl="0">
      <w:lvlJc w:val="left"/>
      <w:lvlText w:val="%1."/>
      <w:numFmt w:val="decimal"/>
      <w:start w:val="10"/>
    </w:lvl>
  </w:abstractNum>
  <w:abstractNum w:abstractNumId="136">
    <w:nsid w:val="754342"/>
    <w:multiLevelType w:val="hybridMultilevel"/>
    <w:lvl w:ilvl="0">
      <w:lvlJc w:val="left"/>
      <w:lvlText w:val="%1."/>
      <w:numFmt w:val="decimal"/>
      <w:start w:val="11"/>
    </w:lvl>
  </w:abstractNum>
  <w:abstractNum w:abstractNumId="137">
    <w:nsid w:val="69E7F3E5"/>
    <w:multiLevelType w:val="hybridMultilevel"/>
    <w:lvl w:ilvl="0">
      <w:lvlJc w:val="left"/>
      <w:lvlText w:val="%1."/>
      <w:numFmt w:val="decimal"/>
      <w:start w:val="13"/>
    </w:lvl>
  </w:abstractNum>
  <w:abstractNum w:abstractNumId="138">
    <w:nsid w:val="2A6DE806"/>
    <w:multiLevelType w:val="hybridMultilevel"/>
    <w:lvl w:ilvl="0">
      <w:lvlJc w:val="left"/>
      <w:lvlText w:val="-"/>
      <w:numFmt w:val="bullet"/>
      <w:start w:val="1"/>
    </w:lvl>
  </w:abstractNum>
  <w:abstractNum w:abstractNumId="139">
    <w:nsid w:val="1816F8C4"/>
    <w:multiLevelType w:val="hybridMultilevel"/>
    <w:lvl w:ilvl="0">
      <w:lvlJc w:val="left"/>
      <w:lvlText w:val="-"/>
      <w:numFmt w:val="bullet"/>
      <w:start w:val="1"/>
    </w:lvl>
  </w:abstractNum>
  <w:abstractNum w:abstractNumId="140">
    <w:nsid w:val="37DF2233"/>
    <w:multiLevelType w:val="hybridMultilevel"/>
    <w:lvl w:ilvl="0">
      <w:lvlJc w:val="left"/>
      <w:lvlText w:val="%1."/>
      <w:numFmt w:val="decimal"/>
      <w:start w:val="15"/>
    </w:lvl>
  </w:abstractNum>
  <w:abstractNum w:abstractNumId="141">
    <w:nsid w:val="7AB49DAF"/>
    <w:multiLevelType w:val="hybridMultilevel"/>
    <w:lvl w:ilvl="0">
      <w:lvlJc w:val="left"/>
      <w:lvlText w:val="%1."/>
      <w:numFmt w:val="decimal"/>
      <w:start w:val="16"/>
    </w:lvl>
  </w:abstractNum>
  <w:abstractNum w:abstractNumId="142">
    <w:nsid w:val="759F82CD"/>
    <w:multiLevelType w:val="hybridMultilevel"/>
    <w:lvl w:ilvl="0">
      <w:lvlJc w:val="left"/>
      <w:lvlText w:val="%1."/>
      <w:numFmt w:val="decimal"/>
      <w:start w:val="17"/>
    </w:lvl>
  </w:abstractNum>
  <w:abstractNum w:abstractNumId="143">
    <w:nsid w:val="61E74EA3"/>
    <w:multiLevelType w:val="hybridMultilevel"/>
    <w:lvl w:ilvl="0">
      <w:lvlJc w:val="left"/>
      <w:lvlText w:val="%1."/>
      <w:numFmt w:val="decimal"/>
      <w:start w:val="18"/>
    </w:lvl>
  </w:abstractNum>
  <w:abstractNum w:abstractNumId="144">
    <w:nsid w:val="597B4D84"/>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2025-05-27T05:25:02Z</dcterms:created>
  <dcterms:modified xsi:type="dcterms:W3CDTF">2025-05-27T05:25:02Z</dcterms:modified>
</cp:coreProperties>
</file>