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24,400,000.00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24,400,000.00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7.57 %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24,400,000.00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24,400,000.00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39"/>
        <w:spacing w:after="0"/>
        <w:rPr>
          <w:sz w:val="20"/>
          <w:szCs w:val="20"/>
          <w:color w:val="auto"/>
        </w:rPr>
      </w:pPr>
      <w:r>
        <w:rPr>
          <w:rFonts w:ascii="Times New Roman" w:cs="Times New Roman" w:eastAsia="Times New Roman" w:hAnsi="Times New Roman"/>
          <w:sz w:val="22"/>
          <w:szCs w:val="22"/>
          <w:color w:val="auto"/>
        </w:rPr>
        <w:t>21 SACKVILLE STREET, LONDON, 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080"/>
        <w:spacing w:after="0" w:line="309"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31"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Alyeska Investment Group, L.P. - Delaware (ii) Alyeska Fund GP, LLC - Delaware (iii) Anand Parekh - United States of America</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G75398100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24,400,000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24,400,000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24,400,000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00"/>
          </w:cols>
          <w:pgMar w:left="360" w:top="355" w:right="439" w:bottom="0" w:gutter="0" w:footer="0" w:header="0"/>
        </w:sectPr>
      </w:pPr>
    </w:p>
    <w:bookmarkStart w:id="4" w:name="page5"/>
    <w:bookmarkEnd w:id="4"/>
    <w:p>
      <w:pPr>
        <w:ind w:left="920" w:right="46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The reporting persons are the beneficial owners of 24,400,000 common PIPE shares of Common Stock of the Issuer. The percentage calculation assumes that there are currently 322,174,536 outstanding Common Stock of the Issuer, based on the Issuer's Form F-3 with the Securities and Exchange Commission on September 30,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2025-11-14T16:52:50Z</dcterms:created>
  <dcterms:modified xsi:type="dcterms:W3CDTF">2025-11-14T16:52:50Z</dcterms:modified>
</cp:coreProperties>
</file>