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month of February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Reward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2026, Rezolve AI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the acquisition (the “</w:t>
      </w:r>
      <w:r>
        <w:rPr>
          <w:rFonts w:ascii="Times New Roman" w:cs="Times New Roman" w:eastAsia="Times New Roman" w:hAnsi="Times New Roman"/>
          <w:sz w:val="18"/>
          <w:szCs w:val="18"/>
          <w:u w:val="single" w:color="auto"/>
          <w:color w:val="auto"/>
        </w:rPr>
        <w:t>Reward Acquisition</w:t>
      </w:r>
      <w:r>
        <w:rPr>
          <w:rFonts w:ascii="Times New Roman" w:cs="Times New Roman" w:eastAsia="Times New Roman" w:hAnsi="Times New Roman"/>
          <w:sz w:val="18"/>
          <w:szCs w:val="18"/>
          <w:color w:val="auto"/>
        </w:rPr>
        <w:t>”) of all of the issued share capital of Reward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UK Limited ("</w:t>
      </w:r>
      <w:r>
        <w:rPr>
          <w:rFonts w:ascii="Times New Roman" w:cs="Times New Roman" w:eastAsia="Times New Roman" w:hAnsi="Times New Roman"/>
          <w:sz w:val="18"/>
          <w:szCs w:val="18"/>
          <w:u w:val="single" w:color="auto"/>
          <w:color w:val="auto"/>
        </w:rPr>
        <w:t>Reward</w:t>
      </w:r>
      <w:r>
        <w:rPr>
          <w:rFonts w:ascii="Times New Roman" w:cs="Times New Roman" w:eastAsia="Times New Roman" w:hAnsi="Times New Roman"/>
          <w:sz w:val="18"/>
          <w:szCs w:val="18"/>
          <w:color w:val="auto"/>
        </w:rPr>
        <w:t>"), a private company limited by shares incorporated and registered in England and Wales, pursuant to a sale and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the shareholders listed on Schedule 1 thereto and Peter West. Reward had issued share capital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£1,870,723.53 divided into 1,564,179 ordinary shares of £1.00 each, 287,968 A ordinary shares of £1.00 each, 276,700 B ordinary shares of £0.01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200,800 C ordinary shares of £0.01 each and 1,380,153 D ordinary shares of £0.01 each (together the "</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 The Purchase Agreement contained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representations, warranties, covenants deliverables for closing, which occurred on February 10, 2026. Additionally, the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contains a number of indemnities and undertakings, including for leakage in respect of certain financial and tax liabilities in respect of the period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to the closing date.</w:t>
      </w:r>
    </w:p>
    <w:p>
      <w:pPr>
        <w:spacing w:after="0" w:line="9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initial purchase price for the Reward Acquisition was approximately $230.0 million in cash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as provided below and subject to certain adjustments as described in further detail in the Purchase Agreement. At the closing, the Company paid the Purchase Price to the Paying Agent (as defined in the Purchase Agreement) for distribution, net of the completion accounts adjustment retention amount of $3.0 million, the warranty retention amount of approximately $28.0 million, the D share acquisition retention amount of approximately $0.124 million and D share disposal retention amount of approximately $0.350 million and after discharging Reward's outstanding indebtedness to HSBC Innovation Bank Limited and certain shareholders. The Purchase Price is subject to adjustment for the closing date completion accounts, which adjusts the Purchase Price for net indebtedness and working capital determined as of the closing date.</w:t>
      </w:r>
    </w:p>
    <w:p>
      <w:pPr>
        <w:spacing w:after="0" w:line="8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such agreement, which will be filed as an exhibit to the Company’s Annual Report on Form 20-F to be filed for the fiscal year ending December 31, 2025.</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Daniel Wagner, the Chief Executive Officer and a Director of the Company, previously served as a director of Reward. Prior to the execution of the Purchase Agreement, Mr. Wagner resigned from the board of Reward and did not participate in Reward's evaluation, negotiation or approval of the Reward Acquisition. Mr. Wagner did not hold any shares of Reward at the time the Purchase Agreement was executed or at the closing of the Reward Acquisition. Accordingly, the Reward Acquisition did not constitute a related party transaction under applicable securities laws or the Company’s governance policies.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issued a press release announcing the Reward Acquisition. A copy of the press release is furnished as Exhibit 99.1 to this Report on Form 6-K and is incorporated herein by reference.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than the press release included as Exhibit 99.1 to this Report (which is furnished and not filed), the information included in this Report on Form 6-K (including Exhibit 10.1) is hereby incorporated by reference into the Company’s Registration Statements on Forms F-3 (File Nos. 333-290523, File No.</w:t>
      </w:r>
    </w:p>
    <w:p>
      <w:pPr>
        <w:ind w:right="20"/>
        <w:spacing w:after="0" w:line="255" w:lineRule="auto"/>
        <w:rPr>
          <w:sz w:val="20"/>
          <w:szCs w:val="20"/>
          <w:color w:val="auto"/>
        </w:rPr>
      </w:pPr>
      <w:r>
        <w:rPr>
          <w:rFonts w:ascii="Times New Roman" w:cs="Times New Roman" w:eastAsia="Times New Roman" w:hAnsi="Times New Roman"/>
          <w:sz w:val="18"/>
          <w:szCs w:val="18"/>
          <w:color w:val="auto"/>
        </w:rPr>
        <w:t>333-290639, File No. 333-291842 and File No. 333-292302) and Form S-8 (File No. 333-284174 and File No. 333-292308) (including any prospectuses forming a part of such registration statements) and to be a part thereof from the date on which this Report on Form 6-K is filed, to the extent not superseded by documents or reports subsequently filed or furnished.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10, 2026</w:t>
            </w:r>
            <w:r>
              <w:rPr>
                <w:rFonts w:ascii="Times New Roman" w:cs="Times New Roman" w:eastAsia="Times New Roman" w:hAnsi="Times New Roman"/>
                <w:sz w:val="18"/>
                <w:szCs w:val="18"/>
                <w:color w:val="000000"/>
              </w:rPr>
              <w:t>.</w:t>
            </w:r>
          </w:p>
        </w:tc>
      </w:tr>
      <w:tr>
        <w:trPr>
          <w:trHeight w:val="280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900" w:type="dxa"/>
            <w:vAlign w:val="bottom"/>
            <w:tcBorders>
              <w:top w:val="single" w:sz="8" w:color="0000FF"/>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tabs>
          <w:tab w:leader="none" w:pos="5600" w:val="left"/>
        </w:tabs>
        <w:rPr>
          <w:sz w:val="20"/>
          <w:szCs w:val="20"/>
          <w:color w:val="auto"/>
        </w:rPr>
      </w:pPr>
      <w:r>
        <w:rPr>
          <w:rFonts w:ascii="Times New Roman" w:cs="Times New Roman" w:eastAsia="Times New Roman" w:hAnsi="Times New Roman"/>
          <w:sz w:val="22"/>
          <w:szCs w:val="22"/>
          <w:b w:val="1"/>
          <w:bCs w:val="1"/>
          <w:color w:val="auto"/>
        </w:rPr>
        <w:t>FOR IMMEDIATE RELEASE</w:t>
      </w:r>
      <w:r>
        <w:rPr>
          <w:sz w:val="20"/>
          <w:szCs w:val="20"/>
          <w:color w:val="auto"/>
        </w:rPr>
        <w:tab/>
      </w:r>
      <w:r>
        <w:rPr>
          <w:rFonts w:ascii="Times New Roman" w:cs="Times New Roman" w:eastAsia="Times New Roman" w:hAnsi="Times New Roman"/>
          <w:sz w:val="21"/>
          <w:szCs w:val="21"/>
          <w:b w:val="1"/>
          <w:bCs w:val="1"/>
          <w:color w:val="auto"/>
        </w:rPr>
        <w:t>Exhibit 99.1</w:t>
      </w:r>
    </w:p>
    <w:p>
      <w:pPr>
        <w:spacing w:after="0" w:line="199" w:lineRule="exact"/>
        <w:rPr>
          <w:sz w:val="20"/>
          <w:szCs w:val="20"/>
          <w:color w:val="auto"/>
        </w:rPr>
      </w:pPr>
    </w:p>
    <w:p>
      <w:pPr>
        <w:jc w:val="center"/>
        <w:ind w:right="20"/>
        <w:spacing w:after="0" w:line="278" w:lineRule="auto"/>
        <w:rPr>
          <w:sz w:val="20"/>
          <w:szCs w:val="20"/>
          <w:color w:val="auto"/>
        </w:rPr>
      </w:pPr>
      <w:r>
        <w:rPr>
          <w:rFonts w:ascii="Times New Roman" w:cs="Times New Roman" w:eastAsia="Times New Roman" w:hAnsi="Times New Roman"/>
          <w:sz w:val="29"/>
          <w:szCs w:val="29"/>
          <w:b w:val="1"/>
          <w:bCs w:val="1"/>
          <w:color w:val="auto"/>
        </w:rPr>
        <w:t>Rezolve Ai PLC Expands Core AI Commerce Platform with Acquisition of Reward Loyalty UK Limited</w:t>
      </w:r>
    </w:p>
    <w:p>
      <w:pPr>
        <w:spacing w:after="0" w:line="13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$230 million all-cash, non-dilutive transaction adds approximately $90 million of EBITDA-accretive revenue, self-financing profitable growth and immediate strategic scale</w:t>
      </w:r>
    </w:p>
    <w:p>
      <w:pPr>
        <w:spacing w:after="0" w:line="17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Expected to further expand RezolvePay and agentic Brain Commerce reach across tens of millions of cardholders, hundreds of global retailers and the world’s leading payment networks</w:t>
      </w:r>
    </w:p>
    <w:p>
      <w:pPr>
        <w:spacing w:after="0" w:line="18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 February 10, 2026 </w:t>
      </w:r>
      <w:r>
        <w:rPr>
          <w:rFonts w:ascii="Times New Roman" w:cs="Times New Roman" w:eastAsia="Times New Roman" w:hAnsi="Times New Roman"/>
          <w:sz w:val="20"/>
          <w:szCs w:val="20"/>
          <w:color w:val="auto"/>
        </w:rPr>
        <w:t>– Rezolve Ai (NASDAQ: RZLV), a global provider of AI-driven commerce and payments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today announced the acquisition of </w:t>
      </w:r>
      <w:r>
        <w:rPr>
          <w:rFonts w:ascii="Times New Roman" w:cs="Times New Roman" w:eastAsia="Times New Roman" w:hAnsi="Times New Roman"/>
          <w:sz w:val="20"/>
          <w:szCs w:val="20"/>
          <w:b w:val="1"/>
          <w:bCs w:val="1"/>
          <w:color w:val="auto"/>
        </w:rPr>
        <w:t>100% of Reward Loyalty UK Limited (“Reward”)</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20"/>
          <w:szCs w:val="20"/>
          <w:b w:val="1"/>
          <w:bCs w:val="1"/>
          <w:color w:val="auto"/>
        </w:rPr>
        <w:t>US$230 million</w:t>
      </w:r>
      <w:r>
        <w:rPr>
          <w:rFonts w:ascii="Times New Roman" w:cs="Times New Roman" w:eastAsia="Times New Roman" w:hAnsi="Times New Roman"/>
          <w:sz w:val="20"/>
          <w:szCs w:val="20"/>
          <w:color w:val="auto"/>
        </w:rPr>
        <w:t xml:space="preserve">, payable </w:t>
      </w:r>
      <w:r>
        <w:rPr>
          <w:rFonts w:ascii="Times New Roman" w:cs="Times New Roman" w:eastAsia="Times New Roman" w:hAnsi="Times New Roman"/>
          <w:sz w:val="20"/>
          <w:szCs w:val="20"/>
          <w:b w:val="1"/>
          <w:bCs w:val="1"/>
          <w:color w:val="auto"/>
        </w:rPr>
        <w:t>entirely in cash</w:t>
      </w:r>
      <w:r>
        <w:rPr>
          <w:rFonts w:ascii="Times New Roman" w:cs="Times New Roman" w:eastAsia="Times New Roman" w:hAnsi="Times New Roman"/>
          <w:sz w:val="20"/>
          <w:szCs w:val="20"/>
          <w:color w:val="auto"/>
        </w:rPr>
        <w:t xml:space="preserve"> from existing resources, strengthening Rezolve Ai’s core AI-commerce platform with profitable, self-financing growth at scale, supported by Reward’s live enterprise deployments across banking and retail.</w:t>
      </w:r>
    </w:p>
    <w:p>
      <w:pPr>
        <w:spacing w:after="0" w:line="18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 xml:space="preserve">The Reward transaction is </w:t>
      </w:r>
      <w:r>
        <w:rPr>
          <w:rFonts w:ascii="Times New Roman" w:cs="Times New Roman" w:eastAsia="Times New Roman" w:hAnsi="Times New Roman"/>
          <w:sz w:val="19"/>
          <w:szCs w:val="19"/>
          <w:b w:val="1"/>
          <w:bCs w:val="1"/>
          <w:color w:val="auto"/>
        </w:rPr>
        <w:t>fully non-dilutive</w:t>
      </w:r>
      <w:r>
        <w:rPr>
          <w:rFonts w:ascii="Times New Roman" w:cs="Times New Roman" w:eastAsia="Times New Roman" w:hAnsi="Times New Roman"/>
          <w:sz w:val="19"/>
          <w:szCs w:val="19"/>
          <w:color w:val="auto"/>
        </w:rPr>
        <w:t xml:space="preserve">, requires </w:t>
      </w:r>
      <w:r>
        <w:rPr>
          <w:rFonts w:ascii="Times New Roman" w:cs="Times New Roman" w:eastAsia="Times New Roman" w:hAnsi="Times New Roman"/>
          <w:sz w:val="19"/>
          <w:szCs w:val="19"/>
          <w:b w:val="1"/>
          <w:bCs w:val="1"/>
          <w:color w:val="auto"/>
        </w:rPr>
        <w:t>no equity issuance, no seller paper, and no financing</w:t>
      </w:r>
      <w:r>
        <w:rPr>
          <w:rFonts w:ascii="Times New Roman" w:cs="Times New Roman" w:eastAsia="Times New Roman" w:hAnsi="Times New Roman"/>
          <w:sz w:val="19"/>
          <w:szCs w:val="19"/>
          <w:color w:val="auto"/>
        </w:rPr>
        <w:t xml:space="preserve"> and when combined with Rezolve Ai’s business, is expected to be </w:t>
      </w:r>
      <w:r>
        <w:rPr>
          <w:rFonts w:ascii="Times New Roman" w:cs="Times New Roman" w:eastAsia="Times New Roman" w:hAnsi="Times New Roman"/>
          <w:sz w:val="19"/>
          <w:szCs w:val="19"/>
          <w:b w:val="1"/>
          <w:bCs w:val="1"/>
          <w:color w:val="auto"/>
        </w:rPr>
        <w:t>EBITDA-accretive, self-financing,</w:t>
      </w:r>
      <w:r>
        <w:rPr>
          <w:rFonts w:ascii="Times New Roman" w:cs="Times New Roman" w:eastAsia="Times New Roman" w:hAnsi="Times New Roman"/>
          <w:sz w:val="19"/>
          <w:szCs w:val="19"/>
          <w:color w:val="auto"/>
        </w:rPr>
        <w:t xml:space="preserve"> and supportive of </w:t>
      </w:r>
      <w:r>
        <w:rPr>
          <w:rFonts w:ascii="Times New Roman" w:cs="Times New Roman" w:eastAsia="Times New Roman" w:hAnsi="Times New Roman"/>
          <w:sz w:val="19"/>
          <w:szCs w:val="19"/>
          <w:b w:val="1"/>
          <w:bCs w:val="1"/>
          <w:color w:val="auto"/>
        </w:rPr>
        <w:t>profitable top-line growth</w:t>
      </w:r>
      <w:r>
        <w:rPr>
          <w:rFonts w:ascii="Times New Roman" w:cs="Times New Roman" w:eastAsia="Times New Roman" w:hAnsi="Times New Roman"/>
          <w:sz w:val="19"/>
          <w:szCs w:val="19"/>
          <w:color w:val="auto"/>
        </w:rPr>
        <w:t xml:space="preserve"> from completion.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w:t>
      </w:r>
      <w:r>
        <w:rPr>
          <w:rFonts w:ascii="Times New Roman" w:cs="Times New Roman" w:eastAsia="Times New Roman" w:hAnsi="Times New Roman"/>
          <w:sz w:val="20"/>
          <w:szCs w:val="20"/>
          <w:color w:val="auto"/>
        </w:rPr>
        <w:t>, Founder, Chairman and CEO of Rezolve Ai, commented:</w:t>
      </w:r>
    </w:p>
    <w:p>
      <w:pPr>
        <w:spacing w:after="0" w:line="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Reward is a profitable, scaled platform that sits directly at the heart of AI-driven commerce, already operating at scale, where discovery,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engagement, transaction and loyalty converge. Acquiring it entirely for cash allows us to capture that value at an attractive point, while adding a strong revenue base, profitable growth and immediate strategic scale. This is not a diversification move; it materially advances our core AI commerce strategy by embedding Rezolve Ai deeper into everyday consumer spend across banks, retailers and payment networks.”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Gavin Dein</w:t>
      </w:r>
      <w:r>
        <w:rPr>
          <w:rFonts w:ascii="Times New Roman" w:cs="Times New Roman" w:eastAsia="Times New Roman" w:hAnsi="Times New Roman"/>
          <w:sz w:val="20"/>
          <w:szCs w:val="20"/>
          <w:color w:val="auto"/>
        </w:rPr>
        <w:t>, Founder and Deputy Chairman of Reward, said:</w:t>
      </w:r>
    </w:p>
    <w:p>
      <w:pPr>
        <w:spacing w:after="0" w:line="26" w:lineRule="exact"/>
        <w:rPr>
          <w:sz w:val="20"/>
          <w:szCs w:val="20"/>
          <w:color w:val="auto"/>
        </w:rPr>
      </w:pPr>
    </w:p>
    <w:p>
      <w:pPr>
        <w:jc w:val="both"/>
        <w:ind w:right="340"/>
        <w:spacing w:after="0" w:line="241" w:lineRule="auto"/>
        <w:rPr>
          <w:sz w:val="20"/>
          <w:szCs w:val="20"/>
          <w:color w:val="auto"/>
        </w:rPr>
      </w:pPr>
      <w:r>
        <w:rPr>
          <w:rFonts w:ascii="Times New Roman" w:cs="Times New Roman" w:eastAsia="Times New Roman" w:hAnsi="Times New Roman"/>
          <w:sz w:val="20"/>
          <w:szCs w:val="20"/>
          <w:i w:val="1"/>
          <w:iCs w:val="1"/>
          <w:color w:val="auto"/>
        </w:rPr>
        <w:t>“Reward powers some of the world’s largest customer engagement programs at the intersection of banking and retail, delivering trusted transaction and behavioral insights that drive measurable growth and lasting loyalty. Rezolve Ai’s platform and RezolvePay capabilities extend that vision, enabling us to scale personalized, transaction-linked rewards globally across banks, retailers, and payment networks while preserving the simplicity and compliance that underpin our network.”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Impact</w:t>
      </w:r>
    </w:p>
    <w:p>
      <w:pPr>
        <w:spacing w:after="0" w:line="25"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Approximately $90 million of EBITDA-accretive revenue for fiscal year 2025</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Profitable, self-financing operating model with positive unit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4" w:name="page5"/>
    <w:bookmarkEnd w:id="4"/>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Supports sustained top-line growth without incremental group funding</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Fully non-dilutive to Rezolve Ai shareholders</w:t>
      </w:r>
    </w:p>
    <w:p>
      <w:pPr>
        <w:spacing w:after="0" w:line="207"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Rezolve Ai believes the acquisition of Reward represents a disciplined deployment of capital, converting balance-sheet strength into immediate profitability and scale at a valuation that reflects disciplined pricing for a profitable, scaled platform with durable enterprise distribution and clear long-term growth potential.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Scale, Embedded Distribution</w:t>
      </w:r>
    </w:p>
    <w:p>
      <w:pPr>
        <w:spacing w:after="0" w:line="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 xml:space="preserve">Reward operates a large-scale, customer engagement and commerce media platform embedded across </w:t>
      </w:r>
      <w:r>
        <w:rPr>
          <w:rFonts w:ascii="Times New Roman" w:cs="Times New Roman" w:eastAsia="Times New Roman" w:hAnsi="Times New Roman"/>
          <w:sz w:val="20"/>
          <w:szCs w:val="20"/>
          <w:b w:val="1"/>
          <w:bCs w:val="1"/>
          <w:color w:val="auto"/>
        </w:rPr>
        <w:t>hundreds of leading global retailers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dozens of major banks</w:t>
      </w:r>
      <w:r>
        <w:rPr>
          <w:rFonts w:ascii="Times New Roman" w:cs="Times New Roman" w:eastAsia="Times New Roman" w:hAnsi="Times New Roman"/>
          <w:sz w:val="20"/>
          <w:szCs w:val="20"/>
          <w:color w:val="auto"/>
        </w:rPr>
        <w:t xml:space="preserve"> across Europe, the Middle East, and Asia. The platform is further distributed through its strategic partnership with </w:t>
      </w:r>
      <w:r>
        <w:rPr>
          <w:rFonts w:ascii="Times New Roman" w:cs="Times New Roman" w:eastAsia="Times New Roman" w:hAnsi="Times New Roman"/>
          <w:sz w:val="20"/>
          <w:szCs w:val="20"/>
          <w:b w:val="1"/>
          <w:bCs w:val="1"/>
          <w:color w:val="auto"/>
        </w:rPr>
        <w:t>Visa</w:t>
      </w:r>
      <w:r>
        <w:rPr>
          <w:rFonts w:ascii="Times New Roman" w:cs="Times New Roman" w:eastAsia="Times New Roman" w:hAnsi="Times New Roman"/>
          <w:sz w:val="20"/>
          <w:szCs w:val="20"/>
          <w:color w:val="auto"/>
        </w:rPr>
        <w:t xml:space="preserve">, the global payment network, and supports transactions across other major global payment networks, including </w:t>
      </w:r>
      <w:r>
        <w:rPr>
          <w:rFonts w:ascii="Times New Roman" w:cs="Times New Roman" w:eastAsia="Times New Roman" w:hAnsi="Times New Roman"/>
          <w:sz w:val="20"/>
          <w:szCs w:val="20"/>
          <w:b w:val="1"/>
          <w:bCs w:val="1"/>
          <w:color w:val="auto"/>
        </w:rPr>
        <w:t>Mastercard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American Express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Reward’s platform is live today across major banking and retail partners with established enterprise contracts and recurring revenue streams underpinning its profitable operating model.</w:t>
      </w:r>
    </w:p>
    <w:p>
      <w:pPr>
        <w:spacing w:after="0" w:line="16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9"/>
          <w:szCs w:val="19"/>
          <w:color w:val="auto"/>
        </w:rPr>
        <w:t xml:space="preserve">Reward reaches </w:t>
      </w:r>
      <w:r>
        <w:rPr>
          <w:rFonts w:ascii="Times New Roman" w:cs="Times New Roman" w:eastAsia="Times New Roman" w:hAnsi="Times New Roman"/>
          <w:sz w:val="19"/>
          <w:szCs w:val="19"/>
          <w:b w:val="1"/>
          <w:bCs w:val="1"/>
          <w:color w:val="auto"/>
        </w:rPr>
        <w:t>tens of millions of active cardholders across three continents</w:t>
      </w:r>
      <w:r>
        <w:rPr>
          <w:rFonts w:ascii="Times New Roman" w:cs="Times New Roman" w:eastAsia="Times New Roman" w:hAnsi="Times New Roman"/>
          <w:sz w:val="19"/>
          <w:szCs w:val="19"/>
          <w:color w:val="auto"/>
        </w:rPr>
        <w:t xml:space="preserve">, delivering hyper-personalized offers directly through trusted banking relationships, including institutions such as </w:t>
      </w:r>
      <w:r>
        <w:rPr>
          <w:rFonts w:ascii="Times New Roman" w:cs="Times New Roman" w:eastAsia="Times New Roman" w:hAnsi="Times New Roman"/>
          <w:sz w:val="19"/>
          <w:szCs w:val="19"/>
          <w:b w:val="1"/>
          <w:bCs w:val="1"/>
          <w:color w:val="auto"/>
        </w:rPr>
        <w:t>Barclays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NatWest</w:t>
      </w:r>
      <w:r>
        <w:rPr>
          <w:rFonts w:ascii="Times New Roman" w:cs="Times New Roman" w:eastAsia="Times New Roman" w:hAnsi="Times New Roman"/>
          <w:sz w:val="19"/>
          <w:szCs w:val="19"/>
          <w:color w:val="auto"/>
        </w:rPr>
        <w:t>. Loyalty rewards are triggered automatically across in-store, online, and remote transactions whenever an enrolled card is used seamlessly, securely, and without changing consumer behavior.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Fit with RezolvePay and Agentic Commerce</w:t>
      </w:r>
    </w:p>
    <w:p>
      <w:pPr>
        <w:spacing w:after="0" w:line="2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The acquisition of Reward directly strengthens Rezolve Ai’s core Brain Commerce platform, embedding AI-driven discovery, engagement, transaction and loyalty into a unified operating model. Reward’s customer engagement and commerce media capabilities sit upstream of payment and fulfilment, making the platform a natural extension of Rezolve Ai’s agentic commerce architecture rather than an adjacent or standalone business.</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Together, Rezolve Ai and Reward bring conversational commerce and commerce media together on a shared AI foundation, enabling closed-loop engagement where discovery, conversation, transaction and measurement reinforce one another.</w:t>
      </w:r>
    </w:p>
    <w:p>
      <w:pPr>
        <w:spacing w:after="0" w:line="17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This integration materially strengthens Rezolve Ai’s RezolvePay proposition by enabling rewards, personalization and monetization across everyday spending, while maintaining enterprise-grade compliance and attribution across physical and digital channels.</w:t>
      </w:r>
    </w:p>
    <w:p>
      <w:pPr>
        <w:spacing w:after="0" w:line="173"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Reward’s platform is natively aligned with Rezolve Ai’s product roadmap and customer base, representing a direct extension of its AI commerce capabilities rather than a diversification into unrelated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Addressable Market Opportunity</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The combined platform addresses two fast-growing markets at the intersection of advertising, commerce, and payments. Global advertising expenditure is forecast to approach </w:t>
      </w:r>
      <w:r>
        <w:rPr>
          <w:rFonts w:ascii="Times New Roman" w:cs="Times New Roman" w:eastAsia="Times New Roman" w:hAnsi="Times New Roman"/>
          <w:sz w:val="20"/>
          <w:szCs w:val="20"/>
          <w:b w:val="1"/>
          <w:bCs w:val="1"/>
          <w:color w:val="auto"/>
        </w:rPr>
        <w:t>$1 trillion annually</w:t>
      </w:r>
      <w:r>
        <w:rPr>
          <w:rFonts w:ascii="Times New Roman" w:cs="Times New Roman" w:eastAsia="Times New Roman" w:hAnsi="Times New Roman"/>
          <w:sz w:val="20"/>
          <w:szCs w:val="20"/>
          <w:color w:val="auto"/>
        </w:rPr>
        <w:t xml:space="preserve"> with retail media expected to account for approximately $176.9 billion, or ~15.9% of global ad spend.</w:t>
      </w:r>
    </w:p>
    <w:p>
      <w:pPr>
        <w:spacing w:after="0" w:line="19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In parallel, </w:t>
      </w:r>
      <w:r>
        <w:rPr>
          <w:rFonts w:ascii="Times New Roman" w:cs="Times New Roman" w:eastAsia="Times New Roman" w:hAnsi="Times New Roman"/>
          <w:sz w:val="20"/>
          <w:szCs w:val="20"/>
          <w:b w:val="1"/>
          <w:bCs w:val="1"/>
          <w:color w:val="auto"/>
        </w:rPr>
        <w:t>conversational commerce</w:t>
      </w:r>
      <w:r>
        <w:rPr>
          <w:rFonts w:ascii="Times New Roman" w:cs="Times New Roman" w:eastAsia="Times New Roman" w:hAnsi="Times New Roman"/>
          <w:sz w:val="20"/>
          <w:szCs w:val="20"/>
          <w:color w:val="auto"/>
        </w:rPr>
        <w:t xml:space="preserve"> is forecast to grow from approximately </w:t>
      </w:r>
      <w:r>
        <w:rPr>
          <w:rFonts w:ascii="Times New Roman" w:cs="Times New Roman" w:eastAsia="Times New Roman" w:hAnsi="Times New Roman"/>
          <w:sz w:val="20"/>
          <w:szCs w:val="20"/>
          <w:b w:val="1"/>
          <w:bCs w:val="1"/>
          <w:color w:val="auto"/>
        </w:rPr>
        <w:t>$17.2 billion in 2024</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b w:val="1"/>
          <w:bCs w:val="1"/>
          <w:color w:val="auto"/>
        </w:rPr>
        <w:t>$56.9 billion by 2030</w:t>
      </w:r>
      <w:r>
        <w:rPr>
          <w:rFonts w:ascii="Times New Roman" w:cs="Times New Roman" w:eastAsia="Times New Roman" w:hAnsi="Times New Roman"/>
          <w:sz w:val="20"/>
          <w:szCs w:val="20"/>
          <w:color w:val="auto"/>
        </w:rPr>
        <w:t>, positioning the combined platform to address these converging markets through a unified, transaction-linked model.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w:t>
      </w:r>
      <w:r>
        <w:rPr>
          <w:rFonts w:ascii="Times New Roman" w:cs="Times New Roman" w:eastAsia="Times New Roman" w:hAnsi="Times New Roman"/>
          <w:sz w:val="19"/>
          <w:szCs w:val="19"/>
          <w:b w:val="1"/>
          <w:bCs w:val="1"/>
          <w:color w:val="auto"/>
        </w:rPr>
        <w:t>ransaction Certainty</w:t>
      </w:r>
    </w:p>
    <w:p>
      <w:pPr>
        <w:spacing w:after="0" w:line="1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All-cash consideration of US$230 million</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Funded entirely from existing cash resources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equity issuance or contingent consideration</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financing or valuation-linked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and Integration</w:t>
      </w:r>
    </w:p>
    <w:p>
      <w:pPr>
        <w:spacing w:after="0" w:line="26"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0"/>
          <w:szCs w:val="20"/>
          <w:color w:val="auto"/>
        </w:rPr>
        <w:t>Reward’s senior leadership team is expected to remain in place, ensuring continuity and operational stability. Rezolve Ai plans a phased integration approach focused on preserving Reward’s profitability while selectively introducing platform synergies.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Ongoing Capital Discipline</w:t>
      </w:r>
    </w:p>
    <w:p>
      <w:pPr>
        <w:spacing w:after="0" w:line="26"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20"/>
          <w:szCs w:val="20"/>
          <w:color w:val="auto"/>
        </w:rPr>
        <w:t xml:space="preserve">Rezolve Ai remains focused on disciplined capital allocation, prioritizing </w:t>
      </w:r>
      <w:r>
        <w:rPr>
          <w:rFonts w:ascii="Times New Roman" w:cs="Times New Roman" w:eastAsia="Times New Roman" w:hAnsi="Times New Roman"/>
          <w:sz w:val="20"/>
          <w:szCs w:val="20"/>
          <w:b w:val="1"/>
          <w:bCs w:val="1"/>
          <w:color w:val="auto"/>
        </w:rPr>
        <w:t>profitable, EBITDA and cash-generative acquisitions</w:t>
      </w:r>
      <w:r>
        <w:rPr>
          <w:rFonts w:ascii="Times New Roman" w:cs="Times New Roman" w:eastAsia="Times New Roman" w:hAnsi="Times New Roman"/>
          <w:sz w:val="20"/>
          <w:szCs w:val="20"/>
          <w:color w:val="auto"/>
        </w:rPr>
        <w:t xml:space="preserve"> that enhance long-term shareholder value while avoiding unnecessary dilution. The Company does not anticipate issuing equity in connection with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+44 7576 094 040</w:t>
      </w:r>
    </w:p>
    <w:p>
      <w:pPr>
        <w:ind w:left="60"/>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are intended to identify such forward-looking statements. These forward-looking statements include Rezolve’s statements regarding the anticipated strengths and benefits of the Reward transaction and forecasted market share.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2026-02-13T15:11:43Z</dcterms:created>
  <dcterms:modified xsi:type="dcterms:W3CDTF">2026-02-13T15:11:43Z</dcterms:modified>
</cp:coreProperties>
</file>