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387985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40"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For the month of April 2026</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plc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356235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left="240" w:right="279"/>
        <w:spacing w:after="0" w:line="33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2636520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343535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848995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1749425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1409065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April 29, 2026, Rezolve AI plc (the "Company") distributed a flyer to attendees of the 2026 Commerce Live leadership conference in Chicago, Illinois, where members of the Commerce.com, Inc. leadership team hosted an investor briefing (the “Flyer”). A copy of the Flyer is furnished herewith as Exhibit 99.1.</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information included in this report on Form 6-K, including Exhibit 99.1, is being furnished and shall not be deemed "filed" for purposes of Section 18 of the Securities Exchange Act of 1934, as amended (the "Exchange</w:t>
      </w:r>
    </w:p>
    <w:p>
      <w:pPr>
        <w:ind w:right="160"/>
        <w:spacing w:after="0" w:line="260" w:lineRule="auto"/>
        <w:rPr>
          <w:sz w:val="20"/>
          <w:szCs w:val="20"/>
          <w:color w:val="auto"/>
        </w:rPr>
      </w:pPr>
      <w:r>
        <w:rPr>
          <w:rFonts w:ascii="Times New Roman" w:cs="Times New Roman" w:eastAsia="Times New Roman" w:hAnsi="Times New Roman"/>
          <w:sz w:val="18"/>
          <w:szCs w:val="18"/>
          <w:color w:val="auto"/>
        </w:rPr>
        <w:t>Act"), or otherwise subject to the liabilities of that section, nor shall it be deemed incorporated by reference in any filing under the Securities Act of 1933, as amended, or the Exchange Act, except as otherwise set forth herein or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FF"/>
                <w:w w:val="98"/>
              </w:rPr>
              <w:t>Flyer, April 29,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00" w:firstLine="65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29, 2026</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0" w:type="dxa"/>
            <w:vAlign w:val="bottom"/>
          </w:tcPr>
          <w:p>
            <w:pPr>
              <w:spacing w:after="0"/>
              <w:rPr>
                <w:sz w:val="1"/>
                <w:szCs w:val="1"/>
                <w:color w:val="auto"/>
              </w:rPr>
            </w:pPr>
          </w:p>
        </w:tc>
      </w:tr>
      <w:tr>
        <w:trPr>
          <w:trHeight w:val="108"/>
        </w:trPr>
        <w:tc>
          <w:tcPr>
            <w:tcW w:w="1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3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880" w:type="dxa"/>
            <w:vAlign w:val="bottom"/>
            <w:vMerge w:val="continue"/>
          </w:tcPr>
          <w:p>
            <w:pPr>
              <w:spacing w:after="0"/>
              <w:rPr>
                <w:sz w:val="17"/>
                <w:szCs w:val="17"/>
                <w:color w:val="auto"/>
              </w:rPr>
            </w:pPr>
          </w:p>
        </w:tc>
        <w:tc>
          <w:tcPr>
            <w:tcW w:w="93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0" w:type="dxa"/>
            <w:vAlign w:val="bottom"/>
          </w:tcPr>
          <w:p>
            <w:pPr>
              <w:spacing w:after="0"/>
              <w:rPr>
                <w:sz w:val="1"/>
                <w:szCs w:val="1"/>
                <w:color w:val="auto"/>
              </w:rPr>
            </w:pPr>
          </w:p>
        </w:tc>
      </w:tr>
      <w:tr>
        <w:trPr>
          <w:trHeight w:val="797"/>
        </w:trPr>
        <w:tc>
          <w:tcPr>
            <w:tcW w:w="1880" w:type="dxa"/>
            <w:vAlign w:val="bottom"/>
            <w:tcBorders>
              <w:bottom w:val="single" w:sz="8" w:color="808080"/>
            </w:tcBorders>
          </w:tcPr>
          <w:p>
            <w:pPr>
              <w:spacing w:after="0"/>
              <w:rPr>
                <w:sz w:val="24"/>
                <w:szCs w:val="24"/>
                <w:color w:val="auto"/>
              </w:rPr>
            </w:pPr>
          </w:p>
        </w:tc>
        <w:tc>
          <w:tcPr>
            <w:tcW w:w="93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863"/>
        </w:trPr>
        <w:tc>
          <w:tcPr>
            <w:tcW w:w="1880" w:type="dxa"/>
            <w:vAlign w:val="bottom"/>
            <w:tcBorders>
              <w:bottom w:val="single" w:sz="8" w:color="9A9A9A"/>
            </w:tcBorders>
          </w:tcPr>
          <w:p>
            <w:pPr>
              <w:spacing w:after="0"/>
              <w:rPr>
                <w:sz w:val="24"/>
                <w:szCs w:val="24"/>
                <w:color w:val="auto"/>
              </w:rPr>
            </w:pPr>
          </w:p>
        </w:tc>
        <w:tc>
          <w:tcPr>
            <w:tcW w:w="9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left="928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175895</wp:posOffset>
            </wp:positionV>
            <wp:extent cx="7157720" cy="59188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5918835"/>
                    </a:xfrm>
                    <a:prstGeom prst="rect">
                      <a:avLst/>
                    </a:prstGeom>
                    <a:noFill/>
                  </pic:spPr>
                </pic:pic>
              </a:graphicData>
            </a:graphic>
          </wp:anchor>
        </w:drawing>
      </w:r>
    </w:p>
    <w:p>
      <w:pPr>
        <w:sectPr>
          <w:pgSz w:w="11900" w:h="16838" w:orient="portrait"/>
          <w:cols w:equalWidth="0" w:num="1">
            <w:col w:w="10120"/>
          </w:cols>
          <w:pgMar w:left="1440" w:top="124" w:right="33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226060</wp:posOffset>
            </wp:positionV>
            <wp:extent cx="7157720" cy="671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671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2026-04-29T18:28:20Z</dcterms:created>
  <dcterms:modified xsi:type="dcterms:W3CDTF">2026-04-29T18:28:20Z</dcterms:modified>
</cp:coreProperties>
</file>