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4381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438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Perry Stephen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REZOLVE AI PLC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RZLV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REZOLVE AI PLC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21 SACKVILLE STREET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LONDON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2. Amount of Securities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40" w:type="dxa"/>
            <w:vAlign w:val="bottom"/>
            <w:gridSpan w:val="5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   Form: Direct</w:t>
            </w: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778,926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128,530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spouse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5"/>
              </w:rPr>
              <w:t>5.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Warrants to Purchase Ordinary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07/09/2024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01/31/2027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12,700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lef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Shares</w:t>
            </w: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 (Right to Buy)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09/20/2024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09/20/2034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2"/>
              </w:rPr>
              <w:t>200,000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0.0001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 (Right to Buy)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01/01/2026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01/01/2036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2"/>
              </w:rPr>
              <w:t>300,000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0.0001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1. This option was issued to the reporting person pursuant to the Rezolve AI plc Long Term Incentive Plan.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Stephen Perry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03/24/2026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3031" TargetMode="External"/><Relationship Id="rId11" Type="http://schemas.openxmlformats.org/officeDocument/2006/relationships/hyperlink" Target="http://www.sec.gov/cgi-bin/browse-edgar?action=getcompany&amp;CIK=0001920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2026-03-24T17:19:42Z</dcterms:created>
  <dcterms:modified xsi:type="dcterms:W3CDTF">2026-03-24T17:19:42Z</dcterms:modified>
</cp:coreProperties>
</file>