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9"/>
          <w:szCs w:val="9"/>
          <w:b w:val="1"/>
          <w:bCs w:val="1"/>
          <w:color w:val="auto"/>
        </w:rPr>
        <w:t>As filed with the Securities and Exchange Commission on December 4, 2024.</w:t>
      </w:r>
    </w:p>
    <w:p>
      <w:pPr>
        <w:spacing w:after="0" w:line="21"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9"/>
          <w:szCs w:val="9"/>
          <w:b w:val="1"/>
          <w:bCs w:val="1"/>
          <w:color w:val="auto"/>
        </w:rPr>
        <w:t>Registration Statement No. 333-</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 F-1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REGISTRATION STATEMENT</w:t>
      </w:r>
    </w:p>
    <w:p>
      <w:pPr>
        <w:jc w:val="center"/>
        <w:spacing w:after="0" w:line="234" w:lineRule="auto"/>
        <w:rPr>
          <w:sz w:val="20"/>
          <w:szCs w:val="20"/>
          <w:color w:val="auto"/>
        </w:rPr>
      </w:pPr>
      <w:r>
        <w:rPr>
          <w:rFonts w:ascii="Times New Roman" w:cs="Times New Roman" w:eastAsia="Times New Roman" w:hAnsi="Times New Roman"/>
          <w:sz w:val="10"/>
          <w:szCs w:val="1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0"/>
          <w:szCs w:val="10"/>
          <w:b w:val="1"/>
          <w:bCs w:val="1"/>
          <w:i w:val="1"/>
          <w:iCs w:val="1"/>
          <w:color w:val="auto"/>
        </w:rPr>
        <w:t>THE SECURITIES ACT OF 1933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ectPr>
          <w:pgSz w:w="11900" w:h="16840" w:orient="portrait"/>
          <w:cols w:equalWidth="0" w:num="1">
            <w:col w:w="10620"/>
          </w:cols>
          <w:pgMar w:left="640" w:top="1033" w:right="640" w:bottom="1440" w:gutter="0" w:footer="0" w:header="0"/>
        </w:sectPr>
      </w:pPr>
    </w:p>
    <w:p>
      <w:pPr>
        <w:spacing w:after="0" w:line="5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0"/>
          <w:szCs w:val="10"/>
          <w:b w:val="1"/>
          <w:bCs w:val="1"/>
          <w:color w:val="auto"/>
        </w:rPr>
        <w:t>United Kingdom</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9"/>
          <w:szCs w:val="9"/>
          <w:b w:val="1"/>
          <w:bCs w:val="1"/>
          <w:color w:val="auto"/>
        </w:rPr>
        <w:t>(State or other jurisdiction of</w:t>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0"/>
          <w:szCs w:val="10"/>
          <w:b w:val="1"/>
          <w:bCs w:val="1"/>
          <w:color w:val="auto"/>
        </w:rPr>
        <w:t>7370</w:t>
      </w:r>
    </w:p>
    <w:p>
      <w:pPr>
        <w:spacing w:after="0" w:line="1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9"/>
          <w:szCs w:val="9"/>
          <w:b w:val="1"/>
          <w:bCs w:val="1"/>
          <w:color w:val="auto"/>
        </w:rPr>
        <w:t>(Primary Standard Industrial</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0"/>
          <w:szCs w:val="10"/>
          <w:b w:val="1"/>
          <w:bCs w:val="1"/>
          <w:color w:val="auto"/>
        </w:rPr>
        <w:t>Not Applicable</w:t>
      </w: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50" w:lineRule="exact"/>
        <w:rPr>
          <w:sz w:val="24"/>
          <w:szCs w:val="24"/>
          <w:color w:val="auto"/>
        </w:rPr>
      </w:pPr>
    </w:p>
    <w:p>
      <w:pPr>
        <w:sectPr>
          <w:pgSz w:w="11900" w:h="16840" w:orient="portrait"/>
          <w:cols w:equalWidth="0" w:num="3">
            <w:col w:w="3960" w:space="720"/>
            <w:col w:w="3240" w:space="720"/>
            <w:col w:w="1980"/>
          </w:cols>
          <w:pgMar w:left="640" w:top="1033" w:right="640" w:bottom="1440" w:gutter="0" w:footer="0" w:header="0"/>
          <w:type w:val="continuous"/>
        </w:sectPr>
      </w:pPr>
    </w:p>
    <w:p>
      <w:pPr>
        <w:ind w:left="4680"/>
        <w:spacing w:after="0"/>
        <w:rPr>
          <w:sz w:val="20"/>
          <w:szCs w:val="20"/>
          <w:color w:val="auto"/>
        </w:rPr>
      </w:pPr>
      <w:r>
        <w:rPr>
          <w:rFonts w:ascii="Times New Roman" w:cs="Times New Roman" w:eastAsia="Times New Roman" w:hAnsi="Times New Roman"/>
          <w:sz w:val="10"/>
          <w:szCs w:val="10"/>
          <w:b w:val="1"/>
          <w:bCs w:val="1"/>
          <w:color w:val="auto"/>
        </w:rPr>
        <w:t>3rd Floor, 80 New Bond Street</w:t>
      </w:r>
    </w:p>
    <w:p>
      <w:pPr>
        <w:spacing w:after="0" w:line="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0"/>
          <w:szCs w:val="10"/>
          <w:b w:val="1"/>
          <w:bCs w:val="1"/>
          <w:color w:val="auto"/>
        </w:rPr>
        <w:t>London, W1S 1SB</w:t>
      </w:r>
    </w:p>
    <w:p>
      <w:pPr>
        <w:ind w:left="4960"/>
        <w:spacing w:after="0" w:line="234" w:lineRule="auto"/>
        <w:rPr>
          <w:sz w:val="20"/>
          <w:szCs w:val="20"/>
          <w:color w:val="auto"/>
        </w:rPr>
      </w:pPr>
      <w:r>
        <w:rPr>
          <w:rFonts w:ascii="Times New Roman" w:cs="Times New Roman" w:eastAsia="Times New Roman" w:hAnsi="Times New Roman"/>
          <w:sz w:val="10"/>
          <w:szCs w:val="10"/>
          <w:b w:val="1"/>
          <w:bCs w:val="1"/>
          <w:color w:val="auto"/>
        </w:rPr>
        <w:t>United Kingdom</w:t>
      </w:r>
    </w:p>
    <w:p>
      <w:pPr>
        <w:ind w:left="4920"/>
        <w:spacing w:after="0" w:line="235" w:lineRule="auto"/>
        <w:rPr>
          <w:sz w:val="20"/>
          <w:szCs w:val="20"/>
          <w:color w:val="auto"/>
        </w:rPr>
      </w:pPr>
      <w:r>
        <w:rPr>
          <w:rFonts w:ascii="Times New Roman" w:cs="Times New Roman" w:eastAsia="Times New Roman" w:hAnsi="Times New Roman"/>
          <w:sz w:val="10"/>
          <w:szCs w:val="10"/>
          <w:b w:val="1"/>
          <w:bCs w:val="1"/>
          <w:color w:val="auto"/>
        </w:rPr>
        <w:t>(+44 77 8094 7233)</w:t>
      </w:r>
    </w:p>
    <w:p>
      <w:pPr>
        <w:ind w:left="2920"/>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3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0"/>
          <w:szCs w:val="10"/>
          <w:b w:val="1"/>
          <w:bCs w:val="1"/>
          <w:color w:val="auto"/>
        </w:rPr>
        <w:t>122 East 42nd Street, 18th Floor</w:t>
      </w:r>
    </w:p>
    <w:p>
      <w:pPr>
        <w:ind w:left="4840"/>
        <w:spacing w:after="0" w:line="234" w:lineRule="auto"/>
        <w:rPr>
          <w:sz w:val="20"/>
          <w:szCs w:val="20"/>
          <w:color w:val="auto"/>
        </w:rPr>
      </w:pPr>
      <w:r>
        <w:rPr>
          <w:rFonts w:ascii="Times New Roman" w:cs="Times New Roman" w:eastAsia="Times New Roman" w:hAnsi="Times New Roman"/>
          <w:sz w:val="10"/>
          <w:szCs w:val="10"/>
          <w:b w:val="1"/>
          <w:bCs w:val="1"/>
          <w:color w:val="auto"/>
        </w:rPr>
        <w:t>New York, N.Y. 10016</w:t>
      </w:r>
    </w:p>
    <w:p>
      <w:pPr>
        <w:ind w:left="4840"/>
        <w:spacing w:after="0" w:line="235" w:lineRule="auto"/>
        <w:rPr>
          <w:sz w:val="20"/>
          <w:szCs w:val="20"/>
          <w:color w:val="auto"/>
        </w:rPr>
      </w:pPr>
      <w:r>
        <w:rPr>
          <w:rFonts w:ascii="Times New Roman" w:cs="Times New Roman" w:eastAsia="Times New Roman" w:hAnsi="Times New Roman"/>
          <w:sz w:val="10"/>
          <w:szCs w:val="10"/>
          <w:b w:val="1"/>
          <w:bCs w:val="1"/>
          <w:color w:val="auto"/>
        </w:rPr>
        <w:t>Tel: +1 (212) 947-7200</w:t>
      </w:r>
    </w:p>
    <w:p>
      <w:pPr>
        <w:ind w:left="32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Copies to:</w:t>
      </w:r>
    </w:p>
    <w:p>
      <w:pPr>
        <w:sectPr>
          <w:pgSz w:w="11900" w:h="16840" w:orient="portrait"/>
          <w:cols w:equalWidth="0" w:num="1">
            <w:col w:w="10620"/>
          </w:cols>
          <w:pgMar w:left="640" w:top="1033" w:right="640" w:bottom="1440" w:gutter="0" w:footer="0" w:header="0"/>
          <w:type w:val="continuous"/>
        </w:sectPr>
      </w:pP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Gerry Williams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Penny Minna</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DLA Piper LLP (US)</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1201 W Peachtree St NE #2800</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Atlanta, GA 30309</w:t>
      </w:r>
    </w:p>
    <w:p>
      <w:pPr>
        <w:ind w:left="5240" w:hanging="236"/>
        <w:spacing w:after="0"/>
        <w:tabs>
          <w:tab w:leader="none" w:pos="5240" w:val="left"/>
        </w:tabs>
        <w:numPr>
          <w:ilvl w:val="0"/>
          <w:numId w:val="1"/>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736-7800</w:t>
      </w:r>
    </w:p>
    <w:p>
      <w:pPr>
        <w:spacing w:after="0" w:line="23"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As soon as practicable after this Registration Statement becomes effective.</w:t>
      </w:r>
    </w:p>
    <w:p>
      <w:pPr>
        <w:spacing w:after="0" w:line="37" w:lineRule="exact"/>
        <w:rPr>
          <w:rFonts w:ascii="Times New Roman" w:cs="Times New Roman" w:eastAsia="Times New Roman" w:hAnsi="Times New Roman"/>
          <w:sz w:val="10"/>
          <w:szCs w:val="10"/>
          <w:b w:val="1"/>
          <w:bCs w:val="1"/>
          <w:color w:val="auto"/>
        </w:rPr>
      </w:pPr>
    </w:p>
    <w:p>
      <w:pPr>
        <w:spacing w:after="0" w:line="115" w:lineRule="exact"/>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35" w:lineRule="exact"/>
        <w:rPr>
          <w:sz w:val="24"/>
          <w:szCs w:val="24"/>
          <w:color w:val="auto"/>
        </w:rPr>
      </w:pPr>
    </w:p>
    <w:p>
      <w:pPr>
        <w:ind w:right="40"/>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0"/>
          <w:szCs w:val="10"/>
          <w:color w:val="auto"/>
        </w:rPr>
        <w:t>☐</w:t>
      </w:r>
    </w:p>
    <w:p>
      <w:pPr>
        <w:spacing w:after="0" w:line="44"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Emerging growth company</w:t>
      </w:r>
      <w:r>
        <w:rPr>
          <w:rFonts w:ascii="MS PGothic" w:cs="MS PGothic" w:eastAsia="MS PGothic" w:hAnsi="MS PGothic"/>
          <w:sz w:val="10"/>
          <w:szCs w:val="10"/>
          <w:color w:val="auto"/>
        </w:rPr>
        <w:t>☒</w:t>
      </w:r>
    </w:p>
    <w:p>
      <w:pPr>
        <w:spacing w:after="0" w:line="13"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5" w:lineRule="exact"/>
        <w:rPr>
          <w:sz w:val="24"/>
          <w:szCs w:val="24"/>
          <w:color w:val="auto"/>
        </w:rPr>
      </w:pPr>
    </w:p>
    <w:p>
      <w:pPr>
        <w:ind w:right="140"/>
        <w:spacing w:after="0" w:line="247"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248285</wp:posOffset>
            </wp:positionV>
            <wp:extent cx="677862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type w:val="continuous"/>
        </w:sectPr>
      </w:pPr>
    </w:p>
    <w:bookmarkStart w:id="1" w:name="page2"/>
    <w:bookmarkEnd w:id="1"/>
    <w:p>
      <w:pPr>
        <w:jc w:val="center"/>
        <w:ind w:left="20" w:right="80"/>
        <w:spacing w:after="0" w:line="259" w:lineRule="auto"/>
        <w:rPr>
          <w:sz w:val="20"/>
          <w:szCs w:val="20"/>
          <w:color w:val="auto"/>
        </w:rPr>
      </w:pPr>
      <w:r>
        <w:rPr>
          <w:rFonts w:ascii="Times New Roman" w:cs="Times New Roman" w:eastAsia="Times New Roman" w:hAnsi="Times New Roman"/>
          <w:sz w:val="10"/>
          <w:szCs w:val="10"/>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0"/>
          <w:szCs w:val="10"/>
          <w:b w:val="1"/>
          <w:bCs w:val="1"/>
          <w:color w:val="FC0000"/>
        </w:rPr>
        <w:t>SUBJECT TO COMPLETION, DATED December 4, 2024</w:t>
      </w:r>
    </w:p>
    <w:p>
      <w:pPr>
        <w:spacing w:after="0" w:line="1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0"/>
          <w:szCs w:val="10"/>
          <w:b w:val="1"/>
          <w:bCs w:val="1"/>
          <w:color w:val="FC0000"/>
        </w:rPr>
        <w:t>PRELIMINARY PROSPECTUS</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ectPr>
          <w:pgSz w:w="11900" w:h="16840" w:orient="portrait"/>
          <w:cols w:equalWidth="0" w:num="1">
            <w:col w:w="10660"/>
          </w:cols>
          <w:pgMar w:left="640" w:top="1153" w:right="60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0"/>
          <w:szCs w:val="10"/>
          <w:b w:val="1"/>
          <w:bCs w:val="1"/>
          <w:color w:val="212529"/>
        </w:rPr>
        <w:t>Up to</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0"/>
          <w:szCs w:val="10"/>
          <w:b w:val="1"/>
          <w:bCs w:val="1"/>
          <w:color w:val="auto"/>
        </w:rPr>
        <w:t>Up to Ordinary Shares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0"/>
          <w:szCs w:val="10"/>
          <w:b w:val="1"/>
          <w:bCs w:val="1"/>
          <w:color w:val="auto"/>
        </w:rPr>
        <w:t>Up to  Warrants to Purchase Ordinary Shares</w:t>
      </w:r>
    </w:p>
    <w:p>
      <w:pPr>
        <w:spacing w:after="0" w:line="234" w:lineRule="auto"/>
        <w:rPr>
          <w:sz w:val="20"/>
          <w:szCs w:val="20"/>
          <w:color w:val="auto"/>
        </w:rPr>
      </w:pPr>
      <w:r>
        <w:rPr>
          <w:rFonts w:ascii="Times New Roman" w:cs="Times New Roman" w:eastAsia="Times New Roman" w:hAnsi="Times New Roman"/>
          <w:sz w:val="10"/>
          <w:szCs w:val="10"/>
          <w:b w:val="1"/>
          <w:bCs w:val="1"/>
          <w:color w:val="auto"/>
        </w:rPr>
        <w:t>Up to  Pre-Funded Warrants to Purchase Ordinary Shares</w:t>
      </w:r>
    </w:p>
    <w:p>
      <w:pPr>
        <w:ind w:left="120"/>
        <w:spacing w:after="0"/>
        <w:rPr>
          <w:sz w:val="20"/>
          <w:szCs w:val="20"/>
          <w:color w:val="auto"/>
        </w:rPr>
      </w:pPr>
      <w:r>
        <w:rPr>
          <w:rFonts w:ascii="Times New Roman" w:cs="Times New Roman" w:eastAsia="Times New Roman" w:hAnsi="Times New Roman"/>
          <w:sz w:val="9"/>
          <w:szCs w:val="9"/>
          <w:b w:val="1"/>
          <w:bCs w:val="1"/>
          <w:color w:val="212529"/>
        </w:rPr>
        <w:t>Ordinary Shares Underlying the Warrants and Pre-Funded Warrants</w:t>
      </w:r>
    </w:p>
    <w:p>
      <w:pPr>
        <w:spacing w:after="0" w:line="117" w:lineRule="exact"/>
        <w:rPr>
          <w:sz w:val="20"/>
          <w:szCs w:val="20"/>
          <w:color w:val="auto"/>
        </w:rPr>
      </w:pPr>
    </w:p>
    <w:p>
      <w:pPr>
        <w:sectPr>
          <w:pgSz w:w="11900" w:h="16840" w:orient="portrait"/>
          <w:cols w:equalWidth="0" w:num="2">
            <w:col w:w="3740" w:space="340"/>
            <w:col w:w="6580"/>
          </w:cols>
          <w:pgMar w:left="640" w:top="1153" w:right="600" w:bottom="1440" w:gutter="0" w:footer="0" w:header="0"/>
          <w:type w:val="continuous"/>
        </w:sectPr>
      </w:pPr>
    </w:p>
    <w:p>
      <w:pPr>
        <w:ind w:right="220"/>
        <w:spacing w:after="0" w:line="274" w:lineRule="auto"/>
        <w:rPr>
          <w:sz w:val="20"/>
          <w:szCs w:val="20"/>
          <w:color w:val="auto"/>
        </w:rPr>
      </w:pPr>
      <w:r>
        <w:rPr>
          <w:rFonts w:ascii="Times New Roman" w:cs="Times New Roman" w:eastAsia="Times New Roman" w:hAnsi="Times New Roman"/>
          <w:sz w:val="9"/>
          <w:szCs w:val="9"/>
          <w:color w:val="auto"/>
        </w:rPr>
        <w:t>We are offering on a best-efforts basis up to Ordinary Shares, par value £0.0001 (the “</w:t>
      </w:r>
      <w:r>
        <w:rPr>
          <w:rFonts w:ascii="Times New Roman" w:cs="Times New Roman" w:eastAsia="Times New Roman" w:hAnsi="Times New Roman"/>
          <w:sz w:val="9"/>
          <w:szCs w:val="9"/>
          <w:b w:val="1"/>
          <w:bCs w:val="1"/>
          <w:i w:val="1"/>
          <w:iCs w:val="1"/>
          <w:color w:val="auto"/>
        </w:rPr>
        <w:t>Ordinary Shares</w:t>
      </w:r>
      <w:r>
        <w:rPr>
          <w:rFonts w:ascii="Times New Roman" w:cs="Times New Roman" w:eastAsia="Times New Roman" w:hAnsi="Times New Roman"/>
          <w:sz w:val="9"/>
          <w:szCs w:val="9"/>
          <w:color w:val="auto"/>
        </w:rPr>
        <w:t>”), together with warrants to purchase up to Ordinary Shares. Each Ordinary Share, or a pre-funded warrant in lieu thereof, is being sold together with a warrant to purchase one Ordinary Share (the “</w:t>
      </w:r>
      <w:r>
        <w:rPr>
          <w:rFonts w:ascii="Times New Roman" w:cs="Times New Roman" w:eastAsia="Times New Roman" w:hAnsi="Times New Roman"/>
          <w:sz w:val="9"/>
          <w:szCs w:val="9"/>
          <w:b w:val="1"/>
          <w:bCs w:val="1"/>
          <w:i w:val="1"/>
          <w:iCs w:val="1"/>
          <w:color w:val="auto"/>
        </w:rPr>
        <w:t>Offering Warrant</w:t>
      </w:r>
      <w:r>
        <w:rPr>
          <w:rFonts w:ascii="Times New Roman" w:cs="Times New Roman" w:eastAsia="Times New Roman" w:hAnsi="Times New Roman"/>
          <w:sz w:val="9"/>
          <w:szCs w:val="9"/>
          <w:color w:val="auto"/>
        </w:rPr>
        <w:t>”). The Ordinary Shares and Offering Warrants are immediately separable and will be issued separately in this offering, but must be purchased together in this offering. The assumed public offering price for each</w:t>
      </w:r>
    </w:p>
    <w:p>
      <w:pPr>
        <w:spacing w:after="0" w:line="1"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0"/>
          <w:szCs w:val="10"/>
          <w:color w:val="auto"/>
        </w:rPr>
        <w:t>Ordinary Share and accompanying Offering Warrant is $ . Each Offering Warrant will have an exercise price per share of $</w:t>
      </w:r>
      <w:r>
        <w:rPr>
          <w:sz w:val="20"/>
          <w:szCs w:val="20"/>
          <w:color w:val="auto"/>
        </w:rPr>
        <w:tab/>
      </w:r>
      <w:r>
        <w:rPr>
          <w:rFonts w:ascii="Times New Roman" w:cs="Times New Roman" w:eastAsia="Times New Roman" w:hAnsi="Times New Roman"/>
          <w:sz w:val="9"/>
          <w:szCs w:val="9"/>
          <w:color w:val="auto"/>
        </w:rPr>
        <w:t>, will be exercisable upon issuance and have a term of five years from the date of issuance.</w:t>
      </w:r>
    </w:p>
    <w:p>
      <w:pPr>
        <w:spacing w:after="0" w:line="1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0"/>
          <w:szCs w:val="10"/>
          <w:color w:val="auto"/>
        </w:rPr>
        <w:t>We are also offering to each purchaser whose purchase of our Ordinary Shares in this offering would otherwise result in the purchaser, together with its affiliates and certain related parties, beneficially owning more than 4.99% (or, at the election of the holder, 9.99%) of our outstanding Ordinary Shares immediately following consummation of this offering, the opportunity to purchase, if the purchaser so chooses, pre-funded warrants to purchase Ordinary Shares (the “</w:t>
      </w:r>
      <w:r>
        <w:rPr>
          <w:rFonts w:ascii="Times New Roman" w:cs="Times New Roman" w:eastAsia="Times New Roman" w:hAnsi="Times New Roman"/>
          <w:sz w:val="10"/>
          <w:szCs w:val="10"/>
          <w:b w:val="1"/>
          <w:bCs w:val="1"/>
          <w:i w:val="1"/>
          <w:iCs w:val="1"/>
          <w:color w:val="auto"/>
        </w:rPr>
        <w:t>Pre-Funded Warrants</w:t>
      </w:r>
      <w:r>
        <w:rPr>
          <w:rFonts w:ascii="Times New Roman" w:cs="Times New Roman" w:eastAsia="Times New Roman" w:hAnsi="Times New Roman"/>
          <w:sz w:val="10"/>
          <w:szCs w:val="10"/>
          <w:color w:val="auto"/>
        </w:rPr>
        <w:t>”), in lieu of Ordinary Shares. Each Pre-Funded Warrant will be exercisable for one Ordinary Share. The purchase price of each Pre-Funded Warrant will equal the price per Ordinary Share being sold to the public in this offering, minus $0.0001, and the exercise price of each Pre-Funded Warrant will be $0.0001 per share. For each Pre-Funded Warrant that we sell, the number of Ordinary Shares that we are offering will be decreased on a one-for-one basis. We are also registering the Ordinary Shares issuable upon exercise of the Offering Warrants and Pre-Funded Warrants pursuant to this prospectus.</w:t>
      </w:r>
    </w:p>
    <w:p>
      <w:pPr>
        <w:spacing w:after="0" w:line="10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0"/>
          <w:szCs w:val="10"/>
          <w:color w:val="auto"/>
        </w:rPr>
        <w:t>We have engaged (the “</w:t>
      </w:r>
      <w:r>
        <w:rPr>
          <w:rFonts w:ascii="Times New Roman" w:cs="Times New Roman" w:eastAsia="Times New Roman" w:hAnsi="Times New Roman"/>
          <w:sz w:val="10"/>
          <w:szCs w:val="10"/>
          <w:b w:val="1"/>
          <w:bCs w:val="1"/>
          <w:i w:val="1"/>
          <w:iCs w:val="1"/>
          <w:color w:val="auto"/>
        </w:rPr>
        <w:t>Placement Agent</w:t>
      </w:r>
      <w:r>
        <w:rPr>
          <w:rFonts w:ascii="Times New Roman" w:cs="Times New Roman" w:eastAsia="Times New Roman" w:hAnsi="Times New Roman"/>
          <w:sz w:val="10"/>
          <w:szCs w:val="10"/>
          <w:color w:val="auto"/>
        </w:rPr>
        <w:t>”), to act as our exclusive placement agent,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w:t>
      </w:r>
    </w:p>
    <w:p>
      <w:pPr>
        <w:spacing w:after="0" w:line="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The securities will be offered at a fixed price and are expected to be issued in a single closing. The offering will terminate on , 2024, unless (i) the closing occurs prior thereto or (ii) we decide to terminate the offering prior thereto (which we may do at any time in our discretion). Investors purchasing securities offered hereby will have the option to execute a securities purchase agreement with us. We expect that the closing of the offering will occur one trading day after we price the securities offered hereby. When we price the securities, we will simultaneously enter into securities purchase agreements relating to the offering with those investors who so choose.</w:t>
      </w:r>
    </w:p>
    <w:p>
      <w:pPr>
        <w:spacing w:after="0" w:line="10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0"/>
          <w:szCs w:val="10"/>
          <w:color w:val="auto"/>
        </w:rPr>
        <w:t>Since we will deliver the securities to be issued in this offering upon our receipt of investor funds, we and the Placement Agent have not made any arrangements to place investor funds in an escrow account or trust account. Because this is a best-efforts offering, the Placement Agent does not have an obligation to purchase any securities, and, as a result, there is a possibility that we may not be able to sell the securities.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In addition, because there is no escrow account and no minimum offering amount, investors could be in a position where they have invested in our company, but we are unable to fulfill all of our contemplated objectives due to a lack of interest in this offering. Further, any proceeds from the sale of securities offered by us will be available for our immediate use, despite uncertainty about whether we would be able to use such funds to effectively implement our business plan. We will bear all costs associated with the offering. See “Plan of Distribution” on page 20 of this prospectus for more information regarding these arrangements.</w:t>
      </w:r>
    </w:p>
    <w:p>
      <w:pPr>
        <w:spacing w:after="0" w:line="10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color w:val="auto"/>
        </w:rPr>
        <w:t>Our Ordinary Shares and public warrants trade are on the Nasdaq Stock Market LLC (“</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under the symbols “RZLV” and “RZLVW”, respectively. On December , 2024, the last reported sale price of our Ordinary Shares and public warrants on Nasdaq were $ and $ respectively. The actual public offering price per Ordinary Share and accompanying Offering Warrant, and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245110</wp:posOffset>
            </wp:positionV>
            <wp:extent cx="677862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3" w:right="600" w:bottom="1440" w:gutter="0" w:footer="0" w:header="0"/>
          <w:type w:val="continuous"/>
        </w:sectPr>
      </w:pPr>
    </w:p>
    <w:bookmarkStart w:id="2" w:name="page3"/>
    <w:bookmarkEnd w:id="2"/>
    <w:p>
      <w:pPr>
        <w:ind w:left="10" w:right="40"/>
        <w:spacing w:after="0" w:line="241" w:lineRule="auto"/>
        <w:rPr>
          <w:sz w:val="20"/>
          <w:szCs w:val="20"/>
          <w:color w:val="auto"/>
        </w:rPr>
      </w:pPr>
      <w:r>
        <w:rPr>
          <w:rFonts w:ascii="Times New Roman" w:cs="Times New Roman" w:eastAsia="Times New Roman" w:hAnsi="Times New Roman"/>
          <w:sz w:val="10"/>
          <w:szCs w:val="10"/>
          <w:color w:val="auto"/>
        </w:rPr>
        <w:t>Pre-Funded Warrant and accompanying Offering Warrant, will be determined between us, the Placement Agent and the investors in this offering at the time of pricing, and may be at a discount to the current market price for the Ordinary Shares. Therefore, the recent market price used throughout this preliminary prospectus as an assumed offering price per Ordinary Share and accompanying Offering Warrant may not be indicative of the final offering price. There is no established public trading market for the Offering Warrants and Pre-Funded Warrants, and we do not expect such a market to develop. Without an active trading market, the liquidity of the Offering Warrants and Pre-Funded Warrants will be limited. In addition, we do not intend to list the Offering Warrants and Pre-Funded Warrants on Nasdaq, any other national securities exchange or any other trading system.</w:t>
      </w:r>
    </w:p>
    <w:p>
      <w:pPr>
        <w:spacing w:after="0" w:line="2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We are an “emerging growth company,” as that term is used in the Jumpstart Our Business Startups Act of 2012, or JOBS Act, and, as such, we have elected to comply with certain reduced public company reporting requirements.</w:t>
      </w:r>
    </w:p>
    <w:p>
      <w:pPr>
        <w:spacing w:after="0" w:line="1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 xml:space="preserve">Investing in our securities involves risks. See </w:t>
      </w:r>
      <w:r>
        <w:rPr>
          <w:rFonts w:ascii="Times New Roman" w:cs="Times New Roman" w:eastAsia="Times New Roman" w:hAnsi="Times New Roman"/>
          <w:sz w:val="10"/>
          <w:szCs w:val="10"/>
          <w:b w:val="1"/>
          <w:bCs w:val="1"/>
          <w:i w:val="1"/>
          <w:iCs w:val="1"/>
          <w:color w:val="auto"/>
        </w:rPr>
        <w:t>“Risk Factors”</w:t>
      </w:r>
      <w:r>
        <w:rPr>
          <w:rFonts w:ascii="Times New Roman" w:cs="Times New Roman" w:eastAsia="Times New Roman" w:hAnsi="Times New Roman"/>
          <w:sz w:val="10"/>
          <w:szCs w:val="10"/>
          <w:b w:val="1"/>
          <w:bCs w:val="1"/>
          <w:color w:val="auto"/>
        </w:rPr>
        <w:t xml:space="preserve"> beginning on page 8 and in any applicable prospectus supplement.</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gridSpan w:val="4"/>
          </w:tcPr>
          <w:p>
            <w:pPr>
              <w:jc w:val="center"/>
              <w:ind w:right="696"/>
              <w:spacing w:after="0"/>
              <w:rPr>
                <w:sz w:val="20"/>
                <w:szCs w:val="20"/>
                <w:color w:val="auto"/>
              </w:rPr>
            </w:pPr>
            <w:r>
              <w:rPr>
                <w:rFonts w:ascii="Times New Roman" w:cs="Times New Roman" w:eastAsia="Times New Roman" w:hAnsi="Times New Roman"/>
                <w:sz w:val="10"/>
                <w:szCs w:val="10"/>
                <w:b w:val="1"/>
                <w:bCs w:val="1"/>
                <w:color w:val="auto"/>
                <w:w w:val="99"/>
              </w:rPr>
              <w:t>Per Ordinary</w:t>
            </w:r>
          </w:p>
        </w:tc>
        <w:tc>
          <w:tcPr>
            <w:tcW w:w="2680" w:type="dxa"/>
            <w:vAlign w:val="bottom"/>
          </w:tcPr>
          <w:p>
            <w:pPr>
              <w:jc w:val="center"/>
              <w:ind w:right="251"/>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1"/>
        </w:trPr>
        <w:tc>
          <w:tcPr>
            <w:tcW w:w="4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0"/>
                <w:szCs w:val="10"/>
                <w:b w:val="1"/>
                <w:bCs w:val="1"/>
                <w:color w:val="auto"/>
                <w:w w:val="97"/>
              </w:rPr>
              <w:t>Share and Offering Warrant</w:t>
            </w:r>
          </w:p>
        </w:tc>
        <w:tc>
          <w:tcPr>
            <w:tcW w:w="220" w:type="dxa"/>
            <w:vAlign w:val="bottom"/>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7"/>
              </w:rPr>
              <w:t>Pre-Funded Warrant and Offering Warrant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2"/>
                <w:szCs w:val="12"/>
                <w:color w:val="auto"/>
              </w:rPr>
            </w:pPr>
          </w:p>
        </w:tc>
      </w:tr>
      <w:tr>
        <w:trPr>
          <w:trHeight w:val="103"/>
        </w:trPr>
        <w:tc>
          <w:tcPr>
            <w:tcW w:w="4340" w:type="dxa"/>
            <w:vAlign w:val="bottom"/>
            <w:tcBorders>
              <w:top w:val="single" w:sz="8" w:color="CCEEFF"/>
            </w:tcBorders>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Public offering price</w:t>
            </w:r>
          </w:p>
        </w:tc>
        <w:tc>
          <w:tcPr>
            <w:tcW w:w="200" w:type="dxa"/>
            <w:vAlign w:val="bottom"/>
            <w:tcBorders>
              <w:top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184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268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gridSpan w:val="2"/>
            <w:shd w:val="clear" w:color="auto" w:fill="CCEEFF"/>
          </w:tcPr>
          <w:p>
            <w:pPr>
              <w:jc w:val="right"/>
              <w:ind w:right="731"/>
              <w:spacing w:after="0" w:line="10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r>
      <w:tr>
        <w:trPr>
          <w:trHeight w:val="135"/>
        </w:trPr>
        <w:tc>
          <w:tcPr>
            <w:tcW w:w="4340" w:type="dxa"/>
            <w:vAlign w:val="bottom"/>
          </w:tcPr>
          <w:p>
            <w:pPr>
              <w:spacing w:after="0" w:line="135" w:lineRule="exact"/>
              <w:rPr>
                <w:sz w:val="20"/>
                <w:szCs w:val="20"/>
                <w:color w:val="auto"/>
              </w:rPr>
            </w:pPr>
            <w:r>
              <w:rPr>
                <w:rFonts w:ascii="Times New Roman" w:cs="Times New Roman" w:eastAsia="Times New Roman" w:hAnsi="Times New Roman"/>
                <w:sz w:val="10"/>
                <w:szCs w:val="10"/>
                <w:color w:val="auto"/>
              </w:rPr>
              <w:t>Placement Agent Fees</w:t>
            </w:r>
            <w:r>
              <w:rPr>
                <w:rFonts w:ascii="Times New Roman" w:cs="Times New Roman" w:eastAsia="Times New Roman" w:hAnsi="Times New Roman"/>
                <w:sz w:val="13"/>
                <w:szCs w:val="13"/>
                <w:color w:val="auto"/>
                <w:vertAlign w:val="superscript"/>
              </w:rPr>
              <w:t>(1)</w:t>
            </w:r>
          </w:p>
        </w:tc>
        <w:tc>
          <w:tcPr>
            <w:tcW w:w="200" w:type="dxa"/>
            <w:vAlign w:val="bottom"/>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2260" w:type="dxa"/>
            <w:vAlign w:val="bottom"/>
            <w:gridSpan w:val="4"/>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680" w:type="dxa"/>
            <w:vAlign w:val="bottom"/>
          </w:tcPr>
          <w:p>
            <w:pPr>
              <w:spacing w:after="0"/>
              <w:rPr>
                <w:sz w:val="11"/>
                <w:szCs w:val="11"/>
                <w:color w:val="auto"/>
              </w:rPr>
            </w:pPr>
          </w:p>
        </w:tc>
        <w:tc>
          <w:tcPr>
            <w:tcW w:w="1040" w:type="dxa"/>
            <w:vAlign w:val="bottom"/>
            <w:gridSpan w:val="2"/>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r>
      <w:tr>
        <w:trPr>
          <w:trHeight w:val="135"/>
        </w:trPr>
        <w:tc>
          <w:tcPr>
            <w:tcW w:w="4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Proceeds to us, before expenses</w:t>
            </w:r>
            <w:r>
              <w:rPr>
                <w:rFonts w:ascii="Times New Roman" w:cs="Times New Roman" w:eastAsia="Times New Roman" w:hAnsi="Times New Roman"/>
                <w:sz w:val="13"/>
                <w:szCs w:val="13"/>
                <w:color w:val="auto"/>
                <w:vertAlign w:val="superscript"/>
              </w:rPr>
              <w:t>(2)</w:t>
            </w:r>
          </w:p>
        </w:tc>
        <w:tc>
          <w:tcPr>
            <w:tcW w:w="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2260" w:type="dxa"/>
            <w:vAlign w:val="bottom"/>
            <w:gridSpan w:val="4"/>
            <w:shd w:val="clear" w:color="auto" w:fill="CCEEFF"/>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6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r>
    </w:tbl>
    <w:p>
      <w:pPr>
        <w:spacing w:after="0" w:line="106" w:lineRule="exact"/>
        <w:rPr>
          <w:sz w:val="20"/>
          <w:szCs w:val="20"/>
          <w:color w:val="auto"/>
        </w:rPr>
      </w:pPr>
    </w:p>
    <w:p>
      <w:pPr>
        <w:ind w:left="10" w:hanging="10"/>
        <w:spacing w:after="0" w:line="255" w:lineRule="auto"/>
        <w:tabs>
          <w:tab w:leader="none" w:pos="148"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have agreed to pay the Placement Agent a cash fee equal to 5.5% of the gross proceeds raised in this offering. We have also agreed to reimburse the Placement Agent for certain of its offering-related expenses, including reimbursement for legal fees and other out-of-pocket expenses in the amount of up to $150,000, and for its clearing expenses in the amount of up to $15,950. For more information about the compensation to be received by the placement agent, see “Plan of Distribution”.</w:t>
      </w:r>
    </w:p>
    <w:p>
      <w:pPr>
        <w:spacing w:after="0" w:line="93" w:lineRule="exact"/>
        <w:rPr>
          <w:rFonts w:ascii="Times New Roman" w:cs="Times New Roman" w:eastAsia="Times New Roman" w:hAnsi="Times New Roman"/>
          <w:sz w:val="10"/>
          <w:szCs w:val="10"/>
          <w:color w:val="auto"/>
        </w:rPr>
      </w:pPr>
    </w:p>
    <w:p>
      <w:pPr>
        <w:ind w:left="10" w:right="80" w:hanging="10"/>
        <w:spacing w:after="0" w:line="255" w:lineRule="auto"/>
        <w:tabs>
          <w:tab w:leader="none" w:pos="148"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For more information, see “Plan of Distribution.”</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25"/>
        </w:trPr>
        <w:tc>
          <w:tcPr>
            <w:tcW w:w="5820" w:type="dxa"/>
            <w:vAlign w:val="bottom"/>
          </w:tcPr>
          <w:p>
            <w:pPr>
              <w:spacing w:after="0"/>
              <w:rPr>
                <w:sz w:val="20"/>
                <w:szCs w:val="20"/>
                <w:color w:val="auto"/>
              </w:rPr>
            </w:pPr>
            <w:r>
              <w:rPr>
                <w:rFonts w:ascii="Times New Roman" w:cs="Times New Roman" w:eastAsia="Times New Roman" w:hAnsi="Times New Roman"/>
                <w:sz w:val="10"/>
                <w:szCs w:val="10"/>
                <w:color w:val="auto"/>
                <w:w w:val="98"/>
              </w:rPr>
              <w:t>The delivery to purchasers of the Ordinary Shares, Pre-Funded Warrants and Offering Warrants in this offering is expected to be made on or about</w:t>
            </w:r>
          </w:p>
        </w:tc>
        <w:tc>
          <w:tcPr>
            <w:tcW w:w="4800" w:type="dxa"/>
            <w:vAlign w:val="bottom"/>
          </w:tcPr>
          <w:p>
            <w:pPr>
              <w:jc w:val="right"/>
              <w:ind w:right="1671"/>
              <w:spacing w:after="0"/>
              <w:rPr>
                <w:sz w:val="20"/>
                <w:szCs w:val="20"/>
                <w:color w:val="auto"/>
              </w:rPr>
            </w:pPr>
            <w:r>
              <w:rPr>
                <w:rFonts w:ascii="Times New Roman" w:cs="Times New Roman" w:eastAsia="Times New Roman" w:hAnsi="Times New Roman"/>
                <w:sz w:val="10"/>
                <w:szCs w:val="10"/>
                <w:color w:val="auto"/>
              </w:rPr>
              <w:t>, 2024, subject to satisfaction of certain customary closing conditions.</w:t>
            </w:r>
          </w:p>
        </w:tc>
      </w:tr>
      <w:tr>
        <w:trPr>
          <w:trHeight w:val="345"/>
        </w:trPr>
        <w:tc>
          <w:tcPr>
            <w:tcW w:w="5820" w:type="dxa"/>
            <w:vAlign w:val="bottom"/>
          </w:tcPr>
          <w:p>
            <w:pPr>
              <w:ind w:left="4400"/>
              <w:spacing w:after="0"/>
              <w:rPr>
                <w:sz w:val="20"/>
                <w:szCs w:val="20"/>
                <w:color w:val="auto"/>
              </w:rPr>
            </w:pPr>
            <w:r>
              <w:rPr>
                <w:rFonts w:ascii="Times New Roman" w:cs="Times New Roman" w:eastAsia="Times New Roman" w:hAnsi="Times New Roman"/>
                <w:sz w:val="10"/>
                <w:szCs w:val="10"/>
                <w:b w:val="1"/>
                <w:bCs w:val="1"/>
                <w:color w:val="auto"/>
              </w:rPr>
              <w:t>The date of this prospectus is</w:t>
            </w:r>
          </w:p>
        </w:tc>
        <w:tc>
          <w:tcPr>
            <w:tcW w:w="4800" w:type="dxa"/>
            <w:vAlign w:val="bottom"/>
          </w:tcPr>
          <w:p>
            <w:pPr>
              <w:jc w:val="right"/>
              <w:ind w:right="4351"/>
              <w:spacing w:after="0"/>
              <w:rPr>
                <w:sz w:val="20"/>
                <w:szCs w:val="20"/>
                <w:color w:val="auto"/>
              </w:rPr>
            </w:pPr>
            <w:r>
              <w:rPr>
                <w:rFonts w:ascii="Times New Roman" w:cs="Times New Roman" w:eastAsia="Times New Roman" w:hAnsi="Times New Roman"/>
                <w:sz w:val="10"/>
                <w:szCs w:val="10"/>
                <w:b w:val="1"/>
                <w:bCs w:val="1"/>
                <w:color w:val="auto"/>
              </w:rPr>
              <w:t>, 2024.</w:t>
            </w:r>
          </w:p>
        </w:tc>
      </w:tr>
      <w:tr>
        <w:trPr>
          <w:trHeight w:val="647"/>
        </w:trPr>
        <w:tc>
          <w:tcPr>
            <w:tcW w:w="5820" w:type="dxa"/>
            <w:vAlign w:val="bottom"/>
            <w:tcBorders>
              <w:bottom w:val="single" w:sz="8" w:color="EEEEEE"/>
            </w:tcBorders>
          </w:tcPr>
          <w:p>
            <w:pPr>
              <w:spacing w:after="0"/>
              <w:rPr>
                <w:sz w:val="24"/>
                <w:szCs w:val="24"/>
                <w:color w:val="auto"/>
              </w:rPr>
            </w:pPr>
          </w:p>
        </w:tc>
        <w:tc>
          <w:tcPr>
            <w:tcW w:w="48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6778625"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70"/>
          </w:cols>
          <w:pgMar w:left="630" w:top="1155" w:right="60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27"/>
        </w:trPr>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0" w:type="dxa"/>
            <w:vAlign w:val="bottom"/>
            <w:gridSpan w:val="2"/>
          </w:tcPr>
          <w:p>
            <w:pPr>
              <w:ind w:left="1220"/>
              <w:spacing w:after="0"/>
              <w:rPr>
                <w:sz w:val="20"/>
                <w:szCs w:val="20"/>
                <w:color w:val="auto"/>
              </w:rPr>
            </w:pPr>
            <w:r>
              <w:rPr>
                <w:rFonts w:ascii="Times New Roman" w:cs="Times New Roman" w:eastAsia="Times New Roman" w:hAnsi="Times New Roman"/>
                <w:sz w:val="10"/>
                <w:szCs w:val="10"/>
                <w:b w:val="1"/>
                <w:bCs w:val="1"/>
                <w:color w:val="auto"/>
              </w:rPr>
              <w:t>TABLE OF CONTENTS</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160" w:type="dxa"/>
            <w:vAlign w:val="bottom"/>
            <w:gridSpan w:val="20"/>
          </w:tcPr>
          <w:p>
            <w:pPr>
              <w:spacing w:after="0"/>
              <w:rPr>
                <w:rFonts w:ascii="Times New Roman" w:cs="Times New Roman" w:eastAsia="Times New Roman" w:hAnsi="Times New Roman"/>
                <w:sz w:val="10"/>
                <w:szCs w:val="10"/>
                <w:color w:val="0000FF"/>
              </w:rPr>
            </w:pPr>
            <w:hyperlink w:anchor="page5">
              <w:r>
                <w:rPr>
                  <w:rFonts w:ascii="Times New Roman" w:cs="Times New Roman" w:eastAsia="Times New Roman" w:hAnsi="Times New Roman"/>
                  <w:sz w:val="10"/>
                  <w:szCs w:val="10"/>
                  <w:color w:val="0000FF"/>
                </w:rPr>
                <w:t>ABOUT THIS PROSPECTUS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ii</w:t>
            </w:r>
          </w:p>
        </w:tc>
        <w:tc>
          <w:tcPr>
            <w:tcW w:w="0" w:type="dxa"/>
            <w:vAlign w:val="bottom"/>
          </w:tcPr>
          <w:p>
            <w:pPr>
              <w:spacing w:after="0"/>
              <w:rPr>
                <w:sz w:val="1"/>
                <w:szCs w:val="1"/>
                <w:color w:val="auto"/>
              </w:rPr>
            </w:pPr>
          </w:p>
        </w:tc>
      </w:tr>
      <w:tr>
        <w:trPr>
          <w:trHeight w:val="93"/>
        </w:trPr>
        <w:tc>
          <w:tcPr>
            <w:tcW w:w="1200" w:type="dxa"/>
            <w:vAlign w:val="bottom"/>
            <w:tcBorders>
              <w:top w:val="single" w:sz="8" w:color="0000FF"/>
            </w:tcBorders>
            <w:gridSpan w:val="10"/>
          </w:tcPr>
          <w:p>
            <w:pPr>
              <w:spacing w:after="0" w:line="93" w:lineRule="exact"/>
              <w:rPr>
                <w:rFonts w:ascii="Times New Roman" w:cs="Times New Roman" w:eastAsia="Times New Roman" w:hAnsi="Times New Roman"/>
                <w:sz w:val="10"/>
                <w:szCs w:val="10"/>
                <w:color w:val="0000FF"/>
              </w:rPr>
            </w:pPr>
            <w:hyperlink w:anchor="page6">
              <w:r>
                <w:rPr>
                  <w:rFonts w:ascii="Times New Roman" w:cs="Times New Roman" w:eastAsia="Times New Roman" w:hAnsi="Times New Roman"/>
                  <w:sz w:val="10"/>
                  <w:szCs w:val="10"/>
                  <w:color w:val="0000FF"/>
                </w:rPr>
                <w:t>TRADEMARKS</w:t>
              </w:r>
            </w:hyperlink>
          </w:p>
        </w:tc>
        <w:tc>
          <w:tcPr>
            <w:tcW w:w="6960" w:type="dxa"/>
            <w:vAlign w:val="bottom"/>
            <w:gridSpan w:val="10"/>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iii</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iv</w:t>
            </w:r>
          </w:p>
        </w:tc>
        <w:tc>
          <w:tcPr>
            <w:tcW w:w="0" w:type="dxa"/>
            <w:vAlign w:val="bottom"/>
          </w:tcPr>
          <w:p>
            <w:pPr>
              <w:spacing w:after="0" w:line="20" w:lineRule="exact"/>
              <w:rPr>
                <w:sz w:val="1"/>
                <w:szCs w:val="1"/>
                <w:color w:val="auto"/>
              </w:rPr>
            </w:pPr>
          </w:p>
        </w:tc>
      </w:tr>
      <w:tr>
        <w:trPr>
          <w:trHeight w:val="93"/>
        </w:trPr>
        <w:tc>
          <w:tcPr>
            <w:tcW w:w="112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5"/>
              </w:rPr>
            </w:pPr>
            <w:hyperlink w:anchor="page7">
              <w:r>
                <w:rPr>
                  <w:rFonts w:ascii="Times New Roman" w:cs="Times New Roman" w:eastAsia="Times New Roman" w:hAnsi="Times New Roman"/>
                  <w:sz w:val="10"/>
                  <w:szCs w:val="10"/>
                  <w:color w:val="0000FF"/>
                  <w:w w:val="95"/>
                </w:rPr>
                <w:t>SELECTED DEFINITIONS</w:t>
              </w:r>
            </w:hyperlink>
          </w:p>
        </w:tc>
        <w:tc>
          <w:tcPr>
            <w:tcW w:w="7040" w:type="dxa"/>
            <w:vAlign w:val="bottom"/>
            <w:gridSpan w:val="12"/>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80" w:type="dxa"/>
            <w:vAlign w:val="bottom"/>
            <w:tcBorders>
              <w:bottom w:val="single" w:sz="8" w:color="0000FF"/>
            </w:tcBorders>
            <w:gridSpan w:val="17"/>
          </w:tcPr>
          <w:p>
            <w:pPr>
              <w:spacing w:after="0" w:line="93" w:lineRule="exact"/>
              <w:rPr>
                <w:rFonts w:ascii="Times New Roman" w:cs="Times New Roman" w:eastAsia="Times New Roman" w:hAnsi="Times New Roman"/>
                <w:sz w:val="10"/>
                <w:szCs w:val="10"/>
                <w:color w:val="0000FF"/>
                <w:w w:val="97"/>
              </w:rPr>
            </w:pPr>
            <w:hyperlink w:anchor="page9">
              <w:r>
                <w:rPr>
                  <w:rFonts w:ascii="Times New Roman" w:cs="Times New Roman" w:eastAsia="Times New Roman" w:hAnsi="Times New Roman"/>
                  <w:sz w:val="10"/>
                  <w:szCs w:val="10"/>
                  <w:color w:val="0000FF"/>
                  <w:w w:val="97"/>
                </w:rPr>
                <w:t>CAUTIONARY NOTE REGARDING FORWARD-LOOKING STATEMENTS</w:t>
              </w:r>
            </w:hyperlink>
          </w:p>
        </w:tc>
        <w:tc>
          <w:tcPr>
            <w:tcW w:w="4980" w:type="dxa"/>
            <w:vAlign w:val="bottom"/>
            <w:gridSpan w:val="3"/>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vi</w:t>
            </w:r>
          </w:p>
        </w:tc>
        <w:tc>
          <w:tcPr>
            <w:tcW w:w="0" w:type="dxa"/>
            <w:vAlign w:val="bottom"/>
          </w:tcPr>
          <w:p>
            <w:pPr>
              <w:spacing w:after="0"/>
              <w:rPr>
                <w:sz w:val="1"/>
                <w:szCs w:val="1"/>
                <w:color w:val="auto"/>
              </w:rPr>
            </w:pPr>
          </w:p>
        </w:tc>
      </w:tr>
      <w:tr>
        <w:trPr>
          <w:trHeight w:val="93"/>
        </w:trPr>
        <w:tc>
          <w:tcPr>
            <w:tcW w:w="114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6"/>
              </w:rPr>
            </w:pPr>
            <w:hyperlink w:anchor="page10">
              <w:r>
                <w:rPr>
                  <w:rFonts w:ascii="Times New Roman" w:cs="Times New Roman" w:eastAsia="Times New Roman" w:hAnsi="Times New Roman"/>
                  <w:sz w:val="10"/>
                  <w:szCs w:val="10"/>
                  <w:color w:val="0000FF"/>
                  <w:w w:val="96"/>
                </w:rPr>
                <w:t>PROSPECTUS SUMMARY</w:t>
              </w:r>
            </w:hyperlink>
          </w:p>
        </w:tc>
        <w:tc>
          <w:tcPr>
            <w:tcW w:w="7020" w:type="dxa"/>
            <w:vAlign w:val="bottom"/>
            <w:gridSpan w:val="11"/>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3"/>
        </w:trPr>
        <w:tc>
          <w:tcPr>
            <w:tcW w:w="70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5"/>
              </w:rPr>
            </w:pPr>
            <w:hyperlink w:anchor="page15">
              <w:r>
                <w:rPr>
                  <w:rFonts w:ascii="Times New Roman" w:cs="Times New Roman" w:eastAsia="Times New Roman" w:hAnsi="Times New Roman"/>
                  <w:sz w:val="10"/>
                  <w:szCs w:val="10"/>
                  <w:color w:val="0000FF"/>
                  <w:w w:val="95"/>
                </w:rPr>
                <w:t>THE OFFERING</w:t>
              </w:r>
            </w:hyperlink>
          </w:p>
        </w:tc>
        <w:tc>
          <w:tcPr>
            <w:tcW w:w="7460" w:type="dxa"/>
            <w:vAlign w:val="bottom"/>
            <w:gridSpan w:val="16"/>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7">
              <w:r>
                <w:rPr>
                  <w:rFonts w:ascii="Times New Roman" w:cs="Times New Roman" w:eastAsia="Times New Roman" w:hAnsi="Times New Roman"/>
                  <w:sz w:val="10"/>
                  <w:szCs w:val="10"/>
                  <w:color w:val="0000FF"/>
                </w:rPr>
                <w:t>RISK FACTORS</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34</w:t>
            </w:r>
          </w:p>
        </w:tc>
        <w:tc>
          <w:tcPr>
            <w:tcW w:w="0" w:type="dxa"/>
            <w:vAlign w:val="bottom"/>
          </w:tcPr>
          <w:p>
            <w:pPr>
              <w:spacing w:after="0" w:line="20" w:lineRule="exact"/>
              <w:rPr>
                <w:sz w:val="1"/>
                <w:szCs w:val="1"/>
                <w:color w:val="auto"/>
              </w:rPr>
            </w:pPr>
          </w:p>
        </w:tc>
      </w:tr>
      <w:tr>
        <w:trPr>
          <w:trHeight w:val="93"/>
        </w:trPr>
        <w:tc>
          <w:tcPr>
            <w:tcW w:w="860" w:type="dxa"/>
            <w:vAlign w:val="bottom"/>
            <w:tcBorders>
              <w:bottom w:val="single" w:sz="8" w:color="0000FF"/>
            </w:tcBorders>
            <w:gridSpan w:val="6"/>
          </w:tcPr>
          <w:p>
            <w:pPr>
              <w:spacing w:after="0" w:line="93" w:lineRule="exact"/>
              <w:rPr>
                <w:rFonts w:ascii="Times New Roman" w:cs="Times New Roman" w:eastAsia="Times New Roman" w:hAnsi="Times New Roman"/>
                <w:sz w:val="10"/>
                <w:szCs w:val="10"/>
                <w:color w:val="0000FF"/>
                <w:w w:val="95"/>
              </w:rPr>
            </w:pPr>
            <w:hyperlink w:anchor="page43">
              <w:r>
                <w:rPr>
                  <w:rFonts w:ascii="Times New Roman" w:cs="Times New Roman" w:eastAsia="Times New Roman" w:hAnsi="Times New Roman"/>
                  <w:sz w:val="10"/>
                  <w:szCs w:val="10"/>
                  <w:color w:val="0000FF"/>
                  <w:w w:val="95"/>
                </w:rPr>
                <w:t>USE OF PROCEEDS</w:t>
              </w:r>
            </w:hyperlink>
          </w:p>
        </w:tc>
        <w:tc>
          <w:tcPr>
            <w:tcW w:w="7300" w:type="dxa"/>
            <w:vAlign w:val="bottom"/>
            <w:gridSpan w:val="14"/>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48">
              <w:r>
                <w:rPr>
                  <w:rFonts w:ascii="Times New Roman" w:cs="Times New Roman" w:eastAsia="Times New Roman" w:hAnsi="Times New Roman"/>
                  <w:sz w:val="10"/>
                  <w:szCs w:val="10"/>
                  <w:color w:val="0000FF"/>
                </w:rPr>
                <w:t>UNAUDITED PRO FORMA CONDENSED COMBINED FINANCIAL INFORMATION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line="20" w:lineRule="exact"/>
              <w:rPr>
                <w:sz w:val="1"/>
                <w:szCs w:val="1"/>
                <w:color w:val="auto"/>
              </w:rPr>
            </w:pPr>
          </w:p>
        </w:tc>
      </w:tr>
      <w:tr>
        <w:trPr>
          <w:trHeight w:val="93"/>
        </w:trPr>
        <w:tc>
          <w:tcPr>
            <w:tcW w:w="486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56">
              <w:r>
                <w:rPr>
                  <w:rFonts w:ascii="Times New Roman" w:cs="Times New Roman" w:eastAsia="Times New Roman" w:hAnsi="Times New Roman"/>
                  <w:sz w:val="10"/>
                  <w:szCs w:val="10"/>
                  <w:color w:val="0000FF"/>
                  <w:w w:val="97"/>
                </w:rPr>
                <w:t>MANAGEMENT’S DISCUSSION AND ANALYSIS OF FINANCIAL CONDITION AND RESULTS OF OPERATIONS</w:t>
              </w:r>
            </w:hyperlink>
          </w:p>
        </w:tc>
        <w:tc>
          <w:tcPr>
            <w:tcW w:w="330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01">
              <w:r>
                <w:rPr>
                  <w:rFonts w:ascii="Times New Roman" w:cs="Times New Roman" w:eastAsia="Times New Roman" w:hAnsi="Times New Roman"/>
                  <w:sz w:val="10"/>
                  <w:szCs w:val="10"/>
                  <w:color w:val="0000FF"/>
                </w:rPr>
                <w:t>MANAGEMENT AND COMPENSATION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92</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100</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09">
              <w:r>
                <w:rPr>
                  <w:rFonts w:ascii="Times New Roman" w:cs="Times New Roman" w:eastAsia="Times New Roman" w:hAnsi="Times New Roman"/>
                  <w:sz w:val="10"/>
                  <w:szCs w:val="10"/>
                  <w:color w:val="0000FF"/>
                </w:rPr>
                <w:t>CERTAIN RELATIONSHIPS AND RELATED PARTY TRANSACTIONS</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000" w:type="dxa"/>
            <w:vAlign w:val="bottom"/>
            <w:tcBorders>
              <w:top w:val="single" w:sz="8" w:color="0000FF"/>
            </w:tcBorders>
            <w:gridSpan w:val="16"/>
          </w:tcPr>
          <w:p>
            <w:pPr>
              <w:spacing w:after="0" w:line="93" w:lineRule="exact"/>
              <w:rPr>
                <w:rFonts w:ascii="Times New Roman" w:cs="Times New Roman" w:eastAsia="Times New Roman" w:hAnsi="Times New Roman"/>
                <w:sz w:val="10"/>
                <w:szCs w:val="10"/>
                <w:color w:val="0000FF"/>
              </w:rPr>
            </w:pPr>
            <w:hyperlink w:anchor="page110">
              <w:r>
                <w:rPr>
                  <w:rFonts w:ascii="Times New Roman" w:cs="Times New Roman" w:eastAsia="Times New Roman" w:hAnsi="Times New Roman"/>
                  <w:sz w:val="10"/>
                  <w:szCs w:val="10"/>
                  <w:color w:val="0000FF"/>
                </w:rPr>
                <w:t>BENEFICIAL OWNERSHIP OF SECURITIES</w:t>
              </w:r>
            </w:hyperlink>
          </w:p>
        </w:tc>
        <w:tc>
          <w:tcPr>
            <w:tcW w:w="5160" w:type="dxa"/>
            <w:vAlign w:val="bottom"/>
            <w:gridSpan w:val="4"/>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101</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27">
              <w:r>
                <w:rPr>
                  <w:rFonts w:ascii="Times New Roman" w:cs="Times New Roman" w:eastAsia="Times New Roman" w:hAnsi="Times New Roman"/>
                  <w:sz w:val="10"/>
                  <w:szCs w:val="10"/>
                  <w:color w:val="0000FF"/>
                </w:rPr>
                <w:t>MATERIAL INCOME TAX CONSIDERATIONS</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00" w:type="dxa"/>
            <w:vAlign w:val="bottom"/>
            <w:tcBorders>
              <w:top w:val="single" w:sz="8" w:color="0000FF"/>
            </w:tcBorders>
            <w:gridSpan w:val="14"/>
          </w:tcPr>
          <w:p>
            <w:pPr>
              <w:spacing w:after="0" w:line="93" w:lineRule="exact"/>
              <w:rPr>
                <w:rFonts w:ascii="Times New Roman" w:cs="Times New Roman" w:eastAsia="Times New Roman" w:hAnsi="Times New Roman"/>
                <w:sz w:val="10"/>
                <w:szCs w:val="10"/>
                <w:color w:val="0000FF"/>
              </w:rPr>
            </w:pPr>
            <w:hyperlink w:anchor="page133">
              <w:r>
                <w:rPr>
                  <w:rFonts w:ascii="Times New Roman" w:cs="Times New Roman" w:eastAsia="Times New Roman" w:hAnsi="Times New Roman"/>
                  <w:sz w:val="10"/>
                  <w:szCs w:val="10"/>
                  <w:color w:val="0000FF"/>
                </w:rPr>
                <w:t>PLAN OF DISTRIBUTION</w:t>
              </w:r>
            </w:hyperlink>
          </w:p>
        </w:tc>
        <w:tc>
          <w:tcPr>
            <w:tcW w:w="6160" w:type="dxa"/>
            <w:vAlign w:val="bottom"/>
            <w:gridSpan w:val="6"/>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124</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36">
              <w:r>
                <w:rPr>
                  <w:rFonts w:ascii="Times New Roman" w:cs="Times New Roman" w:eastAsia="Times New Roman" w:hAnsi="Times New Roman"/>
                  <w:sz w:val="10"/>
                  <w:szCs w:val="10"/>
                  <w:color w:val="0000FF"/>
                </w:rPr>
                <w:t>EXPENSES RELATED TO THIS OFFERING</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00" w:type="dxa"/>
            <w:vAlign w:val="bottom"/>
            <w:tcBorders>
              <w:top w:val="single" w:sz="8" w:color="0000FF"/>
              <w:bottom w:val="single" w:sz="8" w:color="0000FF"/>
            </w:tcBorders>
            <w:gridSpan w:val="5"/>
          </w:tcPr>
          <w:p>
            <w:pPr>
              <w:spacing w:after="0" w:line="93" w:lineRule="exact"/>
              <w:rPr>
                <w:rFonts w:ascii="Times New Roman" w:cs="Times New Roman" w:eastAsia="Times New Roman" w:hAnsi="Times New Roman"/>
                <w:sz w:val="10"/>
                <w:szCs w:val="10"/>
                <w:color w:val="0000FF"/>
                <w:w w:val="95"/>
              </w:rPr>
            </w:pPr>
            <w:hyperlink w:anchor="page136">
              <w:r>
                <w:rPr>
                  <w:rFonts w:ascii="Times New Roman" w:cs="Times New Roman" w:eastAsia="Times New Roman" w:hAnsi="Times New Roman"/>
                  <w:sz w:val="10"/>
                  <w:szCs w:val="10"/>
                  <w:color w:val="0000FF"/>
                  <w:w w:val="95"/>
                </w:rPr>
                <w:t>LEGAL MATTERS</w:t>
              </w:r>
            </w:hyperlink>
          </w:p>
        </w:tc>
        <w:tc>
          <w:tcPr>
            <w:tcW w:w="1080" w:type="dxa"/>
            <w:vAlign w:val="bottom"/>
            <w:tcBorders>
              <w:top w:val="single" w:sz="8" w:color="0000FF"/>
            </w:tcBorders>
            <w:gridSpan w:val="8"/>
          </w:tcPr>
          <w:p>
            <w:pPr>
              <w:spacing w:after="0"/>
              <w:rPr>
                <w:sz w:val="8"/>
                <w:szCs w:val="8"/>
                <w:color w:val="auto"/>
              </w:rPr>
            </w:pPr>
          </w:p>
        </w:tc>
        <w:tc>
          <w:tcPr>
            <w:tcW w:w="6280" w:type="dxa"/>
            <w:vAlign w:val="bottom"/>
            <w:gridSpan w:val="7"/>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rPr>
                <w:sz w:val="1"/>
                <w:szCs w:val="1"/>
                <w:color w:val="auto"/>
              </w:rPr>
            </w:pPr>
          </w:p>
        </w:tc>
      </w:tr>
      <w:tr>
        <w:trPr>
          <w:trHeight w:val="93"/>
        </w:trPr>
        <w:tc>
          <w:tcPr>
            <w:tcW w:w="42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2"/>
              </w:rPr>
            </w:pPr>
            <w:hyperlink w:anchor="page136">
              <w:r>
                <w:rPr>
                  <w:rFonts w:ascii="Times New Roman" w:cs="Times New Roman" w:eastAsia="Times New Roman" w:hAnsi="Times New Roman"/>
                  <w:sz w:val="10"/>
                  <w:szCs w:val="10"/>
                  <w:color w:val="0000FF"/>
                  <w:w w:val="92"/>
                </w:rPr>
                <w:t>EXPERTS</w:t>
              </w:r>
            </w:hyperlink>
          </w:p>
        </w:tc>
        <w:tc>
          <w:tcPr>
            <w:tcW w:w="7740" w:type="dxa"/>
            <w:vAlign w:val="bottom"/>
            <w:gridSpan w:val="19"/>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36">
              <w:r>
                <w:rPr>
                  <w:rFonts w:ascii="Times New Roman" w:cs="Times New Roman" w:eastAsia="Times New Roman" w:hAnsi="Times New Roman"/>
                  <w:sz w:val="10"/>
                  <w:szCs w:val="10"/>
                  <w:color w:val="0000FF"/>
                </w:rPr>
                <w:t>ENFORCEABILITY OF CIVIL LIABILITY</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rPr>
                <w:sz w:val="1"/>
                <w:szCs w:val="1"/>
                <w:color w:val="auto"/>
              </w:rPr>
            </w:pPr>
          </w:p>
        </w:tc>
      </w:tr>
      <w:tr>
        <w:trPr>
          <w:trHeight w:val="20"/>
        </w:trPr>
        <w:tc>
          <w:tcPr>
            <w:tcW w:w="1760" w:type="dxa"/>
            <w:vAlign w:val="bottom"/>
            <w:gridSpan w:val="1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127</w:t>
            </w:r>
          </w:p>
        </w:tc>
        <w:tc>
          <w:tcPr>
            <w:tcW w:w="0" w:type="dxa"/>
            <w:vAlign w:val="bottom"/>
          </w:tcPr>
          <w:p>
            <w:pPr>
              <w:spacing w:after="0" w:line="20" w:lineRule="exact"/>
              <w:rPr>
                <w:sz w:val="1"/>
                <w:szCs w:val="1"/>
                <w:color w:val="auto"/>
              </w:rPr>
            </w:pPr>
          </w:p>
        </w:tc>
      </w:tr>
      <w:tr>
        <w:trPr>
          <w:trHeight w:val="93"/>
        </w:trPr>
        <w:tc>
          <w:tcPr>
            <w:tcW w:w="2080" w:type="dxa"/>
            <w:vAlign w:val="bottom"/>
            <w:tcBorders>
              <w:bottom w:val="single" w:sz="8" w:color="0000FF"/>
            </w:tcBorders>
            <w:gridSpan w:val="15"/>
          </w:tcPr>
          <w:p>
            <w:pPr>
              <w:spacing w:after="0" w:line="93" w:lineRule="exact"/>
              <w:rPr>
                <w:rFonts w:ascii="Times New Roman" w:cs="Times New Roman" w:eastAsia="Times New Roman" w:hAnsi="Times New Roman"/>
                <w:sz w:val="10"/>
                <w:szCs w:val="10"/>
                <w:color w:val="0000FF"/>
                <w:w w:val="96"/>
              </w:rPr>
            </w:pPr>
            <w:hyperlink w:anchor="page136">
              <w:r>
                <w:rPr>
                  <w:rFonts w:ascii="Times New Roman" w:cs="Times New Roman" w:eastAsia="Times New Roman" w:hAnsi="Times New Roman"/>
                  <w:sz w:val="10"/>
                  <w:szCs w:val="10"/>
                  <w:color w:val="0000FF"/>
                  <w:w w:val="96"/>
                </w:rPr>
                <w:t>WHERE YOU CAN FIND MORE INFORMATION</w:t>
              </w:r>
            </w:hyperlink>
          </w:p>
        </w:tc>
        <w:tc>
          <w:tcPr>
            <w:tcW w:w="6080" w:type="dxa"/>
            <w:vAlign w:val="bottom"/>
            <w:gridSpan w:val="5"/>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ABOUT THIS PROSPECTUS</w:t>
      </w:r>
    </w:p>
    <w:p>
      <w:pPr>
        <w:spacing w:after="0" w:line="112" w:lineRule="exact"/>
        <w:rPr>
          <w:sz w:val="20"/>
          <w:szCs w:val="20"/>
          <w:color w:val="auto"/>
        </w:rPr>
      </w:pPr>
    </w:p>
    <w:p>
      <w:pPr>
        <w:jc w:val="both"/>
        <w:ind w:right="20" w:firstLine="705"/>
        <w:spacing w:after="0" w:line="245" w:lineRule="auto"/>
        <w:rPr>
          <w:sz w:val="20"/>
          <w:szCs w:val="20"/>
          <w:color w:val="auto"/>
        </w:rPr>
      </w:pPr>
      <w:r>
        <w:rPr>
          <w:rFonts w:ascii="Times New Roman" w:cs="Times New Roman" w:eastAsia="Times New Roman" w:hAnsi="Times New Roman"/>
          <w:sz w:val="10"/>
          <w:szCs w:val="10"/>
          <w:color w:val="auto"/>
        </w:rPr>
        <w:t>You should rely only on the information that we have provided in this prospectus. We have not authorized anyone to provide you with different or additional information. If anyone provides you with different or additional information, you should not rely on it. You should assume that the information in this prospectus is accurate only as of the date on the cover of the document and that any information we have incorporated by reference is accurate only as of the date of the document incorporated by reference, regardless of the time of delivery of this prospectus or any sale of a security. Our business, financial condition, results of operations and prospects may have changed since those dates.</w:t>
      </w:r>
    </w:p>
    <w:p>
      <w:pPr>
        <w:spacing w:after="0" w:line="98"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This prospectus contains or incorporates by reference summaries of certain provisions contained in some of the documents described herein, but reference is made to the actual documents for complete information. All the summaries are qualified in their entirety by the actual documents. Copies of some of the documents referred to herein have been filed or have been incorporated by reference as exhibits to the registration statement of which this prospectus forms a part, and you may obtain copies of those documents as described in this prospectus under the heading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103"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On August 15, 2024 (the “</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Armada Acquisition Corp. I, a Delaware corporation (“</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Rezolve AI Limited, a private limited company registered under the laws of England and Wales with registration number 14573691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or “</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Rezolve Merger Sub, Inc., a Delaware corporation (“</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xml:space="preserve"> ”), pursuant to which, among other things, (i) on July 4, 2024, Rezolve Limited, a private limited company organized under the laws of England and Wales ("</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effected a pre-Closing demerger (the “</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pursuant to UK legislation under which (x) part of Rezolve Limited’s business and assets (being all of its business and assets except for certain shares in Rezolve Information Technology (Shanghai) Co Ltd and its wholly owned subsidiary Nine Stone</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0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of facts or of opinion. The directors accept responsibility accordingly.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Unless the context indicates otherwise, references to the “Company,” “Rezolve,” “we,” “us” and “our”, prior to the Pre-Closing Demerger, refer to Rezolve Limited and after the Pre-Closing Demerger, Rezolve AI Limited, including its subsidiaries.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TRADEMARKS</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MARKET AND INDUSTRY DATA</w:t>
      </w:r>
    </w:p>
    <w:p>
      <w:pPr>
        <w:spacing w:after="0" w:line="97" w:lineRule="exact"/>
        <w:rPr>
          <w:sz w:val="20"/>
          <w:szCs w:val="20"/>
          <w:color w:val="auto"/>
        </w:rPr>
      </w:pPr>
    </w:p>
    <w:p>
      <w:pPr>
        <w:jc w:val="both"/>
        <w:ind w:right="180" w:firstLine="480"/>
        <w:spacing w:after="0" w:line="285" w:lineRule="auto"/>
        <w:rPr>
          <w:sz w:val="20"/>
          <w:szCs w:val="20"/>
          <w:color w:val="auto"/>
        </w:rPr>
      </w:pPr>
      <w:r>
        <w:rPr>
          <w:rFonts w:ascii="Times New Roman" w:cs="Times New Roman" w:eastAsia="Times New Roman" w:hAnsi="Times New Roman"/>
          <w:sz w:val="9"/>
          <w:szCs w:val="9"/>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 -party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6" w:name="page7"/>
    <w:bookmarkEnd w:id="6"/>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SELECTED DEFINITIONS</w:t>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Terms defined in the body of this document shall have the meanings attributed to them therein and in addition the following terms shall have the following meanings: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means Armada Acquisition Corp. I, a Delaware corporation;</w:t>
      </w:r>
    </w:p>
    <w:p>
      <w:pPr>
        <w:spacing w:after="0" w:line="58" w:lineRule="exact"/>
        <w:rPr>
          <w:sz w:val="20"/>
          <w:szCs w:val="20"/>
          <w:color w:val="auto"/>
        </w:rPr>
      </w:pPr>
    </w:p>
    <w:p>
      <w:pPr>
        <w:ind w:right="50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Common Stock</w:t>
      </w:r>
      <w:r>
        <w:rPr>
          <w:rFonts w:ascii="Times New Roman" w:cs="Times New Roman" w:eastAsia="Times New Roman" w:hAnsi="Times New Roman"/>
          <w:sz w:val="10"/>
          <w:szCs w:val="10"/>
          <w:color w:val="auto"/>
        </w:rPr>
        <w:t>” means, prior to the Business Combination, an issued and outstanding share of common stock of Armada; •“</w:t>
      </w:r>
      <w:r>
        <w:rPr>
          <w:rFonts w:ascii="Times New Roman" w:cs="Times New Roman" w:eastAsia="Times New Roman" w:hAnsi="Times New Roman"/>
          <w:sz w:val="10"/>
          <w:szCs w:val="10"/>
          <w:b w:val="1"/>
          <w:bCs w:val="1"/>
          <w:i w:val="1"/>
          <w:iCs w:val="1"/>
          <w:color w:val="auto"/>
        </w:rPr>
        <w:t>Armada Unit</w:t>
      </w:r>
      <w:r>
        <w:rPr>
          <w:rFonts w:ascii="Times New Roman" w:cs="Times New Roman" w:eastAsia="Times New Roman" w:hAnsi="Times New Roman"/>
          <w:sz w:val="10"/>
          <w:szCs w:val="10"/>
          <w:color w:val="auto"/>
        </w:rPr>
        <w:t>” means, prior to the Business Combination, an issued and outstanding unit of Armada;</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Warrant</w:t>
      </w:r>
      <w:r>
        <w:rPr>
          <w:rFonts w:ascii="Times New Roman" w:cs="Times New Roman" w:eastAsia="Times New Roman" w:hAnsi="Times New Roman"/>
          <w:sz w:val="10"/>
          <w:szCs w:val="10"/>
          <w:color w:val="auto"/>
        </w:rPr>
        <w:t>” means, prior to the Business Combination, an issued and outstanding warrant of Armada;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means Rezolve’s articles of association;</w:t>
      </w:r>
    </w:p>
    <w:p>
      <w:pPr>
        <w:spacing w:after="0" w:line="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Channels</w:t>
      </w:r>
      <w:r>
        <w:rPr>
          <w:rFonts w:ascii="Times New Roman" w:cs="Times New Roman" w:eastAsia="Times New Roman" w:hAnsi="Times New Roman"/>
          <w:sz w:val="10"/>
          <w:szCs w:val="10"/>
          <w:color w:val="auto"/>
        </w:rPr>
        <w:t>” means the Rezolve’s distribution partners who distribute Rezolve’s offerings and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Convertible Notes</w:t>
      </w:r>
      <w:r>
        <w:rPr>
          <w:rFonts w:ascii="Times New Roman" w:cs="Times New Roman" w:eastAsia="Times New Roman" w:hAnsi="Times New Roman"/>
          <w:sz w:val="10"/>
          <w:szCs w:val="10"/>
          <w:color w:val="auto"/>
        </w:rPr>
        <w:t>” means the convertible loan notes issued on the terms of the Loan Note Instrument and the JVB Note;</w:t>
      </w:r>
    </w:p>
    <w:p>
      <w:pPr>
        <w:spacing w:after="0" w:line="58" w:lineRule="exact"/>
        <w:rPr>
          <w:sz w:val="20"/>
          <w:szCs w:val="20"/>
          <w:color w:val="auto"/>
        </w:rPr>
      </w:pPr>
    </w:p>
    <w:p>
      <w:pPr>
        <w:ind w:right="236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Founder Shares</w:t>
      </w:r>
      <w:r>
        <w:rPr>
          <w:rFonts w:ascii="Times New Roman" w:cs="Times New Roman" w:eastAsia="Times New Roman" w:hAnsi="Times New Roman"/>
          <w:sz w:val="10"/>
          <w:szCs w:val="10"/>
          <w:color w:val="auto"/>
        </w:rPr>
        <w:t>” means, collectively, the shares of Armada Common Stock held by the Sponsor, the chief executive officer of Armada, the president of Armada and independent directors of Armada; •“</w:t>
      </w:r>
      <w:r>
        <w:rPr>
          <w:rFonts w:ascii="Times New Roman" w:cs="Times New Roman" w:eastAsia="Times New Roman" w:hAnsi="Times New Roman"/>
          <w:sz w:val="10"/>
          <w:szCs w:val="10"/>
          <w:b w:val="1"/>
          <w:bCs w:val="1"/>
          <w:i w:val="1"/>
          <w:iCs w:val="1"/>
          <w:color w:val="auto"/>
        </w:rPr>
        <w:t>GeoZone</w:t>
      </w:r>
      <w:r>
        <w:rPr>
          <w:rFonts w:ascii="Times New Roman" w:cs="Times New Roman" w:eastAsia="Times New Roman" w:hAnsi="Times New Roman"/>
          <w:sz w:val="10"/>
          <w:szCs w:val="10"/>
          <w:color w:val="auto"/>
        </w:rPr>
        <w:t>” means a location-based marketing tool which is a feature of Rezolve’s platform;</w:t>
      </w:r>
    </w:p>
    <w:p>
      <w:pPr>
        <w:ind w:right="370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means the amended form investor rights agreements entered into by Rezolve, Armada, the Sponsor and certain stockholders of Rezolve; •“</w:t>
      </w:r>
      <w:r>
        <w:rPr>
          <w:rFonts w:ascii="Times New Roman" w:cs="Times New Roman" w:eastAsia="Times New Roman" w:hAnsi="Times New Roman"/>
          <w:sz w:val="10"/>
          <w:szCs w:val="10"/>
          <w:b w:val="1"/>
          <w:bCs w:val="1"/>
          <w:i w:val="1"/>
          <w:iCs w:val="1"/>
          <w:color w:val="auto"/>
        </w:rPr>
        <w:t>JVB Note</w:t>
      </w:r>
      <w:r>
        <w:rPr>
          <w:rFonts w:ascii="Times New Roman" w:cs="Times New Roman" w:eastAsia="Times New Roman" w:hAnsi="Times New Roman"/>
          <w:sz w:val="10"/>
          <w:szCs w:val="10"/>
          <w:color w:val="auto"/>
        </w:rPr>
        <w:t>” means the convertible note issued by Rezolve to J.V.B. Financial Group, LLC, a registered broker-dealer,on August 14, 2024.</w:t>
      </w:r>
    </w:p>
    <w:p>
      <w:pPr>
        <w:jc w:val="both"/>
        <w:ind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Major Investor</w:t>
      </w:r>
      <w:r>
        <w:rPr>
          <w:rFonts w:ascii="Times New Roman" w:cs="Times New Roman" w:eastAsia="Times New Roman" w:hAnsi="Times New Roman"/>
          <w:sz w:val="10"/>
          <w:szCs w:val="10"/>
          <w:color w:val="auto"/>
        </w:rPr>
        <w:t>” has the meaning given to it in the Loan Note Instrument.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means The Nasdaq Stock Market LLC;</w:t>
      </w:r>
    </w:p>
    <w:p>
      <w:pPr>
        <w:spacing w:after="0" w:line="58" w:lineRule="exact"/>
        <w:rPr>
          <w:sz w:val="20"/>
          <w:szCs w:val="20"/>
          <w:color w:val="auto"/>
        </w:rPr>
      </w:pPr>
    </w:p>
    <w:p>
      <w:pPr>
        <w:ind w:right="34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Noteholder Majority</w:t>
      </w:r>
      <w:r>
        <w:rPr>
          <w:rFonts w:ascii="Times New Roman" w:cs="Times New Roman" w:eastAsia="Times New Roman" w:hAnsi="Times New Roman"/>
          <w:sz w:val="10"/>
          <w:szCs w:val="10"/>
          <w:color w:val="auto"/>
        </w:rPr>
        <w:t>” means the prior consent of holders of more than two-thirds of the aggregate principal amount of the Convertible Notes outstanding from time to time; •“</w:t>
      </w:r>
      <w:r>
        <w:rPr>
          <w:rFonts w:ascii="Times New Roman" w:cs="Times New Roman" w:eastAsia="Times New Roman" w:hAnsi="Times New Roman"/>
          <w:sz w:val="10"/>
          <w:szCs w:val="10"/>
          <w:b w:val="1"/>
          <w:bCs w:val="1"/>
          <w:i w:val="1"/>
          <w:iCs w:val="1"/>
          <w:color w:val="auto"/>
        </w:rPr>
        <w:t>Offering Warrants</w:t>
      </w:r>
      <w:r>
        <w:rPr>
          <w:rFonts w:ascii="Times New Roman" w:cs="Times New Roman" w:eastAsia="Times New Roman" w:hAnsi="Times New Roman"/>
          <w:sz w:val="10"/>
          <w:szCs w:val="10"/>
          <w:color w:val="auto"/>
        </w:rPr>
        <w:t>” means the warrants to purchase one Ordinary Share per warrants to be issued pursuant to this offering. •</w:t>
      </w: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0"/>
          <w:szCs w:val="10"/>
          <w:color w:val="auto"/>
        </w:rPr>
        <w:t>” means the ordinary shares of Rezolve, par value £0.0001;</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Placement Agent</w:t>
      </w:r>
      <w:r>
        <w:rPr>
          <w:rFonts w:ascii="Times New Roman" w:cs="Times New Roman" w:eastAsia="Times New Roman" w:hAnsi="Times New Roman"/>
          <w:sz w:val="10"/>
          <w:szCs w:val="10"/>
          <w:color w:val="auto"/>
        </w:rPr>
        <w:t>” means  .</w:t>
      </w:r>
    </w:p>
    <w:p>
      <w:pPr>
        <w:spacing w:after="0" w:line="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Platform Transactions</w:t>
      </w:r>
      <w:r>
        <w:rPr>
          <w:rFonts w:ascii="Times New Roman" w:cs="Times New Roman" w:eastAsia="Times New Roman" w:hAnsi="Times New Roman"/>
          <w:sz w:val="10"/>
          <w:szCs w:val="10"/>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Pre-Funded Warrants</w:t>
      </w:r>
      <w:r>
        <w:rPr>
          <w:rFonts w:ascii="Times New Roman" w:cs="Times New Roman" w:eastAsia="Times New Roman" w:hAnsi="Times New Roman"/>
          <w:sz w:val="10"/>
          <w:szCs w:val="10"/>
          <w:color w:val="auto"/>
        </w:rPr>
        <w:t>” means the pre-funded warrants to purchase one Ordinary Share per pre-funded warrant to be issued pursuant to this offering.</w:t>
      </w:r>
    </w:p>
    <w:p>
      <w:pPr>
        <w:spacing w:after="0" w:line="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256540</wp:posOffset>
            </wp:positionV>
            <wp:extent cx="677862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240"/>
          </w:cols>
          <w:pgMar w:left="980" w:top="1033" w:right="68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Private Warrants</w:t>
      </w:r>
      <w:r>
        <w:rPr>
          <w:rFonts w:ascii="Times New Roman" w:cs="Times New Roman" w:eastAsia="Times New Roman" w:hAnsi="Times New Roman"/>
          <w:sz w:val="10"/>
          <w:szCs w:val="10"/>
          <w:color w:val="auto"/>
        </w:rPr>
        <w:t>” means the 569,982 private warrants issued by Rezolve in a private placement to purchase one Ordinary Share per private warrant.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Public Warrants</w:t>
      </w:r>
      <w:r>
        <w:rPr>
          <w:rFonts w:ascii="Times New Roman" w:cs="Times New Roman" w:eastAsia="Times New Roman" w:hAnsi="Times New Roman"/>
          <w:sz w:val="10"/>
          <w:szCs w:val="10"/>
          <w:color w:val="auto"/>
        </w:rPr>
        <w:t>” means the 7,499,994 issued and outstanding public warrants to purchase one Ordinary Share per public warrant.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Registerable Securities</w:t>
      </w:r>
      <w:r>
        <w:rPr>
          <w:rFonts w:ascii="Times New Roman" w:cs="Times New Roman" w:eastAsia="Times New Roman" w:hAnsi="Times New Roman"/>
          <w:sz w:val="10"/>
          <w:szCs w:val="10"/>
          <w:color w:val="auto"/>
        </w:rPr>
        <w:t>” has the meaning given to it in the Investor Rights Agreement.</w:t>
      </w:r>
    </w:p>
    <w:p>
      <w:pPr>
        <w:spacing w:after="0" w:line="58"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means Rezolve AI Limited, a private limited liability company registered under the laws of England and Wales with registration number 14573691 and, following its re-registration as a public limited company, Rezolve AI PLC; •“</w:t>
      </w:r>
      <w:r>
        <w:rPr>
          <w:rFonts w:ascii="Times New Roman" w:cs="Times New Roman" w:eastAsia="Times New Roman" w:hAnsi="Times New Roman"/>
          <w:sz w:val="10"/>
          <w:szCs w:val="10"/>
          <w:b w:val="1"/>
          <w:bCs w:val="1"/>
          <w:i w:val="1"/>
          <w:iCs w:val="1"/>
          <w:color w:val="auto"/>
        </w:rPr>
        <w:t>Rezolve Founder</w:t>
      </w:r>
      <w:r>
        <w:rPr>
          <w:rFonts w:ascii="Times New Roman" w:cs="Times New Roman" w:eastAsia="Times New Roman" w:hAnsi="Times New Roman"/>
          <w:sz w:val="10"/>
          <w:szCs w:val="10"/>
          <w:color w:val="auto"/>
        </w:rPr>
        <w:t>” means Daniel Wagner;</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Incentive Equity Plan</w:t>
      </w:r>
      <w:r>
        <w:rPr>
          <w:rFonts w:ascii="Times New Roman" w:cs="Times New Roman" w:eastAsia="Times New Roman" w:hAnsi="Times New Roman"/>
          <w:sz w:val="10"/>
          <w:szCs w:val="10"/>
          <w:color w:val="auto"/>
        </w:rPr>
        <w:t>” means the incentive equity plan adopted by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means Rezolve Limited, a private limited company organized under the laws of England and Wales;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means Rezolve Merger Sub, Inc., a Delaware corporation;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Options</w:t>
      </w:r>
      <w:r>
        <w:rPr>
          <w:rFonts w:ascii="Times New Roman" w:cs="Times New Roman" w:eastAsia="Times New Roman" w:hAnsi="Times New Roman"/>
          <w:sz w:val="10"/>
          <w:szCs w:val="10"/>
          <w:color w:val="auto"/>
        </w:rPr>
        <w:t>” means options to subscribe for Ordinary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Shareholder</w:t>
      </w:r>
      <w:r>
        <w:rPr>
          <w:rFonts w:ascii="Times New Roman" w:cs="Times New Roman" w:eastAsia="Times New Roman" w:hAnsi="Times New Roman"/>
          <w:sz w:val="10"/>
          <w:szCs w:val="10"/>
          <w:color w:val="auto"/>
        </w:rPr>
        <w:t>” means a holder of shares of stock in the capital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means the selling security holders named in this Registration Statement on Form F-1;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SMBs</w:t>
      </w:r>
      <w:r>
        <w:rPr>
          <w:rFonts w:ascii="Times New Roman" w:cs="Times New Roman" w:eastAsia="Times New Roman" w:hAnsi="Times New Roman"/>
          <w:sz w:val="10"/>
          <w:szCs w:val="10"/>
          <w:color w:val="auto"/>
        </w:rPr>
        <w:t>” means small and medium-sized businesses;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Sponsor</w:t>
      </w:r>
      <w:r>
        <w:rPr>
          <w:rFonts w:ascii="Times New Roman" w:cs="Times New Roman" w:eastAsia="Times New Roman" w:hAnsi="Times New Roman"/>
          <w:sz w:val="10"/>
          <w:szCs w:val="10"/>
          <w:color w:val="auto"/>
        </w:rPr>
        <w:t>” means Armada Sponsor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means the United Kingdom;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means the UK Companies Act 2006 (as amended from time to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w:t>
      </w:r>
      <w:r>
        <w:rPr>
          <w:rFonts w:ascii="Times New Roman" w:cs="Times New Roman" w:eastAsia="Times New Roman" w:hAnsi="Times New Roman"/>
          <w:sz w:val="10"/>
          <w:szCs w:val="10"/>
          <w:color w:val="auto"/>
        </w:rPr>
        <w:t>” refers to the United States of America;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USD</w:t>
      </w:r>
      <w:r>
        <w:rPr>
          <w:rFonts w:ascii="Times New Roman" w:cs="Times New Roman" w:eastAsia="Times New Roman" w:hAnsi="Times New Roman"/>
          <w:sz w:val="10"/>
          <w:szCs w:val="10"/>
          <w:color w:val="auto"/>
        </w:rPr>
        <w:t>” refers to the U.S. Dollar;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Warrants</w:t>
      </w:r>
      <w:r>
        <w:rPr>
          <w:rFonts w:ascii="Times New Roman" w:cs="Times New Roman" w:eastAsia="Times New Roman" w:hAnsi="Times New Roman"/>
          <w:sz w:val="10"/>
          <w:szCs w:val="10"/>
          <w:color w:val="auto"/>
        </w:rPr>
        <w:t>” mean, collectively, the Private Warrants and the Public Warrants.</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Unless otherwise stated in this prospectus or the context otherwise requires, all references in this prospectus to the Warrants include such Ordinary Shares underlying the Warrants.</w:t>
      </w:r>
    </w:p>
    <w:p>
      <w:pPr>
        <w:spacing w:after="0" w:line="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256540</wp:posOffset>
            </wp:positionV>
            <wp:extent cx="677862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40"/>
          </w:cols>
          <w:pgMar w:left="980" w:top="1093" w:right="78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CAUTIONARY NOTE REGARDING FORWARD-LOOKING STATEMENTS</w:t>
      </w:r>
    </w:p>
    <w:p>
      <w:pPr>
        <w:spacing w:after="0" w:line="97"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•discuss future expectations;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•contain projections of future results of operations or financial condition;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•state other “forward-looking” information.</w:t>
      </w:r>
    </w:p>
    <w:p>
      <w:pPr>
        <w:spacing w:after="0" w:line="118"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9"/>
          <w:szCs w:val="9"/>
          <w:i w:val="1"/>
          <w:iCs w:val="1"/>
          <w:color w:val="auto"/>
        </w:rPr>
        <w:t>Risk Factors,</w:t>
      </w:r>
      <w:r>
        <w:rPr>
          <w:rFonts w:ascii="Times New Roman" w:cs="Times New Roman" w:eastAsia="Times New Roman" w:hAnsi="Times New Roman"/>
          <w:sz w:val="9"/>
          <w:szCs w:val="9"/>
          <w:color w:val="auto"/>
        </w:rPr>
        <w:t>” provide examples of risks, uncertainties and events that may cause actual results to differ materially from the expectations we described in such forward-looking statements, including among other things: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recognize the anticipated benefits of the transactions with Armada;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continue to meet Nasdaq’s listing standards;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adversely affecting our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effect of the COVID-19 pandemic on our business;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•the outcome of any legal proceedings that may be instituted against us following the consummation of the Business Combination and the transactions contemplated thereby •general economic conditions;</w:t>
      </w:r>
    </w:p>
    <w:p>
      <w:pPr>
        <w:ind w:left="480"/>
        <w:spacing w:after="0"/>
        <w:rPr>
          <w:sz w:val="20"/>
          <w:szCs w:val="20"/>
          <w:color w:val="auto"/>
        </w:rPr>
      </w:pPr>
      <w:r>
        <w:rPr>
          <w:rFonts w:ascii="Times New Roman" w:cs="Times New Roman" w:eastAsia="Times New Roman" w:hAnsi="Times New Roman"/>
          <w:sz w:val="10"/>
          <w:szCs w:val="10"/>
          <w:color w:val="auto"/>
        </w:rPr>
        <w:t>•the effect of the conflict in Ukraine or other hostilities;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applicable law or regulations;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business strategy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result of future financing efforts; and</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•other factors detailed in the section entitled </w:t>
      </w:r>
      <w:r>
        <w:rPr>
          <w:rFonts w:ascii="Times New Roman" w:cs="Times New Roman" w:eastAsia="Times New Roman" w:hAnsi="Times New Roman"/>
          <w:sz w:val="10"/>
          <w:szCs w:val="10"/>
          <w:i w:val="1"/>
          <w:iCs w:val="1"/>
          <w:color w:val="auto"/>
        </w:rPr>
        <w:t>“Risk Factors.”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You are cautioned not to place undue reliance on these forward-looking statements, which speak only as of the date of this prospectus.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beginning on page [x]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additional information, please see the section of this prospectus titled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PROSPECTUS SUMMARY</w:t>
      </w:r>
    </w:p>
    <w:p>
      <w:pPr>
        <w:spacing w:after="0" w:line="95" w:lineRule="exact"/>
        <w:rPr>
          <w:sz w:val="20"/>
          <w:szCs w:val="20"/>
          <w:color w:val="auto"/>
        </w:rPr>
      </w:pPr>
    </w:p>
    <w:p>
      <w:pPr>
        <w:ind w:right="40" w:firstLine="240"/>
        <w:spacing w:after="0" w:line="247" w:lineRule="auto"/>
        <w:rPr>
          <w:sz w:val="20"/>
          <w:szCs w:val="20"/>
          <w:color w:val="auto"/>
        </w:rPr>
      </w:pPr>
      <w:r>
        <w:rPr>
          <w:rFonts w:ascii="Times New Roman" w:cs="Times New Roman" w:eastAsia="Times New Roman" w:hAnsi="Times New Roman"/>
          <w:sz w:val="10"/>
          <w:szCs w:val="10"/>
          <w:color w:val="auto"/>
        </w:rPr>
        <w:t xml:space="preserve">This </w:t>
      </w:r>
      <w:r>
        <w:rPr>
          <w:rFonts w:ascii="Times New Roman" w:cs="Times New Roman" w:eastAsia="Times New Roman" w:hAnsi="Times New Roman"/>
          <w:sz w:val="10"/>
          <w:szCs w:val="10"/>
          <w:i w:val="1"/>
          <w:iCs w:val="1"/>
          <w:color w:val="auto"/>
        </w:rPr>
        <w:t>summary highlights, and is qualified in its entirety by, the more detailed information and financial statements included elsewhere in this prospectus. This summary does not contain all of the information that may be important to you in making your investment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w:t>
      </w:r>
    </w:p>
    <w:p>
      <w:pPr>
        <w:spacing w:after="0" w:line="68" w:lineRule="exact"/>
        <w:rPr>
          <w:sz w:val="20"/>
          <w:szCs w:val="20"/>
          <w:color w:val="auto"/>
        </w:rPr>
      </w:pPr>
    </w:p>
    <w:p>
      <w:pPr>
        <w:ind w:firstLine="24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right="120" w:firstLine="36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right="120" w:firstLine="24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right="80" w:firstLine="24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mailing address of Rezolve’s registered office is 5 New Street Square, London, United Kingdom, EC4A 3TW and its principal executive office is 3rd Floor, 80 New Bond Street, London, United Kingdom, W1S 1SB.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4200525" cy="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0525" cy="5080"/>
                    </a:xfrm>
                    <a:prstGeom prst="rect">
                      <a:avLst/>
                    </a:prstGeom>
                    <a:noFill/>
                  </pic:spPr>
                </pic:pic>
              </a:graphicData>
            </a:graphic>
          </wp:anchor>
        </w:drawing>
      </w:r>
    </w:p>
    <w:p>
      <w:pPr>
        <w:spacing w:after="0" w:line="98" w:lineRule="exact"/>
        <w:rPr>
          <w:sz w:val="20"/>
          <w:szCs w:val="20"/>
          <w:color w:val="auto"/>
        </w:rPr>
      </w:pPr>
    </w:p>
    <w:p>
      <w:pPr>
        <w:ind w:left="5260" w:right="4280" w:hanging="5260"/>
        <w:spacing w:after="0" w:line="676" w:lineRule="auto"/>
        <w:tabs>
          <w:tab w:leader="none" w:pos="61"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 brain-heralds-new-era-of-commerce-enabled-ai/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64770</wp:posOffset>
            </wp:positionV>
            <wp:extent cx="677862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33" w:right="68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b w:val="1"/>
          <w:bCs w:val="1"/>
          <w:color w:val="auto"/>
        </w:rPr>
        <w:t>Background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On the Closing Date, we consummated the previously announced Business Combination with Armada.</w:t>
      </w:r>
    </w:p>
    <w:p>
      <w:pPr>
        <w:spacing w:after="0" w:line="118" w:lineRule="exact"/>
        <w:rPr>
          <w:sz w:val="20"/>
          <w:szCs w:val="20"/>
          <w:color w:val="auto"/>
        </w:rPr>
      </w:pPr>
    </w:p>
    <w:p>
      <w:pPr>
        <w:ind w:firstLine="240"/>
        <w:spacing w:after="0" w:line="241" w:lineRule="auto"/>
        <w:rPr>
          <w:sz w:val="20"/>
          <w:szCs w:val="20"/>
          <w:color w:val="auto"/>
        </w:rPr>
      </w:pPr>
      <w:r>
        <w:rPr>
          <w:rFonts w:ascii="Times New Roman" w:cs="Times New Roman" w:eastAsia="Times New Roman" w:hAnsi="Times New Roman"/>
          <w:sz w:val="10"/>
          <w:szCs w:val="10"/>
          <w:color w:val="auto"/>
        </w:rPr>
        <w:t>On July 4, 2024, prior to the Closing Date, Rezolve Limited effected the Pre -Closing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08" w:lineRule="exact"/>
        <w:rPr>
          <w:sz w:val="20"/>
          <w:szCs w:val="20"/>
          <w:color w:val="auto"/>
        </w:rPr>
      </w:pPr>
    </w:p>
    <w:p>
      <w:pPr>
        <w:jc w:val="both"/>
        <w:ind w:right="40" w:firstLine="240"/>
        <w:spacing w:after="0" w:line="285" w:lineRule="auto"/>
        <w:rPr>
          <w:sz w:val="20"/>
          <w:szCs w:val="20"/>
          <w:color w:val="auto"/>
        </w:rPr>
      </w:pPr>
      <w:r>
        <w:rPr>
          <w:rFonts w:ascii="Times New Roman" w:cs="Times New Roman" w:eastAsia="Times New Roman" w:hAnsi="Times New Roman"/>
          <w:sz w:val="9"/>
          <w:szCs w:val="9"/>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111" w:lineRule="exact"/>
        <w:rPr>
          <w:sz w:val="20"/>
          <w:szCs w:val="20"/>
          <w:color w:val="auto"/>
        </w:rPr>
      </w:pPr>
    </w:p>
    <w:p>
      <w:pPr>
        <w:ind w:right="80" w:firstLine="240"/>
        <w:spacing w:after="0" w:line="271" w:lineRule="auto"/>
        <w:rPr>
          <w:sz w:val="20"/>
          <w:szCs w:val="20"/>
          <w:color w:val="auto"/>
        </w:rPr>
      </w:pPr>
      <w:r>
        <w:rPr>
          <w:rFonts w:ascii="Times New Roman" w:cs="Times New Roman" w:eastAsia="Times New Roman" w:hAnsi="Times New Roman"/>
          <w:sz w:val="10"/>
          <w:szCs w:val="10"/>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Information</w:t>
      </w:r>
    </w:p>
    <w:p>
      <w:pPr>
        <w:spacing w:after="0" w:line="60" w:lineRule="exact"/>
        <w:rPr>
          <w:sz w:val="20"/>
          <w:szCs w:val="20"/>
          <w:color w:val="auto"/>
        </w:rPr>
      </w:pPr>
    </w:p>
    <w:p>
      <w:pPr>
        <w:ind w:right="100" w:firstLine="240"/>
        <w:spacing w:after="0" w:line="255" w:lineRule="auto"/>
        <w:rPr>
          <w:sz w:val="20"/>
          <w:szCs w:val="20"/>
          <w:color w:val="auto"/>
        </w:rPr>
      </w:pPr>
      <w:r>
        <w:rPr>
          <w:rFonts w:ascii="Times New Roman" w:cs="Times New Roman" w:eastAsia="Times New Roman" w:hAnsi="Times New Roman"/>
          <w:sz w:val="10"/>
          <w:szCs w:val="10"/>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has undertaken to re-register as a public limited company and change its name from Rezolve AI Limited to Rezolve AI PLC on or before January 9, 2025.</w:t>
      </w:r>
    </w:p>
    <w:p>
      <w:pPr>
        <w:spacing w:after="0" w:line="101" w:lineRule="exact"/>
        <w:rPr>
          <w:sz w:val="20"/>
          <w:szCs w:val="20"/>
          <w:color w:val="auto"/>
        </w:rPr>
      </w:pPr>
    </w:p>
    <w:p>
      <w:pPr>
        <w:jc w:val="both"/>
        <w:ind w:right="220" w:firstLine="240"/>
        <w:spacing w:after="0" w:line="245" w:lineRule="auto"/>
        <w:rPr>
          <w:sz w:val="20"/>
          <w:szCs w:val="20"/>
          <w:color w:val="auto"/>
        </w:rPr>
      </w:pPr>
      <w:r>
        <w:rPr>
          <w:rFonts w:ascii="Times New Roman" w:cs="Times New Roman" w:eastAsia="Times New Roman" w:hAnsi="Times New Roman"/>
          <w:sz w:val="10"/>
          <w:szCs w:val="10"/>
          <w:color w:val="auto"/>
        </w:rPr>
        <w:t xml:space="preserve">The Ordinary Shares and Public Warrants are listed on Nasdaq under the symbols “RZLV” and “RZLVW,” respectively. Our registered office is at 5 New Street Square London EC4A 3TW and our principal executive office is 3rd Floor, 80 New Bond Street, London, United Kingdom, W1S 1SB. Our register of members is kept at our registered office. Our website address is </w:t>
      </w:r>
      <w:r>
        <w:rPr>
          <w:rFonts w:ascii="Times New Roman" w:cs="Times New Roman" w:eastAsia="Times New Roman" w:hAnsi="Times New Roman"/>
          <w:sz w:val="10"/>
          <w:szCs w:val="10"/>
          <w:i w:val="1"/>
          <w:iCs w:val="1"/>
          <w:color w:val="auto"/>
        </w:rPr>
        <w:t>www.rezolve.com.</w:t>
      </w:r>
      <w:r>
        <w:rPr>
          <w:rFonts w:ascii="Times New Roman" w:cs="Times New Roman" w:eastAsia="Times New Roman" w:hAnsi="Times New Roman"/>
          <w:sz w:val="10"/>
          <w:szCs w:val="10"/>
          <w:color w:val="auto"/>
        </w:rPr>
        <w:t xml:space="preserve"> Our website and the information contained on, or that can be accessed through, our website is not deemed to be incorporated by reference in, and is not considered part of, this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Emerging Growth Company</w:t>
      </w:r>
    </w:p>
    <w:p>
      <w:pPr>
        <w:spacing w:after="0" w:line="60"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05" w:lineRule="exact"/>
        <w:rPr>
          <w:sz w:val="20"/>
          <w:szCs w:val="20"/>
          <w:color w:val="auto"/>
        </w:rPr>
      </w:pPr>
    </w:p>
    <w:p>
      <w:pPr>
        <w:jc w:val="both"/>
        <w:ind w:right="200" w:firstLine="240"/>
        <w:spacing w:after="0" w:line="239" w:lineRule="auto"/>
        <w:rPr>
          <w:sz w:val="20"/>
          <w:szCs w:val="20"/>
          <w:color w:val="auto"/>
        </w:rPr>
      </w:pPr>
      <w:r>
        <w:rPr>
          <w:rFonts w:ascii="Times New Roman" w:cs="Times New Roman" w:eastAsia="Times New Roman" w:hAnsi="Times New Roman"/>
          <w:sz w:val="10"/>
          <w:szCs w:val="1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60" w:top="1213" w:right="700" w:bottom="1440" w:gutter="0" w:footer="0" w:header="0"/>
        </w:sectPr>
      </w:pPr>
    </w:p>
    <w:bookmarkStart w:id="11" w:name="page12"/>
    <w:bookmarkEnd w:id="11"/>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w:t>
      </w:r>
    </w:p>
    <w:p>
      <w:pPr>
        <w:spacing w:after="0" w:line="60"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05"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5" w:lineRule="exact"/>
        <w:rPr>
          <w:sz w:val="20"/>
          <w:szCs w:val="20"/>
          <w:color w:val="auto"/>
        </w:rPr>
      </w:pPr>
    </w:p>
    <w:p>
      <w:pPr>
        <w:ind w:right="80" w:firstLine="240"/>
        <w:spacing w:after="0" w:line="255" w:lineRule="auto"/>
        <w:rPr>
          <w:sz w:val="20"/>
          <w:szCs w:val="20"/>
          <w:color w:val="auto"/>
        </w:rPr>
      </w:pPr>
      <w:r>
        <w:rPr>
          <w:rFonts w:ascii="Times New Roman" w:cs="Times New Roman" w:eastAsia="Times New Roman" w:hAnsi="Times New Roman"/>
          <w:sz w:val="10"/>
          <w:szCs w:val="10"/>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01" w:lineRule="exact"/>
        <w:rPr>
          <w:sz w:val="20"/>
          <w:szCs w:val="20"/>
          <w:color w:val="auto"/>
        </w:rPr>
      </w:pPr>
    </w:p>
    <w:p>
      <w:pPr>
        <w:ind w:right="240" w:firstLine="240"/>
        <w:spacing w:after="0" w:line="255" w:lineRule="auto"/>
        <w:rPr>
          <w:sz w:val="20"/>
          <w:szCs w:val="20"/>
          <w:color w:val="auto"/>
        </w:rPr>
      </w:pPr>
      <w:r>
        <w:rPr>
          <w:rFonts w:ascii="Times New Roman" w:cs="Times New Roman" w:eastAsia="Times New Roman" w:hAnsi="Times New Roman"/>
          <w:sz w:val="10"/>
          <w:szCs w:val="10"/>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58" w:lineRule="exact"/>
        <w:rPr>
          <w:sz w:val="20"/>
          <w:szCs w:val="20"/>
          <w:color w:val="auto"/>
        </w:rPr>
      </w:pPr>
    </w:p>
    <w:p>
      <w:pPr>
        <w:ind w:right="340" w:firstLine="240"/>
        <w:spacing w:after="0" w:line="259" w:lineRule="auto"/>
        <w:rPr>
          <w:sz w:val="20"/>
          <w:szCs w:val="20"/>
          <w:color w:val="auto"/>
        </w:rPr>
      </w:pPr>
      <w:r>
        <w:rPr>
          <w:rFonts w:ascii="Times New Roman" w:cs="Times New Roman" w:eastAsia="Times New Roman" w:hAnsi="Times New Roman"/>
          <w:sz w:val="10"/>
          <w:szCs w:val="10"/>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has generated limited revenues from existing Channels and there is no guarantee that it will be able to attract and retain new merchants and increase sales to new merchants.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is an early-stage company with a history of financial losses and expects to incur significant expenses and continuing losses for the foreseeable future.</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impact of worldwide economic conditions, including the resulting effect on spending by SMBs and spending on technology, may adversely affect Rezolve’s business, operating results and financial condition.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limited operating history in a new and developing market makes it difficult to evaluate its current business and future prospects and may increase the risk that it will not be successful.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growth depends in part on the success of its strategic relationships with third parties.</w:t>
      </w:r>
    </w:p>
    <w:p>
      <w:pPr>
        <w:spacing w:after="0" w:line="58" w:lineRule="exact"/>
        <w:rPr>
          <w:sz w:val="20"/>
          <w:szCs w:val="20"/>
          <w:color w:val="auto"/>
        </w:rPr>
      </w:pPr>
    </w:p>
    <w:p>
      <w:pPr>
        <w:ind w:left="240" w:right="180"/>
        <w:spacing w:after="0" w:line="255" w:lineRule="auto"/>
        <w:rPr>
          <w:sz w:val="20"/>
          <w:szCs w:val="20"/>
          <w:color w:val="auto"/>
        </w:rPr>
      </w:pPr>
      <w:r>
        <w:rPr>
          <w:rFonts w:ascii="Times New Roman" w:cs="Times New Roman" w:eastAsia="Times New Roman" w:hAnsi="Times New Roman"/>
          <w:sz w:val="10"/>
          <w:szCs w:val="10"/>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•Rezolve’s business could be harmed if it fails to manage its growth effectively.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155" w:right="660" w:bottom="1440" w:gutter="0" w:footer="0" w:header="0"/>
        </w:sectPr>
      </w:pPr>
    </w:p>
    <w:bookmarkStart w:id="12" w:name="page13"/>
    <w:bookmarkEnd w:id="12"/>
    <w:p>
      <w:pPr>
        <w:ind w:right="160"/>
        <w:spacing w:after="0" w:line="255" w:lineRule="auto"/>
        <w:rPr>
          <w:sz w:val="20"/>
          <w:szCs w:val="20"/>
          <w:color w:val="auto"/>
        </w:rPr>
      </w:pPr>
      <w:r>
        <w:rPr>
          <w:rFonts w:ascii="Times New Roman" w:cs="Times New Roman" w:eastAsia="Times New Roman" w:hAnsi="Times New Roman"/>
          <w:sz w:val="10"/>
          <w:szCs w:val="10"/>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does not have the history with its solutions or pricing models necessary to accurately predict optimal pricing necessary to attract new merchants and retain existing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a result of Rezolve’s business model, it may not be able to accurately assess its financial position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business is susceptible to risks associated with international sales and the use of its platform in various countries.</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•Exchange rate fluctuations may negatively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operating results are expected to be subject to seasonal fluctuations.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estimates or judgments relating to Rezolve’s critical accounting policies are ultimately incorrect, Rezolve’s results of operations could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not be able to compete successfully against current and future competitors.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•Payment transactions on Rezolve’s platform may be subject to regulatory requirements and other risks that could be costly and difficult to comply with or that could harm Rezolve’s business.</w:t>
      </w:r>
    </w:p>
    <w:p>
      <w:pPr>
        <w:spacing w:after="0" w:line="5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a party to the Loan Note Instrument, which contains a number of covenants that may restrict our current and future operations and could adversely affect our ability to execute business needs.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need to raise additional funds to pursue its growth strategy or continue its operations, and Rezolve may be unable to raise capital when needed or on acceptable terms.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the availability of Rezolve’s platform does not meet its service-level commitments to customers, Rezolve’s current and future revenues may be negatively impacted.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will have broad discretion in the use of proceeds from this offering and may invest or spend the proceeds in ways with which you do not agree and in ways that may not yield a return.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does not intend to pay dividends for the foreseeable future.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regional or global health pandemic, including the global COVID-19 pandemic, may adversely impact Rezolve’s business, results of operations and financial performance.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is unable to hire, retain and motivate qualified personnel, its business will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upon consumers’ and merchants’ willingness to use the internet and internet-enabled mobile devices for commerce.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software contains serious errors or defects, Rezolve may lose revenues and market acceptance and may incur costs to defend or settle claims with its merchants.</w:t>
      </w:r>
    </w:p>
    <w:p>
      <w:pPr>
        <w:spacing w:after="0" w:line="1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40"/>
          </w:cols>
          <w:pgMar w:left="900" w:top="1095" w:right="66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uses a limited number of data centers to deliver its services. Any disruption of service at these facilities could harm Rezolve’s business.</w:t>
      </w:r>
    </w:p>
    <w:p>
      <w:pPr>
        <w:spacing w:after="0" w:line="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0"/>
          <w:szCs w:val="10"/>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in order to provide its solutions and run its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does not or cannot maintain the compatibility of its platform with third-party applications that its customers use in their businesses, Rezolve’s revenues will decline.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brand is important to its success. If Rezolve fails to effectively maintain, promote and enhance Rezolve’s brand, Rezolve’s business and competitive advantage may be harmed.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•Activities of merchants or the content of their shops could damage Rezolve’s brand, subject Rezolve to liability and harm its business and financial results.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fails to maintain a consistently high level of customer service, Rezolve’s brand, business and financial results may be harmed.</w:t>
      </w:r>
    </w:p>
    <w:p>
      <w:pPr>
        <w:spacing w:after="0" w:line="5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0"/>
          <w:szCs w:val="10"/>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be subject to claims by third parties of intellectual property infringement.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use of “open source” software could negatively affect its ability to sell its solutions and subject Rezolve to possible litigation.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financial accounting standards or practices may cause adverse, unexpected financial reporting fluctuations and adversely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tax laws or tax rulings could materially affect Rezolve’s financial position, results of operations, and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•Claims for indemnification by Rezolve’s directors and officers may reduce Rezolve’s available funds to satisfy successful third-party claims against Rezolve and may reduce the amount of money available to Rezolve.</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0"/>
          <w:szCs w:val="10"/>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•Enhanced trade tariffs, import restrictions, export restrictions, United States regulations or other trade barriers may materially harm Rezolve’s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•From time to time, Rezolve may be involved in legal proceedings and commercial or contractual disputes, which could have an adverse impact on Rezolve’s profitability and consolidated financial position.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•Certain provisions of the Articles and English law could deter takeover attempts.</w:t>
      </w:r>
    </w:p>
    <w:p>
      <w:pPr>
        <w:spacing w:after="0" w:line="1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80"/>
          </w:cols>
          <w:pgMar w:left="900" w:top="1095" w:right="820" w:bottom="1440" w:gutter="0" w:footer="0" w:header="0"/>
        </w:sectPr>
      </w:pPr>
    </w:p>
    <w:bookmarkStart w:id="14" w:name="page15"/>
    <w:bookmarkEnd w:id="14"/>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Securities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Pre-Funded Warrants offered by us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Reasonable Best Efforts Offering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Ordinary Shares outstanding before this offering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THE OFFERING</w:t>
      </w:r>
    </w:p>
    <w:p>
      <w:pPr>
        <w:spacing w:after="0" w:line="187" w:lineRule="exact"/>
        <w:rPr>
          <w:sz w:val="20"/>
          <w:szCs w:val="20"/>
          <w:color w:val="auto"/>
        </w:rPr>
      </w:pPr>
    </w:p>
    <w:p>
      <w:pPr>
        <w:ind w:left="460"/>
        <w:spacing w:after="0"/>
        <w:tabs>
          <w:tab w:leader="none" w:pos="940" w:val="left"/>
          <w:tab w:leader="none" w:pos="4100" w:val="left"/>
        </w:tabs>
        <w:rPr>
          <w:sz w:val="20"/>
          <w:szCs w:val="20"/>
          <w:color w:val="auto"/>
        </w:rPr>
      </w:pPr>
      <w:r>
        <w:rPr>
          <w:rFonts w:ascii="Times New Roman" w:cs="Times New Roman" w:eastAsia="Times New Roman" w:hAnsi="Times New Roman"/>
          <w:sz w:val="10"/>
          <w:szCs w:val="10"/>
          <w:color w:val="auto"/>
        </w:rPr>
        <w:t>Up to</w:t>
      </w:r>
      <w:r>
        <w:rPr>
          <w:sz w:val="20"/>
          <w:szCs w:val="20"/>
          <w:color w:val="auto"/>
        </w:rPr>
        <w:tab/>
      </w:r>
      <w:r>
        <w:rPr>
          <w:rFonts w:ascii="Times New Roman" w:cs="Times New Roman" w:eastAsia="Times New Roman" w:hAnsi="Times New Roman"/>
          <w:sz w:val="10"/>
          <w:szCs w:val="10"/>
          <w:color w:val="auto"/>
        </w:rPr>
        <w:t>Ordinary Shares and accompanying Offering Warrants to purchase up to</w:t>
      </w:r>
      <w:r>
        <w:rPr>
          <w:sz w:val="20"/>
          <w:szCs w:val="20"/>
          <w:color w:val="auto"/>
        </w:rPr>
        <w:tab/>
      </w:r>
      <w:r>
        <w:rPr>
          <w:rFonts w:ascii="Times New Roman" w:cs="Times New Roman" w:eastAsia="Times New Roman" w:hAnsi="Times New Roman"/>
          <w:sz w:val="9"/>
          <w:szCs w:val="9"/>
          <w:color w:val="auto"/>
        </w:rPr>
        <w:t>Ordinary Shares, or Pre-Funded</w:t>
      </w:r>
    </w:p>
    <w:p>
      <w:pPr>
        <w:spacing w:after="0" w:line="5" w:lineRule="exact"/>
        <w:rPr>
          <w:sz w:val="20"/>
          <w:szCs w:val="20"/>
          <w:color w:val="auto"/>
        </w:rPr>
      </w:pPr>
    </w:p>
    <w:p>
      <w:pPr>
        <w:ind w:left="460"/>
        <w:spacing w:after="0"/>
        <w:tabs>
          <w:tab w:leader="none" w:pos="1780" w:val="left"/>
          <w:tab w:leader="none" w:pos="4920" w:val="left"/>
        </w:tabs>
        <w:rPr>
          <w:sz w:val="20"/>
          <w:szCs w:val="20"/>
          <w:color w:val="auto"/>
        </w:rPr>
      </w:pPr>
      <w:r>
        <w:rPr>
          <w:rFonts w:ascii="Times New Roman" w:cs="Times New Roman" w:eastAsia="Times New Roman" w:hAnsi="Times New Roman"/>
          <w:sz w:val="10"/>
          <w:szCs w:val="10"/>
          <w:color w:val="auto"/>
        </w:rPr>
        <w:t>Warrants to purchase up to</w:t>
      </w:r>
      <w:r>
        <w:rPr>
          <w:sz w:val="20"/>
          <w:szCs w:val="20"/>
          <w:color w:val="auto"/>
        </w:rPr>
        <w:tab/>
      </w:r>
      <w:r>
        <w:rPr>
          <w:rFonts w:ascii="Times New Roman" w:cs="Times New Roman" w:eastAsia="Times New Roman" w:hAnsi="Times New Roman"/>
          <w:sz w:val="10"/>
          <w:szCs w:val="10"/>
          <w:color w:val="auto"/>
        </w:rPr>
        <w:t>Ordinary Shares and accompanying Offering Warrants to purchase up to</w:t>
      </w:r>
      <w:r>
        <w:rPr>
          <w:sz w:val="20"/>
          <w:szCs w:val="20"/>
          <w:color w:val="auto"/>
        </w:rPr>
        <w:tab/>
      </w:r>
      <w:r>
        <w:rPr>
          <w:rFonts w:ascii="Times New Roman" w:cs="Times New Roman" w:eastAsia="Times New Roman" w:hAnsi="Times New Roman"/>
          <w:sz w:val="9"/>
          <w:szCs w:val="9"/>
          <w:color w:val="auto"/>
        </w:rPr>
        <w:t>Ordinary Shares on</w:t>
      </w:r>
    </w:p>
    <w:p>
      <w:pPr>
        <w:ind w:left="460" w:right="100"/>
        <w:spacing w:after="0" w:line="235" w:lineRule="auto"/>
        <w:rPr>
          <w:sz w:val="20"/>
          <w:szCs w:val="20"/>
          <w:color w:val="auto"/>
        </w:rPr>
      </w:pPr>
      <w:r>
        <w:rPr>
          <w:rFonts w:ascii="Times New Roman" w:cs="Times New Roman" w:eastAsia="Times New Roman" w:hAnsi="Times New Roman"/>
          <w:sz w:val="10"/>
          <w:szCs w:val="10"/>
          <w:color w:val="auto"/>
        </w:rPr>
        <w:t>a reasonable “best efforts” basis. The Ordinary Shares, or the Pre-Funded Warrants, and accompanying Offering Warrants are immediately separable and will be issued separately in this offering, but must initially be purchased together in this offering. The Offering Warrants are exercisable immediately, have an exercise price per share equal to $ , and will expire five years after the date of issuance. This prospectus also relates to the offering of Ordinary Shares issuable upon exercise of the Offering Warrants and Pre -Funded Warrants. For more information regarding the Offering Warrants and Pre-Funded Warrants, you should carefully read the section titled “Description of Securities to be Registered” in this prospectus.</w:t>
      </w:r>
    </w:p>
    <w:p>
      <w:pPr>
        <w:spacing w:after="0" w:line="49"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9"/>
          <w:szCs w:val="9"/>
          <w:color w:val="auto"/>
        </w:rPr>
        <w:t>We are also offering to each purchaser whose purchase of Ordinary Shares in this offering would otherwise result in the purchaser, together with its affiliates and certain related parties, beneficially owning more than 4.99% (or, at the election of the purchaser,</w:t>
      </w:r>
    </w:p>
    <w:p>
      <w:pPr>
        <w:ind w:left="460"/>
        <w:spacing w:after="0"/>
        <w:rPr>
          <w:sz w:val="20"/>
          <w:szCs w:val="20"/>
          <w:color w:val="auto"/>
        </w:rPr>
      </w:pPr>
      <w:r>
        <w:rPr>
          <w:rFonts w:ascii="Times New Roman" w:cs="Times New Roman" w:eastAsia="Times New Roman" w:hAnsi="Times New Roman"/>
          <w:sz w:val="9"/>
          <w:szCs w:val="9"/>
          <w:color w:val="auto"/>
        </w:rPr>
        <w:t>9.99%) of our outstanding Ordinary Shares immediately following the consummation of this offering, the opportunity to purchase, if</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the purchaser so chooses, Pre-Funded Warrants (each Pre-Funded Warrant to purchase one Ordinary Share) in lieu of shares that</w:t>
      </w:r>
    </w:p>
    <w:p>
      <w:pPr>
        <w:ind w:left="460"/>
        <w:spacing w:after="0" w:line="234" w:lineRule="auto"/>
        <w:rPr>
          <w:sz w:val="20"/>
          <w:szCs w:val="20"/>
          <w:color w:val="auto"/>
        </w:rPr>
      </w:pPr>
      <w:r>
        <w:rPr>
          <w:rFonts w:ascii="Times New Roman" w:cs="Times New Roman" w:eastAsia="Times New Roman" w:hAnsi="Times New Roman"/>
          <w:sz w:val="10"/>
          <w:szCs w:val="10"/>
          <w:color w:val="auto"/>
        </w:rPr>
        <w:t>would otherwise result in the purchaser’s beneficial ownership exceeding 4.99% of our outstanding Ordinary Shares (or, at the</w:t>
      </w:r>
    </w:p>
    <w:p>
      <w:pPr>
        <w:ind w:left="460"/>
        <w:spacing w:after="0" w:line="235" w:lineRule="auto"/>
        <w:rPr>
          <w:sz w:val="20"/>
          <w:szCs w:val="20"/>
          <w:color w:val="auto"/>
        </w:rPr>
      </w:pPr>
      <w:r>
        <w:rPr>
          <w:rFonts w:ascii="Times New Roman" w:cs="Times New Roman" w:eastAsia="Times New Roman" w:hAnsi="Times New Roman"/>
          <w:sz w:val="10"/>
          <w:szCs w:val="10"/>
          <w:color w:val="auto"/>
        </w:rPr>
        <w:t>election of the purchaser, 9.99%). The purchase price of each Pre-Funded Warrant and accompanying Offering Warrant will equal</w:t>
      </w:r>
    </w:p>
    <w:p>
      <w:pPr>
        <w:ind w:left="460"/>
        <w:spacing w:after="0" w:line="235" w:lineRule="auto"/>
        <w:rPr>
          <w:sz w:val="20"/>
          <w:szCs w:val="20"/>
          <w:color w:val="auto"/>
        </w:rPr>
      </w:pPr>
      <w:r>
        <w:rPr>
          <w:rFonts w:ascii="Times New Roman" w:cs="Times New Roman" w:eastAsia="Times New Roman" w:hAnsi="Times New Roman"/>
          <w:sz w:val="10"/>
          <w:szCs w:val="10"/>
          <w:color w:val="auto"/>
        </w:rPr>
        <w:t>the price at which one Ordinary Share and accompanying Offering Warrant are being sold to the public in this offering, minus</w:t>
      </w:r>
    </w:p>
    <w:p>
      <w:pPr>
        <w:ind w:left="460"/>
        <w:spacing w:after="0"/>
        <w:rPr>
          <w:sz w:val="20"/>
          <w:szCs w:val="20"/>
          <w:color w:val="auto"/>
        </w:rPr>
      </w:pPr>
      <w:r>
        <w:rPr>
          <w:rFonts w:ascii="Times New Roman" w:cs="Times New Roman" w:eastAsia="Times New Roman" w:hAnsi="Times New Roman"/>
          <w:sz w:val="9"/>
          <w:szCs w:val="9"/>
          <w:color w:val="auto"/>
        </w:rPr>
        <w:t>$0.0001, and the exercise price of each Pre-Funded Warrant will be $0.0001 per share. The Pre-Funded Warrants will be exercisable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immediately and may be exercised at any time until all of the Pre-Funded Warrants are exercised in full. For each Pre-Funded</w:t>
      </w:r>
    </w:p>
    <w:p>
      <w:pPr>
        <w:ind w:left="460"/>
        <w:spacing w:after="0"/>
        <w:rPr>
          <w:sz w:val="20"/>
          <w:szCs w:val="20"/>
          <w:color w:val="auto"/>
        </w:rPr>
      </w:pPr>
      <w:r>
        <w:rPr>
          <w:rFonts w:ascii="Times New Roman" w:cs="Times New Roman" w:eastAsia="Times New Roman" w:hAnsi="Times New Roman"/>
          <w:sz w:val="9"/>
          <w:szCs w:val="9"/>
          <w:color w:val="auto"/>
        </w:rPr>
        <w:t>Warrant we sell, the number of Ordinary Shares we are offering will be decreased on a one-for-one basis. This prospectus also covers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the Ordinary Shares issuable from time to time upon the exercise of the Pre-Funded Warrants.</w:t>
      </w:r>
    </w:p>
    <w:p>
      <w:pPr>
        <w:spacing w:after="0" w:line="310" w:lineRule="exact"/>
        <w:rPr>
          <w:sz w:val="20"/>
          <w:szCs w:val="20"/>
          <w:color w:val="auto"/>
        </w:rPr>
      </w:pPr>
    </w:p>
    <w:p>
      <w:pPr>
        <w:ind w:left="460" w:right="100"/>
        <w:spacing w:after="0" w:line="241" w:lineRule="auto"/>
        <w:rPr>
          <w:sz w:val="20"/>
          <w:szCs w:val="20"/>
          <w:color w:val="auto"/>
        </w:rPr>
      </w:pPr>
      <w:r>
        <w:rPr>
          <w:rFonts w:ascii="Times New Roman" w:cs="Times New Roman" w:eastAsia="Times New Roman" w:hAnsi="Times New Roman"/>
          <w:sz w:val="10"/>
          <w:szCs w:val="10"/>
          <w:color w:val="auto"/>
        </w:rPr>
        <w:t>We have agreed to issue and sell the securities offered hereby to the purchasers through the Placement Agent. The Placement Agent is not required to buy or sell any specific number or dollar amount of the securities offered hereby, but will use its reasonable best efforts to solicit offers to purchase the securities offered by this prospectus. See “Plan of Distribution” beginning on page [x] of this prospectus.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[x] Ordinary Shares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0"/>
          <w:szCs w:val="10"/>
          <w:color w:val="auto"/>
        </w:rPr>
        <w:t>[x] Ordinary Shares (assuming all of the Ordinary Shares and accompanying Offering Warrants we are offering under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256540</wp:posOffset>
            </wp:positionV>
            <wp:extent cx="677862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2">
            <w:col w:w="4200" w:space="720"/>
            <w:col w:w="5700"/>
          </w:cols>
          <w:pgMar w:left="660" w:top="1033" w:right="62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7180" w:type="dxa"/>
            <w:vAlign w:val="bottom"/>
            <w:gridSpan w:val="3"/>
          </w:tcPr>
          <w:p>
            <w:pPr>
              <w:ind w:left="1980"/>
              <w:spacing w:after="0"/>
              <w:rPr>
                <w:sz w:val="20"/>
                <w:szCs w:val="20"/>
                <w:color w:val="auto"/>
              </w:rPr>
            </w:pPr>
            <w:r>
              <w:rPr>
                <w:rFonts w:ascii="Times New Roman" w:cs="Times New Roman" w:eastAsia="Times New Roman" w:hAnsi="Times New Roman"/>
                <w:sz w:val="10"/>
                <w:szCs w:val="10"/>
                <w:color w:val="auto"/>
                <w:w w:val="98"/>
              </w:rPr>
              <w:t>this prospectus are sold, and assuming no sale of Pre-Funded Warrants, which, if sold, would reduce the number of Ordinary Shares</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6920" w:type="dxa"/>
            <w:vAlign w:val="bottom"/>
            <w:gridSpan w:val="2"/>
          </w:tcPr>
          <w:p>
            <w:pPr>
              <w:ind w:left="1980"/>
              <w:spacing w:after="0"/>
              <w:rPr>
                <w:sz w:val="20"/>
                <w:szCs w:val="20"/>
                <w:color w:val="auto"/>
              </w:rPr>
            </w:pPr>
            <w:r>
              <w:rPr>
                <w:rFonts w:ascii="Times New Roman" w:cs="Times New Roman" w:eastAsia="Times New Roman" w:hAnsi="Times New Roman"/>
                <w:sz w:val="10"/>
                <w:szCs w:val="10"/>
                <w:color w:val="auto"/>
              </w:rPr>
              <w:t>that we are offering on a one-for-one basis, and no exercise of the Offering Warrants issued in this offering).</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Use of proceeds</w:t>
            </w:r>
          </w:p>
        </w:tc>
        <w:tc>
          <w:tcPr>
            <w:tcW w:w="6920" w:type="dxa"/>
            <w:vAlign w:val="bottom"/>
            <w:gridSpan w:val="2"/>
          </w:tcPr>
          <w:p>
            <w:pPr>
              <w:ind w:left="1980"/>
              <w:spacing w:after="0"/>
              <w:rPr>
                <w:sz w:val="20"/>
                <w:szCs w:val="20"/>
                <w:color w:val="auto"/>
              </w:rPr>
            </w:pPr>
            <w:r>
              <w:rPr>
                <w:rFonts w:ascii="Times New Roman" w:cs="Times New Roman" w:eastAsia="Times New Roman" w:hAnsi="Times New Roman"/>
                <w:sz w:val="10"/>
                <w:szCs w:val="10"/>
                <w:color w:val="auto"/>
                <w:w w:val="99"/>
              </w:rPr>
              <w:t>Assuming all of the Ordinary Shares we are offering under this prospectus are sold at an assumed public offering price of $</w:t>
            </w:r>
          </w:p>
        </w:tc>
        <w:tc>
          <w:tcPr>
            <w:tcW w:w="26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per</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6080" w:type="dxa"/>
            <w:vAlign w:val="bottom"/>
          </w:tcPr>
          <w:p>
            <w:pPr>
              <w:ind w:left="1980"/>
              <w:spacing w:after="0" w:line="113" w:lineRule="exact"/>
              <w:rPr>
                <w:sz w:val="20"/>
                <w:szCs w:val="20"/>
                <w:color w:val="auto"/>
              </w:rPr>
            </w:pPr>
            <w:r>
              <w:rPr>
                <w:rFonts w:ascii="Times New Roman" w:cs="Times New Roman" w:eastAsia="Times New Roman" w:hAnsi="Times New Roman"/>
                <w:sz w:val="10"/>
                <w:szCs w:val="10"/>
                <w:color w:val="auto"/>
                <w:w w:val="98"/>
              </w:rPr>
              <w:t>Ordinary Share and accompanying Offering Warrant, we estimate that we will receive approximately $</w:t>
            </w:r>
          </w:p>
        </w:tc>
        <w:tc>
          <w:tcPr>
            <w:tcW w:w="110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0"/>
                <w:szCs w:val="10"/>
                <w:color w:val="auto"/>
              </w:rPr>
              <w:t>million in net proceeds</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7180" w:type="dxa"/>
            <w:vAlign w:val="bottom"/>
            <w:gridSpan w:val="3"/>
          </w:tcPr>
          <w:p>
            <w:pPr>
              <w:ind w:left="1980"/>
              <w:spacing w:after="0" w:line="113" w:lineRule="exact"/>
              <w:rPr>
                <w:sz w:val="20"/>
                <w:szCs w:val="20"/>
                <w:color w:val="auto"/>
              </w:rPr>
            </w:pPr>
            <w:r>
              <w:rPr>
                <w:rFonts w:ascii="Times New Roman" w:cs="Times New Roman" w:eastAsia="Times New Roman" w:hAnsi="Times New Roman"/>
                <w:sz w:val="10"/>
                <w:szCs w:val="10"/>
                <w:color w:val="auto"/>
                <w:w w:val="97"/>
              </w:rPr>
              <w:t>from this offering, after deducting the estimated placement agent fees and estimated offering expenses. However, this is a reasonable</w:t>
            </w: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7180" w:type="dxa"/>
            <w:vAlign w:val="bottom"/>
            <w:gridSpan w:val="3"/>
          </w:tcPr>
          <w:p>
            <w:pPr>
              <w:ind w:left="1980"/>
              <w:spacing w:after="0" w:line="113" w:lineRule="exact"/>
              <w:rPr>
                <w:sz w:val="20"/>
                <w:szCs w:val="20"/>
                <w:color w:val="auto"/>
              </w:rPr>
            </w:pPr>
            <w:r>
              <w:rPr>
                <w:rFonts w:ascii="Times New Roman" w:cs="Times New Roman" w:eastAsia="Times New Roman" w:hAnsi="Times New Roman"/>
                <w:sz w:val="10"/>
                <w:szCs w:val="10"/>
                <w:color w:val="auto"/>
                <w:w w:val="96"/>
              </w:rPr>
              <w:t>best effort offering with no minimum number of securities or amount of proceeds as a condition to closing, and we may not sell all or</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6920" w:type="dxa"/>
            <w:vAlign w:val="bottom"/>
            <w:gridSpan w:val="2"/>
          </w:tcPr>
          <w:p>
            <w:pPr>
              <w:ind w:left="1980"/>
              <w:spacing w:after="0"/>
              <w:rPr>
                <w:sz w:val="20"/>
                <w:szCs w:val="20"/>
                <w:color w:val="auto"/>
              </w:rPr>
            </w:pPr>
            <w:r>
              <w:rPr>
                <w:rFonts w:ascii="Times New Roman" w:cs="Times New Roman" w:eastAsia="Times New Roman" w:hAnsi="Times New Roman"/>
                <w:sz w:val="10"/>
                <w:szCs w:val="10"/>
                <w:color w:val="auto"/>
              </w:rPr>
              <w:t>any of the securities offered pursuant to this prospectus; as a result, we may receive significantly less in net proceeds.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6920" w:type="dxa"/>
            <w:vAlign w:val="bottom"/>
            <w:gridSpan w:val="2"/>
          </w:tcPr>
          <w:p>
            <w:pPr>
              <w:ind w:left="1980"/>
              <w:spacing w:after="0"/>
              <w:rPr>
                <w:sz w:val="20"/>
                <w:szCs w:val="20"/>
                <w:color w:val="auto"/>
              </w:rPr>
            </w:pPr>
            <w:r>
              <w:rPr>
                <w:rFonts w:ascii="Times New Roman" w:cs="Times New Roman" w:eastAsia="Times New Roman" w:hAnsi="Times New Roman"/>
                <w:sz w:val="10"/>
                <w:szCs w:val="10"/>
                <w:color w:val="auto"/>
                <w:w w:val="99"/>
              </w:rPr>
              <w:t>We currently intend to use the net proceeds from this offering primarily for working capital and general corporate purposes,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6920" w:type="dxa"/>
            <w:vAlign w:val="bottom"/>
            <w:gridSpan w:val="2"/>
          </w:tcPr>
          <w:p>
            <w:pPr>
              <w:ind w:left="1980"/>
              <w:spacing w:after="0" w:line="113" w:lineRule="exact"/>
              <w:rPr>
                <w:sz w:val="20"/>
                <w:szCs w:val="20"/>
                <w:color w:val="auto"/>
              </w:rPr>
            </w:pPr>
            <w:r>
              <w:rPr>
                <w:rFonts w:ascii="Times New Roman" w:cs="Times New Roman" w:eastAsia="Times New Roman" w:hAnsi="Times New Roman"/>
                <w:sz w:val="10"/>
                <w:szCs w:val="10"/>
                <w:color w:val="auto"/>
                <w:w w:val="98"/>
              </w:rPr>
              <w:t>including for research and development. We may also use a portion of the net proceeds to invest in or acquire other products,</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400" w:type="dxa"/>
            <w:vAlign w:val="bottom"/>
          </w:tcPr>
          <w:p>
            <w:pPr>
              <w:spacing w:after="0"/>
              <w:rPr>
                <w:sz w:val="9"/>
                <w:szCs w:val="9"/>
                <w:color w:val="auto"/>
              </w:rPr>
            </w:pPr>
          </w:p>
        </w:tc>
        <w:tc>
          <w:tcPr>
            <w:tcW w:w="7180" w:type="dxa"/>
            <w:vAlign w:val="bottom"/>
            <w:gridSpan w:val="3"/>
          </w:tcPr>
          <w:p>
            <w:pPr>
              <w:ind w:left="1980"/>
              <w:spacing w:after="0" w:line="113" w:lineRule="exact"/>
              <w:rPr>
                <w:sz w:val="20"/>
                <w:szCs w:val="20"/>
                <w:color w:val="auto"/>
              </w:rPr>
            </w:pPr>
            <w:r>
              <w:rPr>
                <w:rFonts w:ascii="Times New Roman" w:cs="Times New Roman" w:eastAsia="Times New Roman" w:hAnsi="Times New Roman"/>
                <w:sz w:val="10"/>
                <w:szCs w:val="10"/>
                <w:color w:val="auto"/>
                <w:w w:val="97"/>
              </w:rPr>
              <w:t>businesses or technologies, although we have no commitments or agreements with respect to any such investments or acquisitions as</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608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of the date of this prospectus. See “Use of Proceeds” for additional information.</w:t>
            </w: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4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Risk Factors</w:t>
            </w:r>
          </w:p>
        </w:tc>
        <w:tc>
          <w:tcPr>
            <w:tcW w:w="7180" w:type="dxa"/>
            <w:vAlign w:val="bottom"/>
            <w:gridSpan w:val="3"/>
          </w:tcPr>
          <w:p>
            <w:pPr>
              <w:ind w:left="1980"/>
              <w:spacing w:after="0"/>
              <w:rPr>
                <w:sz w:val="20"/>
                <w:szCs w:val="20"/>
                <w:color w:val="auto"/>
              </w:rPr>
            </w:pPr>
            <w:r>
              <w:rPr>
                <w:rFonts w:ascii="Times New Roman" w:cs="Times New Roman" w:eastAsia="Times New Roman" w:hAnsi="Times New Roman"/>
                <w:sz w:val="10"/>
                <w:szCs w:val="10"/>
                <w:color w:val="auto"/>
                <w:w w:val="98"/>
              </w:rPr>
              <w:t>You should carefully read and consider the information set forth under “Risk Factors,” together with all of the other information set</w:t>
            </w:r>
          </w:p>
        </w:tc>
        <w:tc>
          <w:tcPr>
            <w:tcW w:w="0" w:type="dxa"/>
            <w:vAlign w:val="bottom"/>
          </w:tcPr>
          <w:p>
            <w:pPr>
              <w:spacing w:after="0"/>
              <w:rPr>
                <w:sz w:val="1"/>
                <w:szCs w:val="1"/>
                <w:color w:val="auto"/>
              </w:rPr>
            </w:pPr>
          </w:p>
        </w:tc>
      </w:tr>
      <w:tr>
        <w:trPr>
          <w:trHeight w:val="65"/>
        </w:trPr>
        <w:tc>
          <w:tcPr>
            <w:tcW w:w="3400" w:type="dxa"/>
            <w:vAlign w:val="bottom"/>
            <w:vMerge w:val="continue"/>
          </w:tcPr>
          <w:p>
            <w:pPr>
              <w:spacing w:after="0"/>
              <w:rPr>
                <w:sz w:val="5"/>
                <w:szCs w:val="5"/>
                <w:color w:val="auto"/>
              </w:rPr>
            </w:pPr>
          </w:p>
        </w:tc>
        <w:tc>
          <w:tcPr>
            <w:tcW w:w="6080" w:type="dxa"/>
            <w:vAlign w:val="bottom"/>
            <w:vMerge w:val="restart"/>
          </w:tcPr>
          <w:p>
            <w:pPr>
              <w:ind w:left="1980"/>
              <w:spacing w:after="0"/>
              <w:rPr>
                <w:sz w:val="20"/>
                <w:szCs w:val="20"/>
                <w:color w:val="auto"/>
              </w:rPr>
            </w:pPr>
            <w:r>
              <w:rPr>
                <w:rFonts w:ascii="Times New Roman" w:cs="Times New Roman" w:eastAsia="Times New Roman" w:hAnsi="Times New Roman"/>
                <w:sz w:val="10"/>
                <w:szCs w:val="10"/>
                <w:color w:val="auto"/>
              </w:rPr>
              <w:t>forth in this prospectus, before deciding to invest in our Ordinary Shares.</w:t>
            </w: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400" w:type="dxa"/>
            <w:vAlign w:val="bottom"/>
          </w:tcPr>
          <w:p>
            <w:pPr>
              <w:spacing w:after="0"/>
              <w:rPr>
                <w:sz w:val="5"/>
                <w:szCs w:val="5"/>
                <w:color w:val="auto"/>
              </w:rPr>
            </w:pPr>
          </w:p>
        </w:tc>
        <w:tc>
          <w:tcPr>
            <w:tcW w:w="60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Nasdaq symbol for Ordinary Shares</w:t>
            </w:r>
          </w:p>
        </w:tc>
        <w:tc>
          <w:tcPr>
            <w:tcW w:w="608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“RZLV.”</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Nasdaq symbol for our warrants</w:t>
            </w:r>
          </w:p>
        </w:tc>
        <w:tc>
          <w:tcPr>
            <w:tcW w:w="6080" w:type="dxa"/>
            <w:vAlign w:val="bottom"/>
          </w:tcPr>
          <w:p>
            <w:pPr>
              <w:ind w:left="1980"/>
              <w:spacing w:after="0"/>
              <w:rPr>
                <w:sz w:val="20"/>
                <w:szCs w:val="20"/>
                <w:color w:val="auto"/>
              </w:rPr>
            </w:pPr>
            <w:r>
              <w:rPr>
                <w:rFonts w:ascii="Times New Roman" w:cs="Times New Roman" w:eastAsia="Times New Roman" w:hAnsi="Times New Roman"/>
                <w:sz w:val="10"/>
                <w:szCs w:val="10"/>
                <w:color w:val="auto"/>
              </w:rPr>
              <w:t>“RZLVW.”</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Except as otherwise indicated, the number of Ordinary Shares to be outstanding immediately after this offering is based on the number of Ordinary Shares outstanding as of December [x], 2024 and excludes: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Unless otherwise indicated, all information in this prospectus assumes no exercise of the outstanding options or warrants described above, no sale of any Pre-Funded Warrants in this offering and no exercise of the Offering Warrants.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048" w:right="66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95" w:lineRule="exact"/>
        <w:rPr>
          <w:sz w:val="20"/>
          <w:szCs w:val="20"/>
          <w:color w:val="auto"/>
        </w:rPr>
      </w:pPr>
    </w:p>
    <w:p>
      <w:pPr>
        <w:ind w:right="100" w:firstLine="480"/>
        <w:spacing w:after="0" w:line="243" w:lineRule="auto"/>
        <w:rPr>
          <w:sz w:val="20"/>
          <w:szCs w:val="20"/>
          <w:color w:val="auto"/>
        </w:rPr>
      </w:pPr>
      <w:r>
        <w:rPr>
          <w:rFonts w:ascii="Times New Roman" w:cs="Times New Roman" w:eastAsia="Times New Roman" w:hAnsi="Times New Roman"/>
          <w:sz w:val="10"/>
          <w:szCs w:val="10"/>
          <w:i w:val="1"/>
          <w:iCs w:val="1"/>
          <w:color w:val="auto"/>
        </w:rPr>
        <w:t>An investment our securities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our securities. If any of the following risks actually occur, our business, financial condition and operating results could be materially and adversely affected. In that case, the market price of the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this Offering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an investor, you may lose all of your investment.</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Investing in our Ordinary Shares involves a high degree of risk. As an investor, you may never recoup all, or even part, of your investment and you may never realize any return on your investment. You must be prepared to lose all of your investment.</w:t>
      </w:r>
    </w:p>
    <w:p>
      <w:pPr>
        <w:spacing w:after="0" w:line="1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We expect we will need additional financing in addition to the proceeds of this offering to execute our business plan and fund operations, which additional financing may not be available on reasonable terms, or at all. Our consolidated financial statements have been prepared assuming that we will continue as a going concern.</w:t>
      </w:r>
    </w:p>
    <w:p>
      <w:pPr>
        <w:spacing w:after="0" w:line="91"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Our ability to continue as a going concern will require us to obtain additional capital to fund our operations over the twelve months from the date of this prospectus. As of December 31, 2023 and June 30, 2024, we had total assets of approximately $ million and working capital of approximately $ million. As of December 31, 2023 and June 30, 2024, our liquidity included approximately $ million of cash and cash equivalents. We intend to seek additional funds through various financing sources, including the sale of our equity and debt securities and fees through the sale of our technology.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02" w:lineRule="exact"/>
        <w:rPr>
          <w:sz w:val="20"/>
          <w:szCs w:val="20"/>
          <w:color w:val="auto"/>
        </w:rPr>
      </w:pPr>
    </w:p>
    <w:p>
      <w:pPr>
        <w:ind w:right="200" w:firstLine="705"/>
        <w:spacing w:after="0" w:line="255" w:lineRule="auto"/>
        <w:rPr>
          <w:sz w:val="20"/>
          <w:szCs w:val="20"/>
          <w:color w:val="auto"/>
        </w:rPr>
      </w:pPr>
      <w:r>
        <w:rPr>
          <w:rFonts w:ascii="Times New Roman" w:cs="Times New Roman" w:eastAsia="Times New Roman" w:hAnsi="Times New Roman"/>
          <w:sz w:val="10"/>
          <w:szCs w:val="10"/>
          <w:color w:val="auto"/>
        </w:rPr>
        <w:t>The report of our independent registered public accounting firm for the year ended December 31, 2023 states that due to our losses incurred since inception, negative cash flows from operations, and negative working capital, there is substantial doubt about our ability to continue as a going concern.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This offering is being made on a best-efforts basis and we may sell fewer than all of the securities offered hereby and may receive significantly less in net proceeds from this offering, which will provide us only limited working capital.</w:t>
      </w:r>
    </w:p>
    <w:p>
      <w:pPr>
        <w:spacing w:after="0" w:line="112" w:lineRule="exact"/>
        <w:rPr>
          <w:sz w:val="20"/>
          <w:szCs w:val="20"/>
          <w:color w:val="auto"/>
        </w:rPr>
      </w:pPr>
    </w:p>
    <w:p>
      <w:pPr>
        <w:ind w:firstLine="705"/>
        <w:spacing w:after="0" w:line="273" w:lineRule="auto"/>
        <w:rPr>
          <w:sz w:val="20"/>
          <w:szCs w:val="20"/>
          <w:color w:val="auto"/>
        </w:rPr>
      </w:pPr>
      <w:r>
        <w:rPr>
          <w:rFonts w:ascii="Times New Roman" w:cs="Times New Roman" w:eastAsia="Times New Roman" w:hAnsi="Times New Roman"/>
          <w:sz w:val="9"/>
          <w:szCs w:val="9"/>
          <w:color w:val="auto"/>
        </w:rPr>
        <w:t>This offering is being made on a best-efforts basis and we may sell fewer than all of the securities offered hereby and may receive significantly less in net proceeds from this offering. Assuming that we receive net proceeds of approximately $ million from this offering (assuming an offering with gross proceeds of $ million), we believe that the net proceeds from this offering, together with our existing cash and cash equivalents, will meet our capital needs until under our current business plan. Assuming that we receive net proceeds of approximately $ million from this offering (assuming an offering with gross proceeds of $ million), we believe that the net proceeds from this offering, together with our existing cash and cash equivalents, will satisfy our capital needs until under our current business plan. Assuming that we receive net proceeds of approximately $ million from this offering (assuming an offering with gross proceeds of $ million), we believe that the net proceeds from this offering, together with our existing cash and cash equivalents, will satisfy our capital needs until under our current business plan. Without giving effect to the receipt of any proceeds from this offering, we currently estimate that our existing cash and cash equivalents are sufficient to fund business operations into .</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the public offering price of our securities offered hereby is substantially higher than the net tangible book value per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of our outstanding Ordinary Shares following this offering, new investors will experience immediate and substantial</w:t>
      </w:r>
    </w:p>
    <w:p>
      <w:pPr>
        <w:spacing w:after="0"/>
        <w:rPr>
          <w:sz w:val="20"/>
          <w:szCs w:val="20"/>
          <w:color w:val="auto"/>
        </w:rPr>
      </w:pPr>
      <w:r>
        <w:rPr>
          <w:rFonts w:ascii="Times New Roman" w:cs="Times New Roman" w:eastAsia="Times New Roman" w:hAnsi="Times New Roman"/>
          <w:sz w:val="10"/>
          <w:szCs w:val="10"/>
          <w:b w:val="1"/>
          <w:bCs w:val="1"/>
          <w:i w:val="1"/>
          <w:iCs w:val="1"/>
          <w:color w:val="auto"/>
        </w:rPr>
        <w:t>dilution.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Because the public offering price of our securities offered hereby is substantially higher than the net tangible book value per</w:t>
      </w:r>
    </w:p>
    <w:p>
      <w:pPr>
        <w:spacing w:after="0" w:line="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0"/>
          <w:szCs w:val="10"/>
          <w:color w:val="auto"/>
        </w:rPr>
        <w:t>share of our outstanding Ordinary Shares following this offering, you will suffer substantial dilution in the net tangible book value of the securities offered hereby. See “Dilution” for a more detailed discussion of the dilution you will incur if you purchase our securities in this offering.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we will have broad discretion and flexibility in how the net proceeds from this offering are used, we may use the net proceeds in ways in which you disagree</w:t>
      </w:r>
      <w:r>
        <w:rPr>
          <w:rFonts w:ascii="Times New Roman" w:cs="Times New Roman" w:eastAsia="Times New Roman" w:hAnsi="Times New Roman"/>
          <w:sz w:val="10"/>
          <w:szCs w:val="10"/>
          <w:color w:val="auto"/>
        </w:rPr>
        <w:t>.</w:t>
      </w:r>
    </w:p>
    <w:p>
      <w:pPr>
        <w:spacing w:after="0" w:line="112" w:lineRule="exact"/>
        <w:rPr>
          <w:sz w:val="20"/>
          <w:szCs w:val="20"/>
          <w:color w:val="auto"/>
        </w:rPr>
      </w:pPr>
    </w:p>
    <w:p>
      <w:pPr>
        <w:ind w:right="80" w:firstLine="705"/>
        <w:spacing w:after="0" w:line="241" w:lineRule="auto"/>
        <w:rPr>
          <w:sz w:val="20"/>
          <w:szCs w:val="20"/>
          <w:color w:val="auto"/>
        </w:rPr>
      </w:pPr>
      <w:r>
        <w:rPr>
          <w:rFonts w:ascii="Times New Roman" w:cs="Times New Roman" w:eastAsia="Times New Roman" w:hAnsi="Times New Roman"/>
          <w:sz w:val="10"/>
          <w:szCs w:val="10"/>
          <w:color w:val="auto"/>
        </w:rPr>
        <w:t>We intend to use the net proceeds from this offering for working capital and general corporate purposes. See “Use of Proceeds” for additional information.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is no public market for the Offering Warrants or Pre-Funded Warrants being offered by us in this offering.</w:t>
      </w:r>
    </w:p>
    <w:p>
      <w:pPr>
        <w:spacing w:after="0" w:line="112" w:lineRule="exact"/>
        <w:rPr>
          <w:sz w:val="20"/>
          <w:szCs w:val="20"/>
          <w:color w:val="auto"/>
        </w:rPr>
      </w:pPr>
    </w:p>
    <w:p>
      <w:pPr>
        <w:ind w:right="14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public trading market for the Offering Warrants or the Pre-Funded Warrants, and we do not expect a market to develop. In addition, we do not intend to apply to list the Offering Warrants or Pre-Funded Warrants on any national securities exchange or other nationally recognized trading system. Without an active market, the liquidity of the Offering Warrants and Pre-Funded warrants will be limited.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Offering Warrants and Pre-Funded Warrants in this offering are speculative in nature.</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The Offering Warrants and Pre-Funded Warrants offered hereby do not confer any rights of share of common stock ownership on their holders, such as voting rights, but rather merely represent the right to acquire shares of common stock at a fixed price.</w:t>
      </w:r>
    </w:p>
    <w:p>
      <w:pPr>
        <w:spacing w:after="0" w:line="19" w:lineRule="exact"/>
        <w:rPr>
          <w:sz w:val="20"/>
          <w:szCs w:val="20"/>
          <w:color w:val="auto"/>
        </w:rPr>
      </w:pPr>
    </w:p>
    <w:p>
      <w:pPr>
        <w:jc w:val="both"/>
        <w:ind w:right="80"/>
        <w:spacing w:after="0" w:line="236" w:lineRule="auto"/>
        <w:rPr>
          <w:sz w:val="20"/>
          <w:szCs w:val="20"/>
          <w:color w:val="auto"/>
        </w:rPr>
      </w:pPr>
      <w:r>
        <w:rPr>
          <w:rFonts w:ascii="Times New Roman" w:cs="Times New Roman" w:eastAsia="Times New Roman" w:hAnsi="Times New Roman"/>
          <w:sz w:val="10"/>
          <w:szCs w:val="10"/>
          <w:color w:val="auto"/>
        </w:rPr>
        <w:t>Specifically, commencing on the date of issuance, holders of the Offering Warrants may acquire the Ordinary Shares issuable upon exercise of such warrants at an exercise price of $ per Ordinary Share, and holders of the Pre- Funded Warrants may acquire the shares of common stock issuable upon exercise of such warrants at an exercise price of $0.0001 per Ordinary Share. Moreover, following this offering, the market value of the Offering Warrants and Pre-Funded Warrants is uncertain and there can be no assurance that the market value of the Offering Warrants or Pre- Funded Warrants will equal or exceed their respective public offering prices. There can be no assurance that the market price of the Ordinary Shares will ever equal or exceed the exercise price of the Offering Warrants or Pre-Funded Warrants, and consequently, whether it will ever be profitable for holders of Offering Warrants to exercise the Offering Warrants or for holders of the Pre-Funded Warrants to exercise the Pre-Funded Warrants.</w:t>
      </w:r>
    </w:p>
    <w:p>
      <w:pPr>
        <w:spacing w:after="0" w:line="9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Holders of the Offering Warrants and Pre-Funded Warrants offered hereby will have no rights as public shareholders with respect to the Ordinary Shares underlying the Offering Warrants and Pre-Funded Warrants until such holders exercise their warrants and acquire our shares, except as otherwise provided in the Offering Warrants and Pre-Funded Warrants.</w:t>
      </w:r>
    </w:p>
    <w:p>
      <w:pPr>
        <w:spacing w:after="0" w:line="91" w:lineRule="exact"/>
        <w:rPr>
          <w:sz w:val="20"/>
          <w:szCs w:val="20"/>
          <w:color w:val="auto"/>
        </w:rPr>
      </w:pPr>
    </w:p>
    <w:p>
      <w:pPr>
        <w:ind w:right="200" w:firstLine="705"/>
        <w:spacing w:after="0" w:line="245" w:lineRule="auto"/>
        <w:rPr>
          <w:sz w:val="20"/>
          <w:szCs w:val="20"/>
          <w:color w:val="auto"/>
        </w:rPr>
      </w:pPr>
      <w:r>
        <w:rPr>
          <w:rFonts w:ascii="Times New Roman" w:cs="Times New Roman" w:eastAsia="Times New Roman" w:hAnsi="Times New Roman"/>
          <w:sz w:val="10"/>
          <w:szCs w:val="10"/>
          <w:color w:val="auto"/>
        </w:rPr>
        <w:t>Until holders of the Offering Warrants and the pre-funded warrants acquire shares of our common stock upon exercise thereof, except as set forth in the Offering Warrants and pre-funded warrants, such holders will have no rights with respect to the shares of our common stock underlying such warrants. Upon exercise of the Offering Warrants and the pre-funded warrants, the holders will be entitled to exercise the rights of a common stockholder only as to matters for which the record date occurs after the exercise date.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This is a best-efforts offering, with no minimum number of securities required to be sold, and we may not raise the amount of capital we believe is required for our business plans, including our near-term business plans.</w:t>
      </w:r>
    </w:p>
    <w:p>
      <w:pPr>
        <w:spacing w:after="0" w:line="112"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 Thus, we may not raise the amount of capital we believe is required for our operations in the short-term and may need to raise additional funds, which may not be available or available on terms acceptable to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Our Business and Industry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8" w:name="page19"/>
    <w:bookmarkEnd w:id="18"/>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also fail to attract new partners and retain existing partners as a result of a number of other factors, including</w:t>
      </w:r>
    </w:p>
    <w:p>
      <w:pPr>
        <w:spacing w:after="0" w:line="58" w:lineRule="exact"/>
        <w:rPr>
          <w:sz w:val="20"/>
          <w:szCs w:val="20"/>
          <w:color w:val="auto"/>
        </w:rPr>
      </w:pPr>
    </w:p>
    <w:p>
      <w:pPr>
        <w:ind w:left="480" w:right="620"/>
        <w:spacing w:after="0" w:line="360" w:lineRule="auto"/>
        <w:rPr>
          <w:sz w:val="20"/>
          <w:szCs w:val="20"/>
          <w:color w:val="auto"/>
        </w:rPr>
      </w:pPr>
      <w:r>
        <w:rPr>
          <w:rFonts w:ascii="Times New Roman" w:cs="Times New Roman" w:eastAsia="Times New Roman" w:hAnsi="Times New Roman"/>
          <w:sz w:val="10"/>
          <w:szCs w:val="10"/>
          <w:color w:val="auto"/>
        </w:rPr>
        <w:t>•competitive factors affecting the software as a service, or SaaS, business software applications market, including the introduction of competing platforms, discount pricing and other strategies that may be implemented by Rezolve’s competitors; •Rezolve’s ability to execute on Rezolve’s growth strategy and operating plans;</w:t>
      </w:r>
    </w:p>
    <w:p>
      <w:pPr>
        <w:ind w:left="480"/>
        <w:spacing w:after="0"/>
        <w:rPr>
          <w:sz w:val="20"/>
          <w:szCs w:val="20"/>
          <w:color w:val="auto"/>
        </w:rPr>
      </w:pPr>
      <w:r>
        <w:rPr>
          <w:rFonts w:ascii="Times New Roman" w:cs="Times New Roman" w:eastAsia="Times New Roman" w:hAnsi="Times New Roman"/>
          <w:sz w:val="10"/>
          <w:szCs w:val="10"/>
          <w:color w:val="auto"/>
        </w:rPr>
        <w:t>•a decline in Rezolve’s partners’ level of satisfaction with Rezolve’s platform and usage of Rezolve’s platform;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Rezolve’s relationships with third parties, including Rezolve’s partners, app developers, theme designers, referral sources and payment processors;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timeliness and success of Rezolve’s solutions;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frequency and severity of any system outages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•technological change; and</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an early-stage company with a history of financial losses and expects to incur significant expenses and continuing losses for the foreseeable future.</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 -term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19" w:name="page20"/>
    <w:bookmarkEnd w:id="19"/>
    <w:p>
      <w:pPr>
        <w:spacing w:after="0" w:line="241" w:lineRule="auto"/>
        <w:rPr>
          <w:sz w:val="20"/>
          <w:szCs w:val="20"/>
          <w:color w:val="auto"/>
        </w:rPr>
      </w:pPr>
      <w:r>
        <w:rPr>
          <w:rFonts w:ascii="Times New Roman" w:cs="Times New Roman" w:eastAsia="Times New Roman" w:hAnsi="Times New Roman"/>
          <w:sz w:val="10"/>
          <w:szCs w:val="10"/>
          <w:color w:val="auto"/>
        </w:rPr>
        <w:t>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08"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growth depends in part on the success of its strategic relationships with third parties.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anticipates that the growth of its business will continue to depend on third -party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16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39"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0" w:name="page21"/>
    <w:bookmarkEnd w:id="20"/>
    <w:p>
      <w:pPr>
        <w:spacing w:after="0" w:line="277" w:lineRule="auto"/>
        <w:rPr>
          <w:sz w:val="20"/>
          <w:szCs w:val="20"/>
          <w:color w:val="auto"/>
        </w:rPr>
      </w:pPr>
      <w:r>
        <w:rPr>
          <w:rFonts w:ascii="Times New Roman" w:cs="Times New Roman" w:eastAsia="Times New Roman" w:hAnsi="Times New Roman"/>
          <w:sz w:val="9"/>
          <w:szCs w:val="9"/>
          <w:color w:val="auto"/>
        </w:rPr>
        <w:t>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 -19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could be harmed if it fails to manage its growth effectively.</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08"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16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The projected financial and operating information appearing elsewhere in this proxy statement/prospectus reflect current management estimates of future performance. Whether actual operating and financial results and business developments will be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color w:val="auto"/>
        </w:rPr>
        <w:t>consistent with Rezolve’s expectations and assumptions as reflected in its forecasts depends on a number of factors, many of which are outside Rezolve’s control, including, but not limited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existing and new market business development;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new software development activity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•competition, including from established and future competitors;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manage its growth;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•whether Rezolve can manage relationships with business partners and key customers;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retain existing key management, integrate recent hires and attract, retain and motivate qualified personnel;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overall strength and stability of domestic and international economies.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 result of Rezolve’s business model, it may not be able to accurately assess its financial position and results of operations.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is susceptible to risks associated with international sales and the use of its platform in various countries.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international sales and the use of its platform in various countries subject Rezolve to risks that include, but are not limited to:</w:t>
      </w:r>
    </w:p>
    <w:p>
      <w:pPr>
        <w:spacing w:after="0" w:line="58" w:lineRule="exact"/>
        <w:rPr>
          <w:sz w:val="20"/>
          <w:szCs w:val="20"/>
          <w:color w:val="auto"/>
        </w:rPr>
      </w:pPr>
    </w:p>
    <w:p>
      <w:pPr>
        <w:ind w:left="480" w:right="2080"/>
        <w:spacing w:after="0" w:line="380" w:lineRule="auto"/>
        <w:rPr>
          <w:sz w:val="20"/>
          <w:szCs w:val="20"/>
          <w:color w:val="auto"/>
        </w:rPr>
      </w:pPr>
      <w:r>
        <w:rPr>
          <w:rFonts w:ascii="Times New Roman" w:cs="Times New Roman" w:eastAsia="Times New Roman" w:hAnsi="Times New Roman"/>
          <w:sz w:val="10"/>
          <w:szCs w:val="10"/>
          <w:color w:val="auto"/>
        </w:rPr>
        <w:t>•lack of familiarity and burdens and complexity involved with complying with multiple, conflicting and changing foreign laws, standards, regulatory requirements, tariffs, export controls and other barriers; •difficulties in ensuring compliance with countries’ multiple, conflicting and changing international trade, customs and sanctions laws;</w:t>
      </w:r>
    </w:p>
    <w:p>
      <w:pPr>
        <w:spacing w:after="0" w:line="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095" w:right="700" w:bottom="1440" w:gutter="0" w:footer="0" w:header="0"/>
        </w:sectPr>
      </w:pPr>
    </w:p>
    <w:bookmarkStart w:id="22" w:name="page23"/>
    <w:bookmarkEnd w:id="22"/>
    <w:p>
      <w:pPr>
        <w:ind w:left="480"/>
        <w:spacing w:after="0"/>
        <w:rPr>
          <w:sz w:val="20"/>
          <w:szCs w:val="20"/>
          <w:color w:val="auto"/>
        </w:rPr>
      </w:pPr>
      <w:r>
        <w:rPr>
          <w:rFonts w:ascii="Times New Roman" w:cs="Times New Roman" w:eastAsia="Times New Roman" w:hAnsi="Times New Roman"/>
          <w:sz w:val="9"/>
          <w:szCs w:val="9"/>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•difficulties in managing systems integrators and technology partners;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•differing technology standards;</w:t>
      </w:r>
    </w:p>
    <w:p>
      <w:pPr>
        <w:spacing w:after="0" w:line="58" w:lineRule="exact"/>
        <w:rPr>
          <w:sz w:val="20"/>
          <w:szCs w:val="20"/>
          <w:color w:val="auto"/>
        </w:rPr>
      </w:pPr>
    </w:p>
    <w:p>
      <w:pPr>
        <w:ind w:left="480" w:right="3800"/>
        <w:spacing w:after="0" w:line="360" w:lineRule="auto"/>
        <w:rPr>
          <w:sz w:val="20"/>
          <w:szCs w:val="20"/>
          <w:color w:val="auto"/>
        </w:rPr>
      </w:pPr>
      <w:r>
        <w:rPr>
          <w:rFonts w:ascii="Times New Roman" w:cs="Times New Roman" w:eastAsia="Times New Roman" w:hAnsi="Times New Roman"/>
          <w:sz w:val="10"/>
          <w:szCs w:val="10"/>
          <w:color w:val="auto"/>
        </w:rPr>
        <w:t>•potentially adverse tax consequences, including the complexities of foreign value added tax (or other tax) systems and restrictions on the repatriation of earnings; •greater difficulty in enforcing contracts, including Rezolve’s universal terms of service and other agreements;</w:t>
      </w:r>
    </w:p>
    <w:p>
      <w:pPr>
        <w:ind w:left="480"/>
        <w:spacing w:after="0" w:line="255" w:lineRule="auto"/>
        <w:rPr>
          <w:sz w:val="20"/>
          <w:szCs w:val="20"/>
          <w:color w:val="auto"/>
        </w:rPr>
      </w:pPr>
      <w:r>
        <w:rPr>
          <w:rFonts w:ascii="Times New Roman" w:cs="Times New Roman" w:eastAsia="Times New Roman" w:hAnsi="Times New Roman"/>
          <w:sz w:val="10"/>
          <w:szCs w:val="10"/>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•currency exchange rates;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•reduced or uncertain protection for intellectual property rights in some countries;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•new and different sources of competition.</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5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39"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1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Exchange rate fluctuations may negatively affect Rezolve’s results of operations.</w:t>
      </w:r>
    </w:p>
    <w:p>
      <w:pPr>
        <w:spacing w:after="0" w:line="60"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operating results are expected to be subject to seasonal fluctuations.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color w:val="auto"/>
        </w:rPr>
        <w:t>solutions offerings, Rezolve cannot guarantee that its business will not become more seasonal in the future, and historical patterns in its business may not be a reliable indicator of Rezolve’s future sales activity or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01" w:lineRule="exact"/>
        <w:rPr>
          <w:sz w:val="20"/>
          <w:szCs w:val="20"/>
          <w:color w:val="auto"/>
        </w:rPr>
      </w:pPr>
    </w:p>
    <w:p>
      <w:pPr>
        <w:ind w:right="240" w:firstLine="480"/>
        <w:spacing w:after="0" w:line="239" w:lineRule="auto"/>
        <w:rPr>
          <w:sz w:val="20"/>
          <w:szCs w:val="20"/>
          <w:color w:val="auto"/>
        </w:rPr>
      </w:pPr>
      <w:r>
        <w:rPr>
          <w:rFonts w:ascii="Times New Roman" w:cs="Times New Roman" w:eastAsia="Times New Roman" w:hAnsi="Times New Roman"/>
          <w:sz w:val="10"/>
          <w:szCs w:val="10"/>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not be able to compete successfully against current and future competitors.</w:t>
      </w:r>
    </w:p>
    <w:p>
      <w:pPr>
        <w:spacing w:after="0" w:line="60"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become subject to a number of risks related to payments processed through Instant Buy, including: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payment of interchange and other fees, which may increase Rezolve’s operating expenses;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•if Rezolve is unable to maintain its chargeback rate at acceptable levels, its credit card fees may increase or credit card issuers may terminate their relationship with Rezolve; •increased costs and diversion of management time and effort and other resources to deal with fraudulent transactions or chargeback disputes; •potential fraudulent or otherwise illegal activity by merchants, their customers, developers, employees or third parties;</w:t>
      </w:r>
    </w:p>
    <w:p>
      <w:pPr>
        <w:ind w:left="480"/>
        <w:spacing w:after="0"/>
        <w:rPr>
          <w:sz w:val="20"/>
          <w:szCs w:val="20"/>
          <w:color w:val="auto"/>
        </w:rPr>
      </w:pPr>
      <w:r>
        <w:rPr>
          <w:rFonts w:ascii="Times New Roman" w:cs="Times New Roman" w:eastAsia="Times New Roman" w:hAnsi="Times New Roman"/>
          <w:sz w:val="10"/>
          <w:szCs w:val="10"/>
          <w:color w:val="auto"/>
        </w:rPr>
        <w:t>•restrictions on funds or required reserves related to payments;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•additional disclosure and other requirements, including new reporting regulations and new credit card association rules.</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4" w:name="page25"/>
    <w:bookmarkEnd w:id="24"/>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3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•diversion of management time and focus from operating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•use of resources that are needed in other areas of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implementation or remediation of controls, procedures and policies of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difficulty integrating the accounting systems and operations of the acquired company, including potential risks to Rezolve’s corporate culture;</w:t>
      </w:r>
    </w:p>
    <w:p>
      <w:pPr>
        <w:spacing w:after="0" w:line="58" w:lineRule="exact"/>
        <w:rPr>
          <w:sz w:val="20"/>
          <w:szCs w:val="20"/>
          <w:color w:val="auto"/>
        </w:rPr>
      </w:pPr>
    </w:p>
    <w:p>
      <w:pPr>
        <w:ind w:left="480" w:right="80"/>
        <w:spacing w:after="0" w:line="255" w:lineRule="auto"/>
        <w:rPr>
          <w:sz w:val="20"/>
          <w:szCs w:val="20"/>
          <w:color w:val="auto"/>
        </w:rPr>
      </w:pPr>
      <w:r>
        <w:rPr>
          <w:rFonts w:ascii="Times New Roman" w:cs="Times New Roman" w:eastAsia="Times New Roman" w:hAnsi="Times New Roman"/>
          <w:sz w:val="10"/>
          <w:szCs w:val="10"/>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retention and integration of employees from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•unforeseen costs or liabilities;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•adverse effects to Rezolve’s existing business relationships with partners and merchants as a result of the acquisition or investment;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possibility of adverse tax consequences;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•litigation or other claims arising in connection with the acquired company or investment;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 significant portion of the purchase price of companies that Rezolve acquires may be allocated to acquired goodwill and other intangible assets, which must be assessed for impairment on at least an annual basis. In the future, if Rezolve’s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acquisitions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color w:val="auto"/>
        </w:rPr>
        <w:t>do not yield expected returns, Rezolve may be required to take charges to its operating results based on this impairment assessment process, which could adversely affect Rezolve’s results of operations.</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the availability of Rezolve’s platform does not meet its service-level commitments to customers, Rezolve’s current and future revenues may be negatively impacted.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6" w:name="page27"/>
    <w:bookmarkEnd w:id="26"/>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 typically commits to its customers that its platform will maintain a minimum service -level of availability. If Rezolve is unable to meet these commitments, Rezolve may be obligated to provide customers with additional capacity, which could significantly affect its revenues. Further, any failure to meet its service -level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intend to pay dividends for the foreseeable future.</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16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39"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 regional or global health pandemic, including the global COVID-19 pandemic, may adversely impact Rezolve’s business, results of operations and financial performance.</w:t>
      </w:r>
    </w:p>
    <w:p>
      <w:pPr>
        <w:spacing w:after="0" w:line="60"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 regional or global health pandemic, depending upon its duration and severity, could have a material adverse effect on our business. For example, in March 2020, the World Health Organization characterized COVID -19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8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0"/>
          <w:szCs w:val="10"/>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7" w:name="page28"/>
    <w:bookmarkEnd w:id="27"/>
    <w:p>
      <w:pPr>
        <w:ind w:firstLine="480"/>
        <w:spacing w:after="0" w:line="255" w:lineRule="auto"/>
        <w:rPr>
          <w:sz w:val="20"/>
          <w:szCs w:val="20"/>
          <w:color w:val="auto"/>
        </w:rPr>
      </w:pPr>
      <w:r>
        <w:rPr>
          <w:rFonts w:ascii="Times New Roman" w:cs="Times New Roman" w:eastAsia="Times New Roman" w:hAnsi="Times New Roman"/>
          <w:sz w:val="10"/>
          <w:szCs w:val="10"/>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section.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is unable to hire, retain and motivate qualified personnel, its business will be adversely affected.</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expects to be dependent upon consumers’ and merchants’ willingness to use the internet and internet-enabled mobile devices for commerce.</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Software, Platform, and Security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60"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9"/>
          <w:szCs w:val="9"/>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color w:val="auto"/>
        </w:rPr>
        <w:t>vulnerabilities or bugs to all of its merchants simultaneously, the consequences would be more severe than if such versions or enhancements were only deployed to a smaller number of its merchants.</w:t>
      </w:r>
    </w:p>
    <w:p>
      <w:pPr>
        <w:spacing w:after="0" w:line="11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Rezolve’s platform and systems may be subject to distributed denial-of-service (“</w:t>
      </w:r>
      <w:r>
        <w:rPr>
          <w:rFonts w:ascii="Times New Roman" w:cs="Times New Roman" w:eastAsia="Times New Roman" w:hAnsi="Times New Roman"/>
          <w:sz w:val="10"/>
          <w:szCs w:val="10"/>
          <w:b w:val="1"/>
          <w:bCs w:val="1"/>
          <w:i w:val="1"/>
          <w:iCs w:val="1"/>
          <w:color w:val="auto"/>
        </w:rPr>
        <w:t>DDoS</w:t>
      </w:r>
      <w:r>
        <w:rPr>
          <w:rFonts w:ascii="Times New Roman" w:cs="Times New Roman" w:eastAsia="Times New Roman" w:hAnsi="Times New Roman"/>
          <w:sz w:val="10"/>
          <w:szCs w:val="10"/>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 -party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1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uses a limited number of data centers to deliver its services. Any disruption of service at these facilities could harm Rezolve’s business.</w:t>
      </w:r>
    </w:p>
    <w:p>
      <w:pPr>
        <w:spacing w:after="0" w:line="60" w:lineRule="exact"/>
        <w:rPr>
          <w:sz w:val="20"/>
          <w:szCs w:val="20"/>
          <w:color w:val="auto"/>
        </w:rPr>
      </w:pPr>
    </w:p>
    <w:p>
      <w:pPr>
        <w:ind w:right="60" w:firstLine="480"/>
        <w:spacing w:after="0" w:line="277" w:lineRule="auto"/>
        <w:rPr>
          <w:sz w:val="20"/>
          <w:szCs w:val="20"/>
          <w:color w:val="auto"/>
        </w:rPr>
      </w:pPr>
      <w:r>
        <w:rPr>
          <w:rFonts w:ascii="Times New Roman" w:cs="Times New Roman" w:eastAsia="Times New Roman" w:hAnsi="Times New Roman"/>
          <w:sz w:val="9"/>
          <w:szCs w:val="9"/>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9" w:name="page30"/>
    <w:bookmarkEnd w:id="29"/>
    <w:p>
      <w:pPr>
        <w:ind w:right="100"/>
        <w:spacing w:after="0" w:line="241" w:lineRule="auto"/>
        <w:rPr>
          <w:sz w:val="20"/>
          <w:szCs w:val="20"/>
          <w:color w:val="auto"/>
        </w:rPr>
      </w:pPr>
      <w:r>
        <w:rPr>
          <w:rFonts w:ascii="Times New Roman" w:cs="Times New Roman" w:eastAsia="Times New Roman" w:hAnsi="Times New Roman"/>
          <w:sz w:val="10"/>
          <w:szCs w:val="10"/>
          <w:color w:val="auto"/>
        </w:rPr>
        <w:t>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16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9" w:lineRule="exact"/>
        <w:rPr>
          <w:sz w:val="20"/>
          <w:szCs w:val="20"/>
          <w:color w:val="auto"/>
        </w:rPr>
      </w:pPr>
    </w:p>
    <w:p>
      <w:pPr>
        <w:ind w:right="40" w:firstLine="480"/>
        <w:spacing w:after="0" w:line="285" w:lineRule="auto"/>
        <w:rPr>
          <w:sz w:val="20"/>
          <w:szCs w:val="20"/>
          <w:color w:val="auto"/>
        </w:rPr>
      </w:pPr>
      <w:r>
        <w:rPr>
          <w:rFonts w:ascii="Times New Roman" w:cs="Times New Roman" w:eastAsia="Times New Roman" w:hAnsi="Times New Roman"/>
          <w:sz w:val="9"/>
          <w:szCs w:val="9"/>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relies on computer hardware, purchased or leased, and software licensed from and services rendered by third parties in order to provide its solutions and run its business.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does not or cannot maintain the compatibility of its platform with third-party applications that its customers use in their businesses, Rezolve’s revenues will decline.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1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39" w:lineRule="exact"/>
        <w:rPr>
          <w:sz w:val="20"/>
          <w:szCs w:val="20"/>
          <w:color w:val="auto"/>
        </w:rPr>
      </w:pPr>
    </w:p>
    <w:p>
      <w:pPr>
        <w:ind w:right="360" w:firstLine="480"/>
        <w:spacing w:after="0" w:line="245" w:lineRule="auto"/>
        <w:rPr>
          <w:sz w:val="20"/>
          <w:szCs w:val="20"/>
          <w:color w:val="auto"/>
        </w:rPr>
      </w:pPr>
      <w:r>
        <w:rPr>
          <w:rFonts w:ascii="Times New Roman" w:cs="Times New Roman" w:eastAsia="Times New Roman" w:hAnsi="Times New Roman"/>
          <w:sz w:val="10"/>
          <w:szCs w:val="10"/>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1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9"/>
          <w:szCs w:val="9"/>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0" w:name="page31"/>
    <w:bookmarkEnd w:id="30"/>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0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0"/>
          <w:szCs w:val="10"/>
          <w:b w:val="1"/>
          <w:bCs w:val="1"/>
          <w:i w:val="1"/>
          <w:iCs w:val="1"/>
          <w:color w:val="auto"/>
        </w:rPr>
        <w:t>European Data</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 xml:space="preserve">Protection Laws </w:t>
      </w:r>
      <w:r>
        <w:rPr>
          <w:rFonts w:ascii="Times New Roman" w:cs="Times New Roman" w:eastAsia="Times New Roman" w:hAnsi="Times New Roman"/>
          <w:sz w:val="10"/>
          <w:szCs w:val="10"/>
          <w:color w:val="auto"/>
        </w:rPr>
        <w:t>”). European Data Protection Laws regulate the collection, use and other processing of personal data, and impose requirements in connection with such processing that often are more restrictive than in other jurisdictions. For example, European Data</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06" w:lineRule="exact"/>
        <w:rPr>
          <w:sz w:val="20"/>
          <w:szCs w:val="20"/>
          <w:color w:val="auto"/>
        </w:rPr>
      </w:pPr>
    </w:p>
    <w:p>
      <w:pPr>
        <w:ind w:right="60" w:firstLine="480"/>
        <w:spacing w:after="0" w:line="266" w:lineRule="auto"/>
        <w:rPr>
          <w:sz w:val="20"/>
          <w:szCs w:val="20"/>
          <w:color w:val="auto"/>
        </w:rPr>
      </w:pPr>
      <w:r>
        <w:rPr>
          <w:rFonts w:ascii="Times New Roman" w:cs="Times New Roman" w:eastAsia="Times New Roman" w:hAnsi="Times New Roman"/>
          <w:sz w:val="9"/>
          <w:szCs w:val="9"/>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 -compliance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98"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9"/>
          <w:szCs w:val="9"/>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b w:val="1"/>
          <w:bCs w:val="1"/>
          <w:color w:val="auto"/>
        </w:rPr>
        <w:t>Risks related to Rezolve’s Brand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brand is important to its success. If Rezolve fails to effectively maintain, promote and enhance Rezolve’s brand, Rezolve’s business and competitive advantage may be harmed.</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Activities of merchants or the content of their shops could damage Rezolve’s brand, subject Rezolve to liability and harm its business and financial results.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maintain a consistently high level of customer service, Rezolve’s brand, business and financial results may be harmed.</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Rezolve’s Intellectual Property</w:t>
      </w:r>
    </w:p>
    <w:p>
      <w:pPr>
        <w:spacing w:after="0" w:line="5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3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32" w:name="page33"/>
    <w:bookmarkEnd w:id="32"/>
    <w:p>
      <w:pPr>
        <w:ind w:right="200"/>
        <w:spacing w:after="0" w:line="255" w:lineRule="auto"/>
        <w:rPr>
          <w:sz w:val="20"/>
          <w:szCs w:val="20"/>
          <w:color w:val="auto"/>
        </w:rPr>
      </w:pPr>
      <w:r>
        <w:rPr>
          <w:rFonts w:ascii="Times New Roman" w:cs="Times New Roman" w:eastAsia="Times New Roman" w:hAnsi="Times New Roman"/>
          <w:sz w:val="10"/>
          <w:szCs w:val="10"/>
          <w:color w:val="auto"/>
        </w:rPr>
        <w:t>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01" w:lineRule="exact"/>
        <w:rPr>
          <w:sz w:val="20"/>
          <w:szCs w:val="20"/>
          <w:color w:val="auto"/>
        </w:rPr>
      </w:pPr>
    </w:p>
    <w:p>
      <w:pPr>
        <w:ind w:right="100" w:firstLine="480"/>
        <w:spacing w:after="0" w:line="238" w:lineRule="auto"/>
        <w:rPr>
          <w:sz w:val="20"/>
          <w:szCs w:val="20"/>
          <w:color w:val="auto"/>
        </w:rPr>
      </w:pPr>
      <w:r>
        <w:rPr>
          <w:rFonts w:ascii="Times New Roman" w:cs="Times New Roman" w:eastAsia="Times New Roman" w:hAnsi="Times New Roman"/>
          <w:sz w:val="10"/>
          <w:szCs w:val="10"/>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0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be subject to claims by third parties of intellectual property infringement.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10"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3" w:name="page34"/>
    <w:bookmarkEnd w:id="33"/>
    <w:p>
      <w:pPr>
        <w:ind w:right="120"/>
        <w:spacing w:after="0" w:line="273" w:lineRule="auto"/>
        <w:rPr>
          <w:sz w:val="20"/>
          <w:szCs w:val="20"/>
          <w:color w:val="auto"/>
        </w:rPr>
      </w:pPr>
      <w:r>
        <w:rPr>
          <w:rFonts w:ascii="Times New Roman" w:cs="Times New Roman" w:eastAsia="Times New Roman" w:hAnsi="Times New Roman"/>
          <w:sz w:val="9"/>
          <w:szCs w:val="9"/>
          <w:color w:val="auto"/>
        </w:rPr>
        <w:t>patent or other intellectual property claims, Rezolve could be required to pay substantial damages, develop non-infringing technology, enter into royalty- 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use of “open source” software could negatively affect its ability to sell its solutions and subject Rezolve to possible litigation.</w:t>
      </w:r>
    </w:p>
    <w:p>
      <w:pPr>
        <w:spacing w:after="0" w:line="60"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9"/>
          <w:szCs w:val="9"/>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9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01"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Although Rezolve believes that it has complied with its obligations under the various applicable licenses for open source software, it is possible that Rezolve may not be aware of all instances where open- 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Legal and Regulatory Compliance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60"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34" w:name="page35"/>
    <w:bookmarkEnd w:id="34"/>
    <w:p>
      <w:pPr>
        <w:ind w:right="80"/>
        <w:spacing w:after="0" w:line="237" w:lineRule="auto"/>
        <w:rPr>
          <w:sz w:val="20"/>
          <w:szCs w:val="20"/>
          <w:color w:val="auto"/>
        </w:rPr>
      </w:pPr>
      <w:r>
        <w:rPr>
          <w:rFonts w:ascii="Times New Roman" w:cs="Times New Roman" w:eastAsia="Times New Roman" w:hAnsi="Times New Roman"/>
          <w:sz w:val="10"/>
          <w:szCs w:val="10"/>
          <w:color w:val="auto"/>
        </w:rPr>
        <w:t>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39"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08" w:lineRule="exact"/>
        <w:rPr>
          <w:sz w:val="20"/>
          <w:szCs w:val="20"/>
          <w:color w:val="auto"/>
        </w:rPr>
      </w:pPr>
    </w:p>
    <w:p>
      <w:pPr>
        <w:jc w:val="both"/>
        <w:ind w:right="40" w:firstLine="480"/>
        <w:spacing w:after="0" w:line="255" w:lineRule="auto"/>
        <w:rPr>
          <w:sz w:val="20"/>
          <w:szCs w:val="20"/>
          <w:color w:val="auto"/>
        </w:rPr>
      </w:pPr>
      <w:r>
        <w:rPr>
          <w:rFonts w:ascii="Times New Roman" w:cs="Times New Roman" w:eastAsia="Times New Roman" w:hAnsi="Times New Roman"/>
          <w:sz w:val="10"/>
          <w:szCs w:val="10"/>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01"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Enhanced trade tariffs, import restrictions, export restrictions, United States regulations or other trade barriers may materially harm Rezolve’s business.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Rezolve sources products, which could increase the prices that Rezolve pays for certain products. Furthermore, governments have, and may continue to, impose tariffs and other trade restrictions that could increase the costs of Rezolve’s offerings in certain jurisdictions.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increased cost of Rezolve’s offerings may result in Rezolve losing Channels or merchants, which, in turn, could reduce Rezolve’s sales and harm Rezolve’s business and financial condition. Rezolve’s business also may be adversely impacted by retaliatory trade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35" w:name="page36"/>
    <w:bookmarkEnd w:id="35"/>
    <w:p>
      <w:pPr>
        <w:ind w:right="80"/>
        <w:spacing w:after="0" w:line="285" w:lineRule="auto"/>
        <w:rPr>
          <w:sz w:val="20"/>
          <w:szCs w:val="20"/>
          <w:color w:val="auto"/>
        </w:rPr>
      </w:pPr>
      <w:r>
        <w:rPr>
          <w:rFonts w:ascii="Times New Roman" w:cs="Times New Roman" w:eastAsia="Times New Roman" w:hAnsi="Times New Roman"/>
          <w:sz w:val="9"/>
          <w:szCs w:val="9"/>
          <w:color w:val="auto"/>
        </w:rPr>
        <w:t>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Certain provisions of the Articles and English law could deter takeover attempts.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Ownership of Ordinary Shares and Rezolve Operating as a Public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trading price of Ordinary Shares could be volatile, and the value of Ordinary Shares may decline.</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We cannot predict the prices at which Ordinary Shares will trade. The price of Ordinary Shares may be volatile and could be subject to fluctuations in response to various factors, some of which are beyond our control. These fluctuations could cause you to lose all or part of your investment in Ordinary Shares. Factors that could cause fluctuations in the trading price of Ordinary Shares include the following: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•price and volume fluctuations in the overall stock market from time to time;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•volatility in the market prices and trading volumes of technology company stocks;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•changes in operating performance and stock market valuations of other technology companies generally, or those in Rezolve’s industry in particular; •sales of shares of Ordinary Shares by shareholders;</w:t>
      </w:r>
    </w:p>
    <w:p>
      <w:pPr>
        <w:ind w:left="480" w:right="1440"/>
        <w:spacing w:after="0" w:line="360" w:lineRule="auto"/>
        <w:rPr>
          <w:sz w:val="20"/>
          <w:szCs w:val="20"/>
          <w:color w:val="auto"/>
        </w:rPr>
      </w:pPr>
      <w:r>
        <w:rPr>
          <w:rFonts w:ascii="Times New Roman" w:cs="Times New Roman" w:eastAsia="Times New Roman" w:hAnsi="Times New Roman"/>
          <w:sz w:val="10"/>
          <w:szCs w:val="10"/>
          <w:color w:val="auto"/>
        </w:rPr>
        <w:t>•failure of securities analysts to initiate or maintain coverage of Rezolve, changes in financial estimates by securities analysts who follow Rezolve, or Rezolve’s failure to meet these estimates or the expectations of investors; •the financial projections Rezolve may provide to the public, any changes in those projections, or Rezolve’s failure to meet those projections; •announcements by Rezolve or its competitors of new offerings or contracts;</w:t>
      </w:r>
    </w:p>
    <w:p>
      <w:pPr>
        <w:ind w:left="480"/>
        <w:spacing w:after="0"/>
        <w:rPr>
          <w:sz w:val="20"/>
          <w:szCs w:val="20"/>
          <w:color w:val="auto"/>
        </w:rPr>
      </w:pPr>
      <w:r>
        <w:rPr>
          <w:rFonts w:ascii="Times New Roman" w:cs="Times New Roman" w:eastAsia="Times New Roman" w:hAnsi="Times New Roman"/>
          <w:sz w:val="10"/>
          <w:szCs w:val="10"/>
          <w:color w:val="auto"/>
        </w:rPr>
        <w:t>•the public’s reaction to Rezolve’s press releases, other public announcements, and filings with the SEC;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how customers perceive the benefits of Rezolve’s offerings and services, and future offerings;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the structure of payment systems;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•rumors and market speculation involving Rezolve or other companies in the same or similar industry;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changes in Rezolve’s results of operations or fluctuations in Rezolve’s results of operations;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developments in Rezolve’s business, Rezolve’s competitors’ businesses, or the competitive landscape generally;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•litigation involving Rezolve, Rezolve’s industry or both, or investigations by regulators into Rezolve’s operations or those of Rezolve’s competitors;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6" w:name="page37"/>
    <w:bookmarkEnd w:id="36"/>
    <w:p>
      <w:pPr>
        <w:ind w:left="480"/>
        <w:spacing w:after="0"/>
        <w:rPr>
          <w:sz w:val="20"/>
          <w:szCs w:val="20"/>
          <w:color w:val="auto"/>
        </w:rPr>
      </w:pPr>
      <w:r>
        <w:rPr>
          <w:rFonts w:ascii="Times New Roman" w:cs="Times New Roman" w:eastAsia="Times New Roman" w:hAnsi="Times New Roman"/>
          <w:sz w:val="10"/>
          <w:szCs w:val="10"/>
          <w:color w:val="auto"/>
        </w:rPr>
        <w:t>•developments or disputes concerning Rezolve’s intellectual property or other proprietary rights;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security breach or incident involving our offerings, services or site or data stored or processed by us or on our behalf;</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•announced or completed acquisitions of businesses, commercial relationships, offerings, services, or technologies by Rezolve or its competitors; •new laws or regulations or new interpretations of existing laws or regulations applicable to Rezolve’s business; •changes in accounting standards, policies, guidelines, interpretations, or principles;</w:t>
      </w:r>
    </w:p>
    <w:p>
      <w:pPr>
        <w:ind w:left="480" w:right="2100"/>
        <w:spacing w:after="0" w:line="360" w:lineRule="auto"/>
        <w:rPr>
          <w:sz w:val="20"/>
          <w:szCs w:val="20"/>
          <w:color w:val="auto"/>
        </w:rPr>
      </w:pPr>
      <w:r>
        <w:rPr>
          <w:rFonts w:ascii="Times New Roman" w:cs="Times New Roman" w:eastAsia="Times New Roman" w:hAnsi="Times New Roman"/>
          <w:sz w:val="10"/>
          <w:szCs w:val="10"/>
          <w:color w:val="auto"/>
        </w:rPr>
        <w:t>•any adverse consequences related to the Rezolve Founder weighted voting capital structure, such as stock index providers excluding companies with weighted voting capital structures from certain indices; •any significant change in Rezolve’s management; and</w:t>
      </w:r>
    </w:p>
    <w:p>
      <w:pPr>
        <w:ind w:left="480"/>
        <w:spacing w:after="0"/>
        <w:rPr>
          <w:sz w:val="20"/>
          <w:szCs w:val="20"/>
          <w:color w:val="auto"/>
        </w:rPr>
      </w:pPr>
      <w:r>
        <w:rPr>
          <w:rFonts w:ascii="Times New Roman" w:cs="Times New Roman" w:eastAsia="Times New Roman" w:hAnsi="Times New Roman"/>
          <w:sz w:val="10"/>
          <w:szCs w:val="10"/>
          <w:color w:val="auto"/>
        </w:rPr>
        <w:t>•general economic conditions and slow or negative growth of Rezolve’s markets and war or other hostilities.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can be no assurance that the Public Warrants will ever be in the money at the time they become exercisable or otherwise, and they may expire worthless.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exercise price for the Public Warrants is $11.50 per Ordinary Share. There is no guarantee that such Public Warrants will ever be in the money prior to their expiration, and as such, the warrants may expire worthless.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b w:val="1"/>
          <w:bCs w:val="1"/>
          <w:i w:val="1"/>
          <w:iCs w:val="1"/>
          <w:color w:val="auto"/>
        </w:rPr>
        <w:t>A market for our securities may not develop or be sustained, which would adversely affect the liquidity and price of Ordinary Shares.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price of Ordinary Shares may fluctuate significantly due to general market and economic conditions. 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Because Rezolve became a public reporting company by means of consummating the Business Combination rather than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60"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 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“foreign private issuer” and, as a result, is permitted to rely on exemptions from certain stock exchange corporate governance standards applicable to U.S. issuers. This may afford less protection to holders of Ordinary Shares.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rules under the Exchange Act requiring the filing with the SEC of quarterly reports on Form 10-Q or current reports on Form 8-K;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regulating the solicitation of proxies, consents, or authorizations in respect of a security registered under the Exchange 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requiring insiders to file public reports of their stock ownership and trading activities and liability for insiders who profit from trades made in a short period of time.</w:t>
      </w:r>
    </w:p>
    <w:p>
      <w:pPr>
        <w:spacing w:after="0" w:line="11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are required to file an annual report on Form 20- 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03" w:lineRule="exact"/>
        <w:rPr>
          <w:sz w:val="20"/>
          <w:szCs w:val="20"/>
          <w:color w:val="auto"/>
        </w:rPr>
      </w:pPr>
    </w:p>
    <w:p>
      <w:pPr>
        <w:ind w:right="380" w:firstLine="480"/>
        <w:spacing w:after="0" w:line="259" w:lineRule="auto"/>
        <w:rPr>
          <w:sz w:val="20"/>
          <w:szCs w:val="20"/>
          <w:color w:val="auto"/>
        </w:rPr>
      </w:pPr>
      <w:r>
        <w:rPr>
          <w:rFonts w:ascii="Times New Roman" w:cs="Times New Roman" w:eastAsia="Times New Roman" w:hAnsi="Times New Roman"/>
          <w:sz w:val="10"/>
          <w:szCs w:val="10"/>
          <w:color w:val="auto"/>
        </w:rPr>
        <w:t>In addition, as a foreign private issuer we are exempt from the provisions of Regulation Fair Disclosure (“</w:t>
      </w:r>
      <w:r>
        <w:rPr>
          <w:rFonts w:ascii="Times New Roman" w:cs="Times New Roman" w:eastAsia="Times New Roman" w:hAnsi="Times New Roman"/>
          <w:sz w:val="10"/>
          <w:szCs w:val="10"/>
          <w:b w:val="1"/>
          <w:bCs w:val="1"/>
          <w:i w:val="1"/>
          <w:iCs w:val="1"/>
          <w:color w:val="auto"/>
        </w:rPr>
        <w:t>Regulation FD</w:t>
      </w:r>
      <w:r>
        <w:rPr>
          <w:rFonts w:ascii="Times New Roman" w:cs="Times New Roman" w:eastAsia="Times New Roman" w:hAnsi="Times New Roman"/>
          <w:sz w:val="10"/>
          <w:szCs w:val="10"/>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99"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0"/>
          <w:szCs w:val="10"/>
          <w:i w:val="1"/>
          <w:iCs w:val="1"/>
          <w:color w:val="auto"/>
        </w:rPr>
        <w:t>Management and Compensation—Foreign Private Issuer</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may lose our foreign private issuer status in the future, which could result in significant additional cost and expense.</w:t>
      </w:r>
    </w:p>
    <w:p>
      <w:pPr>
        <w:spacing w:after="0" w:line="60" w:lineRule="exact"/>
        <w:rPr>
          <w:sz w:val="20"/>
          <w:szCs w:val="20"/>
          <w:color w:val="auto"/>
        </w:rPr>
      </w:pPr>
    </w:p>
    <w:p>
      <w:pPr>
        <w:ind w:right="300" w:firstLine="480"/>
        <w:spacing w:after="0" w:line="241" w:lineRule="auto"/>
        <w:rPr>
          <w:sz w:val="20"/>
          <w:szCs w:val="20"/>
          <w:color w:val="auto"/>
        </w:rPr>
      </w:pPr>
      <w:r>
        <w:rPr>
          <w:rFonts w:ascii="Times New Roman" w:cs="Times New Roman" w:eastAsia="Times New Roman" w:hAnsi="Times New Roman"/>
          <w:sz w:val="10"/>
          <w:szCs w:val="10"/>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39" w:name="page40"/>
    <w:bookmarkEnd w:id="39"/>
    <w:p>
      <w:pPr>
        <w:ind w:right="40"/>
        <w:spacing w:after="0" w:line="255" w:lineRule="auto"/>
        <w:rPr>
          <w:sz w:val="20"/>
          <w:szCs w:val="20"/>
          <w:color w:val="auto"/>
        </w:rPr>
      </w:pPr>
      <w:r>
        <w:rPr>
          <w:rFonts w:ascii="Times New Roman" w:cs="Times New Roman" w:eastAsia="Times New Roman" w:hAnsi="Times New Roman"/>
          <w:sz w:val="10"/>
          <w:szCs w:val="10"/>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issuance of additional Ordinary Shares in connection with financings, acquisitions, investments, our stock incentive plans, or otherwise will dilute all other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 the event that we do not satisfy the conditions for re-registration as a public limited company by January 9, 2025 we will not be able to effect such re-registration by that date which could impact on the eligibility of our shares for DTC.</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We have undertaken to re-register as a public limited company by January 9,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8" w:lineRule="exact"/>
        <w:rPr>
          <w:sz w:val="20"/>
          <w:szCs w:val="20"/>
          <w:color w:val="auto"/>
        </w:rPr>
      </w:pPr>
    </w:p>
    <w:p>
      <w:pPr>
        <w:ind w:right="40" w:firstLine="480"/>
        <w:spacing w:after="0" w:line="237" w:lineRule="auto"/>
        <w:rPr>
          <w:sz w:val="20"/>
          <w:szCs w:val="20"/>
          <w:color w:val="auto"/>
        </w:rPr>
      </w:pPr>
      <w:r>
        <w:rPr>
          <w:rFonts w:ascii="Times New Roman" w:cs="Times New Roman" w:eastAsia="Times New Roman" w:hAnsi="Times New Roman"/>
          <w:sz w:val="10"/>
          <w:szCs w:val="10"/>
          <w:color w:val="auto"/>
        </w:rPr>
        <w:t>A non-U.S. corporation generally will be classified as a controlled foreign corporation for U.S. federal income tax purposes (a “</w:t>
      </w:r>
      <w:r>
        <w:rPr>
          <w:rFonts w:ascii="Times New Roman" w:cs="Times New Roman" w:eastAsia="Times New Roman" w:hAnsi="Times New Roman"/>
          <w:sz w:val="10"/>
          <w:szCs w:val="10"/>
          <w:b w:val="1"/>
          <w:bCs w:val="1"/>
          <w:i w:val="1"/>
          <w:iCs w:val="1"/>
          <w:color w:val="auto"/>
        </w:rPr>
        <w:t>CFC</w:t>
      </w:r>
      <w:r>
        <w:rPr>
          <w:rFonts w:ascii="Times New Roman" w:cs="Times New Roman" w:eastAsia="Times New Roman" w:hAnsi="Times New Roman"/>
          <w:sz w:val="10"/>
          <w:szCs w:val="10"/>
          <w:color w:val="auto"/>
        </w:rPr>
        <w:t xml:space="preserve"> ”),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40" w:name="page41"/>
    <w:bookmarkEnd w:id="40"/>
    <w:p>
      <w:pPr>
        <w:spacing w:after="0" w:line="255" w:lineRule="auto"/>
        <w:rPr>
          <w:sz w:val="20"/>
          <w:szCs w:val="20"/>
          <w:color w:val="auto"/>
        </w:rPr>
      </w:pPr>
      <w:r>
        <w:rPr>
          <w:rFonts w:ascii="Times New Roman" w:cs="Times New Roman" w:eastAsia="Times New Roman" w:hAnsi="Times New Roman"/>
          <w:sz w:val="10"/>
          <w:szCs w:val="10"/>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U.S. shareholders may suffer adverse tax consequences if we are classified as a “passive foreign investment company.”</w:t>
      </w:r>
    </w:p>
    <w:p>
      <w:pPr>
        <w:spacing w:after="0" w:line="5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A non-U.S. corporation generally will be treated as a “passive foreign investment company” (“</w:t>
      </w:r>
      <w:r>
        <w:rPr>
          <w:rFonts w:ascii="Times New Roman" w:cs="Times New Roman" w:eastAsia="Times New Roman" w:hAnsi="Times New Roman"/>
          <w:sz w:val="10"/>
          <w:szCs w:val="10"/>
          <w:b w:val="1"/>
          <w:bCs w:val="1"/>
          <w:i w:val="1"/>
          <w:iCs w:val="1"/>
          <w:color w:val="auto"/>
        </w:rPr>
        <w:t>PFIC</w:t>
      </w:r>
      <w:r>
        <w:rPr>
          <w:rFonts w:ascii="Times New Roman" w:cs="Times New Roman" w:eastAsia="Times New Roman" w:hAnsi="Times New Roman"/>
          <w:sz w:val="10"/>
          <w:szCs w:val="10"/>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0"/>
          <w:szCs w:val="10"/>
          <w:i w:val="1"/>
          <w:iCs w:val="1"/>
          <w:color w:val="auto"/>
        </w:rPr>
        <w:t>Material Tax Considerations</w:t>
      </w:r>
      <w:r>
        <w:rPr>
          <w:rFonts w:ascii="Times New Roman" w:cs="Times New Roman" w:eastAsia="Times New Roman" w:hAnsi="Times New Roman"/>
          <w:sz w:val="10"/>
          <w:szCs w:val="10"/>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Internal Revenue Service may not agree that Rezolve should be treated as a non-U.S. corporation for U.S. federal income tax purposes.</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Although Rezolve is incorporated in England and Wales, the Internal Revenue Service (“</w:t>
      </w:r>
      <w:r>
        <w:rPr>
          <w:rFonts w:ascii="Times New Roman" w:cs="Times New Roman" w:eastAsia="Times New Roman" w:hAnsi="Times New Roman"/>
          <w:sz w:val="10"/>
          <w:szCs w:val="10"/>
          <w:b w:val="1"/>
          <w:bCs w:val="1"/>
          <w:i w:val="1"/>
          <w:iCs w:val="1"/>
          <w:color w:val="auto"/>
        </w:rPr>
        <w:t>IRS</w:t>
      </w:r>
      <w:r>
        <w:rPr>
          <w:rFonts w:ascii="Times New Roman" w:cs="Times New Roman" w:eastAsia="Times New Roman" w:hAnsi="Times New Roman"/>
          <w:sz w:val="10"/>
          <w:szCs w:val="10"/>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06"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Section 7874 of the Code may limit the ability of Armada to use certain tax attributes following the Business Combination, increase Rezolve’s U.S. affiliates’ U.S. taxable income or have other adverse consequences to Rezolve and Rezolve’s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0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41" w:name="page42"/>
    <w:bookmarkEnd w:id="41"/>
    <w:p>
      <w:pPr>
        <w:ind w:right="240"/>
        <w:spacing w:after="0" w:line="255" w:lineRule="auto"/>
        <w:rPr>
          <w:sz w:val="20"/>
          <w:szCs w:val="20"/>
          <w:color w:val="auto"/>
        </w:rPr>
      </w:pPr>
      <w:r>
        <w:rPr>
          <w:rFonts w:ascii="Times New Roman" w:cs="Times New Roman" w:eastAsia="Times New Roman" w:hAnsi="Times New Roman"/>
          <w:sz w:val="10"/>
          <w:szCs w:val="10"/>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As more fully described in the section titled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based on the terms of the Business Combination and certain factual assumptions, Rezolve does not currently 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04"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However, even if Rezolve is not subject to the above adverse consequences under Section 7874, Rezolve may be limited in using its equity to engage in future acquisitions of U.S. corporations over a 36 -month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03" w:lineRule="exact"/>
        <w:rPr>
          <w:sz w:val="20"/>
          <w:szCs w:val="20"/>
          <w:color w:val="auto"/>
        </w:rPr>
      </w:pPr>
    </w:p>
    <w:p>
      <w:pPr>
        <w:ind w:right="100" w:firstLine="480"/>
        <w:spacing w:after="0" w:line="259" w:lineRule="auto"/>
        <w:rPr>
          <w:sz w:val="20"/>
          <w:szCs w:val="20"/>
          <w:color w:val="auto"/>
        </w:rPr>
      </w:pPr>
      <w:r>
        <w:rPr>
          <w:rFonts w:ascii="Times New Roman" w:cs="Times New Roman" w:eastAsia="Times New Roman" w:hAnsi="Times New Roman"/>
          <w:sz w:val="10"/>
          <w:szCs w:val="10"/>
          <w:color w:val="auto"/>
        </w:rPr>
        <w:t>See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USE OF PROCEEDS</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We estimate that the net proceeds we will receive from the sale of our securities in this offering, assuming all the securities we are offering are sold, after deducting placement agent fees and other estimated offering expenses payable by us, and assuming no sale of any Pre-Funded Warrants and no exercise of the Offering Warrants being issued in this offering, will be approximately $ million, based on an assumed public offering price of $ per Ordinary Share and accompanying Offering Warrants.</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However, because this is a best efforts offering and there is no minimum offering amount required as a condition to the closing of this offering, the actual offering amount, the placement agent fees and net proceeds to us are not presently determinable and may be substantially less than the maximum amounts set forth on the cover page of this prospectus.</w:t>
      </w:r>
    </w:p>
    <w:p>
      <w:pPr>
        <w:spacing w:after="0" w:line="7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We expect to use the net proceeds from this offering for working capital and general corporate purposes.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“Risk Factors” located elsewhere in this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43" w:name="page44"/>
    <w:bookmarkEnd w:id="43"/>
    <w:p>
      <w:pPr>
        <w:jc w:val="center"/>
        <w:ind w:right="-399"/>
        <w:spacing w:after="0"/>
        <w:rPr>
          <w:sz w:val="20"/>
          <w:szCs w:val="20"/>
          <w:color w:val="auto"/>
        </w:rPr>
      </w:pPr>
      <w:r>
        <w:rPr>
          <w:rFonts w:ascii="Times New Roman" w:cs="Times New Roman" w:eastAsia="Times New Roman" w:hAnsi="Times New Roman"/>
          <w:sz w:val="10"/>
          <w:szCs w:val="10"/>
          <w:b w:val="1"/>
          <w:bCs w:val="1"/>
          <w:color w:val="auto"/>
        </w:rPr>
        <w:t>DILUTION</w:t>
      </w:r>
    </w:p>
    <w:p>
      <w:pPr>
        <w:spacing w:after="0" w:line="97"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If you invest in our securities in this offering, your ownership interest may be diluted immediately depending on the difference between the public offering price per share of our common stock (assuming the exercise for cash of all pre-funded warrants issued in this offering) and the as adjusted net tangible book value per share of our common stock immediately after this offering (assuming the exercise for cash of all pre-funded warrants issued in this offering).</w:t>
      </w:r>
    </w:p>
    <w:p>
      <w:pPr>
        <w:spacing w:after="0" w:line="7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Our net tangible book value as of June 30, 2024, was approximately $[x] million, or approximately $[x] per share. Net tangible book value is determined by subtracting our total liabilities from our total tangible assets, and net tangible book value per share is determined by dividing our net tangible book value by the number of outstanding Ordinary Shares.</w:t>
      </w:r>
    </w:p>
    <w:p>
      <w:pPr>
        <w:spacing w:after="0" w:line="7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After giving further effect to the sale and issuance of Ordinary Shares and (or Pre-Funded Warrants) in this offering, at a public offering price of $ per share and $ per Pre-Funded Warrant, and deducting placement agent fees and estimated offering expenses payable by us, our pro forma as adjusted net tangible book value as of June 30, 2024, would have been approximately $ , or $ per Ordinary Share (assuming the exercise for cash of all pre -funded warrants issued in this offering). This represents an immediate increase in net tangible book value of approximately $ per share to our existing stockholders and an immediate dilution in net tangible book value of approximately $ per share to investors participating in this offering.</w:t>
      </w:r>
    </w:p>
    <w:p>
      <w:pPr>
        <w:spacing w:after="0" w:line="201"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effect per share to investors participating in this offering is determined by subtracting the pro forma as adjusted net tangible book value per share after this offering from the public offering price per share paid by investors participating in this offering. The final public offering price will be determined through negotiation between us, the placement agent and the investors in the offering and may be at a discount to the current market price. Therefore, the assumed public offering price used throughout this prospectus may not be indicative of the final public offering price. The following table illustrates this result on a per share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3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0"/>
                <w:szCs w:val="10"/>
                <w:color w:val="212529"/>
              </w:rPr>
              <w:t>Assumed public offering price per share of common stock and accompanying Offering Warrant</w:t>
            </w:r>
          </w:p>
        </w:tc>
        <w:tc>
          <w:tcPr>
            <w:tcW w:w="2260" w:type="dxa"/>
            <w:vAlign w:val="bottom"/>
            <w:shd w:val="clear" w:color="auto" w:fill="CCEEFF"/>
          </w:tcPr>
          <w:p>
            <w:pPr>
              <w:spacing w:after="0"/>
              <w:rPr>
                <w:sz w:val="11"/>
                <w:szCs w:val="11"/>
                <w:color w:val="auto"/>
              </w:rPr>
            </w:pPr>
          </w:p>
        </w:tc>
        <w:tc>
          <w:tcPr>
            <w:tcW w:w="2980" w:type="dxa"/>
            <w:vAlign w:val="bottom"/>
            <w:shd w:val="clear" w:color="auto" w:fill="CCEEFF"/>
          </w:tcPr>
          <w:p>
            <w:pPr>
              <w:jc w:val="right"/>
              <w:ind w:right="1631"/>
              <w:spacing w:after="0"/>
              <w:rPr>
                <w:sz w:val="20"/>
                <w:szCs w:val="20"/>
                <w:color w:val="auto"/>
              </w:rPr>
            </w:pPr>
            <w:r>
              <w:rPr>
                <w:rFonts w:ascii="Times New Roman" w:cs="Times New Roman" w:eastAsia="Times New Roman" w:hAnsi="Times New Roman"/>
                <w:sz w:val="10"/>
                <w:szCs w:val="10"/>
                <w:color w:val="212529"/>
              </w:rPr>
              <w:t>$</w:t>
            </w:r>
          </w:p>
        </w:tc>
        <w:tc>
          <w:tcPr>
            <w:tcW w:w="40" w:type="dxa"/>
            <w:vAlign w:val="bottom"/>
          </w:tcPr>
          <w:p>
            <w:pPr>
              <w:spacing w:after="0"/>
              <w:rPr>
                <w:sz w:val="11"/>
                <w:szCs w:val="11"/>
                <w:color w:val="auto"/>
              </w:rPr>
            </w:pPr>
          </w:p>
        </w:tc>
      </w:tr>
      <w:tr>
        <w:trPr>
          <w:trHeight w:val="135"/>
        </w:trPr>
        <w:tc>
          <w:tcPr>
            <w:tcW w:w="5380" w:type="dxa"/>
            <w:vAlign w:val="bottom"/>
            <w:gridSpan w:val="4"/>
          </w:tcPr>
          <w:p>
            <w:pPr>
              <w:ind w:left="80"/>
              <w:spacing w:after="0"/>
              <w:rPr>
                <w:sz w:val="20"/>
                <w:szCs w:val="20"/>
                <w:color w:val="auto"/>
              </w:rPr>
            </w:pPr>
            <w:r>
              <w:rPr>
                <w:rFonts w:ascii="Times New Roman" w:cs="Times New Roman" w:eastAsia="Times New Roman" w:hAnsi="Times New Roman"/>
                <w:sz w:val="10"/>
                <w:szCs w:val="10"/>
                <w:color w:val="212529"/>
              </w:rPr>
              <w:t>Net tangible book value per share as of June 30, 2024</w:t>
            </w:r>
          </w:p>
        </w:tc>
        <w:tc>
          <w:tcPr>
            <w:tcW w:w="2260" w:type="dxa"/>
            <w:vAlign w:val="bottom"/>
          </w:tcPr>
          <w:p>
            <w:pPr>
              <w:jc w:val="right"/>
              <w:ind w:right="571"/>
              <w:spacing w:after="0"/>
              <w:rPr>
                <w:sz w:val="20"/>
                <w:szCs w:val="20"/>
                <w:color w:val="auto"/>
              </w:rPr>
            </w:pPr>
            <w:r>
              <w:rPr>
                <w:rFonts w:ascii="Times New Roman" w:cs="Times New Roman" w:eastAsia="Times New Roman" w:hAnsi="Times New Roman"/>
                <w:sz w:val="10"/>
                <w:szCs w:val="10"/>
                <w:color w:val="212529"/>
              </w:rPr>
              <w:t>$</w:t>
            </w:r>
          </w:p>
        </w:tc>
        <w:tc>
          <w:tcPr>
            <w:tcW w:w="29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53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0"/>
                <w:szCs w:val="10"/>
                <w:color w:val="212529"/>
              </w:rPr>
              <w:t>Increase per share attributable to investors participating in this offering</w:t>
            </w:r>
          </w:p>
        </w:tc>
        <w:tc>
          <w:tcPr>
            <w:tcW w:w="2260" w:type="dxa"/>
            <w:vAlign w:val="bottom"/>
            <w:shd w:val="clear" w:color="auto" w:fill="CCEEFF"/>
          </w:tcPr>
          <w:p>
            <w:pPr>
              <w:jc w:val="right"/>
              <w:ind w:right="571"/>
              <w:spacing w:after="0"/>
              <w:rPr>
                <w:sz w:val="20"/>
                <w:szCs w:val="20"/>
                <w:color w:val="auto"/>
              </w:rPr>
            </w:pPr>
            <w:r>
              <w:rPr>
                <w:rFonts w:ascii="Times New Roman" w:cs="Times New Roman" w:eastAsia="Times New Roman" w:hAnsi="Times New Roman"/>
                <w:sz w:val="10"/>
                <w:szCs w:val="10"/>
                <w:color w:val="212529"/>
              </w:rPr>
              <w:t>$</w:t>
            </w:r>
          </w:p>
        </w:tc>
        <w:tc>
          <w:tcPr>
            <w:tcW w:w="29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5380" w:type="dxa"/>
            <w:vAlign w:val="bottom"/>
            <w:gridSpan w:val="4"/>
          </w:tcPr>
          <w:p>
            <w:pPr>
              <w:spacing w:after="0"/>
              <w:rPr>
                <w:sz w:val="20"/>
                <w:szCs w:val="20"/>
                <w:color w:val="auto"/>
              </w:rPr>
            </w:pPr>
            <w:r>
              <w:rPr>
                <w:rFonts w:ascii="Times New Roman" w:cs="Times New Roman" w:eastAsia="Times New Roman" w:hAnsi="Times New Roman"/>
                <w:sz w:val="10"/>
                <w:szCs w:val="10"/>
                <w:color w:val="212529"/>
              </w:rPr>
              <w:t>Adjusted net tangible book value per share after giving effect to this offering</w:t>
            </w:r>
          </w:p>
        </w:tc>
        <w:tc>
          <w:tcPr>
            <w:tcW w:w="2260" w:type="dxa"/>
            <w:vAlign w:val="bottom"/>
          </w:tcPr>
          <w:p>
            <w:pPr>
              <w:spacing w:after="0"/>
              <w:rPr>
                <w:sz w:val="11"/>
                <w:szCs w:val="11"/>
                <w:color w:val="auto"/>
              </w:rPr>
            </w:pPr>
          </w:p>
        </w:tc>
        <w:tc>
          <w:tcPr>
            <w:tcW w:w="2980" w:type="dxa"/>
            <w:vAlign w:val="bottom"/>
          </w:tcPr>
          <w:p>
            <w:pPr>
              <w:jc w:val="right"/>
              <w:ind w:right="1631"/>
              <w:spacing w:after="0"/>
              <w:rPr>
                <w:sz w:val="20"/>
                <w:szCs w:val="20"/>
                <w:color w:val="auto"/>
              </w:rPr>
            </w:pPr>
            <w:r>
              <w:rPr>
                <w:rFonts w:ascii="Times New Roman" w:cs="Times New Roman" w:eastAsia="Times New Roman" w:hAnsi="Times New Roman"/>
                <w:sz w:val="10"/>
                <w:szCs w:val="10"/>
                <w:color w:val="212529"/>
              </w:rPr>
              <w:t>$</w:t>
            </w:r>
          </w:p>
        </w:tc>
        <w:tc>
          <w:tcPr>
            <w:tcW w:w="40" w:type="dxa"/>
            <w:vAlign w:val="bottom"/>
          </w:tcPr>
          <w:p>
            <w:pPr>
              <w:spacing w:after="0"/>
              <w:rPr>
                <w:sz w:val="11"/>
                <w:szCs w:val="11"/>
                <w:color w:val="auto"/>
              </w:rPr>
            </w:pPr>
          </w:p>
        </w:tc>
      </w:tr>
      <w:tr>
        <w:trPr>
          <w:trHeight w:val="128"/>
        </w:trPr>
        <w:tc>
          <w:tcPr>
            <w:tcW w:w="5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212529"/>
              </w:rPr>
              <w:t>Dilution per share to investors participating in this offering</w:t>
            </w:r>
          </w:p>
        </w:tc>
        <w:tc>
          <w:tcPr>
            <w:tcW w:w="2260" w:type="dxa"/>
            <w:vAlign w:val="bottom"/>
            <w:shd w:val="clear" w:color="auto" w:fill="CCEEFF"/>
          </w:tcPr>
          <w:p>
            <w:pPr>
              <w:spacing w:after="0"/>
              <w:rPr>
                <w:sz w:val="11"/>
                <w:szCs w:val="11"/>
                <w:color w:val="auto"/>
              </w:rPr>
            </w:pPr>
          </w:p>
        </w:tc>
        <w:tc>
          <w:tcPr>
            <w:tcW w:w="2980" w:type="dxa"/>
            <w:vAlign w:val="bottom"/>
            <w:shd w:val="clear" w:color="auto" w:fill="CCEEFF"/>
          </w:tcPr>
          <w:p>
            <w:pPr>
              <w:jc w:val="right"/>
              <w:ind w:right="1631"/>
              <w:spacing w:after="0"/>
              <w:rPr>
                <w:sz w:val="20"/>
                <w:szCs w:val="20"/>
                <w:color w:val="auto"/>
              </w:rPr>
            </w:pPr>
            <w:r>
              <w:rPr>
                <w:rFonts w:ascii="Times New Roman" w:cs="Times New Roman" w:eastAsia="Times New Roman" w:hAnsi="Times New Roman"/>
                <w:sz w:val="10"/>
                <w:szCs w:val="10"/>
                <w:color w:val="212529"/>
              </w:rPr>
              <w:t>$</w:t>
            </w:r>
          </w:p>
        </w:tc>
        <w:tc>
          <w:tcPr>
            <w:tcW w:w="40" w:type="dxa"/>
            <w:vAlign w:val="bottom"/>
          </w:tcPr>
          <w:p>
            <w:pPr>
              <w:spacing w:after="0"/>
              <w:rPr>
                <w:sz w:val="11"/>
                <w:szCs w:val="11"/>
                <w:color w:val="auto"/>
              </w:rPr>
            </w:pPr>
          </w:p>
        </w:tc>
      </w:tr>
      <w:tr>
        <w:trPr>
          <w:trHeight w:val="413"/>
        </w:trPr>
        <w:tc>
          <w:tcPr>
            <w:tcW w:w="30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 $</w:t>
            </w:r>
          </w:p>
        </w:tc>
        <w:tc>
          <w:tcPr>
            <w:tcW w:w="6800" w:type="dxa"/>
            <w:vAlign w:val="bottom"/>
            <w:gridSpan w:val="3"/>
          </w:tcPr>
          <w:p>
            <w:pPr>
              <w:jc w:val="right"/>
              <w:ind w:right="191"/>
              <w:spacing w:after="0"/>
              <w:rPr>
                <w:sz w:val="20"/>
                <w:szCs w:val="20"/>
                <w:color w:val="auto"/>
              </w:rPr>
            </w:pPr>
            <w:r>
              <w:rPr>
                <w:rFonts w:ascii="Times New Roman" w:cs="Times New Roman" w:eastAsia="Times New Roman" w:hAnsi="Times New Roman"/>
                <w:sz w:val="10"/>
                <w:szCs w:val="10"/>
                <w:color w:val="auto"/>
              </w:rPr>
              <w:t>increase in the assumed public offering price per share and accompanying Offering Warrant would decrease the pro forma as adjusted net tangible book value by $</w:t>
            </w:r>
          </w:p>
        </w:tc>
        <w:tc>
          <w:tcPr>
            <w:tcW w:w="302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w w:val="96"/>
              </w:rPr>
              <w:t>per share and result in dilution to investors participating in this offering</w:t>
            </w:r>
          </w:p>
        </w:tc>
      </w:tr>
      <w:tr>
        <w:trPr>
          <w:trHeight w:val="123"/>
        </w:trPr>
        <w:tc>
          <w:tcPr>
            <w:tcW w:w="300" w:type="dxa"/>
            <w:vAlign w:val="bottom"/>
          </w:tcPr>
          <w:p>
            <w:pPr>
              <w:spacing w:after="0"/>
              <w:rPr>
                <w:sz w:val="20"/>
                <w:szCs w:val="20"/>
                <w:color w:val="auto"/>
              </w:rPr>
            </w:pPr>
            <w:r>
              <w:rPr>
                <w:rFonts w:ascii="Times New Roman" w:cs="Times New Roman" w:eastAsia="Times New Roman" w:hAnsi="Times New Roman"/>
                <w:sz w:val="10"/>
                <w:szCs w:val="10"/>
                <w:color w:val="auto"/>
              </w:rPr>
              <w:t>of $</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rPr>
              <w:t>per share, and a $</w:t>
            </w:r>
          </w:p>
        </w:tc>
        <w:tc>
          <w:tcPr>
            <w:tcW w:w="9140" w:type="dxa"/>
            <w:vAlign w:val="bottom"/>
            <w:gridSpan w:val="4"/>
          </w:tcPr>
          <w:p>
            <w:pPr>
              <w:ind w:left="240"/>
              <w:spacing w:after="0"/>
              <w:rPr>
                <w:sz w:val="20"/>
                <w:szCs w:val="20"/>
                <w:color w:val="auto"/>
              </w:rPr>
            </w:pPr>
            <w:r>
              <w:rPr>
                <w:rFonts w:ascii="Times New Roman" w:cs="Times New Roman" w:eastAsia="Times New Roman" w:hAnsi="Times New Roman"/>
                <w:sz w:val="10"/>
                <w:szCs w:val="10"/>
                <w:color w:val="auto"/>
                <w:w w:val="99"/>
              </w:rPr>
              <w:t>decrease in the assumed public offering price per share and accompanying Offering Warrant would decrease the pro forma as adjusted net tangible book value by $ per share and be accretive to investors participating in this</w:t>
            </w:r>
          </w:p>
        </w:tc>
      </w:tr>
    </w:tbl>
    <w:p>
      <w:pPr>
        <w:ind w:right="160"/>
        <w:spacing w:after="0" w:line="237" w:lineRule="auto"/>
        <w:rPr>
          <w:sz w:val="20"/>
          <w:szCs w:val="20"/>
          <w:color w:val="auto"/>
        </w:rPr>
      </w:pPr>
      <w:r>
        <w:rPr>
          <w:rFonts w:ascii="Times New Roman" w:cs="Times New Roman" w:eastAsia="Times New Roman" w:hAnsi="Times New Roman"/>
          <w:sz w:val="10"/>
          <w:szCs w:val="10"/>
          <w:color w:val="auto"/>
        </w:rPr>
        <w:t>offering by $ per share, in each case assuming the number of shares offered by us, as set forth on the cover page of this prospectus, remains the same and assuming no pre-funded warrants are sold in this offering, no exercise of the Offering Warrants being offered in this offering, that no value is attributed to such Offering Warrants and that such Offering Warrants are classified as and accounted for as equity, and after deducting placement agent fees and estimated expenses payable by us.</w:t>
      </w:r>
    </w:p>
    <w:p>
      <w:pPr>
        <w:spacing w:after="0" w:line="8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An increase of shares in the number of shares offered by us in this offering would decrease our pro forma as adjusted net tangible book value per share by approximately $ and our pro forma as adjusted net tangible book value per share would be $ , representing an increase in pro forma as adjusted net tangible book value per share to new investors in this offering of $ . A decrease of shares in the number of shares offered by us in this offering would decrease our pro forma as adjusted net tangible book value per share by approximately $ resulting in a pro forma as adjusted net tangible book value per share of $ and an increase in pro forma as adjusted net tangible book value per share to investors participating in this offering of $ per share. The foregoing calculations assume that the public offering price remains the same, and are after deducting placement agent fees and estimated expenses payable by us.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number of shares of to be outstanding after this offering is based on the number of Ordinary shares outstanding as of December [x], 2024, and excludes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p>
    <w:p>
      <w:pPr>
        <w:spacing w:after="0" w:line="1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80"/>
          </w:cols>
          <w:pgMar w:left="640" w:top="1153" w:right="580" w:bottom="1440" w:gutter="0" w:footer="0" w:header="0"/>
        </w:sectPr>
      </w:pPr>
    </w:p>
    <w:bookmarkStart w:id="44" w:name="page45"/>
    <w:bookmarkEnd w:id="44"/>
    <w:p>
      <w:pPr>
        <w:ind w:left="480"/>
        <w:spacing w:after="0"/>
        <w:rPr>
          <w:sz w:val="20"/>
          <w:szCs w:val="20"/>
          <w:color w:val="auto"/>
        </w:rPr>
      </w:pPr>
      <w:r>
        <w:rPr>
          <w:rFonts w:ascii="Times New Roman" w:cs="Times New Roman" w:eastAsia="Times New Roman" w:hAnsi="Times New Roman"/>
          <w:sz w:val="10"/>
          <w:szCs w:val="10"/>
          <w:color w:val="auto"/>
        </w:rPr>
        <w:t>•</w:t>
      </w:r>
    </w:p>
    <w:p>
      <w:pPr>
        <w:spacing w:after="0" w:line="305"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To the extent that outstanding options or warrants are exercised, or shares are issued under our equity incentive plans, you may experience dilution. In addition, we may choose to raise additional capital due to market conditions or strategic considerations even if we believe we have sufficient funds for our current or future operating plans. To the extent that, in the future, additional capital is raised through the sale of equity, convertible debt securities, or securities with equity components, those issuances may result in dilution to our stockholders.</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45" w:name="page46"/>
    <w:bookmarkEnd w:id="45"/>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DIVIDEND POLICY</w:t>
      </w:r>
    </w:p>
    <w:p>
      <w:pPr>
        <w:spacing w:after="0" w:line="97"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0"/>
          <w:szCs w:val="10"/>
          <w:b w:val="1"/>
          <w:bCs w:val="1"/>
          <w:color w:val="auto"/>
        </w:rPr>
        <w:t>MARKET PRICE OF OUR SECURITIES</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December [x], 2024, there were approximately 2 shareholders of record of Ordinary Shares and one shareholder of record of Warrants. Such numbers do not include beneficial owners holding our securities through nominee names. On December [x], 2024, the last reported closing sale prices of our Ordinary Shares and Public Warrants were $[x] and $[x],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FINANCIAL INFORMATION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Defined terms included below have the same meaning as terms defined and included elsewhere in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60" w:lineRule="exact"/>
        <w:rPr>
          <w:sz w:val="20"/>
          <w:szCs w:val="20"/>
          <w:color w:val="auto"/>
        </w:rPr>
      </w:pPr>
    </w:p>
    <w:p>
      <w:pPr>
        <w:ind w:right="320" w:firstLine="705"/>
        <w:spacing w:after="0" w:line="245" w:lineRule="auto"/>
        <w:rPr>
          <w:sz w:val="20"/>
          <w:szCs w:val="20"/>
          <w:color w:val="auto"/>
        </w:rPr>
      </w:pPr>
      <w:r>
        <w:rPr>
          <w:rFonts w:ascii="Times New Roman" w:cs="Times New Roman" w:eastAsia="Times New Roman" w:hAnsi="Times New Roman"/>
          <w:sz w:val="10"/>
          <w:szCs w:val="10"/>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0"/>
          <w:szCs w:val="10"/>
          <w:color w:val="212529"/>
        </w:rPr>
        <w:t>The unaudited pro forma condensed combined financial information has been prepared in accordance with Article 11 of Regulation S-X as amended by the final rule, Release No. 33-10786 “Amendments to Financial Disclosures about Acquired and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Disposed Businesses.”</w:t>
      </w:r>
    </w:p>
    <w:p>
      <w:pPr>
        <w:spacing w:after="0" w:line="45" w:lineRule="exact"/>
        <w:rPr>
          <w:sz w:val="20"/>
          <w:szCs w:val="20"/>
          <w:color w:val="auto"/>
        </w:rPr>
      </w:pPr>
    </w:p>
    <w:p>
      <w:pPr>
        <w:ind w:right="280" w:firstLine="705"/>
        <w:spacing w:after="0" w:line="255" w:lineRule="auto"/>
        <w:rPr>
          <w:sz w:val="20"/>
          <w:szCs w:val="20"/>
          <w:color w:val="auto"/>
        </w:rPr>
      </w:pPr>
      <w:r>
        <w:rPr>
          <w:rFonts w:ascii="Times New Roman" w:cs="Times New Roman" w:eastAsia="Times New Roman" w:hAnsi="Times New Roman"/>
          <w:sz w:val="10"/>
          <w:szCs w:val="10"/>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212529"/>
        </w:rPr>
        <w:t>Armada is a newly organized blank check company incorporated in Delaware on November 5, 2020, for the purpose of effecting a merger, stock exchange, asset acquisition, stock purchase, reorganization or other similar business combination with one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212529"/>
        </w:rPr>
        <w:t>more businesses.</w:t>
      </w:r>
    </w:p>
    <w:p>
      <w:pPr>
        <w:spacing w:after="0" w:line="4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41"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352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included elsewhere in this proxy statement/prospectus; •the historical unaudited financial statements for Armada as of and for the quarter ended June 30, 2024, included elsewhere in this proxy statement/prospectus;</w:t>
      </w:r>
    </w:p>
    <w:p>
      <w:pPr>
        <w:ind w:left="480" w:right="3360"/>
        <w:spacing w:after="0" w:line="37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as of, and for the year ended, December 31, 2023, included elsewhere in this proxy statement/prospectus; •the historical unaudited carve-out financial statements of Rezolve as of, and for the six months ended, June 30, 2024, included elsewhere in this proxy statements/prospectus;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w:t>
      </w:r>
      <w:r>
        <w:rPr>
          <w:rFonts w:ascii="Times New Roman" w:cs="Times New Roman" w:eastAsia="Times New Roman" w:hAnsi="Times New Roman"/>
          <w:sz w:val="10"/>
          <w:szCs w:val="10"/>
          <w:color w:val="auto"/>
        </w:rPr>
        <w: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Accounting for the Business Combination</w:t>
      </w:r>
    </w:p>
    <w:p>
      <w:pPr>
        <w:spacing w:after="0" w:line="112" w:lineRule="exact"/>
        <w:rPr>
          <w:sz w:val="20"/>
          <w:szCs w:val="20"/>
          <w:color w:val="auto"/>
        </w:rPr>
      </w:pPr>
    </w:p>
    <w:p>
      <w:pPr>
        <w:jc w:val="both"/>
        <w:ind w:right="260" w:firstLine="705"/>
        <w:spacing w:after="0" w:line="245"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45" w:lineRule="exact"/>
        <w:rPr>
          <w:sz w:val="20"/>
          <w:szCs w:val="20"/>
          <w:color w:val="auto"/>
        </w:rPr>
      </w:pPr>
    </w:p>
    <w:p>
      <w:pPr>
        <w:ind w:left="480" w:right="4100"/>
        <w:spacing w:after="0" w:line="360" w:lineRule="auto"/>
        <w:rPr>
          <w:sz w:val="20"/>
          <w:szCs w:val="20"/>
          <w:color w:val="auto"/>
        </w:rPr>
      </w:pPr>
      <w:r>
        <w:rPr>
          <w:rFonts w:ascii="Times New Roman" w:cs="Times New Roman" w:eastAsia="Times New Roman" w:hAnsi="Times New Roman"/>
          <w:sz w:val="10"/>
          <w:szCs w:val="10"/>
          <w:color w:val="auto"/>
        </w:rPr>
        <w:t>•Rezolve’s shareholders will have majority of the voting power under both the minimum redemption and maximum redemption scenarios described below; •Rezolve will appoint majority of the directors of Rezolve;</w:t>
      </w:r>
    </w:p>
    <w:p>
      <w:pPr>
        <w:ind w:left="480"/>
        <w:spacing w:after="0"/>
        <w:rPr>
          <w:sz w:val="20"/>
          <w:szCs w:val="20"/>
          <w:color w:val="auto"/>
        </w:rPr>
      </w:pPr>
      <w:r>
        <w:rPr>
          <w:rFonts w:ascii="Times New Roman" w:cs="Times New Roman" w:eastAsia="Times New Roman" w:hAnsi="Times New Roman"/>
          <w:sz w:val="10"/>
          <w:szCs w:val="10"/>
          <w:color w:val="auto"/>
        </w:rPr>
        <w:t>•Rezolve’s existing management will comprise the management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operations will comprise the ongoing operations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the larger entity based on historical revenues and business operations;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8" w:name="page49"/>
    <w:bookmarkEnd w:id="48"/>
    <w:p>
      <w:pPr>
        <w:ind w:left="480"/>
        <w:spacing w:after="0"/>
        <w:rPr>
          <w:sz w:val="20"/>
          <w:szCs w:val="20"/>
          <w:color w:val="auto"/>
        </w:rPr>
      </w:pPr>
      <w:r>
        <w:rPr>
          <w:rFonts w:ascii="Times New Roman" w:cs="Times New Roman" w:eastAsia="Times New Roman" w:hAnsi="Times New Roman"/>
          <w:sz w:val="10"/>
          <w:szCs w:val="10"/>
          <w:color w:val="auto"/>
        </w:rPr>
        <w:t>•Rezolve will continue to use Rezolve Limited’s name and Rezolve’s headquarters in London.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 of the Transaction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summary of the Business Combination and related transactions is as follows: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Business Combination Agreement:</w:t>
      </w:r>
    </w:p>
    <w:p>
      <w:pPr>
        <w:spacing w:after="0" w:line="170" w:lineRule="exact"/>
        <w:rPr>
          <w:sz w:val="20"/>
          <w:szCs w:val="20"/>
          <w:color w:val="auto"/>
        </w:rPr>
      </w:pPr>
    </w:p>
    <w:p>
      <w:pPr>
        <w:ind w:left="1180" w:right="40"/>
        <w:spacing w:after="0" w:line="241" w:lineRule="auto"/>
        <w:rPr>
          <w:sz w:val="20"/>
          <w:szCs w:val="20"/>
          <w:color w:val="auto"/>
        </w:rPr>
      </w:pPr>
      <w:r>
        <w:rPr>
          <w:rFonts w:ascii="Times New Roman" w:cs="Times New Roman" w:eastAsia="Times New Roman" w:hAnsi="Times New Roman"/>
          <w:sz w:val="10"/>
          <w:szCs w:val="10"/>
          <w:color w:val="auto"/>
        </w:rPr>
        <w:t>(i)a pre-Closing demerger (the “Pre-Closing Demerger”) of Rezolve Limited will be effected pursuant to UK legislation under which (a)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48" w:lineRule="exact"/>
        <w:rPr>
          <w:sz w:val="20"/>
          <w:szCs w:val="20"/>
          <w:color w:val="auto"/>
        </w:rPr>
      </w:pPr>
    </w:p>
    <w:p>
      <w:pPr>
        <w:ind w:left="1180" w:right="100"/>
        <w:spacing w:after="0" w:line="245" w:lineRule="auto"/>
        <w:rPr>
          <w:sz w:val="20"/>
          <w:szCs w:val="20"/>
          <w:color w:val="auto"/>
        </w:rPr>
      </w:pPr>
      <w:r>
        <w:rPr>
          <w:rFonts w:ascii="Times New Roman" w:cs="Times New Roman" w:eastAsia="Times New Roman" w:hAnsi="Times New Roman"/>
          <w:sz w:val="10"/>
          <w:szCs w:val="10"/>
          <w:color w:val="auto"/>
        </w:rPr>
        <w:t>(ii)a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1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45" w:lineRule="exact"/>
        <w:rPr>
          <w:sz w:val="20"/>
          <w:szCs w:val="20"/>
          <w:color w:val="auto"/>
        </w:rPr>
      </w:pPr>
    </w:p>
    <w:p>
      <w:pPr>
        <w:jc w:val="both"/>
        <w:ind w:left="480" w:right="40"/>
        <w:spacing w:after="0" w:line="245" w:lineRule="auto"/>
        <w:rPr>
          <w:sz w:val="20"/>
          <w:szCs w:val="20"/>
          <w:color w:val="auto"/>
        </w:rPr>
      </w:pPr>
      <w:r>
        <w:rPr>
          <w:rFonts w:ascii="Times New Roman" w:cs="Times New Roman" w:eastAsia="Times New Roman" w:hAnsi="Times New Roman"/>
          <w:sz w:val="10"/>
          <w:szCs w:val="10"/>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gridSpan w:val="4"/>
          </w:tcPr>
          <w:p>
            <w:pPr>
              <w:jc w:val="right"/>
              <w:ind w:right="74"/>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Rezolve</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6"/>
              </w:rPr>
              <w:t>Corp. I</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restart"/>
          </w:tcPr>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assets:</w:t>
            </w: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60,298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13,242</w:t>
            </w: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(1,300,000 )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(a)</w:t>
            </w:r>
          </w:p>
        </w:tc>
        <w:tc>
          <w:tcPr>
            <w:tcW w:w="2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(700,000 )</w:t>
            </w:r>
          </w:p>
        </w:tc>
        <w:tc>
          <w:tcPr>
            <w:tcW w:w="38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rPr>
              <w:t>(a)</w:t>
            </w: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(6,035,757 )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(b)</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(1,491,622 )</w:t>
            </w: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(3,056,726 )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(d)</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12,510,565</w:t>
            </w:r>
          </w:p>
        </w:tc>
        <w:tc>
          <w:tcPr>
            <w:tcW w:w="100" w:type="dxa"/>
            <w:vAlign w:val="bottom"/>
          </w:tcPr>
          <w:p>
            <w:pPr>
              <w:spacing w:after="0"/>
              <w:rPr>
                <w:sz w:val="8"/>
                <w:szCs w:val="8"/>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receivable, net</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Prepaid expenses and other current assets</w:t>
            </w:r>
          </w:p>
        </w:tc>
        <w:tc>
          <w:tcPr>
            <w:tcW w:w="1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430,691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41,788</w:t>
            </w: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472,479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current assets</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502,423</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55,030</w:t>
            </w: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(73,540 )</w:t>
            </w: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483,913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Property and equipment, net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Goodwill and Intangible assets, net</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Investment and investment held in trust account, net</w:t>
            </w:r>
          </w:p>
        </w:tc>
        <w:tc>
          <w:tcPr>
            <w:tcW w:w="1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16,126,337</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(1,322,729 )</w:t>
            </w: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200" w:type="dxa"/>
            <w:vAlign w:val="bottom"/>
          </w:tcPr>
          <w:p>
            <w:pPr>
              <w:spacing w:after="0"/>
              <w:rPr>
                <w:sz w:val="8"/>
                <w:szCs w:val="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(14,803,608 )</w:t>
            </w: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line="78" w:lineRule="exact"/>
              <w:rPr>
                <w:sz w:val="20"/>
                <w:szCs w:val="20"/>
                <w:color w:val="auto"/>
              </w:rPr>
            </w:pPr>
            <w:r>
              <w:rPr>
                <w:rFonts w:ascii="Times New Roman" w:cs="Times New Roman" w:eastAsia="Times New Roman" w:hAnsi="Times New Roman"/>
                <w:sz w:val="8"/>
                <w:szCs w:val="8"/>
                <w:color w:val="auto"/>
              </w:rPr>
              <w:t>Total assets</w:t>
            </w: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ind w:right="79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1660" w:type="dxa"/>
            <w:vAlign w:val="bottom"/>
            <w:gridSpan w:val="3"/>
          </w:tcPr>
          <w:p>
            <w:pPr>
              <w:jc w:val="right"/>
              <w:ind w:right="6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380" w:type="dxa"/>
            <w:vAlign w:val="bottom"/>
          </w:tcPr>
          <w:p>
            <w:pPr>
              <w:spacing w:after="0"/>
              <w:rPr>
                <w:sz w:val="8"/>
                <w:szCs w:val="8"/>
                <w:color w:val="auto"/>
              </w:rPr>
            </w:pP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Liabilities and Equity</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liabilities:</w:t>
            </w: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Bank overdraft</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11,187,836</w:t>
            </w: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11,335,872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100" w:type="dxa"/>
            <w:vAlign w:val="bottom"/>
          </w:tcPr>
          <w:p>
            <w:pPr>
              <w:spacing w:after="0"/>
              <w:rPr>
                <w:sz w:val="8"/>
                <w:szCs w:val="8"/>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payable</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6,035,757</w:t>
            </w: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(6,035,757 )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(b)</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Due to related party</w:t>
            </w:r>
          </w:p>
        </w:tc>
        <w:tc>
          <w:tcPr>
            <w:tcW w:w="1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Short term debt to related party</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Taxes payable</w:t>
            </w:r>
          </w:p>
        </w:tc>
        <w:tc>
          <w:tcPr>
            <w:tcW w:w="1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1,491,622</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(1,491,622 )</w:t>
            </w: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200" w:type="dxa"/>
            <w:vAlign w:val="bottom"/>
          </w:tcPr>
          <w:p>
            <w:pPr>
              <w:spacing w:after="0"/>
              <w:rPr>
                <w:sz w:val="8"/>
                <w:szCs w:val="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(148,036 )</w:t>
            </w:r>
          </w:p>
        </w:tc>
        <w:tc>
          <w:tcPr>
            <w:tcW w:w="38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Notes-Related Party</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3,056,726</w:t>
            </w: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(3,056,726 )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(d)</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Ordinary shares payable</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10,236,655</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(10,236,655 )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(g)</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Subscription agreement liability, net</w:t>
            </w:r>
          </w:p>
        </w:tc>
        <w:tc>
          <w:tcPr>
            <w:tcW w:w="1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Accrued expenses and other payables</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Share-based payment liability</w:t>
            </w:r>
          </w:p>
        </w:tc>
        <w:tc>
          <w:tcPr>
            <w:tcW w:w="1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loan note</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current liabilities</w:t>
            </w: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22,776,285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(9,484,888 )</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24,230,005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debt</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38,737,594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(38,737,594 )</w:t>
            </w: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b w:val="1"/>
                <w:bCs w:val="1"/>
                <w:color w:val="auto"/>
              </w:rPr>
              <w:t>(h)</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100" w:type="dxa"/>
            <w:vAlign w:val="bottom"/>
          </w:tcPr>
          <w:p>
            <w:pPr>
              <w:spacing w:after="0"/>
              <w:rPr>
                <w:sz w:val="8"/>
                <w:szCs w:val="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8"/>
                <w:szCs w:val="8"/>
                <w:b w:val="1"/>
                <w:bCs w:val="1"/>
                <w:color w:val="auto"/>
              </w:rPr>
              <w:t>(q)</w:t>
            </w: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promissory notes</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liabilities</w:t>
            </w: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66,909,581</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w:t>
            </w:r>
          </w:p>
        </w:tc>
        <w:tc>
          <w:tcPr>
            <w:tcW w:w="900" w:type="dxa"/>
            <w:vAlign w:val="bottom"/>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(19,581,232 )</w:t>
            </w:r>
          </w:p>
        </w:tc>
        <w:tc>
          <w:tcPr>
            <w:tcW w:w="380" w:type="dxa"/>
            <w:vAlign w:val="bottom"/>
          </w:tcPr>
          <w:p>
            <w:pPr>
              <w:spacing w:after="0"/>
              <w:rPr>
                <w:sz w:val="9"/>
                <w:szCs w:val="9"/>
                <w:color w:val="auto"/>
              </w:rPr>
            </w:pP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58,266,957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Commitments and Contingencies</w:t>
            </w: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Common stock subject to possible redemption, 1,417,687 shares at redemption value of approximately $11.31 per share</w:t>
            </w: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(14,803,608 )</w:t>
            </w:r>
          </w:p>
        </w:tc>
        <w:tc>
          <w:tcPr>
            <w:tcW w:w="380" w:type="dxa"/>
            <w:vAlign w:val="bottom"/>
          </w:tcPr>
          <w:p>
            <w:pPr>
              <w:ind w:left="40"/>
              <w:spacing w:after="0"/>
              <w:rPr>
                <w:sz w:val="20"/>
                <w:szCs w:val="20"/>
                <w:color w:val="auto"/>
              </w:rPr>
            </w:pPr>
            <w:r>
              <w:rPr>
                <w:rFonts w:ascii="Times New Roman" w:cs="Times New Roman" w:eastAsia="Times New Roman" w:hAnsi="Times New Roman"/>
                <w:sz w:val="8"/>
                <w:szCs w:val="8"/>
                <w:b w:val="1"/>
                <w:bCs w:val="1"/>
                <w:color w:val="auto"/>
              </w:rPr>
              <w:t>(f)</w:t>
            </w:r>
          </w:p>
        </w:tc>
        <w:tc>
          <w:tcPr>
            <w:tcW w:w="200" w:type="dxa"/>
            <w:vAlign w:val="bottom"/>
          </w:tcPr>
          <w:p>
            <w:pPr>
              <w:spacing w:after="0"/>
              <w:rPr>
                <w:sz w:val="8"/>
                <w:szCs w:val="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(1,237,178 )</w:t>
            </w: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b w:val="1"/>
                <w:bCs w:val="1"/>
                <w:color w:val="auto"/>
              </w:rPr>
              <w:t>(i)</w:t>
            </w:r>
          </w:p>
        </w:tc>
        <w:tc>
          <w:tcPr>
            <w:tcW w:w="20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(16,040,786 )</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Armada</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gridSpan w:val="4"/>
          </w:tcPr>
          <w:p>
            <w:pPr>
              <w:ind w:left="118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320" w:type="dxa"/>
            <w:vAlign w:val="bottom"/>
          </w:tcPr>
          <w:p>
            <w:pPr>
              <w:spacing w:after="0"/>
              <w:rPr>
                <w:sz w:val="7"/>
                <w:szCs w:val="7"/>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Rezolve</w:t>
            </w:r>
          </w:p>
        </w:tc>
        <w:tc>
          <w:tcPr>
            <w:tcW w:w="9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3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Corp. I</w:t>
            </w: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(Historical</w:t>
            </w: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2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8"/>
                <w:szCs w:val="8"/>
                <w:b w:val="1"/>
                <w:bCs w:val="1"/>
                <w:color w:val="auto"/>
              </w:rPr>
              <w:t>Transaction Accounting</w:t>
            </w: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3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1"/>
        </w:trPr>
        <w:tc>
          <w:tcPr>
            <w:tcW w:w="43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Stockholders' Equity:</w:t>
            </w:r>
          </w:p>
        </w:tc>
        <w:tc>
          <w:tcPr>
            <w:tcW w:w="1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3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Ordinary shares</w:t>
            </w:r>
          </w:p>
        </w:tc>
        <w:tc>
          <w:tcPr>
            <w:tcW w:w="1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20"/>
                <w:szCs w:val="20"/>
                <w:color w:val="auto"/>
              </w:rPr>
            </w:pPr>
            <w:r>
              <w:rPr>
                <w:rFonts w:ascii="Times New Roman" w:cs="Times New Roman" w:eastAsia="Times New Roman" w:hAnsi="Times New Roman"/>
                <w:sz w:val="8"/>
                <w:szCs w:val="8"/>
                <w:color w:val="auto"/>
              </w:rPr>
              <w:t>Shares issued and outstanding as of June 30, 2024 - 932,997,081; as of December 31, 2023 - 932,969,424 at par value £</w:t>
            </w: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(h)</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320" w:type="dxa"/>
            <w:vAlign w:val="bottom"/>
          </w:tcPr>
          <w:p>
            <w:pPr>
              <w:spacing w:after="0"/>
              <w:rPr>
                <w:sz w:val="20"/>
                <w:szCs w:val="20"/>
                <w:color w:val="auto"/>
              </w:rPr>
            </w:pPr>
            <w:r>
              <w:rPr>
                <w:rFonts w:ascii="Times New Roman" w:cs="Times New Roman" w:eastAsia="Times New Roman" w:hAnsi="Times New Roman"/>
                <w:sz w:val="8"/>
                <w:szCs w:val="8"/>
                <w:color w:val="auto"/>
              </w:rPr>
              <w:t>0.0001</w:t>
            </w:r>
          </w:p>
        </w:tc>
        <w:tc>
          <w:tcPr>
            <w:tcW w:w="1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127,313</w:t>
            </w: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863</w:t>
            </w:r>
          </w:p>
        </w:tc>
        <w:tc>
          <w:tcPr>
            <w:tcW w:w="12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141,390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1,436</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(g)</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w:t>
            </w:r>
          </w:p>
        </w:tc>
        <w:tc>
          <w:tcPr>
            <w:tcW w:w="120" w:type="dxa"/>
            <w:vAlign w:val="bottom"/>
          </w:tcPr>
          <w:p>
            <w:pPr>
              <w:spacing w:after="0"/>
              <w:rPr>
                <w:sz w:val="8"/>
                <w:szCs w:val="8"/>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(k)</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w:t>
            </w:r>
          </w:p>
        </w:tc>
        <w:tc>
          <w:tcPr>
            <w:tcW w:w="120" w:type="dxa"/>
            <w:vAlign w:val="bottom"/>
          </w:tcPr>
          <w:p>
            <w:pPr>
              <w:spacing w:after="0"/>
              <w:rPr>
                <w:sz w:val="8"/>
                <w:szCs w:val="8"/>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(i)</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303</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7,464</w:t>
            </w:r>
          </w:p>
        </w:tc>
        <w:tc>
          <w:tcPr>
            <w:tcW w:w="120" w:type="dxa"/>
            <w:vAlign w:val="bottom"/>
          </w:tcPr>
          <w:p>
            <w:pPr>
              <w:spacing w:after="0"/>
              <w:rPr>
                <w:sz w:val="8"/>
                <w:szCs w:val="8"/>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Series A shares issued and outstanding as of June 30, 2024 and December 31, 2023 - 28,039,517 nil at par value £0.0001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(3,868 )</w:t>
            </w: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20"/>
                <w:szCs w:val="20"/>
                <w:color w:val="auto"/>
              </w:rPr>
            </w:pPr>
            <w:r>
              <w:rPr>
                <w:rFonts w:ascii="Times New Roman" w:cs="Times New Roman" w:eastAsia="Times New Roman" w:hAnsi="Times New Roman"/>
                <w:sz w:val="8"/>
                <w:szCs w:val="8"/>
                <w:color w:val="auto"/>
              </w:rPr>
              <w:t>Common stock, $0.0001 par value; 100,000,000 shares authorized; 5,709,500 shares issued and outstanding</w:t>
            </w: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w:t>
            </w: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(570 )</w:t>
            </w: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Additional paid-in capital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176,274,941</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261,161</w:t>
            </w:r>
          </w:p>
        </w:tc>
        <w:tc>
          <w:tcPr>
            <w:tcW w:w="22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(1,300,000 )</w:t>
            </w: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(51,527,293 )</w:t>
            </w: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38,736,731</w:t>
            </w:r>
          </w:p>
        </w:tc>
        <w:tc>
          <w:tcPr>
            <w:tcW w:w="120" w:type="dxa"/>
            <w:vAlign w:val="bottom"/>
          </w:tcPr>
          <w:p>
            <w:pPr>
              <w:spacing w:after="0"/>
              <w:rPr>
                <w:sz w:val="8"/>
                <w:szCs w:val="8"/>
                <w:color w:val="auto"/>
              </w:rPr>
            </w:pP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(h)</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10,235,219</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(g)</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531</w:t>
            </w:r>
          </w:p>
        </w:tc>
        <w:tc>
          <w:tcPr>
            <w:tcW w:w="120" w:type="dxa"/>
            <w:vAlign w:val="bottom"/>
          </w:tcPr>
          <w:p>
            <w:pPr>
              <w:spacing w:after="0"/>
              <w:rPr>
                <w:sz w:val="8"/>
                <w:szCs w:val="8"/>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1,237,075</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(i)</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3,062,197</w:t>
            </w:r>
          </w:p>
        </w:tc>
        <w:tc>
          <w:tcPr>
            <w:tcW w:w="120" w:type="dxa"/>
            <w:vAlign w:val="bottom"/>
          </w:tcPr>
          <w:p>
            <w:pPr>
              <w:spacing w:after="0"/>
              <w:rPr>
                <w:sz w:val="8"/>
                <w:szCs w:val="8"/>
                <w:color w:val="auto"/>
              </w:rPr>
            </w:pP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36,731,490</w:t>
            </w:r>
          </w:p>
        </w:tc>
        <w:tc>
          <w:tcPr>
            <w:tcW w:w="12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(11,059,758 )</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(n)</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5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(o)</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(276,572,830 )</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(28,641,250 )</w:t>
            </w:r>
          </w:p>
        </w:tc>
        <w:tc>
          <w:tcPr>
            <w:tcW w:w="5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(q)</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20"/>
                <w:szCs w:val="20"/>
                <w:color w:val="auto"/>
              </w:rPr>
            </w:pPr>
            <w:r>
              <w:rPr>
                <w:rFonts w:ascii="Times New Roman" w:cs="Times New Roman" w:eastAsia="Times New Roman" w:hAnsi="Times New Roman"/>
                <w:sz w:val="8"/>
                <w:szCs w:val="8"/>
                <w:color w:val="auto"/>
              </w:rPr>
              <w:t>Stock subscription receivable</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(178,720 )</w:t>
            </w:r>
          </w:p>
        </w:tc>
        <w:tc>
          <w:tcPr>
            <w:tcW w:w="90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(178,720 )</w:t>
            </w:r>
          </w:p>
        </w:tc>
        <w:tc>
          <w:tcPr>
            <w:tcW w:w="0" w:type="dxa"/>
            <w:vAlign w:val="bottom"/>
          </w:tcPr>
          <w:p>
            <w:pPr>
              <w:spacing w:after="0"/>
              <w:rPr>
                <w:sz w:val="1"/>
                <w:szCs w:val="1"/>
                <w:color w:val="auto"/>
              </w:rPr>
            </w:pPr>
          </w:p>
        </w:tc>
      </w:tr>
      <w:tr>
        <w:trPr>
          <w:trHeight w:val="98"/>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Accumulated deficit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(239,133,876 )</w:t>
            </w:r>
          </w:p>
        </w:tc>
        <w:tc>
          <w:tcPr>
            <w:tcW w:w="900" w:type="dxa"/>
            <w:vAlign w:val="bottom"/>
            <w:shd w:val="clear" w:color="auto" w:fill="CFF0FC"/>
          </w:tcPr>
          <w:p>
            <w:pPr>
              <w:spacing w:after="0"/>
              <w:rPr>
                <w:sz w:val="8"/>
                <w:szCs w:val="8"/>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(11,059,758 )</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(700,000 )</w:t>
            </w:r>
          </w:p>
        </w:tc>
        <w:tc>
          <w:tcPr>
            <w:tcW w:w="5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(2,717,736 )</w:t>
            </w: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(f)</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(3,062,500 )</w:t>
            </w:r>
          </w:p>
        </w:tc>
        <w:tc>
          <w:tcPr>
            <w:tcW w:w="5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(36,738,954 )</w:t>
            </w:r>
          </w:p>
        </w:tc>
        <w:tc>
          <w:tcPr>
            <w:tcW w:w="5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11,059,758</w:t>
            </w:r>
          </w:p>
        </w:tc>
        <w:tc>
          <w:tcPr>
            <w:tcW w:w="120" w:type="dxa"/>
            <w:vAlign w:val="bottom"/>
            <w:shd w:val="clear" w:color="auto" w:fill="CFF0FC"/>
          </w:tcPr>
          <w:p>
            <w:pPr>
              <w:spacing w:after="0"/>
              <w:rPr>
                <w:sz w:val="8"/>
                <w:szCs w:val="8"/>
                <w:color w:val="auto"/>
              </w:rPr>
            </w:pPr>
          </w:p>
        </w:tc>
        <w:tc>
          <w:tcPr>
            <w:tcW w:w="5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(n)</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492,800</w:t>
            </w:r>
          </w:p>
        </w:tc>
        <w:tc>
          <w:tcPr>
            <w:tcW w:w="120" w:type="dxa"/>
            <w:vAlign w:val="bottom"/>
          </w:tcPr>
          <w:p>
            <w:pPr>
              <w:spacing w:after="0"/>
              <w:rPr>
                <w:sz w:val="8"/>
                <w:szCs w:val="8"/>
                <w:color w:val="auto"/>
              </w:rPr>
            </w:pP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(o)</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276,572,830</w:t>
            </w:r>
          </w:p>
        </w:tc>
        <w:tc>
          <w:tcPr>
            <w:tcW w:w="120" w:type="dxa"/>
            <w:vAlign w:val="bottom"/>
            <w:shd w:val="clear" w:color="auto" w:fill="CFF0FC"/>
          </w:tcPr>
          <w:p>
            <w:pPr>
              <w:spacing w:after="0"/>
              <w:rPr>
                <w:sz w:val="8"/>
                <w:szCs w:val="8"/>
                <w:color w:val="auto"/>
              </w:rPr>
            </w:pPr>
          </w:p>
        </w:tc>
        <w:tc>
          <w:tcPr>
            <w:tcW w:w="5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rPr>
              <w:t>(42,653 )</w:t>
            </w:r>
          </w:p>
        </w:tc>
        <w:tc>
          <w:tcPr>
            <w:tcW w:w="90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(42,653 )</w:t>
            </w:r>
          </w:p>
        </w:tc>
        <w:tc>
          <w:tcPr>
            <w:tcW w:w="0" w:type="dxa"/>
            <w:vAlign w:val="bottom"/>
          </w:tcPr>
          <w:p>
            <w:pPr>
              <w:spacing w:after="0"/>
              <w:rPr>
                <w:sz w:val="1"/>
                <w:szCs w:val="1"/>
                <w:color w:val="auto"/>
              </w:rPr>
            </w:pPr>
          </w:p>
        </w:tc>
      </w:tr>
      <w:tr>
        <w:trPr>
          <w:trHeight w:val="98"/>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shareholders' equity (deficit)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(62,949,127 )</w:t>
            </w:r>
          </w:p>
        </w:tc>
        <w:tc>
          <w:tcPr>
            <w:tcW w:w="900" w:type="dxa"/>
            <w:vAlign w:val="bottom"/>
            <w:shd w:val="clear" w:color="auto" w:fill="CFF0FC"/>
          </w:tcPr>
          <w:p>
            <w:pPr>
              <w:spacing w:after="0"/>
              <w:rPr>
                <w:sz w:val="8"/>
                <w:szCs w:val="8"/>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8"/>
                <w:szCs w:val="8"/>
                <w:color w:val="auto"/>
              </w:rPr>
              <w:t>(10,798,027 )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19,422,141</w:t>
            </w:r>
          </w:p>
        </w:tc>
        <w:tc>
          <w:tcPr>
            <w:tcW w:w="1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(54,325,013 )</w:t>
            </w:r>
          </w:p>
        </w:tc>
        <w:tc>
          <w:tcPr>
            <w:tcW w:w="0" w:type="dxa"/>
            <w:vAlign w:val="bottom"/>
          </w:tcPr>
          <w:p>
            <w:pPr>
              <w:spacing w:after="0"/>
              <w:rPr>
                <w:sz w:val="1"/>
                <w:szCs w:val="1"/>
                <w:color w:val="auto"/>
              </w:rPr>
            </w:pPr>
          </w:p>
        </w:tc>
      </w:tr>
      <w:tr>
        <w:trPr>
          <w:trHeight w:val="98"/>
        </w:trPr>
        <w:tc>
          <w:tcPr>
            <w:tcW w:w="4320" w:type="dxa"/>
            <w:vAlign w:val="bottom"/>
          </w:tcPr>
          <w:p>
            <w:pPr>
              <w:spacing w:after="0" w:line="78" w:lineRule="exact"/>
              <w:rPr>
                <w:sz w:val="20"/>
                <w:szCs w:val="20"/>
                <w:color w:val="auto"/>
              </w:rPr>
            </w:pPr>
            <w:r>
              <w:rPr>
                <w:rFonts w:ascii="Times New Roman" w:cs="Times New Roman" w:eastAsia="Times New Roman" w:hAnsi="Times New Roman"/>
                <w:sz w:val="8"/>
                <w:szCs w:val="8"/>
                <w:color w:val="auto"/>
              </w:rPr>
              <w:t>Total liabilities and shareholders' equity</w:t>
            </w:r>
          </w:p>
        </w:tc>
        <w:tc>
          <w:tcPr>
            <w:tcW w:w="134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220" w:type="dxa"/>
            <w:vAlign w:val="bottom"/>
          </w:tcPr>
          <w:p>
            <w:pPr>
              <w:spacing w:after="0"/>
              <w:rPr>
                <w:sz w:val="8"/>
                <w:szCs w:val="8"/>
                <w:color w:val="auto"/>
              </w:rPr>
            </w:pPr>
          </w:p>
        </w:tc>
        <w:tc>
          <w:tcPr>
            <w:tcW w:w="1440" w:type="dxa"/>
            <w:vAlign w:val="bottom"/>
            <w:gridSpan w:val="2"/>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PERIOD ENDED JUNE 30,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4"/>
          </w:tcPr>
          <w:p>
            <w:pPr>
              <w:jc w:val="center"/>
              <w:ind w:left="70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jc w:val="center"/>
              <w:ind w:right="160"/>
              <w:spacing w:after="0" w:line="89" w:lineRule="exact"/>
              <w:rPr>
                <w:sz w:val="20"/>
                <w:szCs w:val="20"/>
                <w:color w:val="auto"/>
              </w:rPr>
            </w:pPr>
            <w:r>
              <w:rPr>
                <w:rFonts w:ascii="Times New Roman" w:cs="Times New Roman" w:eastAsia="Times New Roman" w:hAnsi="Times New Roman"/>
                <w:sz w:val="8"/>
                <w:szCs w:val="8"/>
                <w:b w:val="1"/>
                <w:bCs w:val="1"/>
                <w:color w:val="auto"/>
              </w:rPr>
              <w:t>Rezolve AI Limited and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gridSpan w:val="3"/>
          </w:tcPr>
          <w:p>
            <w:pPr>
              <w:jc w:val="center"/>
              <w:ind w:right="260"/>
              <w:spacing w:after="0" w:line="89" w:lineRule="exact"/>
              <w:rPr>
                <w:sz w:val="20"/>
                <w:szCs w:val="20"/>
                <w:color w:val="auto"/>
              </w:rPr>
            </w:pPr>
            <w:r>
              <w:rPr>
                <w:rFonts w:ascii="Times New Roman" w:cs="Times New Roman" w:eastAsia="Times New Roman" w:hAnsi="Times New Roman"/>
                <w:sz w:val="8"/>
                <w:szCs w:val="8"/>
                <w:b w:val="1"/>
                <w:bCs w:val="1"/>
                <w:color w:val="auto"/>
              </w:rPr>
              <w:t>Armada Acquisition Corp. I</w:t>
            </w: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Subsidiaries (Six months ended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Pro Forma Consolidated</w:t>
            </w:r>
          </w:p>
        </w:tc>
      </w:t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8"/>
                <w:szCs w:val="8"/>
                <w:b w:val="1"/>
                <w:bCs w:val="1"/>
                <w:color w:val="auto"/>
                <w:w w:val="96"/>
              </w:rPr>
              <w:t>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4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Revenue</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20" w:type="dxa"/>
            <w:vAlign w:val="bottom"/>
            <w:shd w:val="clear" w:color="auto" w:fill="CFF0FC"/>
          </w:tcPr>
          <w:p>
            <w:pPr>
              <w:spacing w:after="0"/>
              <w:rPr>
                <w:sz w:val="8"/>
                <w:szCs w:val="8"/>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Cost of sales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Stock-based compensation</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551,409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(551,409 )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Sales and marketing expense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1,431,430</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4,599,000</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6,030,430</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8,066,209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45,124,701</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32,139,954</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3,062,500</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(cc)</w:t>
            </w: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Formation cost</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1,304,629</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(1,304,629 )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Other operating costs and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Impairment of customer list</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Impairment of goodwill</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108"/>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operating expenses</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9,719,157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39,801,454</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51,376,649</w:t>
            </w:r>
          </w:p>
        </w:tc>
        <w:tc>
          <w:tcPr>
            <w:tcW w:w="100" w:type="dxa"/>
            <w:vAlign w:val="bottom"/>
          </w:tcPr>
          <w:p>
            <w:pPr>
              <w:spacing w:after="0"/>
              <w:rPr>
                <w:sz w:val="9"/>
                <w:szCs w:val="9"/>
                <w:color w:val="auto"/>
              </w:rPr>
            </w:pPr>
          </w:p>
        </w:tc>
      </w:tr>
      <w:tr>
        <w:trPr>
          <w:trHeight w:val="87"/>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gridSpan w:val="2"/>
          </w:tcPr>
          <w:p>
            <w:pPr>
              <w:spacing w:after="0"/>
              <w:rPr>
                <w:sz w:val="7"/>
                <w:szCs w:val="7"/>
                <w:color w:val="auto"/>
              </w:rPr>
            </w:pPr>
          </w:p>
        </w:tc>
      </w:tr>
      <w:tr>
        <w:trPr>
          <w:trHeight w:val="100"/>
        </w:trPr>
        <w:tc>
          <w:tcPr>
            <w:tcW w:w="4280" w:type="dxa"/>
            <w:vAlign w:val="bottom"/>
            <w:shd w:val="clear" w:color="auto" w:fill="CFF0FC"/>
          </w:tcPr>
          <w:p>
            <w:pPr>
              <w:spacing w:after="0" w:line="78" w:lineRule="exact"/>
              <w:rPr>
                <w:sz w:val="20"/>
                <w:szCs w:val="20"/>
                <w:color w:val="auto"/>
              </w:rPr>
            </w:pPr>
            <w:r>
              <w:rPr>
                <w:rFonts w:ascii="Times New Roman" w:cs="Times New Roman" w:eastAsia="Times New Roman" w:hAnsi="Times New Roman"/>
                <w:sz w:val="8"/>
                <w:szCs w:val="8"/>
                <w:b w:val="1"/>
                <w:bCs w:val="1"/>
                <w:color w:val="auto"/>
              </w:rPr>
              <w:t>Loss from operations</w:t>
            </w:r>
          </w:p>
        </w:tc>
        <w:tc>
          <w:tcPr>
            <w:tcW w:w="60" w:type="dxa"/>
            <w:vAlign w:val="bottom"/>
            <w:shd w:val="clear" w:color="auto" w:fill="CFF0FC"/>
          </w:tcPr>
          <w:p>
            <w:pPr>
              <w:jc w:val="right"/>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(9,665,758 </w:t>
            </w:r>
            <w:r>
              <w:rPr>
                <w:rFonts w:ascii="Times New Roman" w:cs="Times New Roman" w:eastAsia="Times New Roman" w:hAnsi="Times New Roman"/>
                <w:sz w:val="8"/>
                <w:szCs w:val="8"/>
                <w:color w:val="auto"/>
                <w:vertAlign w:val="subscript"/>
              </w:rPr>
              <w:t>)</w:t>
            </w:r>
          </w:p>
        </w:tc>
        <w:tc>
          <w:tcPr>
            <w:tcW w:w="160" w:type="dxa"/>
            <w:vAlign w:val="bottom"/>
            <w:gridSpan w:val="2"/>
            <w:shd w:val="clear" w:color="auto" w:fill="CFF0FC"/>
          </w:tcPr>
          <w:p>
            <w:pPr>
              <w:jc w:val="right"/>
              <w:ind w:right="20"/>
              <w:spacing w:after="0" w:line="78" w:lineRule="exact"/>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(1,856,038 </w:t>
            </w:r>
            <w:r>
              <w:rPr>
                <w:rFonts w:ascii="Times New Roman" w:cs="Times New Roman" w:eastAsia="Times New Roman" w:hAnsi="Times New Roman"/>
                <w:sz w:val="8"/>
                <w:szCs w:val="8"/>
                <w:color w:val="auto"/>
                <w:vertAlign w:val="subscript"/>
              </w:rPr>
              <w:t>)</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ind w:left="20"/>
              <w:spacing w:after="0" w:line="78" w:lineRule="exact"/>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(39,801,454 </w:t>
            </w:r>
            <w:r>
              <w:rPr>
                <w:rFonts w:ascii="Times New Roman" w:cs="Times New Roman" w:eastAsia="Times New Roman" w:hAnsi="Times New Roman"/>
                <w:sz w:val="8"/>
                <w:szCs w:val="8"/>
                <w:color w:val="auto"/>
                <w:vertAlign w:val="subscript"/>
              </w:rPr>
              <w:t>)</w:t>
            </w:r>
          </w:p>
        </w:tc>
        <w:tc>
          <w:tcPr>
            <w:tcW w:w="700" w:type="dxa"/>
            <w:vAlign w:val="bottom"/>
            <w:gridSpan w:val="2"/>
            <w:shd w:val="clear" w:color="auto" w:fill="CFF0FC"/>
          </w:tcPr>
          <w:p>
            <w:pPr>
              <w:jc w:val="right"/>
              <w:ind w:right="160"/>
              <w:spacing w:after="0" w:line="78" w:lineRule="exact"/>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shd w:val="clear" w:color="auto" w:fill="CFF0FC"/>
          </w:tcPr>
          <w:p>
            <w:pPr>
              <w:jc w:val="right"/>
              <w:ind w:right="60"/>
              <w:spacing w:after="0" w:line="78" w:lineRule="exact"/>
              <w:rPr>
                <w:sz w:val="20"/>
                <w:szCs w:val="20"/>
                <w:color w:val="auto"/>
              </w:rPr>
            </w:pPr>
            <w:r>
              <w:rPr>
                <w:rFonts w:ascii="Times New Roman" w:cs="Times New Roman" w:eastAsia="Times New Roman" w:hAnsi="Times New Roman"/>
                <w:sz w:val="5"/>
                <w:szCs w:val="5"/>
                <w:color w:val="auto"/>
              </w:rPr>
              <w:t xml:space="preserve">(51,323,250 </w:t>
            </w:r>
            <w:r>
              <w:rPr>
                <w:rFonts w:ascii="Times New Roman" w:cs="Times New Roman" w:eastAsia="Times New Roman" w:hAnsi="Times New Roman"/>
                <w:sz w:val="8"/>
                <w:szCs w:val="8"/>
                <w:color w:val="auto"/>
                <w:vertAlign w:val="subscript"/>
              </w:rPr>
              <w:t>)</w:t>
            </w:r>
          </w:p>
        </w:tc>
      </w:tr>
      <w:tr>
        <w:trPr>
          <w:trHeight w:val="195"/>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Other (expense) income</w:t>
            </w:r>
          </w:p>
        </w:tc>
        <w:tc>
          <w:tcPr>
            <w:tcW w:w="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4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Interest expense</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(3,009,002 )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(338,861 )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(dd)</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(3,840,663 )</w:t>
            </w: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Interest income</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476,445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(476,445 )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(ee)</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(107,816 )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(2,100,000 )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(ff)</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(2,207,816 )</w:t>
            </w:r>
          </w:p>
        </w:tc>
      </w:tr>
      <w:tr>
        <w:trPr>
          <w:trHeight w:val="197"/>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other (expenses) / income, net</w:t>
            </w:r>
          </w:p>
        </w:tc>
        <w:tc>
          <w:tcPr>
            <w:tcW w:w="6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(3,116,818 )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137,584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(3,069,245 )</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(6,048,479 )</w:t>
            </w:r>
          </w:p>
        </w:tc>
      </w:tr>
      <w:tr>
        <w:trPr>
          <w:trHeight w:val="96"/>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spacing w:after="0"/>
              <w:rPr>
                <w:sz w:val="8"/>
                <w:szCs w:val="8"/>
                <w:color w:val="auto"/>
              </w:rPr>
            </w:pPr>
          </w:p>
        </w:tc>
      </w:tr>
      <w:tr>
        <w:trPr>
          <w:trHeight w:val="98"/>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Income (loss) before taxes</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(12,782,576 )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(1,718,454 )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(42,870,699 )</w:t>
            </w: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(57,371,729 )</w:t>
            </w: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Provision for income taxes</w:t>
            </w:r>
          </w:p>
        </w:tc>
        <w:tc>
          <w:tcPr>
            <w:tcW w:w="6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(59,870 )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(85,487 )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85,487</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(gg)</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(207,906 )</w:t>
            </w: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(hh)</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8"/>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(12,842,446 </w:t>
            </w:r>
            <w:r>
              <w:rPr>
                <w:rFonts w:ascii="Times New Roman" w:cs="Times New Roman" w:eastAsia="Times New Roman" w:hAnsi="Times New Roman"/>
                <w:sz w:val="16"/>
                <w:szCs w:val="16"/>
                <w:color w:val="auto"/>
                <w:vertAlign w:val="subscript"/>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(1,803,941 </w:t>
            </w:r>
            <w:r>
              <w:rPr>
                <w:rFonts w:ascii="Times New Roman" w:cs="Times New Roman" w:eastAsia="Times New Roman" w:hAnsi="Times New Roman"/>
                <w:sz w:val="16"/>
                <w:szCs w:val="16"/>
                <w:color w:val="auto"/>
                <w:vertAlign w:val="subscript"/>
              </w:rPr>
              <w:t>)</w:t>
            </w:r>
          </w:p>
        </w:tc>
        <w:tc>
          <w:tcPr>
            <w:tcW w:w="10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(42,933,248 </w:t>
            </w:r>
            <w:r>
              <w:rPr>
                <w:rFonts w:ascii="Times New Roman" w:cs="Times New Roman" w:eastAsia="Times New Roman" w:hAnsi="Times New Roman"/>
                <w:sz w:val="16"/>
                <w:szCs w:val="16"/>
                <w:color w:val="auto"/>
                <w:vertAlign w:val="subscript"/>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8"/>
                <w:szCs w:val="8"/>
                <w:color w:val="auto"/>
              </w:rPr>
              <w:t xml:space="preserve">(57,579,635 </w:t>
            </w:r>
            <w:r>
              <w:rPr>
                <w:rFonts w:ascii="Times New Roman" w:cs="Times New Roman" w:eastAsia="Times New Roman" w:hAnsi="Times New Roman"/>
                <w:sz w:val="16"/>
                <w:szCs w:val="16"/>
                <w:color w:val="auto"/>
                <w:vertAlign w:val="subscript"/>
              </w:rPr>
              <w:t>)</w:t>
            </w:r>
          </w:p>
        </w:tc>
      </w:tr>
      <w:tr>
        <w:trPr>
          <w:trHeight w:val="98"/>
        </w:trPr>
        <w:tc>
          <w:tcPr>
            <w:tcW w:w="4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Earnings Per Share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Weighted average shares of Rezolve common stock used in computing net loss per share, basic and diluted</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927,893,144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(0.01 )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6"/>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5,709,500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Proforma Basic and diluted weighted average shares outstanding, common stock subject to possible redemption</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204,702,306</w:t>
            </w: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Proforma 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(0.28 )</w:t>
            </w: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PRO FORMA CONDENSED COMBINED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1—Basis of Presentation</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0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should be read in conjunction with: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418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incorporated by reference in this filing; •the historical unaudited financial statements for Armada as of and for the quarter ended December 31, 2023, incorporated by reference to this filing;</w:t>
      </w:r>
    </w:p>
    <w:p>
      <w:pPr>
        <w:ind w:left="480" w:right="2900"/>
        <w:spacing w:after="0" w:line="38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AI Limited as of, and for the year ended, December 31, 2023, included elsewhere in this proxy statement/prospectus; and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Operations</w:t>
      </w:r>
      <w:r>
        <w:rPr>
          <w:rFonts w:ascii="Times New Roman" w:cs="Times New Roman" w:eastAsia="Times New Roman" w:hAnsi="Times New Roman"/>
          <w:sz w:val="10"/>
          <w:szCs w:val="10"/>
          <w:color w:val="auto"/>
        </w:rPr>
        <w:t>”</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condensed pro forma adjustments, which are described in the accompanying notes, may be revised as additional information becomes available and is evaluated.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3" w:name="page54"/>
    <w:bookmarkEnd w:id="53"/>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2—Unaudited pro forma condensed combined balance sheet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to the unaudited pro forma condensed combined balance sheet as of December 31, 2023 are as follows: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w:t>
      </w:r>
      <w:r>
        <w:rPr>
          <w:rFonts w:ascii="Times New Roman" w:cs="Times New Roman" w:eastAsia="Times New Roman" w:hAnsi="Times New Roman"/>
          <w:sz w:val="10"/>
          <w:szCs w:val="10"/>
          <w:color w:val="auto"/>
        </w:rPr>
        <w:t>Reflects the estimated transaction costs incurred including, but not limited to advisory fees, legal fees and demerger costs that will be paid in connection with the consummation of the Business Combination.</w:t>
      </w:r>
    </w:p>
    <w:p>
      <w:pPr>
        <w:spacing w:after="0" w:line="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•Fees. Fee payments of an aggregate of approximately $31.5 million to CCM, Northland and Cantor Fitzgerald due upon Closing of the Business Combination.</w:t>
      </w:r>
    </w:p>
    <w:p>
      <w:pPr>
        <w:spacing w:after="0" w:line="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•Demerger and Liquidation costs of approximately $3.1 million.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(b)</w:t>
      </w:r>
      <w:r>
        <w:rPr>
          <w:rFonts w:ascii="Times New Roman" w:cs="Times New Roman" w:eastAsia="Times New Roman" w:hAnsi="Times New Roman"/>
          <w:sz w:val="10"/>
          <w:szCs w:val="10"/>
          <w:color w:val="auto"/>
        </w:rPr>
        <w:t>Reflects the settlement of Accounts payable of Armada primarily due to legal costs of the Business Combinations.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w:t>
      </w:r>
      <w:r>
        <w:rPr>
          <w:rFonts w:ascii="Times New Roman" w:cs="Times New Roman" w:eastAsia="Times New Roman" w:hAnsi="Times New Roman"/>
          <w:sz w:val="10"/>
          <w:szCs w:val="10"/>
          <w:color w:val="auto"/>
        </w:rPr>
        <w:t>Reflects the payment of taxes payable using interest earned on cash held in trust.</w:t>
      </w:r>
    </w:p>
    <w:p>
      <w:pPr>
        <w:spacing w:after="0" w:line="58"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i w:val="1"/>
          <w:iCs w:val="1"/>
          <w:color w:val="auto"/>
        </w:rPr>
        <w:t>(d)</w:t>
      </w:r>
      <w:r>
        <w:rPr>
          <w:rFonts w:ascii="Times New Roman" w:cs="Times New Roman" w:eastAsia="Times New Roman" w:hAnsi="Times New Roman"/>
          <w:sz w:val="10"/>
          <w:szCs w:val="10"/>
          <w:color w:val="auto"/>
        </w:rPr>
        <w:t>Reflects a promissory note issued by Rezolve AI Limited to Cohen &amp; Company Financial Management LLC for $3,056,726 with interest on the principal amount outstanding at a rate of 4.95% per annum with the principal amount and any accrued interest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due and payable on August 14, 2027.</w:t>
      </w:r>
    </w:p>
    <w:p>
      <w:pPr>
        <w:spacing w:after="0" w:line="37" w:lineRule="exact"/>
        <w:rPr>
          <w:sz w:val="20"/>
          <w:szCs w:val="20"/>
          <w:color w:val="auto"/>
        </w:rPr>
      </w:pPr>
    </w:p>
    <w:p>
      <w:pPr>
        <w:ind w:left="480" w:right="40"/>
        <w:spacing w:after="0" w:line="239" w:lineRule="auto"/>
        <w:rPr>
          <w:sz w:val="20"/>
          <w:szCs w:val="20"/>
          <w:color w:val="auto"/>
        </w:rPr>
      </w:pPr>
      <w:r>
        <w:rPr>
          <w:rFonts w:ascii="Times New Roman" w:cs="Times New Roman" w:eastAsia="Times New Roman" w:hAnsi="Times New Roman"/>
          <w:sz w:val="10"/>
          <w:szCs w:val="10"/>
          <w:i w:val="1"/>
          <w:iCs w:val="1"/>
          <w:color w:val="auto"/>
        </w:rPr>
        <w:t>(e)</w:t>
      </w:r>
      <w:r>
        <w:rPr>
          <w:rFonts w:ascii="Times New Roman" w:cs="Times New Roman" w:eastAsia="Times New Roman" w:hAnsi="Times New Roman"/>
          <w:sz w:val="10"/>
          <w:szCs w:val="10"/>
          <w:color w:val="auto"/>
        </w:rPr>
        <w:t>Reflects the withdrawals of cash from the Trust Account, excluding the redemptions in note (f) . The Charter Limitation in the Armada Charter would prohibit Armada from closing the Business Combination if has net tangible assets less than $5,000,001</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(f)</w:t>
      </w:r>
      <w:r>
        <w:rPr>
          <w:rFonts w:ascii="Times New Roman" w:cs="Times New Roman" w:eastAsia="Times New Roman" w:hAnsi="Times New Roman"/>
          <w:sz w:val="10"/>
          <w:szCs w:val="10"/>
          <w:color w:val="auto"/>
        </w:rPr>
        <w:t>Reflects the redemption of 1,300,391 shares in August 2024, respectively out of a total of 1,417,687 as at June 30,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(g)</w:t>
      </w:r>
      <w:r>
        <w:rPr>
          <w:rFonts w:ascii="Times New Roman" w:cs="Times New Roman" w:eastAsia="Times New Roman" w:hAnsi="Times New Roman"/>
          <w:sz w:val="10"/>
          <w:szCs w:val="10"/>
          <w:color w:val="auto"/>
        </w:rPr>
        <w:t>Reflects the conversion of the ordinary shares payable under the rights issue upon the completion of the reorganization immediately before listing.</w:t>
      </w:r>
    </w:p>
    <w:p>
      <w:pPr>
        <w:spacing w:after="0" w:line="5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i w:val="1"/>
          <w:iCs w:val="1"/>
          <w:color w:val="auto"/>
        </w:rPr>
        <w:t>(h)</w:t>
      </w:r>
      <w:r>
        <w:rPr>
          <w:rFonts w:ascii="Times New Roman" w:cs="Times New Roman" w:eastAsia="Times New Roman" w:hAnsi="Times New Roman"/>
          <w:sz w:val="10"/>
          <w:szCs w:val="10"/>
          <w:color w:val="auto"/>
        </w:rPr>
        <w:t>Reflects the conversion of short-term convertible debt into Rezolve Common stock at $1 per loan note to a 5% discount to the pre-equity consummation of the Business Combination. Reflects the conversion of long-term convertible debt at the close of the</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w:t>
      </w:r>
      <w:r>
        <w:rPr>
          <w:rFonts w:ascii="Times New Roman" w:cs="Times New Roman" w:eastAsia="Times New Roman" w:hAnsi="Times New Roman"/>
          <w:sz w:val="10"/>
          <w:szCs w:val="10"/>
          <w:color w:val="auto"/>
        </w:rPr>
        <w:t>Reflects the exchange of Armada Common Stock having a nominal value of $0.0001 per share into the Combined Company’s ordinary shares of £0.0001 per share, with the remainder captured in Rezolve’s additional paid-in capital.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(j)</w:t>
      </w:r>
      <w:r>
        <w:rPr>
          <w:rFonts w:ascii="Times New Roman" w:cs="Times New Roman" w:eastAsia="Times New Roman" w:hAnsi="Times New Roman"/>
          <w:sz w:val="10"/>
          <w:szCs w:val="10"/>
          <w:color w:val="auto"/>
        </w:rPr>
        <w:t>Reflects the conversion of Armada redeemable stock into Rezolve ordinary shares under the minimum redemption scenarios.</w:t>
      </w:r>
    </w:p>
    <w:p>
      <w:pPr>
        <w:spacing w:after="0" w:line="58"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0"/>
          <w:szCs w:val="10"/>
          <w:i w:val="1"/>
          <w:iCs w:val="1"/>
          <w:color w:val="auto"/>
        </w:rPr>
        <w:t>(k)</w:t>
      </w:r>
      <w:r>
        <w:rPr>
          <w:rFonts w:ascii="Times New Roman" w:cs="Times New Roman" w:eastAsia="Times New Roman" w:hAnsi="Times New Roman"/>
          <w:sz w:val="10"/>
          <w:szCs w:val="10"/>
          <w:color w:val="auto"/>
        </w:rPr>
        <w:t>Pursuant to the Business Combination, each outstanding share of Rezolve’s Series A Preferred Stock will automatically convert into one Rezolve ordinary share and thereafter the ordinary shares will be the subject of the Company Reorganization. As a</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result, the adjustments reflect the reduction in Rezolve’s Series A shares, and a corresponding increase in Rezolve’s ordinary shares.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(l)</w:t>
      </w: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54" w:name="page55"/>
    <w:bookmarkEnd w:id="54"/>
    <w:p>
      <w:pPr>
        <w:ind w:left="480"/>
        <w:spacing w:after="0"/>
        <w:rPr>
          <w:sz w:val="20"/>
          <w:szCs w:val="20"/>
          <w:color w:val="auto"/>
        </w:rPr>
      </w:pPr>
      <w:r>
        <w:rPr>
          <w:rFonts w:ascii="Times New Roman" w:cs="Times New Roman" w:eastAsia="Times New Roman" w:hAnsi="Times New Roman"/>
          <w:sz w:val="10"/>
          <w:szCs w:val="10"/>
          <w:i w:val="1"/>
          <w:iCs w:val="1"/>
          <w:color w:val="auto"/>
        </w:rPr>
        <w:t>(m)</w:t>
      </w:r>
      <w:r>
        <w:rPr>
          <w:rFonts w:ascii="Times New Roman" w:cs="Times New Roman" w:eastAsia="Times New Roman" w:hAnsi="Times New Roman"/>
          <w:sz w:val="10"/>
          <w:szCs w:val="10"/>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(n)</w:t>
      </w:r>
      <w:r>
        <w:rPr>
          <w:rFonts w:ascii="Times New Roman" w:cs="Times New Roman" w:eastAsia="Times New Roman" w:hAnsi="Times New Roman"/>
          <w:sz w:val="10"/>
          <w:szCs w:val="10"/>
          <w:color w:val="auto"/>
        </w:rPr>
        <w:t>Elimination of historical retained earnings of Armada as part of the acquisition accounting.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(o)</w:t>
      </w: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(p)</w:t>
      </w:r>
      <w:r>
        <w:rPr>
          <w:rFonts w:ascii="Times New Roman" w:cs="Times New Roman" w:eastAsia="Times New Roman" w:hAnsi="Times New Roman"/>
          <w:sz w:val="10"/>
          <w:szCs w:val="10"/>
          <w:color w:val="auto"/>
        </w:rPr>
        <w:t>Reflects the reclass of accumulated deficit from Rezolve Limited into Additional Paid-in Capital of Rezolve Ai Limited upon demerger of Rezolve Limited,</w:t>
      </w:r>
    </w:p>
    <w:p>
      <w:pPr>
        <w:spacing w:after="0" w:line="58" w:lineRule="exact"/>
        <w:rPr>
          <w:sz w:val="20"/>
          <w:szCs w:val="20"/>
          <w:color w:val="auto"/>
        </w:rPr>
      </w:pPr>
    </w:p>
    <w:p>
      <w:pPr>
        <w:ind w:left="480"/>
        <w:spacing w:after="0" w:line="288" w:lineRule="auto"/>
        <w:rPr>
          <w:sz w:val="20"/>
          <w:szCs w:val="20"/>
          <w:color w:val="auto"/>
        </w:rPr>
      </w:pPr>
      <w:r>
        <w:rPr>
          <w:rFonts w:ascii="Times New Roman" w:cs="Times New Roman" w:eastAsia="Times New Roman" w:hAnsi="Times New Roman"/>
          <w:sz w:val="9"/>
          <w:szCs w:val="9"/>
          <w:i w:val="1"/>
          <w:iCs w:val="1"/>
          <w:color w:val="auto"/>
        </w:rPr>
        <w:t>(q)</w:t>
      </w:r>
      <w:r>
        <w:rPr>
          <w:rFonts w:ascii="Times New Roman" w:cs="Times New Roman" w:eastAsia="Times New Roman" w:hAnsi="Times New Roman"/>
          <w:sz w:val="9"/>
          <w:szCs w:val="9"/>
          <w:color w:val="auto"/>
        </w:rPr>
        <w:t>Reflects an aggregate of $ 28,641,250 principal amount due under certain promissory notes, consisting of (1) a promissory note issued by Armada to Northland Securities, Inc. for $5,141,250 with interest on the principal amount outstanding at a rate of 10%</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9"/>
          <w:szCs w:val="9"/>
          <w:color w:val="auto"/>
        </w:rPr>
        <w:t>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3—Unaudited pro forma condensed combined statements of operations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included in the unaudited pro forma condensed combined statement of operations for the year ended December 31, 2023 are as follows:</w:t>
      </w:r>
    </w:p>
    <w:p>
      <w:pPr>
        <w:spacing w:after="0" w:line="58" w:lineRule="exact"/>
        <w:rPr>
          <w:sz w:val="20"/>
          <w:szCs w:val="20"/>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a reclassification of Armada costs to conform with S-X 5-03.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interest income earned assuming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580" w:hanging="140"/>
        <w:spacing w:after="0"/>
        <w:tabs>
          <w:tab w:leader="none" w:pos="58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estimated costs of the Pre-Closing Demerger that will be paid in connection with the consummation of the Business Combination. This is a non-recurring item.</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taxes payable on interest income that would have not been incurred given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excise tax payable on the redemption of 1,300,391 shares in August 2024, respectively out of a total of 1,417,687 at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4—Earnings per Share</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55" w:name="page56"/>
    <w:bookmarkEnd w:id="55"/>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 Limited—Partner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jc w:val="both"/>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has undertaken to re-register as a public limited company on or before January 9, 2025.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38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1805305" cy="50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13" w:lineRule="exact"/>
        <w:rPr>
          <w:sz w:val="20"/>
          <w:szCs w:val="20"/>
          <w:color w:val="auto"/>
        </w:rPr>
      </w:pPr>
    </w:p>
    <w:p>
      <w:pPr>
        <w:ind w:left="5270" w:right="4420" w:hanging="5270"/>
        <w:spacing w:after="0" w:line="409" w:lineRule="auto"/>
        <w:tabs>
          <w:tab w:leader="none" w:pos="63"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677862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56" w:name="page57"/>
    <w:bookmarkEnd w:id="56"/>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58" w:lineRule="exact"/>
        <w:rPr>
          <w:sz w:val="20"/>
          <w:szCs w:val="20"/>
          <w:color w:val="auto"/>
        </w:rPr>
      </w:pPr>
    </w:p>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years ended December 31,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Impairment of investment in ANY</w:t>
      </w:r>
      <w:r>
        <w:rPr>
          <w:rFonts w:ascii="Times New Roman" w:cs="Times New Roman" w:eastAsia="Times New Roman" w:hAnsi="Times New Roman"/>
          <w:sz w:val="10"/>
          <w:szCs w:val="10"/>
          <w:color w:val="auto"/>
        </w:rPr>
        <w:t>: Consists of the value of the investment in ANY which was impaired following the Company’s loss of voting rights and indicators of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0"/>
          <w:szCs w:val="10"/>
          <w:b w:val="1"/>
          <w:bCs w:val="1"/>
          <w:color w:val="auto"/>
        </w:rPr>
        <w:t>Results of Operations for the year ended December 31, 2023.</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180" w:type="dxa"/>
            <w:vAlign w:val="bottom"/>
          </w:tcPr>
          <w:p>
            <w:pPr>
              <w:jc w:val="right"/>
              <w:ind w:right="7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17,986,528</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1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26,151,325</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107,161,306</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(26,006,274 )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(107,046,147 )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(3,884,695 )</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256,659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(4,666,416 )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(3,628,036 )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18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(30,672,690 )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(110,674,183 )</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(38,765 )</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18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Comparison of year ended December 31, 2023 and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gridSpan w:val="2"/>
          </w:tcPr>
          <w:p>
            <w:pPr>
              <w:jc w:val="right"/>
              <w:ind w:right="1191"/>
              <w:spacing w:after="0"/>
              <w:rPr>
                <w:sz w:val="20"/>
                <w:szCs w:val="20"/>
                <w:color w:val="auto"/>
              </w:rPr>
            </w:pPr>
            <w:r>
              <w:rPr>
                <w:rFonts w:ascii="Times New Roman" w:cs="Times New Roman" w:eastAsia="Times New Roman" w:hAnsi="Times New Roman"/>
                <w:sz w:val="8"/>
                <w:szCs w:val="8"/>
                <w:b w:val="1"/>
                <w:bCs w:val="1"/>
                <w:color w:val="auto"/>
                <w:w w:val="98"/>
              </w:rPr>
              <w:t>Change</w:t>
            </w:r>
          </w:p>
        </w:tc>
      </w:tr>
      <w:tr>
        <w:trPr>
          <w:trHeight w:val="106"/>
        </w:trPr>
        <w:tc>
          <w:tcPr>
            <w:tcW w:w="4100" w:type="dxa"/>
            <w:vAlign w:val="bottom"/>
          </w:tcPr>
          <w:p>
            <w:pPr>
              <w:spacing w:after="0"/>
              <w:rPr>
                <w:sz w:val="9"/>
                <w:szCs w:val="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jc w:val="right"/>
              <w:ind w:right="474"/>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494"/>
              <w:spacing w:after="0"/>
              <w:rPr>
                <w:sz w:val="20"/>
                <w:szCs w:val="20"/>
                <w:color w:val="auto"/>
              </w:rPr>
            </w:pPr>
            <w:r>
              <w:rPr>
                <w:rFonts w:ascii="Times New Roman" w:cs="Times New Roman" w:eastAsia="Times New Roman" w:hAnsi="Times New Roman"/>
                <w:sz w:val="8"/>
                <w:szCs w:val="8"/>
                <w:b w:val="1"/>
                <w:bCs w:val="1"/>
                <w:color w:val="auto"/>
              </w:rPr>
              <w:t>$</w:t>
            </w:r>
          </w:p>
        </w:tc>
        <w:tc>
          <w:tcPr>
            <w:tcW w:w="1520" w:type="dxa"/>
            <w:vAlign w:val="bottom"/>
            <w:gridSpan w:val="2"/>
          </w:tcPr>
          <w:p>
            <w:pPr>
              <w:jc w:val="right"/>
              <w:ind w:right="631"/>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7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26 %</w:t>
            </w:r>
          </w:p>
        </w:tc>
      </w:tr>
      <w:tr>
        <w:trPr>
          <w:trHeight w:val="115"/>
        </w:trPr>
        <w:tc>
          <w:tcPr>
            <w:tcW w:w="41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760" w:type="dxa"/>
            <w:vAlign w:val="bottom"/>
            <w:tcBorders>
              <w:bottom w:val="single" w:sz="8" w:color="auto"/>
            </w:tcBorders>
          </w:tcPr>
          <w:p>
            <w:pPr>
              <w:jc w:val="right"/>
              <w:ind w:right="65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tcPr>
          <w:p>
            <w:pPr>
              <w:spacing w:after="0"/>
              <w:rPr>
                <w:sz w:val="10"/>
                <w:szCs w:val="10"/>
                <w:color w:val="auto"/>
              </w:rPr>
            </w:pPr>
          </w:p>
        </w:tc>
        <w:tc>
          <w:tcPr>
            <w:tcW w:w="440" w:type="dxa"/>
            <w:vAlign w:val="bottom"/>
            <w:tcBorders>
              <w:bottom w:val="single" w:sz="8" w:color="auto"/>
            </w:tcBorders>
          </w:tcPr>
          <w:p>
            <w:pPr>
              <w:jc w:val="right"/>
              <w:ind w:right="33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115,159</w:t>
            </w:r>
          </w:p>
        </w:tc>
        <w:tc>
          <w:tcPr>
            <w:tcW w:w="200" w:type="dxa"/>
            <w:vAlign w:val="bottom"/>
          </w:tcPr>
          <w:p>
            <w:pPr>
              <w:spacing w:after="0"/>
              <w:rPr>
                <w:sz w:val="10"/>
                <w:szCs w:val="10"/>
                <w:color w:val="auto"/>
              </w:rPr>
            </w:pPr>
          </w:p>
        </w:tc>
        <w:tc>
          <w:tcPr>
            <w:tcW w:w="300" w:type="dxa"/>
            <w:vAlign w:val="bottom"/>
            <w:tcBorders>
              <w:bottom w:val="single" w:sz="8" w:color="auto"/>
            </w:tcBorders>
          </w:tcPr>
          <w:p>
            <w:pPr>
              <w:jc w:val="right"/>
              <w:ind w:right="1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29,892</w:t>
            </w:r>
          </w:p>
        </w:tc>
        <w:tc>
          <w:tcPr>
            <w:tcW w:w="20" w:type="dxa"/>
            <w:vAlign w:val="bottom"/>
            <w:tcBorders>
              <w:bottom w:val="single" w:sz="8" w:color="auto"/>
            </w:tcBorders>
          </w:tcPr>
          <w:p>
            <w:pPr>
              <w:spacing w:after="0"/>
              <w:rPr>
                <w:sz w:val="10"/>
                <w:szCs w:val="10"/>
                <w:color w:val="auto"/>
              </w:rPr>
            </w:pPr>
          </w:p>
        </w:tc>
        <w:tc>
          <w:tcPr>
            <w:tcW w:w="15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26 %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$0.11 million for the year ended December 31, 2022 as compared to $0.15 million for the year ended December 31, 2023 is attributable to increased ticketing revenue from Spain.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year ended December 31, 2023, as compared to the year ended December 31, 2022:</w:t>
      </w:r>
    </w:p>
    <w:p>
      <w:pPr>
        <w:spacing w:after="0" w:line="12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Change</w:t>
            </w:r>
          </w:p>
        </w:tc>
        <w:tc>
          <w:tcPr>
            <w:tcW w:w="1040" w:type="dxa"/>
            <w:vAlign w:val="bottom"/>
          </w:tcPr>
          <w:p>
            <w:pPr>
              <w:spacing w:after="0"/>
              <w:rPr>
                <w:sz w:val="8"/>
                <w:szCs w:val="8"/>
                <w:color w:val="auto"/>
              </w:rPr>
            </w:pPr>
          </w:p>
        </w:tc>
      </w:tr>
      <w:tr>
        <w:trPr>
          <w:trHeight w:val="106"/>
        </w:trPr>
        <w:tc>
          <w:tcPr>
            <w:tcW w:w="4160" w:type="dxa"/>
            <w:vAlign w:val="bottom"/>
          </w:tcPr>
          <w:p>
            <w:pPr>
              <w:spacing w:after="0"/>
              <w:rPr>
                <w:sz w:val="9"/>
                <w:szCs w:val="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2022</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w:t>
            </w:r>
          </w:p>
        </w:tc>
        <w:tc>
          <w:tcPr>
            <w:tcW w:w="440" w:type="dxa"/>
            <w:vAlign w:val="bottom"/>
          </w:tcPr>
          <w:p>
            <w:pPr>
              <w:spacing w:after="0"/>
              <w:rPr>
                <w:sz w:val="9"/>
                <w:szCs w:val="9"/>
                <w:color w:val="auto"/>
              </w:rPr>
            </w:pPr>
          </w:p>
        </w:tc>
        <w:tc>
          <w:tcPr>
            <w:tcW w:w="1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700" w:type="dxa"/>
            <w:vAlign w:val="bottom"/>
          </w:tcPr>
          <w:p>
            <w:pPr>
              <w:jc w:val="right"/>
              <w:ind w:right="63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640" w:type="dxa"/>
            <w:vAlign w:val="bottom"/>
            <w:gridSpan w:val="2"/>
          </w:tcPr>
          <w:p>
            <w:pPr>
              <w:jc w:val="right"/>
              <w:ind w:right="3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500" w:type="dxa"/>
            <w:vAlign w:val="bottom"/>
            <w:gridSpan w:val="2"/>
          </w:tcPr>
          <w:p>
            <w:pPr>
              <w:jc w:val="right"/>
              <w:ind w:right="2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(710,259 )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(95)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1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2,392,697</w:t>
            </w: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55 %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17,986,528</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(68,653,972 )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(79)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1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821,364</w:t>
            </w: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245 %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6,639</w:t>
            </w:r>
          </w:p>
        </w:tc>
        <w:tc>
          <w:tcPr>
            <w:tcW w:w="440" w:type="dxa"/>
            <w:vAlign w:val="bottom"/>
          </w:tcPr>
          <w:p>
            <w:pPr>
              <w:spacing w:after="0"/>
              <w:rPr>
                <w:sz w:val="9"/>
                <w:szCs w:val="9"/>
                <w:color w:val="auto"/>
              </w:rPr>
            </w:pP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1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(14,822,022 )</w:t>
            </w: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(44,438 )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6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70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26,151,325</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107,161,306</w:t>
            </w:r>
          </w:p>
        </w:tc>
        <w:tc>
          <w:tcPr>
            <w:tcW w:w="180" w:type="dxa"/>
            <w:vAlign w:val="bottom"/>
            <w:shd w:val="clear" w:color="auto" w:fill="CFF0FC"/>
          </w:tcPr>
          <w:p>
            <w:pPr>
              <w:spacing w:after="0"/>
              <w:rPr>
                <w:sz w:val="9"/>
                <w:szCs w:val="9"/>
                <w:color w:val="auto"/>
              </w:rPr>
            </w:pPr>
          </w:p>
        </w:tc>
        <w:tc>
          <w:tcPr>
            <w:tcW w:w="320" w:type="dxa"/>
            <w:vAlign w:val="bottom"/>
            <w:shd w:val="clear" w:color="auto" w:fill="CFF0FC"/>
          </w:tcPr>
          <w:p>
            <w:pPr>
              <w:jc w:val="right"/>
              <w:ind w:right="21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gridSpan w:val="2"/>
            <w:shd w:val="clear" w:color="auto" w:fill="CFF0FC"/>
          </w:tcPr>
          <w:p>
            <w:pPr>
              <w:jc w:val="right"/>
              <w:ind w:right="400"/>
              <w:spacing w:after="0" w:line="93" w:lineRule="exact"/>
              <w:rPr>
                <w:sz w:val="20"/>
                <w:szCs w:val="20"/>
                <w:color w:val="auto"/>
              </w:rPr>
            </w:pPr>
            <w:r>
              <w:rPr>
                <w:rFonts w:ascii="Times New Roman" w:cs="Times New Roman" w:eastAsia="Times New Roman" w:hAnsi="Times New Roman"/>
                <w:sz w:val="6"/>
                <w:szCs w:val="6"/>
                <w:color w:val="auto"/>
              </w:rPr>
              <w:t xml:space="preserve">(81,009,981 </w:t>
            </w:r>
            <w:r>
              <w:rPr>
                <w:rFonts w:ascii="Times New Roman" w:cs="Times New Roman" w:eastAsia="Times New Roman" w:hAnsi="Times New Roman"/>
                <w:sz w:val="10"/>
                <w:szCs w:val="10"/>
                <w:color w:val="auto"/>
                <w:vertAlign w:val="subscript"/>
              </w:rPr>
              <w:t>)</w:t>
            </w:r>
          </w:p>
        </w:tc>
        <w:tc>
          <w:tcPr>
            <w:tcW w:w="1040" w:type="dxa"/>
            <w:vAlign w:val="bottom"/>
            <w:shd w:val="clear" w:color="auto" w:fill="CFF0FC"/>
          </w:tcPr>
          <w:p>
            <w:pPr>
              <w:jc w:val="right"/>
              <w:ind w:right="72"/>
              <w:spacing w:after="0" w:line="93" w:lineRule="exact"/>
              <w:rPr>
                <w:sz w:val="20"/>
                <w:szCs w:val="20"/>
                <w:color w:val="auto"/>
              </w:rPr>
            </w:pPr>
            <w:r>
              <w:rPr>
                <w:rFonts w:ascii="Times New Roman" w:cs="Times New Roman" w:eastAsia="Times New Roman" w:hAnsi="Times New Roman"/>
                <w:sz w:val="10"/>
                <w:szCs w:val="10"/>
                <w:color w:val="auto"/>
              </w:rPr>
              <w:t>(76) %</w:t>
            </w:r>
          </w:p>
        </w:tc>
      </w:tr>
      <w:tr>
        <w:trPr>
          <w:trHeight w:val="23"/>
        </w:trPr>
        <w:tc>
          <w:tcPr>
            <w:tcW w:w="4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1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640" w:top="1213" w:right="116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decreased by $0.7 million, for the year ended December 31, 2023, compared to the year ended December 31, 2022. This was due to the impairment of inventory of $0.7 million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increased by $0.8 million due to an impairment of a loan receivables to Swipeby and Moneymatic.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$0.24 million, for the year ended December 31, 2023, compared to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Impairment of goodwill</w:t>
      </w:r>
    </w:p>
    <w:p>
      <w:pPr>
        <w:spacing w:after="0" w:line="60"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gridSpan w:val="3"/>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gridSpan w:val="3"/>
          </w:tcPr>
          <w:p>
            <w:pPr>
              <w:jc w:val="right"/>
              <w:ind w:right="1260"/>
              <w:spacing w:after="0"/>
              <w:rPr>
                <w:sz w:val="20"/>
                <w:szCs w:val="20"/>
                <w:color w:val="auto"/>
              </w:rPr>
            </w:pPr>
            <w:r>
              <w:rPr>
                <w:rFonts w:ascii="Times New Roman" w:cs="Times New Roman" w:eastAsia="Times New Roman" w:hAnsi="Times New Roman"/>
                <w:sz w:val="8"/>
                <w:szCs w:val="8"/>
                <w:b w:val="1"/>
                <w:bCs w:val="1"/>
                <w:color w:val="auto"/>
                <w:w w:val="98"/>
              </w:rPr>
              <w:t>Change</w:t>
            </w:r>
          </w:p>
        </w:tc>
      </w:tr>
      <w:tr>
        <w:trPr>
          <w:trHeight w:val="106"/>
        </w:trPr>
        <w:tc>
          <w:tcPr>
            <w:tcW w:w="4100" w:type="dxa"/>
            <w:vAlign w:val="bottom"/>
          </w:tcPr>
          <w:p>
            <w:pPr>
              <w:spacing w:after="0"/>
              <w:rPr>
                <w:sz w:val="9"/>
                <w:szCs w:val="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w:t>
            </w:r>
          </w:p>
        </w:tc>
        <w:tc>
          <w:tcPr>
            <w:tcW w:w="1520" w:type="dxa"/>
            <w:vAlign w:val="bottom"/>
            <w:gridSpan w:val="2"/>
          </w:tcPr>
          <w:p>
            <w:pPr>
              <w:jc w:val="right"/>
              <w:ind w:right="631"/>
              <w:spacing w:after="0"/>
              <w:rPr>
                <w:sz w:val="20"/>
                <w:szCs w:val="20"/>
                <w:color w:val="auto"/>
              </w:rPr>
            </w:pPr>
            <w:r>
              <w:rPr>
                <w:rFonts w:ascii="Times New Roman" w:cs="Times New Roman" w:eastAsia="Times New Roman" w:hAnsi="Times New Roman"/>
                <w:sz w:val="8"/>
                <w:szCs w:val="8"/>
                <w:b w:val="1"/>
                <w:bCs w:val="1"/>
                <w:color w:val="auto"/>
              </w:rPr>
              <w:t>%</w:t>
            </w:r>
          </w:p>
        </w:tc>
        <w:tc>
          <w:tcPr>
            <w:tcW w:w="20" w:type="dxa"/>
            <w:vAlign w:val="bottom"/>
          </w:tcPr>
          <w:p>
            <w:pPr>
              <w:spacing w:after="0"/>
              <w:rPr>
                <w:sz w:val="9"/>
                <w:szCs w:val="9"/>
                <w:color w:val="auto"/>
              </w:rPr>
            </w:pP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740" w:type="dxa"/>
            <w:vAlign w:val="bottom"/>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200" w:type="dxa"/>
            <w:vAlign w:val="bottom"/>
          </w:tcPr>
          <w:p>
            <w:pPr>
              <w:spacing w:after="0"/>
              <w:rPr>
                <w:sz w:val="9"/>
                <w:szCs w:val="9"/>
                <w:color w:val="auto"/>
              </w:rPr>
            </w:pPr>
          </w:p>
        </w:tc>
        <w:tc>
          <w:tcPr>
            <w:tcW w:w="440" w:type="dxa"/>
            <w:vAlign w:val="bottom"/>
          </w:tcPr>
          <w:p>
            <w:pPr>
              <w:jc w:val="right"/>
              <w:ind w:right="3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220" w:type="dxa"/>
            <w:vAlign w:val="bottom"/>
          </w:tcPr>
          <w:p>
            <w:pPr>
              <w:spacing w:after="0"/>
              <w:rPr>
                <w:sz w:val="9"/>
                <w:szCs w:val="9"/>
                <w:color w:val="auto"/>
              </w:rPr>
            </w:pPr>
          </w:p>
        </w:tc>
        <w:tc>
          <w:tcPr>
            <w:tcW w:w="30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907,087</w:t>
            </w:r>
          </w:p>
        </w:tc>
        <w:tc>
          <w:tcPr>
            <w:tcW w:w="1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23 %</w:t>
            </w:r>
          </w:p>
        </w:tc>
        <w:tc>
          <w:tcPr>
            <w:tcW w:w="20" w:type="dxa"/>
            <w:vAlign w:val="bottom"/>
          </w:tcPr>
          <w:p>
            <w:pPr>
              <w:spacing w:after="0"/>
              <w:rPr>
                <w:sz w:val="9"/>
                <w:szCs w:val="9"/>
                <w:color w:val="auto"/>
              </w:rPr>
            </w:pP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740" w:type="dxa"/>
            <w:vAlign w:val="bottom"/>
          </w:tcPr>
          <w:p>
            <w:pPr>
              <w:spacing w:after="0"/>
              <w:rPr>
                <w:sz w:val="9"/>
                <w:szCs w:val="9"/>
                <w:color w:val="auto"/>
              </w:rPr>
            </w:pPr>
          </w:p>
        </w:tc>
        <w:tc>
          <w:tcPr>
            <w:tcW w:w="6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(125,366 )</w:t>
            </w:r>
          </w:p>
        </w:tc>
        <w:tc>
          <w:tcPr>
            <w:tcW w:w="440" w:type="dxa"/>
            <w:vAlign w:val="bottom"/>
          </w:tcPr>
          <w:p>
            <w:pPr>
              <w:spacing w:after="0"/>
              <w:rPr>
                <w:sz w:val="9"/>
                <w:szCs w:val="9"/>
                <w:color w:val="auto"/>
              </w:rPr>
            </w:pPr>
          </w:p>
        </w:tc>
        <w:tc>
          <w:tcPr>
            <w:tcW w:w="9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(256,659 )</w:t>
            </w:r>
          </w:p>
        </w:tc>
        <w:tc>
          <w:tcPr>
            <w:tcW w:w="30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131,293</w:t>
            </w:r>
          </w:p>
        </w:tc>
        <w:tc>
          <w:tcPr>
            <w:tcW w:w="154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color w:val="auto"/>
              </w:rPr>
              <w:t>(51 )%</w:t>
            </w:r>
          </w:p>
        </w:tc>
      </w:tr>
      <w:tr>
        <w:trPr>
          <w:trHeight w:val="115"/>
        </w:trPr>
        <w:tc>
          <w:tcPr>
            <w:tcW w:w="41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4,666,416</w:t>
            </w:r>
          </w:p>
        </w:tc>
        <w:tc>
          <w:tcPr>
            <w:tcW w:w="200" w:type="dxa"/>
            <w:vAlign w:val="bottom"/>
          </w:tcPr>
          <w:p>
            <w:pPr>
              <w:spacing w:after="0"/>
              <w:rPr>
                <w:sz w:val="10"/>
                <w:szCs w:val="10"/>
                <w:color w:val="auto"/>
              </w:rPr>
            </w:pPr>
          </w:p>
        </w:tc>
        <w:tc>
          <w:tcPr>
            <w:tcW w:w="440" w:type="dxa"/>
            <w:vAlign w:val="bottom"/>
            <w:tcBorders>
              <w:bottom w:val="single" w:sz="8" w:color="auto"/>
            </w:tcBorders>
          </w:tcPr>
          <w:p>
            <w:pPr>
              <w:jc w:val="right"/>
              <w:ind w:right="33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3,628,036</w:t>
            </w:r>
          </w:p>
        </w:tc>
        <w:tc>
          <w:tcPr>
            <w:tcW w:w="2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1,038,380</w:t>
            </w:r>
          </w:p>
        </w:tc>
        <w:tc>
          <w:tcPr>
            <w:tcW w:w="20" w:type="dxa"/>
            <w:vAlign w:val="bottom"/>
            <w:tcBorders>
              <w:bottom w:val="single" w:sz="8" w:color="auto"/>
            </w:tcBorders>
          </w:tcPr>
          <w:p>
            <w:pPr>
              <w:spacing w:after="0"/>
              <w:rPr>
                <w:sz w:val="10"/>
                <w:szCs w:val="10"/>
                <w:color w:val="auto"/>
              </w:rPr>
            </w:pPr>
          </w:p>
        </w:tc>
        <w:tc>
          <w:tcPr>
            <w:tcW w:w="15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29 %</w:t>
            </w: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-156845</wp:posOffset>
            </wp:positionV>
            <wp:extent cx="6076950" cy="71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6950" cy="71755"/>
                    </a:xfrm>
                    <a:prstGeom prst="rect">
                      <a:avLst/>
                    </a:prstGeom>
                    <a:noFill/>
                  </pic:spPr>
                </pic:pic>
              </a:graphicData>
            </a:graphic>
          </wp:anchor>
        </w:drawing>
      </w:r>
    </w:p>
    <w:p>
      <w:pPr>
        <w:spacing w:after="0" w:line="116"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18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180" w:type="dxa"/>
            <w:vAlign w:val="bottom"/>
          </w:tcPr>
          <w:p>
            <w:pPr>
              <w:spacing w:after="0"/>
              <w:rPr>
                <w:sz w:val="9"/>
                <w:szCs w:val="9"/>
                <w:color w:val="auto"/>
              </w:rPr>
            </w:pPr>
          </w:p>
        </w:tc>
        <w:tc>
          <w:tcPr>
            <w:tcW w:w="6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2180" w:type="dxa"/>
            <w:vAlign w:val="bottom"/>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8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82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8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•One-time impairments of the Taiwan and German businesses;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to non-recurring capital raising activities;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88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2022.</w:t>
      </w:r>
    </w:p>
    <w:p>
      <w:pPr>
        <w:spacing w:after="0" w:line="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•Share based compensation issued to related parties represents for the year ended December 31, 2023 represents share based compensation of $ 33.4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2" w:name="page63"/>
    <w:bookmarkEnd w:id="62"/>
    <w:p>
      <w:pPr>
        <w:ind w:left="480"/>
        <w:spacing w:after="0"/>
        <w:rPr>
          <w:sz w:val="20"/>
          <w:szCs w:val="20"/>
          <w:color w:val="auto"/>
        </w:rPr>
      </w:pPr>
      <w:r>
        <w:rPr>
          <w:rFonts w:ascii="Times New Roman" w:cs="Times New Roman" w:eastAsia="Times New Roman" w:hAnsi="Times New Roman"/>
          <w:sz w:val="10"/>
          <w:szCs w:val="10"/>
          <w:color w:val="auto"/>
        </w:rPr>
        <w:t>•Share based compensation for consultancy expenses relate to shares issued to consultants for advisory services. These fees were paid primarily in relation to capital raising activities in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these costs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300" w:type="dxa"/>
            <w:vAlign w:val="bottom"/>
          </w:tcPr>
          <w:p>
            <w:pPr>
              <w:spacing w:after="0"/>
              <w:rPr>
                <w:sz w:val="9"/>
                <w:szCs w:val="9"/>
                <w:color w:val="auto"/>
              </w:rPr>
            </w:pPr>
          </w:p>
        </w:tc>
        <w:tc>
          <w:tcPr>
            <w:tcW w:w="202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3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3,884,698</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2020" w:type="dxa"/>
            <w:vAlign w:val="bottom"/>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202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(375,298 )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(714,914 )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in ANY</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06"/>
        </w:trPr>
        <w:tc>
          <w:tcPr>
            <w:tcW w:w="3300" w:type="dxa"/>
            <w:vAlign w:val="bottom"/>
            <w:shd w:val="clear" w:color="auto" w:fill="CFF0FC"/>
          </w:tcPr>
          <w:p>
            <w:pPr>
              <w:ind w:left="120"/>
              <w:spacing w:after="0" w:line="106" w:lineRule="exact"/>
              <w:rPr>
                <w:sz w:val="20"/>
                <w:szCs w:val="20"/>
                <w:color w:val="auto"/>
              </w:rPr>
            </w:pPr>
            <w:r>
              <w:rPr>
                <w:rFonts w:ascii="Times New Roman" w:cs="Times New Roman" w:eastAsia="Times New Roman" w:hAnsi="Times New Roman"/>
                <w:sz w:val="10"/>
                <w:szCs w:val="10"/>
                <w:color w:val="auto"/>
              </w:rPr>
              <w:t>Impairment of prepayments and other current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assets</w:t>
            </w:r>
          </w:p>
        </w:tc>
        <w:tc>
          <w:tcPr>
            <w:tcW w:w="20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731,940</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loan and accounts receivable .</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3,002,021</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5,238,117</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Adjusted EBITDA .</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(15,355,075 )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(24,164,553 )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December 31, 2023 and December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vMerge w:val="restart"/>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2023</w:t>
            </w:r>
          </w:p>
        </w:tc>
        <w:tc>
          <w:tcPr>
            <w:tcW w:w="11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Undrawn convertible notes</w:t>
            </w:r>
          </w:p>
        </w:tc>
        <w:tc>
          <w:tcPr>
            <w:tcW w:w="2760" w:type="dxa"/>
            <w:vAlign w:val="bottom"/>
          </w:tcPr>
          <w:p>
            <w:pPr>
              <w:spacing w:after="0"/>
              <w:rPr>
                <w:sz w:val="9"/>
                <w:szCs w:val="9"/>
                <w:color w:val="auto"/>
              </w:rPr>
            </w:pPr>
          </w:p>
        </w:tc>
        <w:tc>
          <w:tcPr>
            <w:tcW w:w="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Available liquidity</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right"/>
              <w:ind w:right="1533"/>
              <w:spacing w:after="0"/>
              <w:rPr>
                <w:sz w:val="20"/>
                <w:szCs w:val="20"/>
                <w:color w:val="auto"/>
              </w:rPr>
            </w:pPr>
            <w:r>
              <w:rPr>
                <w:rFonts w:ascii="Times New Roman" w:cs="Times New Roman" w:eastAsia="Times New Roman" w:hAnsi="Times New Roman"/>
                <w:sz w:val="10"/>
                <w:szCs w:val="10"/>
                <w:color w:val="auto"/>
              </w:rPr>
              <w:t>54</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280" w:type="dxa"/>
            <w:vAlign w:val="bottom"/>
          </w:tcPr>
          <w:p>
            <w:pPr>
              <w:spacing w:after="0"/>
              <w:rPr>
                <w:sz w:val="9"/>
                <w:szCs w:val="9"/>
                <w:color w:val="auto"/>
              </w:rPr>
            </w:pPr>
          </w:p>
        </w:tc>
        <w:tc>
          <w:tcPr>
            <w:tcW w:w="204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2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(13,001,875 )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(26,788,906 )</w:t>
            </w:r>
          </w:p>
        </w:tc>
        <w:tc>
          <w:tcPr>
            <w:tcW w:w="0" w:type="dxa"/>
            <w:vAlign w:val="bottom"/>
          </w:tcPr>
          <w:p>
            <w:pPr>
              <w:spacing w:after="0"/>
              <w:rPr>
                <w:sz w:val="1"/>
                <w:szCs w:val="1"/>
                <w:color w:val="auto"/>
              </w:rPr>
            </w:pPr>
          </w:p>
        </w:tc>
      </w:tr>
      <w:tr>
        <w:trPr>
          <w:trHeight w:val="113"/>
        </w:trPr>
        <w:tc>
          <w:tcPr>
            <w:tcW w:w="32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040" w:type="dxa"/>
            <w:vAlign w:val="bottom"/>
          </w:tcPr>
          <w:p>
            <w:pPr>
              <w:spacing w:after="0"/>
              <w:rPr>
                <w:sz w:val="9"/>
                <w:szCs w:val="9"/>
                <w:color w:val="auto"/>
              </w:rPr>
            </w:pPr>
          </w:p>
        </w:tc>
        <w:tc>
          <w:tcPr>
            <w:tcW w:w="66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(1,781,524 )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(36,854 )</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0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14,712,061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23,999,920</w:t>
            </w:r>
          </w:p>
        </w:tc>
        <w:tc>
          <w:tcPr>
            <w:tcW w:w="0" w:type="dxa"/>
            <w:vAlign w:val="bottom"/>
          </w:tcPr>
          <w:p>
            <w:pPr>
              <w:spacing w:after="0"/>
              <w:rPr>
                <w:sz w:val="1"/>
                <w:szCs w:val="1"/>
                <w:color w:val="auto"/>
              </w:rPr>
            </w:pPr>
          </w:p>
        </w:tc>
      </w:tr>
      <w:tr>
        <w:trPr>
          <w:trHeight w:val="106"/>
        </w:trPr>
        <w:tc>
          <w:tcPr>
            <w:tcW w:w="32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040" w:type="dxa"/>
            <w:vAlign w:val="bottom"/>
          </w:tcPr>
          <w:p>
            <w:pPr>
              <w:spacing w:after="0"/>
              <w:rPr>
                <w:sz w:val="10"/>
                <w:szCs w:val="10"/>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42,399</w:t>
            </w:r>
          </w:p>
        </w:tc>
        <w:tc>
          <w:tcPr>
            <w:tcW w:w="540" w:type="dxa"/>
            <w:vAlign w:val="bottom"/>
          </w:tcPr>
          <w:p>
            <w:pPr>
              <w:spacing w:after="0"/>
              <w:rPr>
                <w:sz w:val="10"/>
                <w:szCs w:val="1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177,287</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(28,939 )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(2,648,553 )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5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color w:val="auto"/>
        </w:rPr>
        <w:t>We have debt outstanding to DBLP Sea Cow Limited (a company incorporated in the Seychelles)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which is wholly legally owned by Daniel Wagner and beneficially owned by John Wagner, in the amounts of $447,067. There are no formal loan documents in place and no interest is payable.</w:t>
      </w:r>
    </w:p>
    <w:p>
      <w:pPr>
        <w:spacing w:after="0" w:line="99"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at year ended December 31, 2023 we had a secured convertible Loan Note Instrument in respect of $39,625,000 in aggregate principal amount of loan notes of $1.00 each in the capital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6"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64" w:name="page65"/>
    <w:bookmarkEnd w:id="64"/>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8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1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2023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6" w:name="page67"/>
    <w:bookmarkEnd w:id="66"/>
    <w:p>
      <w:pPr>
        <w:ind w:left="10" w:right="40" w:firstLine="480"/>
        <w:spacing w:after="0" w:line="238" w:lineRule="auto"/>
        <w:rPr>
          <w:sz w:val="20"/>
          <w:szCs w:val="20"/>
          <w:color w:val="auto"/>
        </w:rPr>
      </w:pPr>
      <w:r>
        <w:rPr>
          <w:rFonts w:ascii="Times New Roman" w:cs="Times New Roman" w:eastAsia="Times New Roman" w:hAnsi="Times New Roman"/>
          <w:sz w:val="10"/>
          <w:szCs w:val="10"/>
          <w:color w:val="212529"/>
        </w:rPr>
        <w:t xml:space="preserve">On September 6, 2024, YA and Rezolve AI Limited executed the Second A&amp;R YA Agreement </w:t>
      </w:r>
      <w:r>
        <w:rPr>
          <w:rFonts w:ascii="Times New Roman" w:cs="Times New Roman" w:eastAsia="Times New Roman" w:hAnsi="Times New Roman"/>
          <w:sz w:val="10"/>
          <w:szCs w:val="10"/>
          <w:color w:val="000000"/>
        </w:rPr>
        <w:t>to incorporate an additional prepaid advance arrangement pursuant to which YA committed to provide Rezolve with prepaid advances in an aggregate original</w:t>
      </w:r>
      <w:r>
        <w:rPr>
          <w:rFonts w:ascii="Times New Roman" w:cs="Times New Roman" w:eastAsia="Times New Roman" w:hAnsi="Times New Roman"/>
          <w:sz w:val="10"/>
          <w:szCs w:val="10"/>
          <w:color w:val="212529"/>
        </w:rPr>
        <w:t xml:space="preserve"> </w:t>
      </w:r>
      <w:r>
        <w:rPr>
          <w:rFonts w:ascii="Times New Roman" w:cs="Times New Roman" w:eastAsia="Times New Roman" w:hAnsi="Times New Roman"/>
          <w:sz w:val="10"/>
          <w:szCs w:val="10"/>
          <w:color w:val="000000"/>
        </w:rPr>
        <w:t>principal amount of an additional Seven Million Five Hundred Thousand Dollars ($ 7,500,000),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this Registration Statement, and the third tranche in an original principal amount of Two Million Five Hundred Thousand Dollars ($2,500,000) to be funded upon the effectiveness of this Registration Statement. The Second A&amp;R YA Agreement superseded the YA Agreement.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000000"/>
        </w:rPr>
        <w:t>YA Note Amendment</w:t>
      </w:r>
      <w:r>
        <w:rPr>
          <w:rFonts w:ascii="Times New Roman" w:cs="Times New Roman" w:eastAsia="Times New Roman" w:hAnsi="Times New Roman"/>
          <w:sz w:val="10"/>
          <w:szCs w:val="10"/>
          <w:color w:val="000000"/>
        </w:rPr>
        <w:t>” and the YA Note, as amended by the YA Note Amendment, the “</w:t>
      </w:r>
      <w:r>
        <w:rPr>
          <w:rFonts w:ascii="Times New Roman" w:cs="Times New Roman" w:eastAsia="Times New Roman" w:hAnsi="Times New Roman"/>
          <w:sz w:val="10"/>
          <w:szCs w:val="10"/>
          <w:b w:val="1"/>
          <w:bCs w:val="1"/>
          <w:i w:val="1"/>
          <w:iCs w:val="1"/>
          <w:color w:val="000000"/>
        </w:rPr>
        <w:t>Amended YA Note</w:t>
      </w:r>
      <w:r>
        <w:rPr>
          <w:rFonts w:ascii="Times New Roman" w:cs="Times New Roman" w:eastAsia="Times New Roman" w:hAnsi="Times New Roman"/>
          <w:sz w:val="10"/>
          <w:szCs w:val="10"/>
          <w:color w:val="000000"/>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 In connection with the initial prepaid advance of $2,500,000, YA will subscribe for a promissory note for such advance at a 5% original issuance discount (the “</w:t>
      </w:r>
      <w:r>
        <w:rPr>
          <w:rFonts w:ascii="Times New Roman" w:cs="Times New Roman" w:eastAsia="Times New Roman" w:hAnsi="Times New Roman"/>
          <w:sz w:val="10"/>
          <w:szCs w:val="10"/>
          <w:b w:val="1"/>
          <w:bCs w:val="1"/>
          <w:i w:val="1"/>
          <w:iCs w:val="1"/>
          <w:color w:val="000000"/>
        </w:rPr>
        <w:t>Additional YA Note</w:t>
      </w:r>
      <w:r>
        <w:rPr>
          <w:rFonts w:ascii="Times New Roman" w:cs="Times New Roman" w:eastAsia="Times New Roman" w:hAnsi="Times New Roman"/>
          <w:sz w:val="10"/>
          <w:szCs w:val="10"/>
          <w:color w:val="000000"/>
        </w:rPr>
        <w:t>” and together with the Amended YA Note, the “</w:t>
      </w:r>
      <w:r>
        <w:rPr>
          <w:rFonts w:ascii="Times New Roman" w:cs="Times New Roman" w:eastAsia="Times New Roman" w:hAnsi="Times New Roman"/>
          <w:sz w:val="10"/>
          <w:szCs w:val="10"/>
          <w:b w:val="1"/>
          <w:bCs w:val="1"/>
          <w:i w:val="1"/>
          <w:iCs w:val="1"/>
          <w:color w:val="000000"/>
        </w:rPr>
        <w:t>YA Notes</w:t>
      </w:r>
      <w:r>
        <w:rPr>
          <w:rFonts w:ascii="Times New Roman" w:cs="Times New Roman" w:eastAsia="Times New Roman" w:hAnsi="Times New Roman"/>
          <w:sz w:val="10"/>
          <w:szCs w:val="10"/>
          <w:color w:val="000000"/>
        </w:rPr>
        <w:t>”)</w:t>
      </w:r>
    </w:p>
    <w:p>
      <w:pPr>
        <w:spacing w:after="0" w:line="106"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9"/>
          <w:szCs w:val="9"/>
          <w:color w:val="auto"/>
        </w:rPr>
        <w:t>The Amended YA Note is, and the Additional YA Note will be, convertible into Ordinary Shares. The noteholder may elect to convert all or part of the YA Notes into ordinary shares in Rezolve AI Limited at the “</w:t>
      </w:r>
      <w:r>
        <w:rPr>
          <w:rFonts w:ascii="Times New Roman" w:cs="Times New Roman" w:eastAsia="Times New Roman" w:hAnsi="Times New Roman"/>
          <w:sz w:val="9"/>
          <w:szCs w:val="9"/>
          <w:b w:val="1"/>
          <w:bCs w:val="1"/>
          <w:i w:val="1"/>
          <w:iCs w:val="1"/>
          <w:color w:val="auto"/>
        </w:rPr>
        <w:t>Conversion Price</w:t>
      </w:r>
      <w:r>
        <w:rPr>
          <w:rFonts w:ascii="Times New Roman" w:cs="Times New Roman" w:eastAsia="Times New Roman" w:hAnsi="Times New Roman"/>
          <w:sz w:val="9"/>
          <w:szCs w:val="9"/>
          <w:color w:val="auto"/>
        </w:rPr>
        <w:t>” (being the lower of</w:t>
      </w:r>
    </w:p>
    <w:p>
      <w:pPr>
        <w:spacing w:after="0" w:line="21" w:lineRule="exact"/>
        <w:rPr>
          <w:sz w:val="20"/>
          <w:szCs w:val="20"/>
          <w:color w:val="auto"/>
        </w:rPr>
      </w:pPr>
    </w:p>
    <w:p>
      <w:pPr>
        <w:ind w:left="10" w:right="40" w:hanging="10"/>
        <w:spacing w:after="0" w:line="264" w:lineRule="auto"/>
        <w:tabs>
          <w:tab w:leader="none" w:pos="126"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$10 per share (the “</w:t>
      </w:r>
      <w:r>
        <w:rPr>
          <w:rFonts w:ascii="Times New Roman" w:cs="Times New Roman" w:eastAsia="Times New Roman" w:hAnsi="Times New Roman"/>
          <w:sz w:val="9"/>
          <w:szCs w:val="9"/>
          <w:b w:val="1"/>
          <w:bCs w:val="1"/>
          <w:i w:val="1"/>
          <w:iCs w:val="1"/>
          <w:color w:val="auto"/>
        </w:rPr>
        <w:t>Fixed Price</w:t>
      </w:r>
      <w:r>
        <w:rPr>
          <w:rFonts w:ascii="Times New Roman" w:cs="Times New Roman" w:eastAsia="Times New Roman" w:hAnsi="Times New Roman"/>
          <w:sz w:val="9"/>
          <w:szCs w:val="9"/>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9"/>
          <w:szCs w:val="9"/>
          <w:b w:val="1"/>
          <w:bCs w:val="1"/>
          <w:i w:val="1"/>
          <w:iCs w:val="1"/>
          <w:color w:val="auto"/>
        </w:rPr>
        <w:t>YA Variable Price</w:t>
      </w:r>
      <w:r>
        <w:rPr>
          <w:rFonts w:ascii="Times New Roman" w:cs="Times New Roman" w:eastAsia="Times New Roman" w:hAnsi="Times New Roman"/>
          <w:sz w:val="9"/>
          <w:szCs w:val="9"/>
          <w:color w:val="auto"/>
        </w:rPr>
        <w:t>”) but which YA Variable Price shall not be lower than the “</w:t>
      </w:r>
      <w:r>
        <w:rPr>
          <w:rFonts w:ascii="Times New Roman" w:cs="Times New Roman" w:eastAsia="Times New Roman" w:hAnsi="Times New Roman"/>
          <w:sz w:val="9"/>
          <w:szCs w:val="9"/>
          <w:b w:val="1"/>
          <w:bCs w:val="1"/>
          <w:i w:val="1"/>
          <w:iCs w:val="1"/>
          <w:color w:val="auto"/>
        </w:rPr>
        <w:t>YA Floor Price</w:t>
      </w:r>
      <w:r>
        <w:rPr>
          <w:rFonts w:ascii="Times New Roman" w:cs="Times New Roman" w:eastAsia="Times New Roman" w:hAnsi="Times New Roman"/>
          <w:sz w:val="9"/>
          <w:szCs w:val="9"/>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9"/>
          <w:szCs w:val="9"/>
          <w:b w:val="1"/>
          <w:bCs w:val="1"/>
          <w:i w:val="1"/>
          <w:iCs w:val="1"/>
          <w:color w:val="auto"/>
        </w:rPr>
        <w:t>YA Exchange Cap</w:t>
      </w:r>
      <w:r>
        <w:rPr>
          <w:rFonts w:ascii="Times New Roman" w:cs="Times New Roman" w:eastAsia="Times New Roman" w:hAnsi="Times New Roman"/>
          <w:sz w:val="9"/>
          <w:szCs w:val="9"/>
          <w:color w:val="auto"/>
        </w:rPr>
        <w:t>”) (unless Rezolve AI Limited shareholders have approved such issuances, or if Rezolve AI Limited is permitted to follow (and has elected to do so) its home country practices instead of the stockholder approval requirements of Nasdaq Rule 5635).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9"/>
          <w:szCs w:val="9"/>
          <w:b w:val="1"/>
          <w:bCs w:val="1"/>
          <w:i w:val="1"/>
          <w:iCs w:val="1"/>
          <w:color w:val="auto"/>
        </w:rPr>
        <w:t>YA Note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i w:val="1"/>
          <w:iCs w:val="1"/>
          <w:color w:val="auto"/>
        </w:rPr>
        <w:t>Amendment</w:t>
      </w:r>
      <w:r>
        <w:rPr>
          <w:rFonts w:ascii="Times New Roman" w:cs="Times New Roman" w:eastAsia="Times New Roman" w:hAnsi="Times New Roman"/>
          <w:sz w:val="9"/>
          <w:szCs w:val="9"/>
          <w:color w:val="auto"/>
        </w:rPr>
        <w:t>” and the YA Note, as amended by the YA Note Amendment, the “</w:t>
      </w:r>
      <w:r>
        <w:rPr>
          <w:rFonts w:ascii="Times New Roman" w:cs="Times New Roman" w:eastAsia="Times New Roman" w:hAnsi="Times New Roman"/>
          <w:sz w:val="9"/>
          <w:szCs w:val="9"/>
          <w:b w:val="1"/>
          <w:bCs w:val="1"/>
          <w:i w:val="1"/>
          <w:iCs w:val="1"/>
          <w:color w:val="auto"/>
        </w:rPr>
        <w:t>Amended YA Note</w:t>
      </w:r>
      <w:r>
        <w:rPr>
          <w:rFonts w:ascii="Times New Roman" w:cs="Times New Roman" w:eastAsia="Times New Roman" w:hAnsi="Times New Roman"/>
          <w:sz w:val="9"/>
          <w:szCs w:val="9"/>
          <w:color w:val="auto"/>
        </w:rPr>
        <w:t>”) whereby certain terms of the YA Note were amended. In particular, the YA Note Amendment extended the Maturity Date of the YA Note to September 11, 2025,</w:t>
      </w:r>
      <w:r>
        <w:rPr>
          <w:rFonts w:ascii="Times New Roman" w:cs="Times New Roman" w:eastAsia="Times New Roman" w:hAnsi="Times New Roman"/>
          <w:sz w:val="9"/>
          <w:szCs w:val="9"/>
          <w:b w:val="1"/>
          <w:bCs w:val="1"/>
          <w:i w:val="1"/>
          <w:iCs w:val="1"/>
          <w:color w:val="auto"/>
        </w:rPr>
        <w:t xml:space="preserve"> </w:t>
      </w:r>
      <w:r>
        <w:rPr>
          <w:rFonts w:ascii="Times New Roman" w:cs="Times New Roman" w:eastAsia="Times New Roman" w:hAnsi="Times New Roman"/>
          <w:sz w:val="9"/>
          <w:szCs w:val="9"/>
          <w:color w:val="auto"/>
        </w:rPr>
        <w:t>provides that for purposes of determining the Triggered Principal Amount, the term “Other Notes” will not include the additional promissory notes issuable pursuant to the Second A&amp;R YA Agreement, and reduced the floor price to $0.25 per share.</w:t>
      </w:r>
    </w:p>
    <w:p>
      <w:pPr>
        <w:spacing w:after="0" w:line="99" w:lineRule="exact"/>
        <w:rPr>
          <w:sz w:val="20"/>
          <w:szCs w:val="20"/>
          <w:color w:val="auto"/>
        </w:rPr>
      </w:pPr>
    </w:p>
    <w:p>
      <w:pPr>
        <w:ind w:left="1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03" w:lineRule="exact"/>
        <w:rPr>
          <w:sz w:val="20"/>
          <w:szCs w:val="20"/>
          <w:color w:val="auto"/>
        </w:rPr>
      </w:pPr>
    </w:p>
    <w:p>
      <w:pPr>
        <w:ind w:left="10" w:right="40" w:firstLine="480"/>
        <w:spacing w:after="0" w:line="239" w:lineRule="auto"/>
        <w:rPr>
          <w:sz w:val="20"/>
          <w:szCs w:val="20"/>
          <w:color w:val="auto"/>
        </w:rPr>
      </w:pPr>
      <w:r>
        <w:rPr>
          <w:rFonts w:ascii="Times New Roman" w:cs="Times New Roman" w:eastAsia="Times New Roman" w:hAnsi="Times New Roman"/>
          <w:sz w:val="10"/>
          <w:szCs w:val="10"/>
          <w:color w:val="auto"/>
        </w:rPr>
        <w:t>If a “</w:t>
      </w:r>
      <w:r>
        <w:rPr>
          <w:rFonts w:ascii="Times New Roman" w:cs="Times New Roman" w:eastAsia="Times New Roman" w:hAnsi="Times New Roman"/>
          <w:sz w:val="10"/>
          <w:szCs w:val="10"/>
          <w:b w:val="1"/>
          <w:bCs w:val="1"/>
          <w:i w:val="1"/>
          <w:iCs w:val="1"/>
          <w:color w:val="auto"/>
        </w:rPr>
        <w:t>YA Trigger Event</w:t>
      </w:r>
      <w:r>
        <w:rPr>
          <w:rFonts w:ascii="Times New Roman" w:cs="Times New Roman" w:eastAsia="Times New Roman" w:hAnsi="Times New Roman"/>
          <w:sz w:val="10"/>
          <w:szCs w:val="10"/>
          <w:color w:val="auto"/>
        </w:rPr>
        <w:t>” occurs (being where (i) the daily VWAP is less than the YA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YA Floor Price Trigger</w:t>
      </w:r>
      <w:r>
        <w:rPr>
          <w:rFonts w:ascii="Times New Roman" w:cs="Times New Roman" w:eastAsia="Times New Roman" w:hAnsi="Times New Roman"/>
          <w:sz w:val="10"/>
          <w:szCs w:val="10"/>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YA Exchange Cap Trigger</w:t>
      </w:r>
      <w:r>
        <w:rPr>
          <w:rFonts w:ascii="Times New Roman" w:cs="Times New Roman" w:eastAsia="Times New Roman" w:hAnsi="Times New Roman"/>
          <w:sz w:val="10"/>
          <w:szCs w:val="10"/>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08" w:lineRule="exact"/>
        <w:rPr>
          <w:sz w:val="20"/>
          <w:szCs w:val="20"/>
          <w:color w:val="auto"/>
        </w:rPr>
      </w:pPr>
    </w:p>
    <w:p>
      <w:pPr>
        <w:ind w:left="10" w:right="60" w:firstLine="480"/>
        <w:spacing w:after="0" w:line="255" w:lineRule="auto"/>
        <w:rPr>
          <w:sz w:val="20"/>
          <w:szCs w:val="20"/>
          <w:color w:val="auto"/>
        </w:rPr>
      </w:pPr>
      <w:r>
        <w:rPr>
          <w:rFonts w:ascii="Times New Roman" w:cs="Times New Roman" w:eastAsia="Times New Roman" w:hAnsi="Times New Roman"/>
          <w:sz w:val="10"/>
          <w:szCs w:val="10"/>
          <w:color w:val="auto"/>
        </w:rPr>
        <w:t>The Amended YA Note has, and the Additional YA Note will have, certain rights and obligations under an Intercreditor Agreement entered into between Rezolve Limited, Rezolve AI Limited, YA, Apeiron Investment Group Ltd, and GLAS Trust Corporation Limited as security trustee for Apeiron Investment Group Ltd (“</w:t>
      </w:r>
      <w:r>
        <w:rPr>
          <w:rFonts w:ascii="Times New Roman" w:cs="Times New Roman" w:eastAsia="Times New Roman" w:hAnsi="Times New Roman"/>
          <w:sz w:val="10"/>
          <w:szCs w:val="10"/>
          <w:b w:val="1"/>
          <w:bCs w:val="1"/>
          <w:i w:val="1"/>
          <w:iCs w:val="1"/>
          <w:color w:val="auto"/>
        </w:rPr>
        <w:t>Intercreditor Agreement</w:t>
      </w:r>
      <w:r>
        <w:rPr>
          <w:rFonts w:ascii="Times New Roman" w:cs="Times New Roman" w:eastAsia="Times New Roman" w:hAnsi="Times New Roman"/>
          <w:sz w:val="10"/>
          <w:szCs w:val="10"/>
          <w:color w:val="auto"/>
        </w:rPr>
        <w:t>”), under which YA shall share</w:t>
      </w:r>
    </w:p>
    <w:p>
      <w:pPr>
        <w:spacing w:after="0" w:line="10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70"/>
          </w:cols>
          <w:pgMar w:left="630" w:top="1155" w:right="600" w:bottom="1440" w:gutter="0" w:footer="0" w:header="0"/>
        </w:sectPr>
      </w:pPr>
    </w:p>
    <w:bookmarkStart w:id="67" w:name="page68"/>
    <w:bookmarkEnd w:id="67"/>
    <w:p>
      <w:pPr>
        <w:ind w:right="40"/>
        <w:spacing w:after="0" w:line="245" w:lineRule="auto"/>
        <w:rPr>
          <w:sz w:val="20"/>
          <w:szCs w:val="20"/>
          <w:color w:val="auto"/>
        </w:rPr>
      </w:pPr>
      <w:r>
        <w:rPr>
          <w:rFonts w:ascii="Times New Roman" w:cs="Times New Roman" w:eastAsia="Times New Roman" w:hAnsi="Times New Roman"/>
          <w:sz w:val="10"/>
          <w:szCs w:val="10"/>
          <w:color w:val="auto"/>
        </w:rPr>
        <w:t>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14"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0"/>
          <w:szCs w:val="10"/>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0"/>
          <w:szCs w:val="10"/>
          <w:b w:val="1"/>
          <w:bCs w:val="1"/>
          <w:i w:val="1"/>
          <w:iCs w:val="1"/>
          <w:color w:val="auto"/>
        </w:rPr>
        <w:t>Commitment Fee</w:t>
      </w:r>
      <w:r>
        <w:rPr>
          <w:rFonts w:ascii="Times New Roman" w:cs="Times New Roman" w:eastAsia="Times New Roman" w:hAnsi="Times New Roman"/>
          <w:sz w:val="10"/>
          <w:szCs w:val="10"/>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11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805305" cy="5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68" w:name="page69"/>
    <w:bookmarkEnd w:id="68"/>
    <w:p>
      <w:pPr>
        <w:ind w:left="480"/>
        <w:spacing w:after="0"/>
        <w:rPr>
          <w:sz w:val="20"/>
          <w:szCs w:val="20"/>
          <w:color w:val="auto"/>
        </w:rPr>
      </w:pPr>
      <w:r>
        <w:rPr>
          <w:rFonts w:ascii="Times New Roman" w:cs="Times New Roman" w:eastAsia="Times New Roman" w:hAnsi="Times New Roman"/>
          <w:sz w:val="10"/>
          <w:szCs w:val="10"/>
          <w:color w:val="auto"/>
        </w:rPr>
        <w:t>The Convertible Notes are redeemable by the noteholders in certain events, including, without limitation, the failure of Rezolve to pay any amount due thereunder when due.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Rezolve has agreed that, within forty five (45) days from the date of listing on Nasdaq (the “</w:t>
      </w:r>
      <w:r>
        <w:rPr>
          <w:rFonts w:ascii="Times New Roman" w:cs="Times New Roman" w:eastAsia="Times New Roman" w:hAnsi="Times New Roman"/>
          <w:sz w:val="10"/>
          <w:szCs w:val="10"/>
          <w:b w:val="1"/>
          <w:bCs w:val="1"/>
          <w:i w:val="1"/>
          <w:iCs w:val="1"/>
          <w:color w:val="auto"/>
        </w:rPr>
        <w:t>Registration Deadline</w:t>
      </w:r>
      <w:r>
        <w:rPr>
          <w:rFonts w:ascii="Times New Roman" w:cs="Times New Roman" w:eastAsia="Times New Roman" w:hAnsi="Times New Roman"/>
          <w:sz w:val="10"/>
          <w:szCs w:val="10"/>
          <w:color w:val="auto"/>
        </w:rPr>
        <w:t>”), it will file with the SEC a registration statement (the “</w:t>
      </w:r>
      <w:r>
        <w:rPr>
          <w:rFonts w:ascii="Times New Roman" w:cs="Times New Roman" w:eastAsia="Times New Roman" w:hAnsi="Times New Roman"/>
          <w:sz w:val="10"/>
          <w:szCs w:val="10"/>
          <w:b w:val="1"/>
          <w:bCs w:val="1"/>
          <w:i w:val="1"/>
          <w:iCs w:val="1"/>
          <w:color w:val="auto"/>
        </w:rPr>
        <w:t>Registration Statement</w:t>
      </w:r>
      <w:r>
        <w:rPr>
          <w:rFonts w:ascii="Times New Roman" w:cs="Times New Roman" w:eastAsia="Times New Roman" w:hAnsi="Times New Roman"/>
          <w:sz w:val="10"/>
          <w:szCs w:val="10"/>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04"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0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If the SEC prevents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9"/>
          <w:szCs w:val="9"/>
          <w:b w:val="1"/>
          <w:bCs w:val="1"/>
          <w:i w:val="1"/>
          <w:iCs w:val="1"/>
          <w:color w:val="auto"/>
        </w:rPr>
        <w:t>Major Investor</w:t>
      </w:r>
      <w:r>
        <w:rPr>
          <w:rFonts w:ascii="Times New Roman" w:cs="Times New Roman" w:eastAsia="Times New Roman" w:hAnsi="Times New Roman"/>
          <w:sz w:val="9"/>
          <w:szCs w:val="9"/>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0"/>
          <w:szCs w:val="10"/>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ind w:left="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880" w:type="dxa"/>
            <w:vAlign w:val="bottom"/>
          </w:tcPr>
          <w:p>
            <w:pPr>
              <w:ind w:left="176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200" w:type="dxa"/>
            <w:vAlign w:val="bottom"/>
          </w:tcPr>
          <w:p>
            <w:pPr>
              <w:ind w:left="34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8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r>
      <w:tr>
        <w:trPr>
          <w:trHeight w:val="113"/>
        </w:trPr>
        <w:tc>
          <w:tcPr>
            <w:tcW w:w="304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880" w:type="dxa"/>
            <w:vAlign w:val="bottom"/>
            <w:shd w:val="clear" w:color="auto" w:fill="CFF0FC"/>
          </w:tcPr>
          <w:p>
            <w:pPr>
              <w:ind w:left="24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shd w:val="clear" w:color="auto" w:fill="CFF0FC"/>
          </w:tcPr>
          <w:p>
            <w:pPr>
              <w:ind w:left="10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1,177,617</w:t>
            </w:r>
          </w:p>
        </w:tc>
      </w:tr>
      <w:tr>
        <w:trPr>
          <w:trHeight w:val="113"/>
        </w:trPr>
        <w:tc>
          <w:tcPr>
            <w:tcW w:w="30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3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8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r>
      <w:tr>
        <w:trPr>
          <w:trHeight w:val="125"/>
        </w:trPr>
        <w:tc>
          <w:tcPr>
            <w:tcW w:w="30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880" w:type="dxa"/>
            <w:vAlign w:val="bottom"/>
          </w:tcPr>
          <w:p>
            <w:pPr>
              <w:ind w:left="244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0" w:name="page71"/>
    <w:bookmarkEnd w:id="70"/>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1" w:name="page72"/>
    <w:bookmarkEnd w:id="71"/>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1805305" cy="5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54" w:lineRule="exact"/>
        <w:rPr>
          <w:sz w:val="20"/>
          <w:szCs w:val="20"/>
          <w:color w:val="auto"/>
        </w:rPr>
      </w:pPr>
    </w:p>
    <w:p>
      <w:pPr>
        <w:ind w:left="70" w:hanging="70"/>
        <w:spacing w:after="0"/>
        <w:tabs>
          <w:tab w:leader="none" w:pos="7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w:t>
      </w:r>
    </w:p>
    <w:p>
      <w:pPr>
        <w:spacing w:after="0" w:line="108"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05" w:lineRule="exact"/>
        <w:rPr>
          <w:sz w:val="20"/>
          <w:szCs w:val="20"/>
          <w:color w:val="auto"/>
        </w:rPr>
      </w:pPr>
    </w:p>
    <w:p>
      <w:pPr>
        <w:jc w:val="both"/>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has undertaken to re-register as a public limited company on or before January 9, 2025.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28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1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72" w:name="page73"/>
    <w:bookmarkEnd w:id="72"/>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73" w:name="page74"/>
    <w:bookmarkEnd w:id="73"/>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six months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Results of Operations for six months ended June 30, 2024.</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2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2024</w:t>
            </w:r>
          </w:p>
        </w:tc>
        <w:tc>
          <w:tcPr>
            <w:tcW w:w="500" w:type="dxa"/>
            <w:vAlign w:val="bottom"/>
          </w:tcPr>
          <w:p>
            <w:pPr>
              <w:spacing w:after="0"/>
              <w:rPr>
                <w:sz w:val="9"/>
                <w:szCs w:val="9"/>
                <w:color w:val="auto"/>
              </w:rPr>
            </w:pPr>
          </w:p>
        </w:tc>
        <w:tc>
          <w:tcPr>
            <w:tcW w:w="72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5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1,431,430</w:t>
            </w:r>
          </w:p>
        </w:tc>
        <w:tc>
          <w:tcPr>
            <w:tcW w:w="500" w:type="dxa"/>
            <w:vAlign w:val="bottom"/>
          </w:tcPr>
          <w:p>
            <w:pPr>
              <w:spacing w:after="0"/>
              <w:rPr>
                <w:sz w:val="9"/>
                <w:szCs w:val="9"/>
                <w:color w:val="auto"/>
              </w:rPr>
            </w:pPr>
          </w:p>
        </w:tc>
        <w:tc>
          <w:tcPr>
            <w:tcW w:w="7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8,066,209</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500" w:type="dxa"/>
            <w:vAlign w:val="bottom"/>
          </w:tcPr>
          <w:p>
            <w:pPr>
              <w:spacing w:after="0"/>
              <w:rPr>
                <w:sz w:val="9"/>
                <w:szCs w:val="9"/>
                <w:color w:val="auto"/>
              </w:rPr>
            </w:pPr>
          </w:p>
        </w:tc>
        <w:tc>
          <w:tcPr>
            <w:tcW w:w="7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9,719,157</w:t>
            </w:r>
          </w:p>
        </w:tc>
        <w:tc>
          <w:tcPr>
            <w:tcW w:w="500" w:type="dxa"/>
            <w:vAlign w:val="bottom"/>
          </w:tcPr>
          <w:p>
            <w:pPr>
              <w:spacing w:after="0"/>
              <w:rPr>
                <w:sz w:val="9"/>
                <w:szCs w:val="9"/>
                <w:color w:val="auto"/>
              </w:rPr>
            </w:pPr>
          </w:p>
        </w:tc>
        <w:tc>
          <w:tcPr>
            <w:tcW w:w="7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14,376,233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(9,665,758 )</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(14,329,469 )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(3,009,002 )</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500" w:type="dxa"/>
            <w:vAlign w:val="bottom"/>
          </w:tcPr>
          <w:p>
            <w:pPr>
              <w:spacing w:after="0"/>
              <w:rPr>
                <w:sz w:val="9"/>
                <w:szCs w:val="9"/>
                <w:color w:val="auto"/>
              </w:rPr>
            </w:pPr>
          </w:p>
        </w:tc>
        <w:tc>
          <w:tcPr>
            <w:tcW w:w="7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(3,116,818 )</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(2,883,195 )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(12,782,576 )</w:t>
            </w:r>
          </w:p>
        </w:tc>
        <w:tc>
          <w:tcPr>
            <w:tcW w:w="50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(17,212,664 )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(59,870 )</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520" w:type="dxa"/>
            <w:vAlign w:val="bottom"/>
          </w:tcPr>
          <w:p>
            <w:pPr>
              <w:spacing w:after="0"/>
              <w:rPr>
                <w:sz w:val="10"/>
                <w:szCs w:val="1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(12,842,446 )</w:t>
            </w:r>
          </w:p>
        </w:tc>
        <w:tc>
          <w:tcPr>
            <w:tcW w:w="5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(17,276,072 )</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20" w:type="dxa"/>
            <w:vAlign w:val="bottom"/>
          </w:tcPr>
          <w:p>
            <w:pPr>
              <w:jc w:val="right"/>
              <w:ind w:right="1431"/>
              <w:spacing w:after="0"/>
              <w:rPr>
                <w:sz w:val="20"/>
                <w:szCs w:val="20"/>
                <w:color w:val="auto"/>
              </w:rPr>
            </w:pPr>
            <w:r>
              <w:rPr>
                <w:rFonts w:ascii="Times New Roman" w:cs="Times New Roman" w:eastAsia="Times New Roman" w:hAnsi="Times New Roman"/>
                <w:sz w:val="10"/>
                <w:szCs w:val="10"/>
                <w:color w:val="auto"/>
              </w:rPr>
              <w:t>65</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0"/>
          <w:szCs w:val="10"/>
          <w:b w:val="1"/>
          <w:bCs w:val="1"/>
          <w:color w:val="auto"/>
        </w:rPr>
        <w:t>Comparison of six months ended June 30, 2024 and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gridSpan w:val="3"/>
          </w:tcPr>
          <w:p>
            <w:pPr>
              <w:jc w:val="right"/>
              <w:ind w:right="291"/>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0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20" w:type="dxa"/>
            <w:vAlign w:val="bottom"/>
          </w:tcPr>
          <w:p>
            <w:pPr>
              <w:spacing w:after="0"/>
              <w:rPr>
                <w:sz w:val="9"/>
                <w:szCs w:val="9"/>
                <w:color w:val="auto"/>
              </w:rPr>
            </w:pPr>
          </w:p>
        </w:tc>
        <w:tc>
          <w:tcPr>
            <w:tcW w:w="920" w:type="dxa"/>
            <w:vAlign w:val="bottom"/>
            <w:gridSpan w:val="2"/>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Pr>
          <w:p>
            <w:pPr>
              <w:spacing w:after="0"/>
              <w:rPr>
                <w:sz w:val="9"/>
                <w:szCs w:val="9"/>
                <w:color w:val="auto"/>
              </w:rPr>
            </w:pPr>
          </w:p>
        </w:tc>
        <w:tc>
          <w:tcPr>
            <w:tcW w:w="90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jc w:val="right"/>
              <w:ind w:right="554"/>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6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5"/>
        </w:trPr>
        <w:tc>
          <w:tcPr>
            <w:tcW w:w="458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660" w:type="dxa"/>
            <w:vAlign w:val="bottom"/>
            <w:tcBorders>
              <w:bottom w:val="single" w:sz="8" w:color="auto"/>
            </w:tcBorders>
          </w:tcPr>
          <w:p>
            <w:pPr>
              <w:jc w:val="right"/>
              <w:ind w:right="55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53,399</w:t>
            </w:r>
          </w:p>
        </w:tc>
        <w:tc>
          <w:tcPr>
            <w:tcW w:w="220" w:type="dxa"/>
            <w:vAlign w:val="bottom"/>
          </w:tcPr>
          <w:p>
            <w:pPr>
              <w:spacing w:after="0"/>
              <w:rPr>
                <w:sz w:val="10"/>
                <w:szCs w:val="10"/>
                <w:color w:val="auto"/>
              </w:rPr>
            </w:pPr>
          </w:p>
        </w:tc>
        <w:tc>
          <w:tcPr>
            <w:tcW w:w="700" w:type="dxa"/>
            <w:vAlign w:val="bottom"/>
            <w:tcBorders>
              <w:bottom w:val="single" w:sz="8" w:color="auto"/>
            </w:tcBorders>
          </w:tcPr>
          <w:p>
            <w:pPr>
              <w:jc w:val="right"/>
              <w:ind w:right="5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tcPr>
          <w:p>
            <w:pPr>
              <w:spacing w:after="0"/>
              <w:rPr>
                <w:sz w:val="10"/>
                <w:szCs w:val="10"/>
                <w:color w:val="auto"/>
              </w:rPr>
            </w:pPr>
          </w:p>
        </w:tc>
        <w:tc>
          <w:tcPr>
            <w:tcW w:w="680" w:type="dxa"/>
            <w:vAlign w:val="bottom"/>
            <w:tcBorders>
              <w:bottom w:val="single" w:sz="8" w:color="auto"/>
            </w:tcBorders>
          </w:tcPr>
          <w:p>
            <w:pPr>
              <w:jc w:val="right"/>
              <w:ind w:right="5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tcPr>
          <w:p>
            <w:pPr>
              <w:spacing w:after="0"/>
              <w:rPr>
                <w:sz w:val="10"/>
                <w:szCs w:val="10"/>
                <w:color w:val="auto"/>
              </w:rPr>
            </w:pPr>
          </w:p>
        </w:tc>
        <w:tc>
          <w:tcPr>
            <w:tcW w:w="9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$0.047 million for the six months ended June 30, 2023 as compared to $0.053 million for the six months ended June 30, 2024 is attributable to increased ticketing revenue from Spain.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tcPr>
          <w:p>
            <w:pPr>
              <w:spacing w:after="0"/>
              <w:rPr>
                <w:sz w:val="9"/>
                <w:szCs w:val="9"/>
                <w:color w:val="auto"/>
              </w:rPr>
            </w:pPr>
          </w:p>
        </w:tc>
        <w:tc>
          <w:tcPr>
            <w:tcW w:w="900" w:type="dxa"/>
            <w:vAlign w:val="bottom"/>
          </w:tcPr>
          <w:p>
            <w:pPr>
              <w:jc w:val="right"/>
              <w:ind w:right="552"/>
              <w:spacing w:after="0"/>
              <w:rPr>
                <w:sz w:val="20"/>
                <w:szCs w:val="20"/>
                <w:color w:val="auto"/>
              </w:rPr>
            </w:pPr>
            <w:r>
              <w:rPr>
                <w:rFonts w:ascii="Times New Roman" w:cs="Times New Roman" w:eastAsia="Times New Roman" w:hAnsi="Times New Roman"/>
                <w:sz w:val="8"/>
                <w:szCs w:val="8"/>
                <w:b w:val="1"/>
                <w:bCs w:val="1"/>
                <w:color w:val="auto"/>
              </w:rPr>
              <w:t>%</w:t>
            </w:r>
          </w:p>
        </w:tc>
        <w:tc>
          <w:tcPr>
            <w:tcW w:w="20" w:type="dxa"/>
            <w:vAlign w:val="bottom"/>
          </w:tcPr>
          <w:p>
            <w:pPr>
              <w:spacing w:after="0"/>
              <w:rPr>
                <w:sz w:val="9"/>
                <w:szCs w:val="9"/>
                <w:color w:val="auto"/>
              </w:rPr>
            </w:pP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620" w:type="dxa"/>
            <w:vAlign w:val="bottom"/>
            <w:gridSpan w:val="2"/>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w:t>
            </w:r>
          </w:p>
        </w:tc>
        <w:tc>
          <w:tcPr>
            <w:tcW w:w="4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c>
          <w:tcPr>
            <w:tcW w:w="20" w:type="dxa"/>
            <w:vAlign w:val="bottom"/>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1,431,430</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(3,278,744 )</w:t>
            </w:r>
          </w:p>
        </w:tc>
        <w:tc>
          <w:tcPr>
            <w:tcW w:w="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(70 )%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8,066,209</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(677,168 )</w:t>
            </w:r>
          </w:p>
        </w:tc>
        <w:tc>
          <w:tcPr>
            <w:tcW w:w="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(8 )%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(700,500 )</w:t>
            </w:r>
          </w:p>
        </w:tc>
        <w:tc>
          <w:tcPr>
            <w:tcW w:w="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(89 )%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(730 )</w:t>
            </w:r>
          </w:p>
        </w:tc>
        <w:tc>
          <w:tcPr>
            <w:tcW w:w="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458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w w:val="99"/>
              </w:rPr>
              <w:t>9,719,157</w:t>
            </w:r>
          </w:p>
        </w:tc>
        <w:tc>
          <w:tcPr>
            <w:tcW w:w="220" w:type="dxa"/>
            <w:vAlign w:val="bottom"/>
          </w:tcPr>
          <w:p>
            <w:pPr>
              <w:spacing w:after="0"/>
              <w:rPr>
                <w:sz w:val="9"/>
                <w:szCs w:val="9"/>
                <w:color w:val="auto"/>
              </w:rPr>
            </w:pP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14,376,233</w:t>
            </w:r>
          </w:p>
        </w:tc>
        <w:tc>
          <w:tcPr>
            <w:tcW w:w="220" w:type="dxa"/>
            <w:vAlign w:val="bottom"/>
          </w:tcPr>
          <w:p>
            <w:pPr>
              <w:spacing w:after="0"/>
              <w:rPr>
                <w:sz w:val="9"/>
                <w:szCs w:val="9"/>
                <w:color w:val="auto"/>
              </w:rPr>
            </w:pPr>
          </w:p>
        </w:tc>
        <w:tc>
          <w:tcPr>
            <w:tcW w:w="280" w:type="dxa"/>
            <w:vAlign w:val="bottom"/>
          </w:tcPr>
          <w:p>
            <w:pPr>
              <w:jc w:val="right"/>
              <w:ind w:right="1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gridSpan w:val="2"/>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(4,657,076 </w:t>
            </w:r>
            <w:r>
              <w:rPr>
                <w:rFonts w:ascii="Times New Roman" w:cs="Times New Roman" w:eastAsia="Times New Roman" w:hAnsi="Times New Roman"/>
                <w:sz w:val="10"/>
                <w:szCs w:val="10"/>
                <w:color w:val="auto"/>
                <w:vertAlign w:val="subscript"/>
              </w:rPr>
              <w:t>)</w:t>
            </w:r>
          </w:p>
        </w:tc>
        <w:tc>
          <w:tcPr>
            <w:tcW w:w="920" w:type="dxa"/>
            <w:vAlign w:val="bottom"/>
            <w:gridSpan w:val="2"/>
          </w:tcPr>
          <w:p>
            <w:pPr>
              <w:jc w:val="right"/>
              <w:spacing w:after="0" w:line="93" w:lineRule="exact"/>
              <w:rPr>
                <w:sz w:val="20"/>
                <w:szCs w:val="20"/>
                <w:color w:val="auto"/>
              </w:rPr>
            </w:pPr>
            <w:r>
              <w:rPr>
                <w:rFonts w:ascii="Times New Roman" w:cs="Times New Roman" w:eastAsia="Times New Roman" w:hAnsi="Times New Roman"/>
                <w:sz w:val="10"/>
                <w:szCs w:val="10"/>
                <w:color w:val="auto"/>
              </w:rPr>
              <w:t>(32 )%</w:t>
            </w:r>
          </w:p>
        </w:tc>
      </w:tr>
      <w:tr>
        <w:trPr>
          <w:trHeight w:val="23"/>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-370840</wp:posOffset>
            </wp:positionV>
            <wp:extent cx="6076950" cy="71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6950" cy="71755"/>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-227965</wp:posOffset>
            </wp:positionV>
            <wp:extent cx="6076950" cy="717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6950" cy="71755"/>
                    </a:xfrm>
                    <a:prstGeom prst="rect">
                      <a:avLst/>
                    </a:prstGeom>
                    <a:noFill/>
                  </pic:spPr>
                </pic:pic>
              </a:graphicData>
            </a:graphic>
          </wp:anchor>
        </w:drawing>
        <w:drawing>
          <wp:anchor simplePos="0" relativeHeight="251657728" behindDoc="1" locked="0" layoutInCell="0" allowOverlap="1">
            <wp:simplePos x="0" y="0"/>
            <wp:positionH relativeFrom="column">
              <wp:posOffset>332105</wp:posOffset>
            </wp:positionH>
            <wp:positionV relativeFrom="paragraph">
              <wp:posOffset>-85090</wp:posOffset>
            </wp:positionV>
            <wp:extent cx="607695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6950" cy="85725"/>
                    </a:xfrm>
                    <a:prstGeom prst="rect">
                      <a:avLst/>
                    </a:prstGeom>
                    <a:noFill/>
                  </pic:spPr>
                </pic:pic>
              </a:graphicData>
            </a:graphic>
          </wp:anchor>
        </w:drawing>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remained unchanged at $0.02 million, for the six months ended June 30, 2024 compared to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decreased by $3.3 million, for the six months ended June 30, 2024, compared to the six months ended June 30, 2023. This was primarily due decrease in share-based payments of $2.8 million and a reduction in salary costs of $0.5 million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$0.7 million, for the six months ended June 30, 2024, compared to the six months ended June 30, 2023. Share- 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decreased by $0.8 million due to an impairment of a loan receivables to Swipeby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$0.1 million, for the six months ended June 30, 2024, compared to the six months ended June 30,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jc w:val="right"/>
              <w:ind w:right="417"/>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tcPr>
          <w:p>
            <w:pPr>
              <w:spacing w:after="0"/>
              <w:rPr>
                <w:sz w:val="9"/>
                <w:szCs w:val="9"/>
                <w:color w:val="auto"/>
              </w:rPr>
            </w:pPr>
          </w:p>
        </w:tc>
        <w:tc>
          <w:tcPr>
            <w:tcW w:w="900" w:type="dxa"/>
            <w:vAlign w:val="bottom"/>
          </w:tcPr>
          <w:p>
            <w:pPr>
              <w:jc w:val="right"/>
              <w:ind w:right="553"/>
              <w:spacing w:after="0"/>
              <w:rPr>
                <w:sz w:val="20"/>
                <w:szCs w:val="20"/>
                <w:color w:val="auto"/>
              </w:rPr>
            </w:pPr>
            <w:r>
              <w:rPr>
                <w:rFonts w:ascii="Times New Roman" w:cs="Times New Roman" w:eastAsia="Times New Roman" w:hAnsi="Times New Roman"/>
                <w:sz w:val="8"/>
                <w:szCs w:val="8"/>
                <w:b w:val="1"/>
                <w:bCs w:val="1"/>
                <w:color w:val="auto"/>
              </w:rPr>
              <w:t>%</w:t>
            </w:r>
          </w:p>
        </w:tc>
        <w:tc>
          <w:tcPr>
            <w:tcW w:w="20" w:type="dxa"/>
            <w:vAlign w:val="bottom"/>
          </w:tcPr>
          <w:p>
            <w:pPr>
              <w:spacing w:after="0"/>
              <w:rPr>
                <w:sz w:val="9"/>
                <w:szCs w:val="9"/>
                <w:color w:val="auto"/>
              </w:rPr>
            </w:pP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89"/>
              </w:rPr>
              <w:t>(3,009,002 )</w:t>
            </w:r>
          </w:p>
        </w:tc>
        <w:tc>
          <w:tcPr>
            <w:tcW w:w="40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45,944</w:t>
            </w:r>
          </w:p>
        </w:tc>
        <w:tc>
          <w:tcPr>
            <w:tcW w:w="480" w:type="dxa"/>
            <w:vAlign w:val="bottom"/>
          </w:tcPr>
          <w:p>
            <w:pPr>
              <w:spacing w:after="0"/>
              <w:rPr>
                <w:sz w:val="9"/>
                <w:szCs w:val="9"/>
                <w:color w:val="auto"/>
              </w:rPr>
            </w:pPr>
          </w:p>
        </w:tc>
        <w:tc>
          <w:tcPr>
            <w:tcW w:w="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640" w:type="dxa"/>
            <w:vAlign w:val="bottom"/>
          </w:tcPr>
          <w:p>
            <w:pPr>
              <w:spacing w:after="0"/>
              <w:rPr>
                <w:sz w:val="9"/>
                <w:szCs w:val="9"/>
                <w:color w:val="auto"/>
              </w:rPr>
            </w:pPr>
          </w:p>
        </w:tc>
        <w:tc>
          <w:tcPr>
            <w:tcW w:w="6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(279,567 )</w:t>
            </w:r>
          </w:p>
        </w:tc>
        <w:tc>
          <w:tcPr>
            <w:tcW w:w="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(163 )%</w:t>
            </w:r>
          </w:p>
        </w:tc>
      </w:tr>
      <w:tr>
        <w:trPr>
          <w:trHeight w:val="113"/>
        </w:trPr>
        <w:tc>
          <w:tcPr>
            <w:tcW w:w="458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color w:val="auto"/>
              </w:rPr>
              <w:t xml:space="preserve">(3,116,818 </w:t>
            </w:r>
            <w:r>
              <w:rPr>
                <w:rFonts w:ascii="Times New Roman" w:cs="Times New Roman" w:eastAsia="Times New Roman" w:hAnsi="Times New Roman"/>
                <w:sz w:val="10"/>
                <w:szCs w:val="10"/>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color w:val="auto"/>
              </w:rPr>
              <w:t xml:space="preserve">(2,883,195 </w:t>
            </w:r>
            <w:r>
              <w:rPr>
                <w:rFonts w:ascii="Times New Roman" w:cs="Times New Roman" w:eastAsia="Times New Roman" w:hAnsi="Times New Roman"/>
                <w:sz w:val="10"/>
                <w:szCs w:val="10"/>
                <w:color w:val="auto"/>
                <w:vertAlign w:val="subscript"/>
              </w:rPr>
              <w:t>)</w:t>
            </w:r>
          </w:p>
        </w:tc>
        <w:tc>
          <w:tcPr>
            <w:tcW w:w="280" w:type="dxa"/>
            <w:vAlign w:val="bottom"/>
          </w:tcPr>
          <w:p>
            <w:pPr>
              <w:spacing w:after="0"/>
              <w:rPr>
                <w:sz w:val="9"/>
                <w:szCs w:val="9"/>
                <w:color w:val="auto"/>
              </w:rPr>
            </w:pPr>
          </w:p>
        </w:tc>
        <w:tc>
          <w:tcPr>
            <w:tcW w:w="1240" w:type="dxa"/>
            <w:vAlign w:val="bottom"/>
            <w:gridSpan w:val="2"/>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(233,623 </w:t>
            </w:r>
            <w:r>
              <w:rPr>
                <w:rFonts w:ascii="Times New Roman" w:cs="Times New Roman" w:eastAsia="Times New Roman" w:hAnsi="Times New Roman"/>
                <w:sz w:val="10"/>
                <w:szCs w:val="10"/>
                <w:color w:val="auto"/>
                <w:vertAlign w:val="subscript"/>
              </w:rPr>
              <w:t>)</w:t>
            </w:r>
          </w:p>
        </w:tc>
        <w:tc>
          <w:tcPr>
            <w:tcW w:w="9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8 %</w:t>
            </w:r>
          </w:p>
        </w:tc>
        <w:tc>
          <w:tcPr>
            <w:tcW w:w="20" w:type="dxa"/>
            <w:vAlign w:val="bottom"/>
          </w:tcPr>
          <w:p>
            <w:pPr>
              <w:spacing w:after="0"/>
              <w:rPr>
                <w:sz w:val="9"/>
                <w:szCs w:val="9"/>
                <w:color w:val="auto"/>
              </w:rPr>
            </w:pPr>
          </w:p>
        </w:tc>
      </w:tr>
      <w:tr>
        <w:trPr>
          <w:trHeight w:val="23"/>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-156845</wp:posOffset>
            </wp:positionV>
            <wp:extent cx="6076950" cy="71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6950" cy="71755"/>
                    </a:xfrm>
                    <a:prstGeom prst="rect">
                      <a:avLst/>
                    </a:prstGeom>
                    <a:noFill/>
                  </pic:spPr>
                </pic:pic>
              </a:graphicData>
            </a:graphic>
          </wp:anchor>
        </w:drawing>
      </w:r>
    </w:p>
    <w:p>
      <w:pPr>
        <w:spacing w:after="0" w:line="116"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decreased by $0.3 million for the six months ended June 30, 2024 as compared to the six year ended June 30, 2023, this is due to an increase in foreign exchange losses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76" w:name="page77"/>
    <w:bookmarkEnd w:id="76"/>
    <w:p>
      <w:pPr>
        <w:ind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20" w:type="dxa"/>
            <w:vAlign w:val="bottom"/>
          </w:tcPr>
          <w:p>
            <w:pPr>
              <w:spacing w:after="0"/>
              <w:rPr>
                <w:sz w:val="8"/>
                <w:szCs w:val="8"/>
                <w:color w:val="auto"/>
              </w:rPr>
            </w:pPr>
          </w:p>
        </w:tc>
      </w:tr>
      <w:tr>
        <w:trPr>
          <w:trHeight w:val="106"/>
        </w:trPr>
        <w:tc>
          <w:tcPr>
            <w:tcW w:w="3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500" w:type="dxa"/>
            <w:vAlign w:val="bottom"/>
          </w:tcPr>
          <w:p>
            <w:pPr>
              <w:spacing w:after="0"/>
              <w:rPr>
                <w:sz w:val="9"/>
                <w:szCs w:val="9"/>
                <w:color w:val="auto"/>
              </w:rPr>
            </w:pPr>
          </w:p>
        </w:tc>
        <w:tc>
          <w:tcPr>
            <w:tcW w:w="72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4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8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5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4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86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500" w:type="dxa"/>
            <w:vAlign w:val="bottom"/>
          </w:tcPr>
          <w:p>
            <w:pPr>
              <w:spacing w:after="0"/>
              <w:rPr>
                <w:sz w:val="9"/>
                <w:szCs w:val="9"/>
                <w:color w:val="auto"/>
              </w:rPr>
            </w:pPr>
          </w:p>
        </w:tc>
        <w:tc>
          <w:tcPr>
            <w:tcW w:w="7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25"/>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(9,652,733 )</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(14,036,147 )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78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77" w:name="page78"/>
    <w:bookmarkEnd w:id="77"/>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90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2023 and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20" w:type="dxa"/>
            <w:vAlign w:val="bottom"/>
          </w:tcPr>
          <w:p>
            <w:pPr>
              <w:spacing w:after="0"/>
              <w:rPr>
                <w:sz w:val="8"/>
                <w:szCs w:val="8"/>
                <w:color w:val="auto"/>
              </w:rPr>
            </w:pPr>
          </w:p>
        </w:tc>
      </w:tr>
      <w:tr>
        <w:trPr>
          <w:trHeight w:val="106"/>
        </w:trPr>
        <w:tc>
          <w:tcPr>
            <w:tcW w:w="3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500" w:type="dxa"/>
            <w:vAlign w:val="bottom"/>
          </w:tcPr>
          <w:p>
            <w:pPr>
              <w:spacing w:after="0"/>
              <w:rPr>
                <w:sz w:val="9"/>
                <w:szCs w:val="9"/>
                <w:color w:val="auto"/>
              </w:rPr>
            </w:pPr>
          </w:p>
        </w:tc>
        <w:tc>
          <w:tcPr>
            <w:tcW w:w="72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68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5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500" w:type="dxa"/>
            <w:vAlign w:val="bottom"/>
          </w:tcPr>
          <w:p>
            <w:pPr>
              <w:spacing w:after="0"/>
              <w:rPr>
                <w:sz w:val="9"/>
                <w:szCs w:val="9"/>
                <w:color w:val="auto"/>
              </w:rPr>
            </w:pPr>
          </w:p>
        </w:tc>
        <w:tc>
          <w:tcPr>
            <w:tcW w:w="7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168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(9,652,733 )</w:t>
            </w:r>
          </w:p>
        </w:tc>
        <w:tc>
          <w:tcPr>
            <w:tcW w:w="5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(14,036,147 )</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168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500" w:type="dxa"/>
            <w:vAlign w:val="bottom"/>
          </w:tcPr>
          <w:p>
            <w:pPr>
              <w:spacing w:after="0"/>
              <w:rPr>
                <w:sz w:val="9"/>
                <w:szCs w:val="9"/>
                <w:color w:val="auto"/>
              </w:rPr>
            </w:pPr>
          </w:p>
        </w:tc>
        <w:tc>
          <w:tcPr>
            <w:tcW w:w="7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9"/>
                <w:szCs w:val="9"/>
                <w:color w:val="auto"/>
              </w:rPr>
            </w:pPr>
          </w:p>
        </w:tc>
        <w:tc>
          <w:tcPr>
            <w:tcW w:w="7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570,731</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4,043,184</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4,880,389</w:t>
            </w:r>
          </w:p>
        </w:tc>
      </w:tr>
      <w:tr>
        <w:trPr>
          <w:trHeight w:val="125"/>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Adjusted EBITDA .</w:t>
            </w:r>
          </w:p>
        </w:tc>
        <w:tc>
          <w:tcPr>
            <w:tcW w:w="16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(5,501,325 )</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(7,472,644 )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June 30, 2024 and June 30,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80" w:type="dxa"/>
            <w:vAlign w:val="bottom"/>
          </w:tcPr>
          <w:p>
            <w:pPr>
              <w:spacing w:after="0"/>
              <w:rPr>
                <w:sz w:val="8"/>
                <w:szCs w:val="8"/>
                <w:color w:val="auto"/>
              </w:rPr>
            </w:pPr>
          </w:p>
        </w:tc>
        <w:tc>
          <w:tcPr>
            <w:tcW w:w="960" w:type="dxa"/>
            <w:vAlign w:val="bottom"/>
          </w:tcPr>
          <w:p>
            <w:pPr>
              <w:jc w:val="right"/>
              <w:ind w:right="315"/>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2024</w:t>
            </w:r>
          </w:p>
        </w:tc>
        <w:tc>
          <w:tcPr>
            <w:tcW w:w="280" w:type="dxa"/>
            <w:vAlign w:val="bottom"/>
          </w:tcPr>
          <w:p>
            <w:pPr>
              <w:spacing w:after="0"/>
              <w:rPr>
                <w:sz w:val="9"/>
                <w:szCs w:val="9"/>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6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15"/>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Available liquidity</w:t>
            </w:r>
          </w:p>
        </w:tc>
        <w:tc>
          <w:tcPr>
            <w:tcW w:w="26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60,298</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40" w:type="dxa"/>
            <w:vAlign w:val="bottom"/>
          </w:tcPr>
          <w:p>
            <w:pPr>
              <w:jc w:val="right"/>
              <w:ind w:right="1411"/>
              <w:spacing w:after="0"/>
              <w:rPr>
                <w:sz w:val="20"/>
                <w:szCs w:val="20"/>
                <w:color w:val="auto"/>
              </w:rPr>
            </w:pPr>
            <w:r>
              <w:rPr>
                <w:rFonts w:ascii="Times New Roman" w:cs="Times New Roman" w:eastAsia="Times New Roman" w:hAnsi="Times New Roman"/>
                <w:sz w:val="10"/>
                <w:szCs w:val="10"/>
                <w:color w:val="auto"/>
              </w:rPr>
              <w:t>69</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540" w:type="dxa"/>
            <w:vAlign w:val="bottom"/>
          </w:tcPr>
          <w:p>
            <w:pPr>
              <w:spacing w:after="0"/>
              <w:rPr>
                <w:sz w:val="9"/>
                <w:szCs w:val="9"/>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20" w:type="dxa"/>
            <w:vAlign w:val="bottom"/>
            <w:vMerge w:val="restart"/>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c>
          <w:tcPr>
            <w:tcW w:w="0" w:type="dxa"/>
            <w:vAlign w:val="bottom"/>
          </w:tcPr>
          <w:p>
            <w:pPr>
              <w:spacing w:after="0"/>
              <w:rPr>
                <w:sz w:val="1"/>
                <w:szCs w:val="1"/>
                <w:color w:val="auto"/>
              </w:rPr>
            </w:pPr>
          </w:p>
        </w:tc>
      </w:tr>
      <w:tr>
        <w:trPr>
          <w:trHeight w:val="96"/>
        </w:trPr>
        <w:tc>
          <w:tcPr>
            <w:tcW w:w="3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(4,898,451 )</w:t>
            </w:r>
          </w:p>
        </w:tc>
        <w:tc>
          <w:tcPr>
            <w:tcW w:w="5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(8,818,307 )</w:t>
            </w:r>
          </w:p>
        </w:tc>
        <w:tc>
          <w:tcPr>
            <w:tcW w:w="0" w:type="dxa"/>
            <w:vAlign w:val="bottom"/>
          </w:tcPr>
          <w:p>
            <w:pPr>
              <w:spacing w:after="0"/>
              <w:rPr>
                <w:sz w:val="1"/>
                <w:szCs w:val="1"/>
                <w:color w:val="auto"/>
              </w:rPr>
            </w:pPr>
          </w:p>
        </w:tc>
      </w:tr>
      <w:tr>
        <w:trPr>
          <w:trHeight w:val="113"/>
        </w:trPr>
        <w:tc>
          <w:tcPr>
            <w:tcW w:w="35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120" w:type="dxa"/>
            <w:vAlign w:val="bottom"/>
          </w:tcPr>
          <w:p>
            <w:pPr>
              <w:spacing w:after="0"/>
              <w:rPr>
                <w:sz w:val="9"/>
                <w:szCs w:val="9"/>
                <w:color w:val="auto"/>
              </w:rPr>
            </w:pPr>
          </w:p>
        </w:tc>
        <w:tc>
          <w:tcPr>
            <w:tcW w:w="5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(1,364,375 )</w:t>
            </w:r>
          </w:p>
        </w:tc>
        <w:tc>
          <w:tcPr>
            <w:tcW w:w="50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(112,666 )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12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w w:val="99"/>
              </w:rPr>
              <w:t>6,274,161</w:t>
            </w:r>
          </w:p>
        </w:tc>
        <w:tc>
          <w:tcPr>
            <w:tcW w:w="500" w:type="dxa"/>
            <w:vAlign w:val="bottom"/>
            <w:shd w:val="clear" w:color="auto" w:fill="CFF0FC"/>
          </w:tcPr>
          <w:p>
            <w:pPr>
              <w:spacing w:after="0"/>
              <w:rPr>
                <w:sz w:val="9"/>
                <w:szCs w:val="9"/>
                <w:color w:val="auto"/>
              </w:rPr>
            </w:pPr>
          </w:p>
        </w:tc>
        <w:tc>
          <w:tcPr>
            <w:tcW w:w="7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9,171,912</w:t>
            </w:r>
          </w:p>
        </w:tc>
        <w:tc>
          <w:tcPr>
            <w:tcW w:w="0" w:type="dxa"/>
            <w:vAlign w:val="bottom"/>
          </w:tcPr>
          <w:p>
            <w:pPr>
              <w:spacing w:after="0"/>
              <w:rPr>
                <w:sz w:val="1"/>
                <w:szCs w:val="1"/>
                <w:color w:val="auto"/>
              </w:rPr>
            </w:pPr>
          </w:p>
        </w:tc>
      </w:tr>
      <w:tr>
        <w:trPr>
          <w:trHeight w:val="106"/>
        </w:trPr>
        <w:tc>
          <w:tcPr>
            <w:tcW w:w="35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120" w:type="dxa"/>
            <w:vAlign w:val="bottom"/>
          </w:tcPr>
          <w:p>
            <w:pPr>
              <w:spacing w:after="0"/>
              <w:rPr>
                <w:sz w:val="10"/>
                <w:szCs w:val="10"/>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38,522</w:t>
            </w:r>
          </w:p>
        </w:tc>
        <w:tc>
          <w:tcPr>
            <w:tcW w:w="5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(159,230 )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49,857</w:t>
            </w:r>
          </w:p>
        </w:tc>
        <w:tc>
          <w:tcPr>
            <w:tcW w:w="5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81,709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$6.3 million for the six months ended June 30, 2024 was due to proceeds from rights issues of $1.4 million, $0.4 million of short term loans and $4.3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DBLP Sea Cow Ltd of $860,778 consists of $ 447,067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01" w:lineRule="exact"/>
        <w:rPr>
          <w:sz w:val="20"/>
          <w:szCs w:val="20"/>
          <w:color w:val="auto"/>
        </w:rPr>
      </w:pPr>
    </w:p>
    <w:p>
      <w:pPr>
        <w:ind w:firstLine="480"/>
        <w:spacing w:after="0" w:line="292" w:lineRule="auto"/>
        <w:rPr>
          <w:sz w:val="20"/>
          <w:szCs w:val="20"/>
          <w:color w:val="auto"/>
        </w:rPr>
      </w:pPr>
      <w:r>
        <w:rPr>
          <w:rFonts w:ascii="Times New Roman" w:cs="Times New Roman" w:eastAsia="Times New Roman" w:hAnsi="Times New Roman"/>
          <w:sz w:val="10"/>
          <w:szCs w:val="10"/>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2024, $37,956 of borrowing fees have been recognized.</w:t>
      </w:r>
    </w:p>
    <w:p>
      <w:pPr>
        <w:spacing w:after="0" w:line="3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79" w:name="page80"/>
    <w:bookmarkEnd w:id="79"/>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12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3" w:right="66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2024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108"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212529"/>
        </w:rPr>
        <w:t xml:space="preserve">On September 6, 2024, YA and Rezolve executed the Second A&amp;R YA Agreement </w:t>
      </w:r>
      <w:r>
        <w:rPr>
          <w:rFonts w:ascii="Times New Roman" w:cs="Times New Roman" w:eastAsia="Times New Roman" w:hAnsi="Times New Roman"/>
          <w:sz w:val="9"/>
          <w:szCs w:val="9"/>
          <w:color w:val="000000"/>
        </w:rPr>
        <w:t>to incorporate an additional prepaid advance arrangement pursuant to which YA committed to provide Rezolve with prepaid advances in an aggregate original principal amount</w:t>
      </w:r>
      <w:r>
        <w:rPr>
          <w:rFonts w:ascii="Times New Roman" w:cs="Times New Roman" w:eastAsia="Times New Roman" w:hAnsi="Times New Roman"/>
          <w:sz w:val="9"/>
          <w:szCs w:val="9"/>
          <w:color w:val="212529"/>
        </w:rPr>
        <w:t xml:space="preserve"> </w:t>
      </w:r>
      <w:r>
        <w:rPr>
          <w:rFonts w:ascii="Times New Roman" w:cs="Times New Roman" w:eastAsia="Times New Roman" w:hAnsi="Times New Roman"/>
          <w:sz w:val="9"/>
          <w:szCs w:val="9"/>
          <w:color w:val="000000"/>
        </w:rPr>
        <w:t>of an additional Seven Million Five Hundred Thousand Dollars ($7,500,000), which will be in three tranches, with the first tranche in an original principal amount of Two Million Five Hundred Thousand Dollars ($2,500,000) funded in connection with the Additional YA Note, the second tranche in an original principal amount of Two Million Five Hundred Thousand Dollars ($2,500,000) funded in connection with the Additional YA Note, and the third tranche in an original principal amount of Two Million Five Hundred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color w:val="auto"/>
        </w:rPr>
        <w:t>Thousand Dollars ($2,500,000) to be funded upon the effectiveness of this Registration Statement. The Second A&amp;R YA Agreement superseded the YA Agreement.</w:t>
      </w:r>
    </w:p>
    <w:p>
      <w:pPr>
        <w:spacing w:after="0" w:line="116" w:lineRule="exact"/>
        <w:rPr>
          <w:sz w:val="20"/>
          <w:szCs w:val="20"/>
          <w:color w:val="auto"/>
        </w:rPr>
      </w:pPr>
    </w:p>
    <w:p>
      <w:pPr>
        <w:jc w:val="both"/>
        <w:ind w:right="200" w:firstLine="480"/>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04"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the Additional YA Note to YA in the principal amount of $5,000,000 reflecting the first and second tranche of the prepaid advances. The Additional YA Note was issued at a 5% issue discount. Upon the funding of the third tranche of the prepaid advance, Rezolve will issue YA a promissory note in the principal amount of $ 2,500,000 with the same terms as the Additional YA Note. The Additional YA Note bears interest at an annual rate of 10% of the outstanding principal balance of the Note, which such rate will increase to 18% in the Event of Default (as defined in the Additional YA Note) and matures on September 11, 2025. If, at any time after September 9, 2024, and from time to time thereafter, a Trigger Event (as defined in the Additional YA Note) occurs, then Rezolve shall make monthly payments by the 7th trading day after the Trigger Date (as defined in the Additional YA Note) and continuing on the same day of each successive month. Each monthly payment shall be in an amount equal to the sum of (i) $1,875,000 of the principal amount outstanding in the aggregate among the Additional YA Note and any other notes outstanding (or the outstanding principal of the Note if less than such amount) (the “</w:t>
      </w:r>
      <w:r>
        <w:rPr>
          <w:rFonts w:ascii="Times New Roman" w:cs="Times New Roman" w:eastAsia="Times New Roman" w:hAnsi="Times New Roman"/>
          <w:sz w:val="10"/>
          <w:szCs w:val="10"/>
          <w:b w:val="1"/>
          <w:bCs w:val="1"/>
          <w:i w:val="1"/>
          <w:iCs w:val="1"/>
          <w:color w:val="auto"/>
        </w:rPr>
        <w:t>Triggered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Principal Amount</w:t>
      </w:r>
      <w:r>
        <w:rPr>
          <w:rFonts w:ascii="Times New Roman" w:cs="Times New Roman" w:eastAsia="Times New Roman" w:hAnsi="Times New Roman"/>
          <w:sz w:val="10"/>
          <w:szCs w:val="10"/>
          <w:color w:val="auto"/>
        </w:rPr>
        <w:t>”), plus (ii) 10% of the premium amount being paid in respect of such Triggered Principal Amount, plus (iii) accrued and unpaid interest under the Additional YA Note as of each payment date.</w:t>
      </w:r>
    </w:p>
    <w:p>
      <w:pPr>
        <w:spacing w:after="0" w:line="106"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Amended YA Note and Additional YA Note (together,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10"/>
          <w:szCs w:val="10"/>
          <w:b w:val="1"/>
          <w:bCs w:val="1"/>
          <w:i w:val="1"/>
          <w:iCs w:val="1"/>
          <w:color w:val="auto"/>
        </w:rPr>
        <w:t>Conversion Price</w:t>
      </w:r>
      <w:r>
        <w:rPr>
          <w:rFonts w:ascii="Times New Roman" w:cs="Times New Roman" w:eastAsia="Times New Roman" w:hAnsi="Times New Roman"/>
          <w:sz w:val="10"/>
          <w:szCs w:val="10"/>
          <w:color w:val="auto"/>
        </w:rPr>
        <w:t>” (being the lower of (i) $10 per share (the “</w:t>
      </w:r>
      <w:r>
        <w:rPr>
          <w:rFonts w:ascii="Times New Roman" w:cs="Times New Roman" w:eastAsia="Times New Roman" w:hAnsi="Times New Roman"/>
          <w:sz w:val="10"/>
          <w:szCs w:val="10"/>
          <w:b w:val="1"/>
          <w:bCs w:val="1"/>
          <w:i w:val="1"/>
          <w:iCs w:val="1"/>
          <w:color w:val="auto"/>
        </w:rPr>
        <w:t>Fixed Price</w:t>
      </w:r>
      <w:r>
        <w:rPr>
          <w:rFonts w:ascii="Times New Roman" w:cs="Times New Roman" w:eastAsia="Times New Roman" w:hAnsi="Times New Roman"/>
          <w:sz w:val="10"/>
          <w:szCs w:val="10"/>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10"/>
          <w:szCs w:val="10"/>
          <w:b w:val="1"/>
          <w:bCs w:val="1"/>
          <w:i w:val="1"/>
          <w:iCs w:val="1"/>
          <w:color w:val="auto"/>
        </w:rPr>
        <w:t>YA Variable Price</w:t>
      </w:r>
      <w:r>
        <w:rPr>
          <w:rFonts w:ascii="Times New Roman" w:cs="Times New Roman" w:eastAsia="Times New Roman" w:hAnsi="Times New Roman"/>
          <w:sz w:val="10"/>
          <w:szCs w:val="10"/>
          <w:color w:val="auto"/>
        </w:rPr>
        <w:t>”) but which YA Variable Price shall not be lower than the “</w:t>
      </w:r>
      <w:r>
        <w:rPr>
          <w:rFonts w:ascii="Times New Roman" w:cs="Times New Roman" w:eastAsia="Times New Roman" w:hAnsi="Times New Roman"/>
          <w:sz w:val="10"/>
          <w:szCs w:val="10"/>
          <w:b w:val="1"/>
          <w:bCs w:val="1"/>
          <w:i w:val="1"/>
          <w:iCs w:val="1"/>
          <w:color w:val="auto"/>
        </w:rPr>
        <w:t>YA Floor Price</w:t>
      </w:r>
      <w:r>
        <w:rPr>
          <w:rFonts w:ascii="Times New Roman" w:cs="Times New Roman" w:eastAsia="Times New Roman" w:hAnsi="Times New Roman"/>
          <w:sz w:val="10"/>
          <w:szCs w:val="10"/>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0"/>
          <w:szCs w:val="10"/>
          <w:b w:val="1"/>
          <w:bCs w:val="1"/>
          <w:i w:val="1"/>
          <w:iCs w:val="1"/>
          <w:color w:val="auto"/>
        </w:rPr>
        <w:t>YA Exchange Cap</w:t>
      </w:r>
      <w:r>
        <w:rPr>
          <w:rFonts w:ascii="Times New Roman" w:cs="Times New Roman" w:eastAsia="Times New Roman" w:hAnsi="Times New Roman"/>
          <w:sz w:val="10"/>
          <w:szCs w:val="10"/>
          <w:color w:val="auto"/>
        </w:rPr>
        <w:t>”) (unless Rezolve AI Limited shareholders have approved such issuances, or if Rezolve AI Limited is permitted to follow (and has elected to do so) its home country practices instead of the stockholder approval requirements of Nasdaq Rule 5635).</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If a “</w:t>
      </w:r>
      <w:r>
        <w:rPr>
          <w:rFonts w:ascii="Times New Roman" w:cs="Times New Roman" w:eastAsia="Times New Roman" w:hAnsi="Times New Roman"/>
          <w:sz w:val="10"/>
          <w:szCs w:val="10"/>
          <w:b w:val="1"/>
          <w:bCs w:val="1"/>
          <w:i w:val="1"/>
          <w:iCs w:val="1"/>
          <w:color w:val="auto"/>
        </w:rPr>
        <w:t>YA Trigger Event</w:t>
      </w:r>
      <w:r>
        <w:rPr>
          <w:rFonts w:ascii="Times New Roman" w:cs="Times New Roman" w:eastAsia="Times New Roman" w:hAnsi="Times New Roman"/>
          <w:sz w:val="10"/>
          <w:szCs w:val="10"/>
          <w:color w:val="auto"/>
        </w:rPr>
        <w:t>” occurs (being where (i) the daily VWAP is less than the YA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YA Floor Price Trigger</w:t>
      </w:r>
      <w:r>
        <w:rPr>
          <w:rFonts w:ascii="Times New Roman" w:cs="Times New Roman" w:eastAsia="Times New Roman" w:hAnsi="Times New Roman"/>
          <w:sz w:val="10"/>
          <w:szCs w:val="10"/>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YA Exchange Cap Trigger</w:t>
      </w:r>
      <w:r>
        <w:rPr>
          <w:rFonts w:ascii="Times New Roman" w:cs="Times New Roman" w:eastAsia="Times New Roman" w:hAnsi="Times New Roman"/>
          <w:sz w:val="10"/>
          <w:szCs w:val="10"/>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The YA Notes have certain rights and obligations under an Intercreditor Agreement entered into between Rezolve Limited, Rezolve AI Limited, YA, Apeiron Investment Group Ltd, and GLAS Trust Corporation Limited as security trustee for Apeiron</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82" w:name="page83"/>
    <w:bookmarkEnd w:id="82"/>
    <w:p>
      <w:pPr>
        <w:ind w:right="60"/>
        <w:spacing w:after="0" w:line="247" w:lineRule="auto"/>
        <w:rPr>
          <w:sz w:val="20"/>
          <w:szCs w:val="20"/>
          <w:color w:val="auto"/>
        </w:rPr>
      </w:pPr>
      <w:r>
        <w:rPr>
          <w:rFonts w:ascii="Times New Roman" w:cs="Times New Roman" w:eastAsia="Times New Roman" w:hAnsi="Times New Roman"/>
          <w:sz w:val="10"/>
          <w:szCs w:val="10"/>
          <w:color w:val="auto"/>
        </w:rPr>
        <w:t>Investment Group Ltd (“</w:t>
      </w:r>
      <w:r>
        <w:rPr>
          <w:rFonts w:ascii="Times New Roman" w:cs="Times New Roman" w:eastAsia="Times New Roman" w:hAnsi="Times New Roman"/>
          <w:sz w:val="10"/>
          <w:szCs w:val="10"/>
          <w:b w:val="1"/>
          <w:bCs w:val="1"/>
          <w:i w:val="1"/>
          <w:iCs w:val="1"/>
          <w:color w:val="auto"/>
        </w:rPr>
        <w:t>Intercreditor Agreement</w:t>
      </w:r>
      <w:r>
        <w:rPr>
          <w:rFonts w:ascii="Times New Roman" w:cs="Times New Roman" w:eastAsia="Times New Roman" w:hAnsi="Times New Roman"/>
          <w:sz w:val="10"/>
          <w:szCs w:val="10"/>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13"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0"/>
          <w:szCs w:val="10"/>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0"/>
          <w:szCs w:val="10"/>
          <w:b w:val="1"/>
          <w:bCs w:val="1"/>
          <w:i w:val="1"/>
          <w:iCs w:val="1"/>
          <w:color w:val="auto"/>
        </w:rPr>
        <w:t>Commitment Fee</w:t>
      </w:r>
      <w:r>
        <w:rPr>
          <w:rFonts w:ascii="Times New Roman" w:cs="Times New Roman" w:eastAsia="Times New Roman" w:hAnsi="Times New Roman"/>
          <w:sz w:val="10"/>
          <w:szCs w:val="10"/>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11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805305" cy="50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3" w:right="620" w:bottom="1440" w:gutter="0" w:footer="0" w:header="0"/>
        </w:sectPr>
      </w:pPr>
    </w:p>
    <w:bookmarkStart w:id="83" w:name="page84"/>
    <w:bookmarkEnd w:id="83"/>
    <w:p>
      <w:pPr>
        <w:ind w:left="480"/>
        <w:spacing w:after="0"/>
        <w:rPr>
          <w:sz w:val="20"/>
          <w:szCs w:val="20"/>
          <w:color w:val="auto"/>
        </w:rPr>
      </w:pPr>
      <w:r>
        <w:rPr>
          <w:rFonts w:ascii="Times New Roman" w:cs="Times New Roman" w:eastAsia="Times New Roman" w:hAnsi="Times New Roman"/>
          <w:sz w:val="10"/>
          <w:szCs w:val="10"/>
          <w:color w:val="auto"/>
        </w:rPr>
        <w:t>The Convertible Notes are redeemable by the noteholders in certain events, including, without limitation, the failure of Rezolve to pay any amount due thereunder when due.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Rezolve has agreed that, within forty five (45) days from the date of listing on Nasdaq (the “</w:t>
      </w:r>
      <w:r>
        <w:rPr>
          <w:rFonts w:ascii="Times New Roman" w:cs="Times New Roman" w:eastAsia="Times New Roman" w:hAnsi="Times New Roman"/>
          <w:sz w:val="10"/>
          <w:szCs w:val="10"/>
          <w:b w:val="1"/>
          <w:bCs w:val="1"/>
          <w:i w:val="1"/>
          <w:iCs w:val="1"/>
          <w:color w:val="auto"/>
        </w:rPr>
        <w:t>Registration Deadline</w:t>
      </w:r>
      <w:r>
        <w:rPr>
          <w:rFonts w:ascii="Times New Roman" w:cs="Times New Roman" w:eastAsia="Times New Roman" w:hAnsi="Times New Roman"/>
          <w:sz w:val="10"/>
          <w:szCs w:val="10"/>
          <w:color w:val="auto"/>
        </w:rPr>
        <w:t>”), it will file with the SEC a registration statement (the “</w:t>
      </w:r>
      <w:r>
        <w:rPr>
          <w:rFonts w:ascii="Times New Roman" w:cs="Times New Roman" w:eastAsia="Times New Roman" w:hAnsi="Times New Roman"/>
          <w:sz w:val="10"/>
          <w:szCs w:val="10"/>
          <w:b w:val="1"/>
          <w:bCs w:val="1"/>
          <w:i w:val="1"/>
          <w:iCs w:val="1"/>
          <w:color w:val="auto"/>
        </w:rPr>
        <w:t>Registration Statement</w:t>
      </w:r>
      <w:r>
        <w:rPr>
          <w:rFonts w:ascii="Times New Roman" w:cs="Times New Roman" w:eastAsia="Times New Roman" w:hAnsi="Times New Roman"/>
          <w:sz w:val="10"/>
          <w:szCs w:val="10"/>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04"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0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If the SEC prevents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9"/>
          <w:szCs w:val="9"/>
          <w:b w:val="1"/>
          <w:bCs w:val="1"/>
          <w:i w:val="1"/>
          <w:iCs w:val="1"/>
          <w:color w:val="auto"/>
        </w:rPr>
        <w:t>Major Investor</w:t>
      </w:r>
      <w:r>
        <w:rPr>
          <w:rFonts w:ascii="Times New Roman" w:cs="Times New Roman" w:eastAsia="Times New Roman" w:hAnsi="Times New Roman"/>
          <w:sz w:val="9"/>
          <w:szCs w:val="9"/>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0"/>
          <w:szCs w:val="10"/>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3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60" w:type="dxa"/>
            <w:vAlign w:val="bottom"/>
          </w:tcPr>
          <w:p>
            <w:pPr>
              <w:ind w:left="202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020" w:type="dxa"/>
            <w:vAlign w:val="bottom"/>
          </w:tcPr>
          <w:p>
            <w:pPr>
              <w:ind w:left="2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shd w:val="clear" w:color="auto" w:fill="CFF0FC"/>
          </w:tcPr>
          <w:p>
            <w:pPr>
              <w:ind w:left="25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ind w:left="8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tcPr>
          <w:p>
            <w:pPr>
              <w:ind w:left="25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5" w:name="page86"/>
    <w:bookmarkEnd w:id="85"/>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6" w:name="page87"/>
    <w:bookmarkEnd w:id="86"/>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BUSINESS OF REZOLVE</w:t>
      </w:r>
    </w:p>
    <w:p>
      <w:pPr>
        <w:spacing w:after="0" w:line="95" w:lineRule="exact"/>
        <w:rPr>
          <w:sz w:val="20"/>
          <w:szCs w:val="20"/>
          <w:color w:val="auto"/>
        </w:rPr>
      </w:pPr>
    </w:p>
    <w:p>
      <w:pPr>
        <w:ind w:left="1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20" w:firstLine="480"/>
        <w:spacing w:after="0" w:line="241" w:lineRule="auto"/>
        <w:rPr>
          <w:sz w:val="20"/>
          <w:szCs w:val="20"/>
          <w:color w:val="auto"/>
        </w:rPr>
      </w:pPr>
      <w:r>
        <w:rPr>
          <w:rFonts w:ascii="Times New Roman" w:cs="Times New Roman" w:eastAsia="Times New Roman" w:hAnsi="Times New Roman"/>
          <w:sz w:val="10"/>
          <w:szCs w:val="10"/>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08"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05" w:lineRule="exact"/>
        <w:rPr>
          <w:sz w:val="20"/>
          <w:szCs w:val="20"/>
          <w:color w:val="auto"/>
        </w:rPr>
      </w:pPr>
    </w:p>
    <w:p>
      <w:pPr>
        <w:ind w:left="1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352550" cy="5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148" w:lineRule="exact"/>
        <w:rPr>
          <w:sz w:val="20"/>
          <w:szCs w:val="20"/>
          <w:color w:val="auto"/>
        </w:rPr>
      </w:pPr>
    </w:p>
    <w:p>
      <w:pPr>
        <w:ind w:left="5270" w:right="4420" w:hanging="5270"/>
        <w:spacing w:after="0" w:line="644" w:lineRule="auto"/>
        <w:tabs>
          <w:tab w:leader="none" w:pos="63"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Please see Rezolve Press Release dated July 25, 2023, available at </w:t>
      </w:r>
      <w:r>
        <w:rPr>
          <w:rFonts w:ascii="Times New Roman" w:cs="Times New Roman" w:eastAsia="Times New Roman" w:hAnsi="Times New Roman"/>
          <w:sz w:val="10"/>
          <w:szCs w:val="10"/>
          <w:u w:val="single" w:color="auto"/>
          <w:color w:val="auto"/>
        </w:rPr>
        <w:t>https://www.rezolve.com/investors/britainsbrain-heralds-new-era-of-commerce-enabled-ai/</w:t>
      </w:r>
      <w:r>
        <w:rPr>
          <w:rFonts w:ascii="Times New Roman" w:cs="Times New Roman" w:eastAsia="Times New Roman" w:hAnsi="Times New Roman"/>
          <w:sz w:val="10"/>
          <w:szCs w:val="10"/>
          <w:color w:val="auto"/>
        </w:rPr>
        <w:t xml:space="preserv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677862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87" w:name="page88"/>
    <w:bookmarkEnd w:id="87"/>
    <w:p>
      <w:pPr>
        <w:ind w:left="1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338"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Recent Developments</w:t>
      </w:r>
    </w:p>
    <w:p>
      <w:pPr>
        <w:spacing w:after="0" w:line="60"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25, 2023, Rezolve announced the introduction of two new offerings: (1) myBrain, Rezolve’s offering to individual users; and (2) Brain, Rezolve’s offering to businesses using AI and GPT technologies, with Brain offered in the following geographies:</w:t>
      </w:r>
    </w:p>
    <w:p>
      <w:pPr>
        <w:spacing w:after="0" w:line="19" w:lineRule="exact"/>
        <w:rPr>
          <w:sz w:val="20"/>
          <w:szCs w:val="20"/>
          <w:color w:val="auto"/>
        </w:rPr>
      </w:pPr>
    </w:p>
    <w:p>
      <w:pPr>
        <w:jc w:val="both"/>
        <w:ind w:left="10" w:right="200" w:hanging="10"/>
        <w:spacing w:after="0" w:line="236" w:lineRule="auto"/>
        <w:tabs>
          <w:tab w:leader="none" w:pos="143"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0"/>
          <w:szCs w:val="10"/>
          <w:i w:val="1"/>
          <w:iCs w:val="1"/>
          <w:color w:val="auto"/>
        </w:rPr>
        <w:t>Business of Rezolve Limited</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87630</wp:posOffset>
            </wp:positionV>
            <wp:extent cx="2872105" cy="14763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72105" cy="147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Industry Overview and Trends</w:t>
      </w:r>
    </w:p>
    <w:p>
      <w:pPr>
        <w:spacing w:after="0" w:line="60"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05" w:lineRule="exact"/>
        <w:rPr>
          <w:sz w:val="20"/>
          <w:szCs w:val="20"/>
          <w:color w:val="auto"/>
        </w:rPr>
      </w:pPr>
    </w:p>
    <w:p>
      <w:pPr>
        <w:jc w:val="both"/>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7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70"/>
          </w:cols>
          <w:pgMar w:left="630" w:top="1155" w:right="70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0"/>
          <w:szCs w:val="10"/>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Are Increasingly Engaging Through Digital Channels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05"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While the growth in digital consumption has increasingly become mainstream for shopping, it has not completely replaced traditional offline purchasing. Consumers have adopted an “Online to Offline,” or O2O model which lends itself to mobile applications.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38% of U.S shoppers start their journey on a smartphone and finish their purchase offline, according to an April 2019 report by RetailMeNot.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have Lost Connectivity to the End Consumer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0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Expect a Seamless Interaction Between Offline and Online Channels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Are Struggling to Differentiate</w:t>
      </w:r>
    </w:p>
    <w:p>
      <w:pPr>
        <w:spacing w:after="0" w:line="60" w:lineRule="exact"/>
        <w:rPr>
          <w:sz w:val="20"/>
          <w:szCs w:val="20"/>
          <w:color w:val="auto"/>
        </w:rPr>
      </w:pPr>
    </w:p>
    <w:p>
      <w:pPr>
        <w:ind w:right="220" w:firstLine="480"/>
        <w:spacing w:after="0" w:line="310" w:lineRule="auto"/>
        <w:rPr>
          <w:sz w:val="20"/>
          <w:szCs w:val="20"/>
          <w:color w:val="auto"/>
        </w:rPr>
      </w:pPr>
      <w:r>
        <w:rPr>
          <w:rFonts w:ascii="Times New Roman" w:cs="Times New Roman" w:eastAsia="Times New Roman" w:hAnsi="Times New Roman"/>
          <w:sz w:val="9"/>
          <w:szCs w:val="9"/>
          <w:color w:val="auto"/>
        </w:rPr>
        <w:t>In a world where consumers have more choices than ever, differentiating a merchant’s brand takes on increased importance. A merchant needs to stand out from the crowd. If a consumer searches a third-party marketplace or e- 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9" w:name="page90"/>
    <w:bookmarkEnd w:id="89"/>
    <w:p>
      <w:pPr>
        <w:ind w:right="160"/>
        <w:spacing w:after="0" w:line="255" w:lineRule="auto"/>
        <w:rPr>
          <w:sz w:val="20"/>
          <w:szCs w:val="20"/>
          <w:color w:val="auto"/>
        </w:rPr>
      </w:pPr>
      <w:r>
        <w:rPr>
          <w:rFonts w:ascii="Times New Roman" w:cs="Times New Roman" w:eastAsia="Times New Roman" w:hAnsi="Times New Roman"/>
          <w:sz w:val="10"/>
          <w:szCs w:val="10"/>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Complicated Experiences Result in Lost Opportunities with Consumers</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Solution</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provide a AI- and cloud -based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merchants:</w:t>
      </w:r>
    </w:p>
    <w:p>
      <w:pPr>
        <w:spacing w:after="0" w:line="56"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eCommerce-Specific AI Platform and Suite—Brain.</w:t>
      </w:r>
      <w:r>
        <w:rPr>
          <w:rFonts w:ascii="Times New Roman" w:cs="Times New Roman" w:eastAsia="Times New Roman" w:hAnsi="Times New Roman"/>
          <w:sz w:val="10"/>
          <w:szCs w:val="10"/>
          <w:color w:val="auto"/>
        </w:rPr>
        <w:t xml:space="preserve"> Rezolve’s Brain allows customers, either online or instore, to ask, via voice or text and 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37" w:lineRule="exact"/>
        <w:rPr>
          <w:sz w:val="20"/>
          <w:szCs w:val="20"/>
          <w:color w:val="auto"/>
        </w:rPr>
      </w:pPr>
    </w:p>
    <w:p>
      <w:pPr>
        <w:ind w:left="480" w:right="12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Rezolve’s Instant Checkout allows websites to convert passive browsers into actors or buyers with one click directly 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45" w:lineRule="exact"/>
        <w:rPr>
          <w:sz w:val="20"/>
          <w:szCs w:val="20"/>
          <w:color w:val="auto"/>
        </w:rPr>
      </w:pPr>
    </w:p>
    <w:p>
      <w:pPr>
        <w:jc w:val="both"/>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Our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4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Omnichannel Interactions.</w:t>
      </w:r>
      <w:r>
        <w:rPr>
          <w:rFonts w:ascii="Times New Roman" w:cs="Times New Roman" w:eastAsia="Times New Roman" w:hAnsi="Times New Roman"/>
          <w:sz w:val="10"/>
          <w:szCs w:val="10"/>
          <w:color w:val="auto"/>
        </w:rPr>
        <w:t xml:space="preserve"> 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90" w:name="page91"/>
    <w:bookmarkEnd w:id="90"/>
    <w:p>
      <w:pPr>
        <w:ind w:right="2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Brand Engagement</w:t>
      </w:r>
      <w:r>
        <w:rPr>
          <w:rFonts w:ascii="Times New Roman" w:cs="Times New Roman" w:eastAsia="Times New Roman" w:hAnsi="Times New Roman"/>
          <w:sz w:val="10"/>
          <w:szCs w:val="10"/>
          <w:color w:val="auto"/>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3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Seamless Integration with Existing Applications.</w:t>
      </w:r>
      <w:r>
        <w:rPr>
          <w:rFonts w:ascii="Times New Roman" w:cs="Times New Roman" w:eastAsia="Times New Roman" w:hAnsi="Times New Roman"/>
          <w:sz w:val="10"/>
          <w:szCs w:val="10"/>
          <w:color w:val="auto"/>
        </w:rPr>
        <w:t xml:space="preserve"> 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0"/>
          <w:szCs w:val="10"/>
          <w:i w:val="1"/>
          <w:iCs w:val="1"/>
          <w:color w:val="auto"/>
        </w:rPr>
        <w:t>Shop Beautiful</w:t>
      </w:r>
      <w:r>
        <w:rPr>
          <w:rFonts w:ascii="Times New Roman" w:cs="Times New Roman" w:eastAsia="Times New Roman" w:hAnsi="Times New Roman"/>
          <w:sz w:val="10"/>
          <w:szCs w:val="10"/>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4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Actionable Analytics and Insights</w:t>
      </w:r>
      <w:r>
        <w:rPr>
          <w:rFonts w:ascii="Times New Roman" w:cs="Times New Roman" w:eastAsia="Times New Roman" w:hAnsi="Times New Roman"/>
          <w:sz w:val="10"/>
          <w:szCs w:val="10"/>
          <w:color w:val="auto"/>
        </w:rPr>
        <w:t>. With our platform, we expect merchants will be able to receive direct insights into consumer behavior that are often not shared by third-party intermediaries. For example, when consumers use a third-party service for food delivery, the third- 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 Frictionless Consumer Experience</w:t>
      </w:r>
      <w:r>
        <w:rPr>
          <w:rFonts w:ascii="Times New Roman" w:cs="Times New Roman" w:eastAsia="Times New Roman" w:hAnsi="Times New Roman"/>
          <w:sz w:val="10"/>
          <w:szCs w:val="10"/>
          <w:color w:val="auto"/>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85090</wp:posOffset>
            </wp:positionV>
            <wp:extent cx="2609850" cy="151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09850" cy="151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9"/>
          <w:szCs w:val="9"/>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1120" w:top="1093" w:right="680" w:bottom="1440" w:gutter="0" w:footer="0" w:header="0"/>
        </w:sectPr>
      </w:pPr>
    </w:p>
    <w:bookmarkStart w:id="91" w:name="page92"/>
    <w:bookmarkEnd w:id="91"/>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93345</wp:posOffset>
            </wp:positionV>
            <wp:extent cx="2881630" cy="17291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8163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Opportunity</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1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0"/>
          <w:szCs w:val="10"/>
          <w:b w:val="1"/>
          <w:bCs w:val="1"/>
          <w:i w:val="1"/>
          <w:iCs w:val="1"/>
          <w:color w:val="auto"/>
        </w:rPr>
        <w:t>CUP</w:t>
      </w:r>
      <w:r>
        <w:rPr>
          <w:rFonts w:ascii="Times New Roman" w:cs="Times New Roman" w:eastAsia="Times New Roman" w:hAnsi="Times New Roman"/>
          <w:sz w:val="10"/>
          <w:szCs w:val="10"/>
          <w:color w:val="auto"/>
        </w:rPr>
        <w:t>”) and Allinpay (“</w:t>
      </w:r>
      <w:r>
        <w:rPr>
          <w:rFonts w:ascii="Times New Roman" w:cs="Times New Roman" w:eastAsia="Times New Roman" w:hAnsi="Times New Roman"/>
          <w:sz w:val="10"/>
          <w:szCs w:val="10"/>
          <w:b w:val="1"/>
          <w:bCs w:val="1"/>
          <w:i w:val="1"/>
          <w:iCs w:val="1"/>
          <w:color w:val="auto"/>
        </w:rPr>
        <w:t>AP</w:t>
      </w:r>
      <w:r>
        <w:rPr>
          <w:rFonts w:ascii="Times New Roman" w:cs="Times New Roman" w:eastAsia="Times New Roman" w:hAnsi="Times New Roman"/>
          <w:sz w:val="10"/>
          <w:szCs w:val="10"/>
          <w:color w:val="auto"/>
        </w:rPr>
        <w:t>”) . Rezolve’s former subsidiary, Rezolve Information Technology (Shanghai) Limited (“</w:t>
      </w:r>
      <w:r>
        <w:rPr>
          <w:rFonts w:ascii="Times New Roman" w:cs="Times New Roman" w:eastAsia="Times New Roman" w:hAnsi="Times New Roman"/>
          <w:sz w:val="10"/>
          <w:szCs w:val="10"/>
          <w:b w:val="1"/>
          <w:bCs w:val="1"/>
          <w:i w:val="1"/>
          <w:iCs w:val="1"/>
          <w:color w:val="auto"/>
        </w:rPr>
        <w:t>Rezolve Shanghai</w:t>
      </w:r>
      <w:r>
        <w:rPr>
          <w:rFonts w:ascii="Times New Roman" w:cs="Times New Roman" w:eastAsia="Times New Roman" w:hAnsi="Times New Roman"/>
          <w:sz w:val="10"/>
          <w:szCs w:val="10"/>
          <w:color w:val="auto"/>
        </w:rPr>
        <w:t>”) is a Wholly owned Foreign Entity (“</w:t>
      </w:r>
      <w:r>
        <w:rPr>
          <w:rFonts w:ascii="Times New Roman" w:cs="Times New Roman" w:eastAsia="Times New Roman" w:hAnsi="Times New Roman"/>
          <w:sz w:val="10"/>
          <w:szCs w:val="10"/>
          <w:b w:val="1"/>
          <w:bCs w:val="1"/>
          <w:i w:val="1"/>
          <w:iCs w:val="1"/>
          <w:color w:val="auto"/>
        </w:rPr>
        <w:t>WoFE</w:t>
      </w:r>
      <w:r>
        <w:rPr>
          <w:rFonts w:ascii="Times New Roman" w:cs="Times New Roman" w:eastAsia="Times New Roman" w:hAnsi="Times New Roman"/>
          <w:sz w:val="10"/>
          <w:szCs w:val="10"/>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0"/>
          <w:szCs w:val="10"/>
          <w:b w:val="1"/>
          <w:bCs w:val="1"/>
          <w:i w:val="1"/>
          <w:iCs w:val="1"/>
          <w:color w:val="auto"/>
        </w:rPr>
        <w:t>SOE</w:t>
      </w:r>
      <w:r>
        <w:rPr>
          <w:rFonts w:ascii="Times New Roman" w:cs="Times New Roman" w:eastAsia="Times New Roman" w:hAnsi="Times New Roman"/>
          <w:sz w:val="10"/>
          <w:szCs w:val="10"/>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9"/>
          <w:szCs w:val="9"/>
          <w:color w:val="auto"/>
        </w:rPr>
        <w:t>If in the future, a new Rezolve entity can be accredited to operate directly with CUP and AP, the board will consider re-entering the China market. However, the current focus is on rolling out our technologies with partners in other markets around the world.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2" w:name="page93"/>
    <w:bookmarkEnd w:id="92"/>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01" w:lineRule="exact"/>
        <w:rPr>
          <w:sz w:val="20"/>
          <w:szCs w:val="20"/>
          <w:color w:val="auto"/>
        </w:rPr>
      </w:pPr>
    </w:p>
    <w:p>
      <w:pPr>
        <w:ind w:right="340" w:firstLine="480"/>
        <w:spacing w:after="0" w:line="310" w:lineRule="auto"/>
        <w:rPr>
          <w:sz w:val="20"/>
          <w:szCs w:val="20"/>
          <w:color w:val="auto"/>
        </w:rPr>
      </w:pPr>
      <w:r>
        <w:rPr>
          <w:rFonts w:ascii="Times New Roman" w:cs="Times New Roman" w:eastAsia="Times New Roman" w:hAnsi="Times New Roman"/>
          <w:sz w:val="9"/>
          <w:szCs w:val="9"/>
          <w:color w:val="auto"/>
        </w:rPr>
        <w:t>Location-based advertising allows organizations to target consumers at a granular, consumer level with online or offline messaging based on their physical location. Location -based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01" w:lineRule="exact"/>
        <w:rPr>
          <w:sz w:val="20"/>
          <w:szCs w:val="20"/>
          <w:color w:val="auto"/>
        </w:rPr>
      </w:pPr>
    </w:p>
    <w:p>
      <w:pPr>
        <w:jc w:val="both"/>
        <w:ind w:right="280" w:firstLine="480"/>
        <w:spacing w:after="0" w:line="310" w:lineRule="auto"/>
        <w:rPr>
          <w:sz w:val="20"/>
          <w:szCs w:val="20"/>
          <w:color w:val="auto"/>
        </w:rPr>
      </w:pPr>
      <w:r>
        <w:rPr>
          <w:rFonts w:ascii="Times New Roman" w:cs="Times New Roman" w:eastAsia="Times New Roman" w:hAnsi="Times New Roman"/>
          <w:sz w:val="9"/>
          <w:szCs w:val="9"/>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web search statistics: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•98% of consumers use the Internet to find a local business in 2022.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•76% of consumers “always” or “regularly” read online reviews for local businesses.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•29% of consumers search for local businesses at least every week. (BrightLocal survey)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Growth Strategy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elements of our strategy include:</w:t>
      </w:r>
    </w:p>
    <w:p>
      <w:pPr>
        <w:spacing w:after="0" w:line="56"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Scaling Existing Channels.</w:t>
      </w:r>
      <w:r>
        <w:rPr>
          <w:rFonts w:ascii="Times New Roman" w:cs="Times New Roman" w:eastAsia="Times New Roman" w:hAnsi="Times New Roman"/>
          <w:sz w:val="10"/>
          <w:szCs w:val="10"/>
          <w:color w:val="auto"/>
        </w:rPr>
        <w:t xml:space="preserve"> 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spacing w:after="0" w:line="37"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Win New Channels</w:t>
      </w:r>
      <w:r>
        <w:rPr>
          <w:rFonts w:ascii="Times New Roman" w:cs="Times New Roman" w:eastAsia="Times New Roman" w:hAnsi="Times New Roman"/>
          <w:sz w:val="10"/>
          <w:szCs w:val="10"/>
          <w:color w:val="auto"/>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New Offering Features</w:t>
      </w:r>
      <w:r>
        <w:rPr>
          <w:rFonts w:ascii="Times New Roman" w:cs="Times New Roman" w:eastAsia="Times New Roman" w:hAnsi="Times New Roman"/>
          <w:sz w:val="10"/>
          <w:szCs w:val="10"/>
          <w:color w:val="auto"/>
        </w:rPr>
        <w:t>. We plan to add to and expand our platform with further functionality including live event notifications, dynamic coupons, more personalization and personal experiences as well as provided artificial intelligence layers to enable more convenient and segmented merchandizing.</w:t>
      </w:r>
    </w:p>
    <w:p>
      <w:pPr>
        <w:spacing w:after="0" w:line="37"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Upsell/Cross Sell</w:t>
      </w:r>
      <w:r>
        <w:rPr>
          <w:rFonts w:ascii="Times New Roman" w:cs="Times New Roman" w:eastAsia="Times New Roman" w:hAnsi="Times New Roman"/>
          <w:sz w:val="10"/>
          <w:szCs w:val="10"/>
          <w:color w:val="auto"/>
        </w:rPr>
        <w:t>.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Enter New Geographies</w:t>
      </w:r>
      <w:r>
        <w:rPr>
          <w:rFonts w:ascii="Times New Roman" w:cs="Times New Roman" w:eastAsia="Times New Roman" w:hAnsi="Times New Roman"/>
          <w:sz w:val="10"/>
          <w:szCs w:val="10"/>
          <w:color w:val="auto"/>
        </w:rPr>
        <w:t>. We intend to capitalize on our global growth momentum in India, the U.S., Latin America, East Asia, broader Europe, Australia, Canada and Brazil.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3" w:name="page94"/>
    <w:bookmarkEnd w:id="93"/>
    <w:p>
      <w:pPr>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Strategic Acquisitions</w:t>
      </w:r>
      <w:r>
        <w:rPr>
          <w:rFonts w:ascii="Times New Roman" w:cs="Times New Roman" w:eastAsia="Times New Roman" w:hAnsi="Times New Roman"/>
          <w:sz w:val="10"/>
          <w:szCs w:val="10"/>
          <w:color w:val="auto"/>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Rezolve Platform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cloud-based Rezolve AI platform integrates the features and functionalities that merchants need to seamlessly transact across different Channels. Capabilities include:</w:t>
      </w:r>
    </w:p>
    <w:p>
      <w:pPr>
        <w:spacing w:after="0" w:line="58" w:lineRule="exact"/>
        <w:rPr>
          <w:sz w:val="20"/>
          <w:szCs w:val="20"/>
          <w:color w:val="auto"/>
        </w:rPr>
      </w:pPr>
    </w:p>
    <w:p>
      <w:pPr>
        <w:ind w:left="480" w:right="20"/>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i w:val="1"/>
          <w:iCs w:val="1"/>
          <w:color w:val="auto"/>
        </w:rPr>
        <w:t>Ecommerce Chat and Search.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Rezolve’s Brain allows customers, either online or instore, to ask, via voice or text and in any language, any question of a merchant’s product catalogue and customer support knowledge base using conversational prompts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immediately be recommended the most appropriate products and answers. They will also be able to see product comparisons, reviews, and pricing information all in one place. Our UI and frontend is fully responsive with a multi -tenant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78105</wp:posOffset>
            </wp:positionV>
            <wp:extent cx="2776855" cy="10052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76855" cy="100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Customer Loyalty Programs.</w:t>
      </w:r>
      <w:r>
        <w:rPr>
          <w:rFonts w:ascii="Times New Roman" w:cs="Times New Roman" w:eastAsia="Times New Roman" w:hAnsi="Times New Roman"/>
          <w:sz w:val="10"/>
          <w:szCs w:val="10"/>
          <w:color w:val="auto"/>
        </w:rPr>
        <w:t xml:space="preserve"> 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Customer Insights</w:t>
      </w:r>
      <w:r>
        <w:rPr>
          <w:rFonts w:ascii="Times New Roman" w:cs="Times New Roman" w:eastAsia="Times New Roman" w:hAnsi="Times New Roman"/>
          <w:sz w:val="10"/>
          <w:szCs w:val="10"/>
          <w:color w:val="auto"/>
        </w:rPr>
        <w:t>.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w:t>
      </w:r>
    </w:p>
    <w:p>
      <w:pPr>
        <w:spacing w:after="0" w:line="37"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Vouchering</w:t>
      </w:r>
      <w:r>
        <w:rPr>
          <w:rFonts w:ascii="Times New Roman" w:cs="Times New Roman" w:eastAsia="Times New Roman" w:hAnsi="Times New Roman"/>
          <w:sz w:val="10"/>
          <w:szCs w:val="10"/>
          <w:color w:val="auto"/>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Retailer Point-of-Sale / Back office.</w:t>
      </w:r>
      <w:r>
        <w:rPr>
          <w:rFonts w:ascii="Times New Roman" w:cs="Times New Roman" w:eastAsia="Times New Roman" w:hAnsi="Times New Roman"/>
          <w:sz w:val="10"/>
          <w:szCs w:val="10"/>
          <w:color w:val="auto"/>
        </w:rPr>
        <w:t xml:space="preserve"> We expect to provide merchants with a self-service portal, featuring an accessible dashboard to manage shoppable campaigns and to track consumers’ shopping trends.</w:t>
      </w:r>
    </w:p>
    <w:p>
      <w:pPr>
        <w:spacing w:after="0" w:line="58" w:lineRule="exact"/>
        <w:rPr>
          <w:sz w:val="20"/>
          <w:szCs w:val="20"/>
          <w:color w:val="auto"/>
        </w:rPr>
      </w:pPr>
    </w:p>
    <w:p>
      <w:pPr>
        <w:ind w:left="480" w:right="3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Payments.</w:t>
      </w:r>
      <w:r>
        <w:rPr>
          <w:rFonts w:ascii="Times New Roman" w:cs="Times New Roman" w:eastAsia="Times New Roman" w:hAnsi="Times New Roman"/>
          <w:sz w:val="10"/>
          <w:szCs w:val="10"/>
          <w:color w:val="auto"/>
        </w:rPr>
        <w:t xml:space="preserve"> We expect to enhance merchants’ platforms by making the checkout process frictionless. Consumers only need a mobile device to use the Rezolve platform to instantly buy products that are featured in advertisements or scan and buy products in retail stores.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Ability to Pay Online or Offline.</w:t>
      </w:r>
      <w:r>
        <w:rPr>
          <w:rFonts w:ascii="Times New Roman" w:cs="Times New Roman" w:eastAsia="Times New Roman" w:hAnsi="Times New Roman"/>
          <w:sz w:val="10"/>
          <w:szCs w:val="10"/>
          <w:color w:val="auto"/>
        </w:rPr>
        <w:t xml:space="preserve"> 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0"/>
          <w:szCs w:val="10"/>
          <w:b w:val="1"/>
          <w:bCs w:val="1"/>
          <w:i w:val="1"/>
          <w:iCs w:val="1"/>
          <w:color w:val="auto"/>
        </w:rPr>
        <w:t>Engagement Opportunities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expect our platform to integrate with and address the following engagement opportunities: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Chat and Search</w:t>
      </w:r>
      <w:r>
        <w:rPr>
          <w:rFonts w:ascii="Times New Roman" w:cs="Times New Roman" w:eastAsia="Times New Roman" w:hAnsi="Times New Roman"/>
          <w:sz w:val="10"/>
          <w:szCs w:val="10"/>
          <w:color w:val="auto"/>
        </w:rPr>
        <w:t>. Merchants can interact naturally with customers via Rezolve Brain.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GeoZones.</w:t>
      </w:r>
      <w:r>
        <w:rPr>
          <w:rFonts w:ascii="Times New Roman" w:cs="Times New Roman" w:eastAsia="Times New Roman" w:hAnsi="Times New Roman"/>
          <w:sz w:val="10"/>
          <w:szCs w:val="10"/>
          <w:color w:val="auto"/>
        </w:rPr>
        <w:t xml:space="preserve"> Merchants can interact with consumers based on proximity to certain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Media with Audio.</w:t>
      </w:r>
      <w:r>
        <w:rPr>
          <w:rFonts w:ascii="Times New Roman" w:cs="Times New Roman" w:eastAsia="Times New Roman" w:hAnsi="Times New Roman"/>
          <w:sz w:val="10"/>
          <w:szCs w:val="10"/>
          <w:color w:val="auto"/>
        </w:rPr>
        <w:t xml:space="preserve"> Merchants can integrate watermarks in broadcast and streaming media.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Visual Events.</w:t>
      </w:r>
      <w:r>
        <w:rPr>
          <w:rFonts w:ascii="Times New Roman" w:cs="Times New Roman" w:eastAsia="Times New Roman" w:hAnsi="Times New Roman"/>
          <w:sz w:val="10"/>
          <w:szCs w:val="10"/>
          <w:color w:val="auto"/>
        </w:rPr>
        <w:t xml:space="preserve"> Merchants can integrate watermarks in posters, advertising, product labels and merchandise.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Beacons</w:t>
      </w:r>
      <w:r>
        <w:rPr>
          <w:rFonts w:ascii="Times New Roman" w:cs="Times New Roman" w:eastAsia="Times New Roman" w:hAnsi="Times New Roman"/>
          <w:sz w:val="10"/>
          <w:szCs w:val="10"/>
          <w:color w:val="auto"/>
        </w:rPr>
        <w:t>. Merchants can establish near-proximity beacons which allow near-field proximity engagements (3 inches to 36 inches plus) in both indoor and outdoor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SmartLinks.</w:t>
      </w:r>
      <w:r>
        <w:rPr>
          <w:rFonts w:ascii="Times New Roman" w:cs="Times New Roman" w:eastAsia="Times New Roman" w:hAnsi="Times New Roman"/>
          <w:sz w:val="10"/>
          <w:szCs w:val="10"/>
          <w:color w:val="auto"/>
        </w:rPr>
        <w:t xml:space="preserve"> Merchants can embed URL links into social media posts and email communications (amongst others) which trigger Instant Checkout and Instant Act engagements.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SmartCodes.</w:t>
      </w:r>
      <w:r>
        <w:rPr>
          <w:rFonts w:ascii="Times New Roman" w:cs="Times New Roman" w:eastAsia="Times New Roman" w:hAnsi="Times New Roman"/>
          <w:sz w:val="10"/>
          <w:szCs w:val="10"/>
          <w:color w:val="auto"/>
        </w:rPr>
        <w:t xml:space="preserve"> Merchants can establish QR codes integrated with their media with a richer engagement experience for the consumer.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Merchants can embed Buy Now and Act Now buttons on their websites and advertisements for instant engagement and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Transaction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Using the Rezolve dashboard, we expect that merchants can link a trigger from one of the above Channel opportunities with the following types of events or actions as examples of use cases: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Fast Checkout:</w:t>
      </w:r>
      <w:r>
        <w:rPr>
          <w:rFonts w:ascii="Times New Roman" w:cs="Times New Roman" w:eastAsia="Times New Roman" w:hAnsi="Times New Roman"/>
          <w:sz w:val="10"/>
          <w:szCs w:val="10"/>
          <w:color w:val="auto"/>
        </w:rPr>
        <w:t xml:space="preserve"> Consumers can scan products, bag and exit the store without waiting in line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Expanding Walls:</w:t>
      </w:r>
      <w:r>
        <w:rPr>
          <w:rFonts w:ascii="Times New Roman" w:cs="Times New Roman" w:eastAsia="Times New Roman" w:hAnsi="Times New Roman"/>
          <w:sz w:val="10"/>
          <w:szCs w:val="10"/>
          <w:color w:val="auto"/>
        </w:rPr>
        <w:t xml:space="preserve"> Consumers can view a broader selection of products than available in a store (e.g., furniture and clothing) that can be sold from a display wall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Stay at Table or Reserve:</w:t>
      </w:r>
      <w:r>
        <w:rPr>
          <w:rFonts w:ascii="Times New Roman" w:cs="Times New Roman" w:eastAsia="Times New Roman" w:hAnsi="Times New Roman"/>
          <w:sz w:val="10"/>
          <w:szCs w:val="10"/>
          <w:color w:val="auto"/>
        </w:rPr>
        <w:t xml:space="preserve"> Consumers can scan advertisement or menu, order items, pay and either pick up at counter or have delivered to table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Buy and Fly:</w:t>
      </w:r>
      <w:r>
        <w:rPr>
          <w:rFonts w:ascii="Times New Roman" w:cs="Times New Roman" w:eastAsia="Times New Roman" w:hAnsi="Times New Roman"/>
          <w:sz w:val="10"/>
          <w:szCs w:val="10"/>
          <w:color w:val="auto"/>
        </w:rPr>
        <w:t xml:space="preserve"> Consumers can pick up items, scan, buy, bag, leave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e-Ticketing and Access Control:</w:t>
      </w:r>
      <w:r>
        <w:rPr>
          <w:rFonts w:ascii="Times New Roman" w:cs="Times New Roman" w:eastAsia="Times New Roman" w:hAnsi="Times New Roman"/>
          <w:sz w:val="10"/>
          <w:szCs w:val="10"/>
          <w:color w:val="auto"/>
        </w:rPr>
        <w:t xml:space="preserve"> Tickets are electronically delivered to their handset to enable secure and streamlined access control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Pre-Order Queue-Busting:</w:t>
      </w:r>
      <w:r>
        <w:rPr>
          <w:rFonts w:ascii="Times New Roman" w:cs="Times New Roman" w:eastAsia="Times New Roman" w:hAnsi="Times New Roman"/>
          <w:sz w:val="10"/>
          <w:szCs w:val="10"/>
          <w:color w:val="auto"/>
        </w:rPr>
        <w:t xml:space="preserve"> Enable supporters to pre-order food, beverage and merchandise from their seat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Location sensitive:</w:t>
      </w:r>
      <w:r>
        <w:rPr>
          <w:rFonts w:ascii="Times New Roman" w:cs="Times New Roman" w:eastAsia="Times New Roman" w:hAnsi="Times New Roman"/>
          <w:sz w:val="10"/>
          <w:szCs w:val="10"/>
          <w:color w:val="auto"/>
        </w:rPr>
        <w:t xml:space="preserve"> Offers and promotions nearby, navigate to the location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engagement:</w:t>
      </w:r>
      <w:r>
        <w:rPr>
          <w:rFonts w:ascii="Times New Roman" w:cs="Times New Roman" w:eastAsia="Times New Roman" w:hAnsi="Times New Roman"/>
          <w:sz w:val="10"/>
          <w:szCs w:val="10"/>
          <w:color w:val="auto"/>
        </w:rPr>
        <w:t xml:space="preserve"> Buy or get more information directly from any form of advertising or directly from posters in shop windows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Technology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Rezolve platform is a multi-tenant cloud-based system that is engineered for high scalability, reliability and performance.</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39"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Artificial Intelligence.</w:t>
      </w:r>
      <w:r>
        <w:rPr>
          <w:rFonts w:ascii="Times New Roman" w:cs="Times New Roman" w:eastAsia="Times New Roman" w:hAnsi="Times New Roman"/>
          <w:sz w:val="10"/>
          <w:szCs w:val="10"/>
          <w:color w:val="auto"/>
        </w:rPr>
        <w:t xml:space="preserve"> Our Large Language Model (“</w:t>
      </w:r>
      <w:r>
        <w:rPr>
          <w:rFonts w:ascii="Times New Roman" w:cs="Times New Roman" w:eastAsia="Times New Roman" w:hAnsi="Times New Roman"/>
          <w:sz w:val="10"/>
          <w:szCs w:val="10"/>
          <w:b w:val="1"/>
          <w:bCs w:val="1"/>
          <w:i w:val="1"/>
          <w:iCs w:val="1"/>
          <w:color w:val="auto"/>
        </w:rPr>
        <w:t>LLM</w:t>
      </w:r>
      <w:r>
        <w:rPr>
          <w:rFonts w:ascii="Times New Roman" w:cs="Times New Roman" w:eastAsia="Times New Roman" w:hAnsi="Times New Roman"/>
          <w:sz w:val="10"/>
          <w:szCs w:val="10"/>
          <w:color w:val="auto"/>
        </w:rPr>
        <w:t>”)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95" w:name="page96"/>
    <w:bookmarkEnd w:id="95"/>
    <w:p>
      <w:pPr>
        <w:ind w:right="140"/>
        <w:spacing w:after="0" w:line="310" w:lineRule="auto"/>
        <w:rPr>
          <w:sz w:val="20"/>
          <w:szCs w:val="20"/>
          <w:color w:val="auto"/>
        </w:rPr>
      </w:pPr>
      <w:r>
        <w:rPr>
          <w:rFonts w:ascii="Times New Roman" w:cs="Times New Roman" w:eastAsia="Times New Roman" w:hAnsi="Times New Roman"/>
          <w:sz w:val="9"/>
          <w:szCs w:val="9"/>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67945</wp:posOffset>
            </wp:positionV>
            <wp:extent cx="2400300" cy="1414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0030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Security.</w:t>
      </w:r>
      <w:r>
        <w:rPr>
          <w:rFonts w:ascii="Times New Roman" w:cs="Times New Roman" w:eastAsia="Times New Roman" w:hAnsi="Times New Roman"/>
          <w:sz w:val="10"/>
          <w:szCs w:val="10"/>
          <w:color w:val="auto"/>
        </w:rPr>
        <w:t xml:space="preserve"> Our proprietary AI-Platform keeps both merchant and customer confidential and PII data secure and is regulated by the strict GDPR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Encryption.</w:t>
      </w:r>
      <w:r>
        <w:rPr>
          <w:rFonts w:ascii="Times New Roman" w:cs="Times New Roman" w:eastAsia="Times New Roman" w:hAnsi="Times New Roman"/>
          <w:sz w:val="10"/>
          <w:szCs w:val="10"/>
          <w:color w:val="auto"/>
        </w:rPr>
        <w:t xml:space="preserve"> All data is encrypted at rest (AES-256) and in transit.</w:t>
      </w:r>
    </w:p>
    <w:p>
      <w:pPr>
        <w:spacing w:after="0" w:line="5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Data usage.</w:t>
      </w:r>
      <w:r>
        <w:rPr>
          <w:rFonts w:ascii="Times New Roman" w:cs="Times New Roman" w:eastAsia="Times New Roman" w:hAnsi="Times New Roman"/>
          <w:sz w:val="10"/>
          <w:szCs w:val="10"/>
          <w:color w:val="auto"/>
        </w:rPr>
        <w:t xml:space="preserve"> 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Rezolve’s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4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Scalability.</w:t>
      </w:r>
      <w:r>
        <w:rPr>
          <w:rFonts w:ascii="Times New Roman" w:cs="Times New Roman" w:eastAsia="Times New Roman" w:hAnsi="Times New Roman"/>
          <w:sz w:val="10"/>
          <w:szCs w:val="10"/>
          <w:color w:val="auto"/>
        </w:rPr>
        <w:t xml:space="preserve"> 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spacing w:after="0" w:line="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Resilience.</w:t>
      </w:r>
      <w:r>
        <w:rPr>
          <w:rFonts w:ascii="Times New Roman" w:cs="Times New Roman" w:eastAsia="Times New Roman" w:hAnsi="Times New Roman"/>
          <w:sz w:val="10"/>
          <w:szCs w:val="10"/>
          <w:color w:val="auto"/>
        </w:rPr>
        <w:t xml:space="preserve"> 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Embedded Connectivity.</w:t>
      </w:r>
      <w:r>
        <w:rPr>
          <w:rFonts w:ascii="Times New Roman" w:cs="Times New Roman" w:eastAsia="Times New Roman" w:hAnsi="Times New Roman"/>
          <w:sz w:val="10"/>
          <w:szCs w:val="10"/>
          <w:color w:val="auto"/>
        </w:rPr>
        <w:t xml:space="preserve"> Rezolve’s mobile SDK provides a quick and easy solution to embed and enable Rezolve platform functionality in any Android and iOS app. The accompanying SDK sample app and documents allow third-party developers to quickly leverage the power of our solution.</w:t>
      </w:r>
    </w:p>
    <w:p>
      <w:pPr>
        <w:spacing w:after="0" w:line="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080"/>
          </w:cols>
          <w:pgMar w:left="1120" w:top="1095" w:right="700" w:bottom="1440" w:gutter="0" w:footer="0" w:header="0"/>
        </w:sectPr>
      </w:pPr>
    </w:p>
    <w:bookmarkStart w:id="96" w:name="page97"/>
    <w:bookmarkEnd w:id="96"/>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Central Management.</w:t>
      </w:r>
      <w:r>
        <w:rPr>
          <w:rFonts w:ascii="Times New Roman" w:cs="Times New Roman" w:eastAsia="Times New Roman" w:hAnsi="Times New Roman"/>
          <w:sz w:val="10"/>
          <w:szCs w:val="10"/>
          <w:color w:val="auto"/>
        </w:rPr>
        <w:t xml:space="preserve"> Rezolve maintains a central management and configuration tool that allows it to quickly setup partners, merchants, payments, apps and index content from its merchants so it’s available via the SDK.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Analytics &amp; Reporting.</w:t>
      </w:r>
      <w:r>
        <w:rPr>
          <w:rFonts w:ascii="Times New Roman" w:cs="Times New Roman" w:eastAsia="Times New Roman" w:hAnsi="Times New Roman"/>
          <w:sz w:val="10"/>
          <w:szCs w:val="10"/>
          <w:color w:val="auto"/>
        </w:rPr>
        <w:t xml:space="preserve"> Rezolve SDK and Backend Data Ingestor Service gathers metrics on usage, transactions, interactions and feeds it to the Analytics Engine to churn out smart Dashboards and Reports.</w:t>
      </w:r>
    </w:p>
    <w:p>
      <w:pPr>
        <w:spacing w:after="0" w:line="58"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Snap-on Integrations.</w:t>
      </w:r>
      <w:r>
        <w:rPr>
          <w:rFonts w:ascii="Times New Roman" w:cs="Times New Roman" w:eastAsia="Times New Roman" w:hAnsi="Times New Roman"/>
          <w:sz w:val="10"/>
          <w:szCs w:val="10"/>
          <w:color w:val="auto"/>
        </w:rPr>
        <w:t xml:space="preserve"> 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Mass Onboarding.</w:t>
      </w:r>
      <w:r>
        <w:rPr>
          <w:rFonts w:ascii="Times New Roman" w:cs="Times New Roman" w:eastAsia="Times New Roman" w:hAnsi="Times New Roman"/>
          <w:sz w:val="10"/>
          <w:szCs w:val="10"/>
          <w:color w:val="auto"/>
        </w:rPr>
        <w:t xml:space="preserve"> 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spacing w:after="0" w:line="37"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 Triggers.</w:t>
      </w:r>
      <w:r>
        <w:rPr>
          <w:rFonts w:ascii="Times New Roman" w:cs="Times New Roman" w:eastAsia="Times New Roman" w:hAnsi="Times New Roman"/>
          <w:sz w:val="10"/>
          <w:szCs w:val="10"/>
          <w:color w:val="auto"/>
        </w:rPr>
        <w:t xml:space="preserve"> 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Developer Friendly.</w:t>
      </w:r>
      <w:r>
        <w:rPr>
          <w:rFonts w:ascii="Times New Roman" w:cs="Times New Roman" w:eastAsia="Times New Roman" w:hAnsi="Times New Roman"/>
          <w:sz w:val="10"/>
          <w:szCs w:val="10"/>
          <w:color w:val="auto"/>
        </w:rPr>
        <w:t xml:space="preserve"> Rezolve’s REST API provides another integration point for any partner or client not using native mobile apps. We can easily support progressive web applications, hybrid applications, web-based services and other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Channels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Competition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market is transforming, competitive and highly fragmented, and we expect competition to increase in the future. We believe the principal competitive factors in our market are: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•proprietary actionable AI-engineered products and solutions focused on commerce;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•simplicity and ease of use;;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•integration of multiple Channels;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•breadth and depth of functionality;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•pace of innovation;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•ability to scale;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•security and reliability;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•support for brand development;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•brand recognition and reputation.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respect to each of these factors, we believe that we provide a number of favorable offerings.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97" w:name="page98"/>
    <w:bookmarkEnd w:id="97"/>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 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Partner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Adobe</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Adobe, Inc. (“</w:t>
      </w:r>
      <w:r>
        <w:rPr>
          <w:rFonts w:ascii="Times New Roman" w:cs="Times New Roman" w:eastAsia="Times New Roman" w:hAnsi="Times New Roman"/>
          <w:sz w:val="10"/>
          <w:szCs w:val="10"/>
          <w:b w:val="1"/>
          <w:bCs w:val="1"/>
          <w:i w:val="1"/>
          <w:iCs w:val="1"/>
          <w:color w:val="auto"/>
        </w:rPr>
        <w:t>Adobe</w:t>
      </w:r>
      <w:r>
        <w:rPr>
          <w:rFonts w:ascii="Times New Roman" w:cs="Times New Roman" w:eastAsia="Times New Roman" w:hAnsi="Times New Roman"/>
          <w:sz w:val="10"/>
          <w:szCs w:val="10"/>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ACI Worldwide</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 xml:space="preserve">On March 31, 2022, Rezolve entered into an agreement with ACI Worldwide (EMEA) Limited (“ </w:t>
      </w:r>
      <w:r>
        <w:rPr>
          <w:rFonts w:ascii="Times New Roman" w:cs="Times New Roman" w:eastAsia="Times New Roman" w:hAnsi="Times New Roman"/>
          <w:sz w:val="10"/>
          <w:szCs w:val="10"/>
          <w:b w:val="1"/>
          <w:bCs w:val="1"/>
          <w:i w:val="1"/>
          <w:iCs w:val="1"/>
          <w:color w:val="auto"/>
        </w:rPr>
        <w:t>ACI</w:t>
      </w:r>
      <w:r>
        <w:rPr>
          <w:rFonts w:ascii="Times New Roman" w:cs="Times New Roman" w:eastAsia="Times New Roman" w:hAnsi="Times New Roman"/>
          <w:sz w:val="10"/>
          <w:szCs w:val="10"/>
          <w:color w:val="auto"/>
        </w:rPr>
        <w:t>”), pursuant to which, among other things, Rezolve granted ACI a non -sublicensable,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Haendlerbund</w:t>
      </w:r>
    </w:p>
    <w:p>
      <w:pPr>
        <w:spacing w:after="0" w:line="58"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On November 20, 2023, Rezolve entered into an agreement with HB Marketplace GmbH (“</w:t>
      </w:r>
      <w:r>
        <w:rPr>
          <w:rFonts w:ascii="Times New Roman" w:cs="Times New Roman" w:eastAsia="Times New Roman" w:hAnsi="Times New Roman"/>
          <w:sz w:val="10"/>
          <w:szCs w:val="10"/>
          <w:b w:val="1"/>
          <w:bCs w:val="1"/>
          <w:i w:val="1"/>
          <w:iCs w:val="1"/>
          <w:color w:val="auto"/>
        </w:rPr>
        <w:t>Haendlerbund</w:t>
      </w:r>
      <w:r>
        <w:rPr>
          <w:rFonts w:ascii="Times New Roman" w:cs="Times New Roman" w:eastAsia="Times New Roman" w:hAnsi="Times New Roman"/>
          <w:sz w:val="10"/>
          <w:szCs w:val="10"/>
          <w:color w:val="auto"/>
        </w:rPr>
        <w:t>”), pursuant to which, among other things, Rezolve granted Haendlerbund a non- 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Epages</w:t>
      </w:r>
    </w:p>
    <w:p>
      <w:pPr>
        <w:spacing w:after="0" w:line="58" w:lineRule="exact"/>
        <w:rPr>
          <w:sz w:val="20"/>
          <w:szCs w:val="20"/>
          <w:color w:val="auto"/>
        </w:rPr>
      </w:pPr>
    </w:p>
    <w:p>
      <w:pPr>
        <w:ind w:right="120" w:firstLine="480"/>
        <w:spacing w:after="0" w:line="315" w:lineRule="auto"/>
        <w:rPr>
          <w:sz w:val="20"/>
          <w:szCs w:val="20"/>
          <w:color w:val="auto"/>
        </w:rPr>
      </w:pPr>
      <w:r>
        <w:rPr>
          <w:rFonts w:ascii="Times New Roman" w:cs="Times New Roman" w:eastAsia="Times New Roman" w:hAnsi="Times New Roman"/>
          <w:sz w:val="9"/>
          <w:szCs w:val="9"/>
          <w:color w:val="auto"/>
        </w:rPr>
        <w:t>On January 22, 2024, Rezolve entered into an agreement with Epages GMBH (“</w:t>
      </w:r>
      <w:r>
        <w:rPr>
          <w:rFonts w:ascii="Times New Roman" w:cs="Times New Roman" w:eastAsia="Times New Roman" w:hAnsi="Times New Roman"/>
          <w:sz w:val="9"/>
          <w:szCs w:val="9"/>
          <w:b w:val="1"/>
          <w:bCs w:val="1"/>
          <w:i w:val="1"/>
          <w:iCs w:val="1"/>
          <w:color w:val="auto"/>
        </w:rPr>
        <w:t>Epages</w:t>
      </w:r>
      <w:r>
        <w:rPr>
          <w:rFonts w:ascii="Times New Roman" w:cs="Times New Roman" w:eastAsia="Times New Roman" w:hAnsi="Times New Roman"/>
          <w:sz w:val="9"/>
          <w:szCs w:val="9"/>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JTL</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JTL Software GmbH (“</w:t>
      </w:r>
      <w:r>
        <w:rPr>
          <w:rFonts w:ascii="Times New Roman" w:cs="Times New Roman" w:eastAsia="Times New Roman" w:hAnsi="Times New Roman"/>
          <w:sz w:val="10"/>
          <w:szCs w:val="10"/>
          <w:b w:val="1"/>
          <w:bCs w:val="1"/>
          <w:i w:val="1"/>
          <w:iCs w:val="1"/>
          <w:color w:val="auto"/>
        </w:rPr>
        <w:t>JTL</w:t>
      </w:r>
      <w:r>
        <w:rPr>
          <w:rFonts w:ascii="Times New Roman" w:cs="Times New Roman" w:eastAsia="Times New Roman" w:hAnsi="Times New Roman"/>
          <w:sz w:val="10"/>
          <w:szCs w:val="10"/>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0"/>
          <w:szCs w:val="10"/>
          <w:i w:val="1"/>
          <w:iCs w:val="1"/>
          <w:color w:val="auto"/>
        </w:rPr>
        <w:t>Oxid</w:t>
      </w:r>
    </w:p>
    <w:p>
      <w:pPr>
        <w:spacing w:after="0" w:line="58" w:lineRule="exact"/>
        <w:rPr>
          <w:sz w:val="20"/>
          <w:szCs w:val="20"/>
          <w:color w:val="auto"/>
        </w:rPr>
      </w:pPr>
    </w:p>
    <w:p>
      <w:pPr>
        <w:ind w:right="200" w:firstLine="480"/>
        <w:spacing w:after="0" w:line="247" w:lineRule="auto"/>
        <w:rPr>
          <w:sz w:val="20"/>
          <w:szCs w:val="20"/>
          <w:color w:val="auto"/>
        </w:rPr>
      </w:pPr>
      <w:r>
        <w:rPr>
          <w:rFonts w:ascii="Times New Roman" w:cs="Times New Roman" w:eastAsia="Times New Roman" w:hAnsi="Times New Roman"/>
          <w:sz w:val="10"/>
          <w:szCs w:val="10"/>
          <w:color w:val="auto"/>
        </w:rPr>
        <w:t>On March 22, 2024, Rezolve entered into an agreement with OXID eSales AG (“</w:t>
      </w:r>
      <w:r>
        <w:rPr>
          <w:rFonts w:ascii="Times New Roman" w:cs="Times New Roman" w:eastAsia="Times New Roman" w:hAnsi="Times New Roman"/>
          <w:sz w:val="10"/>
          <w:szCs w:val="10"/>
          <w:b w:val="1"/>
          <w:bCs w:val="1"/>
          <w:i w:val="1"/>
          <w:iCs w:val="1"/>
          <w:color w:val="auto"/>
        </w:rPr>
        <w:t>OXID</w:t>
      </w:r>
      <w:r>
        <w:rPr>
          <w:rFonts w:ascii="Times New Roman" w:cs="Times New Roman" w:eastAsia="Times New Roman" w:hAnsi="Times New Roman"/>
          <w:sz w:val="10"/>
          <w:szCs w:val="10"/>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Chatwerk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Rezolve entered into a non-binding offer with Chatwerk by Inbox Solutions GmbH (“</w:t>
      </w:r>
      <w:r>
        <w:rPr>
          <w:rFonts w:ascii="Times New Roman" w:cs="Times New Roman" w:eastAsia="Times New Roman" w:hAnsi="Times New Roman"/>
          <w:sz w:val="10"/>
          <w:szCs w:val="10"/>
          <w:b w:val="1"/>
          <w:bCs w:val="1"/>
          <w:i w:val="1"/>
          <w:iCs w:val="1"/>
          <w:color w:val="auto"/>
        </w:rPr>
        <w:t>Chatwerk</w:t>
      </w:r>
      <w:r>
        <w:rPr>
          <w:rFonts w:ascii="Times New Roman" w:cs="Times New Roman" w:eastAsia="Times New Roman" w:hAnsi="Times New Roman"/>
          <w:sz w:val="10"/>
          <w:szCs w:val="10"/>
          <w:color w:val="auto"/>
        </w:rPr>
        <w:t>”) to purchase Rezolve’s products. Under the agreement, Chatwerk will receive 20% on all Rezolve services-based revenues generated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Chatwerk.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Current Operations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Intellectual Property</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0"/>
          <w:szCs w:val="10"/>
          <w:i w:val="1"/>
          <w:iCs w:val="1"/>
          <w:color w:val="auto"/>
        </w:rPr>
        <w:t>Risk Factors—Risks Related to our Business and Industry</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Employees</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Facilities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are headquartered in London, England, United Kingdom. We do not own any real property. All of our employees based in the United Kingdom work remotely.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Government Regulation</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99" w:name="page100"/>
    <w:bookmarkEnd w:id="99"/>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05"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08" w:lineRule="exact"/>
        <w:rPr>
          <w:sz w:val="20"/>
          <w:szCs w:val="20"/>
          <w:color w:val="auto"/>
        </w:rPr>
      </w:pPr>
    </w:p>
    <w:p>
      <w:pPr>
        <w:ind w:right="60" w:firstLine="480"/>
        <w:spacing w:after="0" w:line="238" w:lineRule="auto"/>
        <w:rPr>
          <w:sz w:val="20"/>
          <w:szCs w:val="20"/>
          <w:color w:val="auto"/>
        </w:rPr>
      </w:pPr>
      <w:r>
        <w:rPr>
          <w:rFonts w:ascii="Times New Roman" w:cs="Times New Roman" w:eastAsia="Times New Roman" w:hAnsi="Times New Roman"/>
          <w:sz w:val="10"/>
          <w:szCs w:val="10"/>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Legal Proceedings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MANAGEMENT AND COMPENSATION</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following sets forth the names, business addresses and functions of the Company’s directors and senior management as of December [x], 2024. The Company’s Amended and Restated Memorandum and Articles of Association provide that the Company Board of Directors (the “</w:t>
      </w:r>
      <w:r>
        <w:rPr>
          <w:rFonts w:ascii="Times New Roman" w:cs="Times New Roman" w:eastAsia="Times New Roman" w:hAnsi="Times New Roman"/>
          <w:sz w:val="10"/>
          <w:szCs w:val="10"/>
          <w:b w:val="1"/>
          <w:bCs w:val="1"/>
          <w:i w:val="1"/>
          <w:iCs w:val="1"/>
          <w:color w:val="auto"/>
        </w:rPr>
        <w:t>Company Board</w:t>
      </w:r>
      <w:r>
        <w:rPr>
          <w:rFonts w:ascii="Times New Roman" w:cs="Times New Roman" w:eastAsia="Times New Roman" w:hAnsi="Times New Roman"/>
          <w:sz w:val="10"/>
          <w:szCs w:val="10"/>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141" w:lineRule="exact"/>
        <w:rPr>
          <w:sz w:val="20"/>
          <w:szCs w:val="20"/>
          <w:color w:val="auto"/>
        </w:rPr>
      </w:pPr>
    </w:p>
    <w:tbl>
      <w:tblPr>
        <w:tblLayout w:type="fixed"/>
        <w:tblInd w:w="1060" w:type="dxa"/>
        <w:tblCellMar>
          <w:top w:w="0" w:type="dxa"/>
          <w:left w:w="0" w:type="dxa"/>
          <w:bottom w:w="0" w:type="dxa"/>
          <w:right w:w="0" w:type="dxa"/>
        </w:tblCellMar>
      </w:tblPr>
      <w:tr>
        <w:trPr>
          <w:trHeight w:val="97"/>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Name</w:t>
            </w:r>
          </w:p>
        </w:tc>
        <w:tc>
          <w:tcPr>
            <w:tcW w:w="18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Age</w:t>
            </w:r>
          </w:p>
        </w:tc>
        <w:tc>
          <w:tcPr>
            <w:tcW w:w="4840" w:type="dxa"/>
            <w:vAlign w:val="bottom"/>
          </w:tcPr>
          <w:p>
            <w:pPr>
              <w:ind w:left="2460"/>
              <w:spacing w:after="0"/>
              <w:rPr>
                <w:sz w:val="20"/>
                <w:szCs w:val="20"/>
                <w:color w:val="auto"/>
              </w:rPr>
            </w:pPr>
            <w:r>
              <w:rPr>
                <w:rFonts w:ascii="Times New Roman" w:cs="Times New Roman" w:eastAsia="Times New Roman" w:hAnsi="Times New Roman"/>
                <w:sz w:val="8"/>
                <w:szCs w:val="8"/>
                <w:b w:val="1"/>
                <w:bCs w:val="1"/>
                <w:color w:val="auto"/>
              </w:rPr>
              <w:t>Position</w:t>
            </w:r>
          </w:p>
        </w:tc>
      </w:tr>
      <w:tr>
        <w:trPr>
          <w:trHeight w:val="121"/>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w:t>
            </w:r>
          </w:p>
        </w:tc>
        <w:tc>
          <w:tcPr>
            <w:tcW w:w="1800" w:type="dxa"/>
            <w:vAlign w:val="bottom"/>
          </w:tcPr>
          <w:p>
            <w:pPr>
              <w:spacing w:after="0"/>
              <w:rPr>
                <w:sz w:val="10"/>
                <w:szCs w:val="10"/>
                <w:color w:val="auto"/>
              </w:rPr>
            </w:pPr>
          </w:p>
        </w:tc>
        <w:tc>
          <w:tcPr>
            <w:tcW w:w="4840" w:type="dxa"/>
            <w:vAlign w:val="bottom"/>
          </w:tcPr>
          <w:p>
            <w:pPr>
              <w:spacing w:after="0"/>
              <w:rPr>
                <w:sz w:val="10"/>
                <w:szCs w:val="10"/>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91</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80</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64</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06"/>
        </w:trPr>
        <w:tc>
          <w:tcPr>
            <w:tcW w:w="186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Derek Smith</w:t>
            </w:r>
          </w:p>
        </w:tc>
        <w:tc>
          <w:tcPr>
            <w:tcW w:w="1800" w:type="dxa"/>
            <w:vAlign w:val="bottom"/>
          </w:tcPr>
          <w:p>
            <w:pPr>
              <w:jc w:val="right"/>
              <w:ind w:right="552"/>
              <w:spacing w:after="0" w:line="106" w:lineRule="exact"/>
              <w:rPr>
                <w:sz w:val="20"/>
                <w:szCs w:val="20"/>
                <w:color w:val="auto"/>
              </w:rPr>
            </w:pPr>
            <w:r>
              <w:rPr>
                <w:rFonts w:ascii="Times New Roman" w:cs="Times New Roman" w:eastAsia="Times New Roman" w:hAnsi="Times New Roman"/>
                <w:sz w:val="10"/>
                <w:szCs w:val="10"/>
                <w:color w:val="auto"/>
              </w:rPr>
              <w:t>78</w:t>
            </w:r>
          </w:p>
        </w:tc>
        <w:tc>
          <w:tcPr>
            <w:tcW w:w="4840" w:type="dxa"/>
            <w:vAlign w:val="bottom"/>
          </w:tcPr>
          <w:p>
            <w:pPr>
              <w:ind w:left="520"/>
              <w:spacing w:after="0" w:line="106"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25"/>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Stephen Herbert</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62</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 Director</w:t>
            </w:r>
          </w:p>
        </w:tc>
      </w:tr>
      <w:tr>
        <w:trPr>
          <w:trHeight w:val="219"/>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tc>
        <w:tc>
          <w:tcPr>
            <w:tcW w:w="18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Executive Officer and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52</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Commercial Officer and General Manager (EMEA)</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CEO Products, Technology, and Digital Services</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Technology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Director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Daniel Wagner</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Non-Executive 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Perry.</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Dr. Perry served on the board of directors of Rezolve as a non -executive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 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Derek Smith.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0"/>
          <w:szCs w:val="10"/>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John Wagner.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Mr. Wagner has served as a director on the board of directors of Rezolve since February 2016. Prior to joining Rezolve, he was a non -executive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Anthony Sharp.</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Mr. Sharp has served as a director on the board of directors of Rezolve since August 2016. Prior to joining Rezolve, he has been an early- 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Sir David Wright.</w:t>
      </w:r>
    </w:p>
    <w:p>
      <w:pPr>
        <w:spacing w:after="0" w:line="6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Herbert.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Peter Vesco.</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Richard Burchill.</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0"/>
          <w:szCs w:val="10"/>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Sauvik Banerjjee.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Salman Ahmad.</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Dr. Ahmad has served as the Chief Technology Officer of Rezolve since October 2017. Prior to joining Rezolve, he was the CTO and co- 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Family Relationships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for Daniel Wagner, CEO and director, being the son of John Wagner, a non-executive director on the board of directors, there are no family relationships between any of the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 Exemption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•Exemption from filing quarterly reports on Form 10-Q containing unaudited financial and other specified information or current reports on Form 8-K upon the occurrence of specified significant events;</w:t>
      </w:r>
    </w:p>
    <w:p>
      <w:pPr>
        <w:spacing w:after="0" w:line="58" w:lineRule="exact"/>
        <w:rPr>
          <w:sz w:val="20"/>
          <w:szCs w:val="20"/>
          <w:color w:val="auto"/>
        </w:rPr>
      </w:pPr>
    </w:p>
    <w:p>
      <w:pPr>
        <w:ind w:left="480" w:right="960"/>
        <w:spacing w:after="0" w:line="360" w:lineRule="auto"/>
        <w:rPr>
          <w:sz w:val="20"/>
          <w:szCs w:val="20"/>
          <w:color w:val="auto"/>
        </w:rPr>
      </w:pPr>
      <w:r>
        <w:rPr>
          <w:rFonts w:ascii="Times New Roman" w:cs="Times New Roman" w:eastAsia="Times New Roman" w:hAnsi="Times New Roman"/>
          <w:sz w:val="10"/>
          <w:szCs w:val="10"/>
          <w:color w:val="auto"/>
        </w:rPr>
        <w:t>•Exemption from Section 16 under the Exchange Act, which requires insiders to file public reports of their securities ownership and trading activities and provides for liability for insiders who profit from trades in a short period of time; •Exemption from the Nasdaq rules applicable to domestic issuers requiring disclosure within four business days of any determination to grant a waiver of the code of business conduct and ethics to directors and officers; •Exemption from the requirement to obtain shareholder approval for certain issuances of securities, including shareholder approval of share option plans;</w:t>
      </w:r>
    </w:p>
    <w:p>
      <w:pPr>
        <w:ind w:left="480"/>
        <w:spacing w:after="0"/>
        <w:rPr>
          <w:sz w:val="20"/>
          <w:szCs w:val="20"/>
          <w:color w:val="auto"/>
        </w:rPr>
      </w:pPr>
      <w:r>
        <w:rPr>
          <w:rFonts w:ascii="Times New Roman" w:cs="Times New Roman" w:eastAsia="Times New Roman" w:hAnsi="Times New Roman"/>
          <w:sz w:val="10"/>
          <w:szCs w:val="10"/>
          <w:color w:val="auto"/>
        </w:rPr>
        <w:t>•Exemption from the requirement that our board have a compensation committee that is composed entirely of independent directors with a written charter addressing the committee’s purpose and responsibilities; and</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0"/>
          <w:szCs w:val="10"/>
          <w:b w:val="1"/>
          <w:bCs w:val="1"/>
          <w:i w:val="1"/>
          <w:iCs w:val="1"/>
          <w:color w:val="auto"/>
        </w:rPr>
        <w:t>Controlled Company Exemption</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the requirement that a majority of the board of directors consist of independent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requirement that we have a compensation committee that is composed entirely of independent directors with a written charter addressing the committee’s purpose and responsibilities;</w:t>
      </w:r>
    </w:p>
    <w:p>
      <w:pPr>
        <w:spacing w:after="0" w:line="58" w:lineRule="exact"/>
        <w:rPr>
          <w:sz w:val="20"/>
          <w:szCs w:val="20"/>
          <w:color w:val="auto"/>
        </w:rPr>
      </w:pPr>
    </w:p>
    <w:p>
      <w:pPr>
        <w:ind w:left="480" w:right="1780"/>
        <w:spacing w:after="0" w:line="380" w:lineRule="auto"/>
        <w:rPr>
          <w:sz w:val="20"/>
          <w:szCs w:val="20"/>
          <w:color w:val="auto"/>
        </w:rPr>
      </w:pPr>
      <w:r>
        <w:rPr>
          <w:rFonts w:ascii="Times New Roman" w:cs="Times New Roman" w:eastAsia="Times New Roman" w:hAnsi="Times New Roman"/>
          <w:sz w:val="10"/>
          <w:szCs w:val="10"/>
          <w:color w:val="auto"/>
        </w:rPr>
        <w:t>•the requirement that we have a nominating and corporate governance committee that is composed entirely of independent directors with a written charter addressing the committee’s purpose and responsibilities; and •the requirement for an annual performance evaluation of the nominating and corporate governance and compensation committees.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event that we cease to be a “controlled company” and our shares continue to be listed on the Nasdaq, we will be required to comply with these provisions within the applicable transition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Governance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 of Nasdaq. Accordingly, our shareholders may not receive the same protections afforded to shareholders of companies that are subject to all of Nasdaq’s corporate governance requirements.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we are an “emerging growth company” as defined in the JOBS Act and have elected to comply with certain reduced public company reporting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Independence of Directors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Board of Directors Composition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board of directors is comprised of eight directors (provided that Daniel Wagner has the right to appoint an additional director to the Board from time to time), five of whom qualify as independent directors as defined in the Nasdaq listing requirements.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Daniel Wagner serves as the Chairman of the board of directors and Anthony Sharp serves as deputy Chairman.</w:t>
      </w:r>
    </w:p>
    <w:p>
      <w:pPr>
        <w:spacing w:after="0" w:line="108"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05"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Our board is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0"/>
          <w:szCs w:val="10"/>
          <w:color w:val="auto"/>
        </w:rPr>
        <w:t>directors and will serve until our annual meeting in 2026. Messrs. Dan Wagner and John Wagner are Class III directors and will serve until our annual meeting in 2027.</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Role of Rezolve Board of Directors in Risk Oversight</w:t>
      </w:r>
    </w:p>
    <w:p>
      <w:pPr>
        <w:spacing w:after="0" w:line="60"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Committees of the Rezolve Board of Directors</w:t>
      </w:r>
    </w:p>
    <w:p>
      <w:pPr>
        <w:spacing w:after="0" w:line="118" w:lineRule="exact"/>
        <w:rPr>
          <w:sz w:val="20"/>
          <w:szCs w:val="20"/>
          <w:color w:val="auto"/>
        </w:rPr>
      </w:pPr>
    </w:p>
    <w:p>
      <w:pPr>
        <w:ind w:right="80" w:firstLine="480"/>
        <w:spacing w:after="0" w:line="259" w:lineRule="auto"/>
        <w:rPr>
          <w:sz w:val="20"/>
          <w:szCs w:val="20"/>
          <w:color w:val="auto"/>
        </w:rPr>
      </w:pPr>
      <w:r>
        <w:rPr>
          <w:rFonts w:ascii="Times New Roman" w:cs="Times New Roman" w:eastAsia="Times New Roman" w:hAnsi="Times New Roman"/>
          <w:sz w:val="10"/>
          <w:szCs w:val="10"/>
          <w:color w:val="auto"/>
        </w:rPr>
        <w:t>Following the Closing, the board of directors established three standing committees: (i) an audit committee (the "</w:t>
      </w:r>
      <w:r>
        <w:rPr>
          <w:rFonts w:ascii="Times New Roman" w:cs="Times New Roman" w:eastAsia="Times New Roman" w:hAnsi="Times New Roman"/>
          <w:sz w:val="10"/>
          <w:szCs w:val="10"/>
          <w:b w:val="1"/>
          <w:bCs w:val="1"/>
          <w:i w:val="1"/>
          <w:iCs w:val="1"/>
          <w:color w:val="auto"/>
        </w:rPr>
        <w:t>Audit Committee</w:t>
      </w:r>
      <w:r>
        <w:rPr>
          <w:rFonts w:ascii="Times New Roman" w:cs="Times New Roman" w:eastAsia="Times New Roman" w:hAnsi="Times New Roman"/>
          <w:sz w:val="10"/>
          <w:szCs w:val="10"/>
          <w:color w:val="auto"/>
        </w:rPr>
        <w:t xml:space="preserve">"), (ii) a remuneration committee (the " </w:t>
      </w:r>
      <w:r>
        <w:rPr>
          <w:rFonts w:ascii="Times New Roman" w:cs="Times New Roman" w:eastAsia="Times New Roman" w:hAnsi="Times New Roman"/>
          <w:sz w:val="10"/>
          <w:szCs w:val="10"/>
          <w:b w:val="1"/>
          <w:bCs w:val="1"/>
          <w:i w:val="1"/>
          <w:iCs w:val="1"/>
          <w:color w:val="auto"/>
        </w:rPr>
        <w:t>Remuneration Committee</w:t>
      </w:r>
      <w:r>
        <w:rPr>
          <w:rFonts w:ascii="Times New Roman" w:cs="Times New Roman" w:eastAsia="Times New Roman" w:hAnsi="Times New Roman"/>
          <w:sz w:val="10"/>
          <w:szCs w:val="10"/>
          <w:color w:val="auto"/>
        </w:rPr>
        <w:t>"), and (iii) a nominating and corporate governance committee (the "</w:t>
      </w:r>
      <w:r>
        <w:rPr>
          <w:rFonts w:ascii="Times New Roman" w:cs="Times New Roman" w:eastAsia="Times New Roman" w:hAnsi="Times New Roman"/>
          <w:sz w:val="10"/>
          <w:szCs w:val="10"/>
          <w:b w:val="1"/>
          <w:bCs w:val="1"/>
          <w:i w:val="1"/>
          <w:iCs w:val="1"/>
          <w:color w:val="auto"/>
        </w:rPr>
        <w:t>Nominating and Corporate Governance Committee</w:t>
      </w:r>
      <w:r>
        <w:rPr>
          <w:rFonts w:ascii="Times New Roman" w:cs="Times New Roman" w:eastAsia="Times New Roman" w:hAnsi="Times New Roman"/>
          <w:sz w:val="10"/>
          <w:szCs w:val="10"/>
          <w:color w:val="auto"/>
        </w:rPr>
        <w:t>"). In addition, from time to time, special committees may be established under the direction of our board of directors when necessary to address specific issues.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Audit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Audit Committee is responsible for, among other things: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•meeting with our independent registered accounting firm regarding, among other issues, audits, and adequacy of our accounting and control systems; •monitoring the independence of the independent registered public accounting firm;</w:t>
      </w:r>
    </w:p>
    <w:p>
      <w:pPr>
        <w:ind w:left="480" w:right="3000"/>
        <w:spacing w:after="0" w:line="360" w:lineRule="auto"/>
        <w:rPr>
          <w:sz w:val="20"/>
          <w:szCs w:val="20"/>
          <w:color w:val="auto"/>
        </w:rPr>
      </w:pPr>
      <w:r>
        <w:rPr>
          <w:rFonts w:ascii="Times New Roman" w:cs="Times New Roman" w:eastAsia="Times New Roman" w:hAnsi="Times New Roman"/>
          <w:sz w:val="10"/>
          <w:szCs w:val="10"/>
          <w:color w:val="auto"/>
        </w:rPr>
        <w:t>•verifying the rotation of the lead (or coordinating) audit partner having primary responsibility for the audit and the audit partner responsible for reviewing the audit as required by law; •inquiring and discussing with management our compliance with applicable laws and regulations;</w:t>
      </w:r>
    </w:p>
    <w:p>
      <w:pPr>
        <w:ind w:left="480" w:right="2440"/>
        <w:spacing w:after="0" w:line="360" w:lineRule="auto"/>
        <w:rPr>
          <w:sz w:val="20"/>
          <w:szCs w:val="20"/>
          <w:color w:val="auto"/>
        </w:rPr>
      </w:pPr>
      <w:r>
        <w:rPr>
          <w:rFonts w:ascii="Times New Roman" w:cs="Times New Roman" w:eastAsia="Times New Roman" w:hAnsi="Times New Roman"/>
          <w:sz w:val="10"/>
          <w:szCs w:val="10"/>
          <w:color w:val="auto"/>
        </w:rPr>
        <w:t>•pre-approving all audit services and permitted non-audit services to be performed by our independent registered public accounting firm, including the fees and terms of the services to be performed; •appointing or replacing the independent registered public accounting firm;</w:t>
      </w:r>
    </w:p>
    <w:p>
      <w:pPr>
        <w:ind w:left="480" w:right="160"/>
        <w:spacing w:after="0" w:line="255" w:lineRule="auto"/>
        <w:rPr>
          <w:sz w:val="20"/>
          <w:szCs w:val="20"/>
          <w:color w:val="auto"/>
        </w:rPr>
      </w:pPr>
      <w:r>
        <w:rPr>
          <w:rFonts w:ascii="Times New Roman" w:cs="Times New Roman" w:eastAsia="Times New Roman" w:hAnsi="Times New Roman"/>
          <w:sz w:val="10"/>
          <w:szCs w:val="10"/>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policies on risk assessment and risk management;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related person transactions.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0"/>
          <w:szCs w:val="10"/>
          <w:b w:val="1"/>
          <w:bCs w:val="1"/>
          <w:i w:val="1"/>
          <w:iCs w:val="1"/>
          <w:color w:val="auto"/>
        </w:rPr>
        <w:t>Remuneration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Remuneration Committee is responsible for, among other things:</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and approving the compensation of all of our other executive officers;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executive compensation policies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•implementing and administering our incentive compensation equity-based remuneration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•assisting management in complying with any disclosure requirements;</w:t>
      </w:r>
    </w:p>
    <w:p>
      <w:pPr>
        <w:spacing w:after="0" w:line="58" w:lineRule="exact"/>
        <w:rPr>
          <w:sz w:val="20"/>
          <w:szCs w:val="20"/>
          <w:color w:val="auto"/>
        </w:rPr>
      </w:pPr>
    </w:p>
    <w:p>
      <w:pPr>
        <w:ind w:left="480" w:right="4420"/>
        <w:spacing w:after="0" w:line="370" w:lineRule="auto"/>
        <w:rPr>
          <w:sz w:val="20"/>
          <w:szCs w:val="20"/>
          <w:color w:val="auto"/>
        </w:rPr>
      </w:pPr>
      <w:r>
        <w:rPr>
          <w:rFonts w:ascii="Times New Roman" w:cs="Times New Roman" w:eastAsia="Times New Roman" w:hAnsi="Times New Roman"/>
          <w:sz w:val="10"/>
          <w:szCs w:val="10"/>
          <w:color w:val="auto"/>
        </w:rPr>
        <w:t>•approving all special perquisites, special cash payments and other special compensation and benefit arrangements for our officers and employees; •reviewing, evaluating and recommending changes, if appropriate, to the remuneration for directors.; and •retaining and overseeing any compensation consultants.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Remuneration Committee consists of Anthony Sharp and Steve Perry, with Steve Perry serving as the chair of the committee. Our board of directors has adopted a written terms of reference for the Remuneration Committee, which is available on our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Nominating and Corporate Governance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Nominating and Corporate Governance Committee is responsible for, among other things: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individuals qualified to become members of our board of directors;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•recommending to our board of directors the persons to be nominated for election as directors and to each of the committees of our board of directors; •reviewing and making recommendations to our board of directors with respect to our board leadership structure; •reviewing and making recommendations to our board of directors with respect to management succession planning; and</w:t>
      </w:r>
    </w:p>
    <w:p>
      <w:pPr>
        <w:ind w:left="480"/>
        <w:spacing w:after="0"/>
        <w:rPr>
          <w:sz w:val="20"/>
          <w:szCs w:val="20"/>
          <w:color w:val="auto"/>
        </w:rPr>
      </w:pPr>
      <w:r>
        <w:rPr>
          <w:rFonts w:ascii="Times New Roman" w:cs="Times New Roman" w:eastAsia="Times New Roman" w:hAnsi="Times New Roman"/>
          <w:sz w:val="10"/>
          <w:szCs w:val="10"/>
          <w:color w:val="auto"/>
        </w:rPr>
        <w:t>•developing and recommending to our board of directors corporate governance principles.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Code of Ethics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Limitation on Liability and Indemnification of Officers and Directors</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0"/>
          <w:szCs w:val="10"/>
          <w:color w:val="auto"/>
        </w:rPr>
        <w:t>cost of defense, settlement or payment of a judgment in some circumstances and insures us against our obligations to indemnify our officers and directors.</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that these provisions, the insurance and the indemnity agreements are necessary to attract and retain talented and experienced officers and directors.</w:t>
      </w:r>
    </w:p>
    <w:p>
      <w:pPr>
        <w:spacing w:after="0" w:line="116" w:lineRule="exact"/>
        <w:rPr>
          <w:sz w:val="20"/>
          <w:szCs w:val="20"/>
          <w:color w:val="auto"/>
        </w:rPr>
      </w:pPr>
    </w:p>
    <w:p>
      <w:pPr>
        <w:ind w:right="200" w:firstLine="480"/>
        <w:spacing w:after="0" w:line="259" w:lineRule="auto"/>
        <w:rPr>
          <w:sz w:val="20"/>
          <w:szCs w:val="20"/>
          <w:color w:val="auto"/>
        </w:rPr>
      </w:pPr>
      <w:r>
        <w:rPr>
          <w:rFonts w:ascii="Times New Roman" w:cs="Times New Roman" w:eastAsia="Times New Roman" w:hAnsi="Times New Roman"/>
          <w:sz w:val="10"/>
          <w:szCs w:val="10"/>
          <w:color w:val="auto"/>
        </w:rPr>
        <w:t>For further details on the indemnity provisions referred to in our articles of association, see the section entitled “</w:t>
      </w:r>
      <w:r>
        <w:rPr>
          <w:rFonts w:ascii="Times New Roman" w:cs="Times New Roman" w:eastAsia="Times New Roman" w:hAnsi="Times New Roman"/>
          <w:sz w:val="10"/>
          <w:szCs w:val="10"/>
          <w:i w:val="1"/>
          <w:iCs w:val="1"/>
          <w:color w:val="auto"/>
        </w:rPr>
        <w:t>Description of Ordinary Shares and Articles of Association</w:t>
      </w:r>
      <w:r>
        <w:rPr>
          <w:rFonts w:ascii="Times New Roman" w:cs="Times New Roman" w:eastAsia="Times New Roman" w:hAnsi="Times New Roman"/>
          <w:sz w:val="10"/>
          <w:szCs w:val="10"/>
          <w:color w:val="auto"/>
        </w:rPr>
        <w:t>” of this prospectus, and for a summary of the indemnification agreement, see the section entitled “</w:t>
      </w:r>
      <w:r>
        <w:rPr>
          <w:rFonts w:ascii="Times New Roman" w:cs="Times New Roman" w:eastAsia="Times New Roman" w:hAnsi="Times New Roman"/>
          <w:sz w:val="10"/>
          <w:szCs w:val="10"/>
          <w:i w:val="1"/>
          <w:iCs w:val="1"/>
          <w:color w:val="auto"/>
        </w:rPr>
        <w:t>Indemnification Agreements with Officers and Directors</w:t>
      </w:r>
      <w:r>
        <w:rPr>
          <w:rFonts w:ascii="Times New Roman" w:cs="Times New Roman" w:eastAsia="Times New Roman" w:hAnsi="Times New Roman"/>
          <w:sz w:val="10"/>
          <w:szCs w:val="10"/>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Executive Officer and Director Compensation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cash compensation paid by Rezolve and its subsidiaries to its executive officers and directors for the year ended December 31, 2022 was $2,213,626.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Executive Officer and Director Compensation Following Completion of the Proposed Transactions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95" w:right="72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Daniel Wagner</w:t>
      </w:r>
    </w:p>
    <w:p>
      <w:pPr>
        <w:spacing w:after="0" w:line="60" w:lineRule="exact"/>
        <w:rPr>
          <w:sz w:val="20"/>
          <w:szCs w:val="20"/>
          <w:color w:val="auto"/>
        </w:rPr>
      </w:pPr>
    </w:p>
    <w:p>
      <w:pPr>
        <w:jc w:val="both"/>
        <w:ind w:right="280" w:firstLine="480"/>
        <w:spacing w:after="0" w:line="255" w:lineRule="auto"/>
        <w:rPr>
          <w:sz w:val="20"/>
          <w:szCs w:val="20"/>
          <w:color w:val="auto"/>
        </w:rPr>
      </w:pPr>
      <w:r>
        <w:rPr>
          <w:rFonts w:ascii="Times New Roman" w:cs="Times New Roman" w:eastAsia="Times New Roman" w:hAnsi="Times New Roman"/>
          <w:sz w:val="10"/>
          <w:szCs w:val="10"/>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01" w:lineRule="exact"/>
        <w:rPr>
          <w:sz w:val="20"/>
          <w:szCs w:val="20"/>
          <w:color w:val="auto"/>
        </w:rPr>
      </w:pPr>
    </w:p>
    <w:p>
      <w:pPr>
        <w:jc w:val="both"/>
        <w:ind w:right="260" w:firstLine="480"/>
        <w:spacing w:after="0" w:line="245" w:lineRule="auto"/>
        <w:rPr>
          <w:sz w:val="20"/>
          <w:szCs w:val="20"/>
          <w:color w:val="auto"/>
        </w:rPr>
      </w:pPr>
      <w:r>
        <w:rPr>
          <w:rFonts w:ascii="Times New Roman" w:cs="Times New Roman" w:eastAsia="Times New Roman" w:hAnsi="Times New Roman"/>
          <w:sz w:val="10"/>
          <w:szCs w:val="10"/>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Richard Burchill</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Non-executive Director Letters of Appointment (John Wagner, Anthony Sharp, Sir David Wright, Derek Smith, Stephen Perry, and Stephen Herbert)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(John Wagner, Anthony Sharp, Sir David Wright, Derek Smith, and Stephen Perry)</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01"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(Stephen Herbert)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CERTAIN RELATIONSHIPS AND RELATED PARTY TRANSACTIONS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Relationship with Daniel Wagner</w:t>
      </w:r>
    </w:p>
    <w:p>
      <w:pPr>
        <w:spacing w:after="0" w:line="58" w:lineRule="exact"/>
        <w:rPr>
          <w:sz w:val="20"/>
          <w:szCs w:val="20"/>
          <w:color w:val="auto"/>
        </w:rPr>
      </w:pPr>
    </w:p>
    <w:p>
      <w:pPr>
        <w:ind w:right="20" w:firstLine="480"/>
        <w:spacing w:after="0" w:line="315" w:lineRule="auto"/>
        <w:rPr>
          <w:sz w:val="20"/>
          <w:szCs w:val="20"/>
          <w:color w:val="auto"/>
        </w:rPr>
      </w:pPr>
      <w:r>
        <w:rPr>
          <w:rFonts w:ascii="Times New Roman" w:cs="Times New Roman" w:eastAsia="Times New Roman" w:hAnsi="Times New Roman"/>
          <w:sz w:val="9"/>
          <w:szCs w:val="9"/>
          <w:color w:val="auto"/>
        </w:rPr>
        <w:t>We have debt outstanding to DBLP Sea Cow Limited (a company incorporated in the Seychelles) (“</w:t>
      </w:r>
      <w:r>
        <w:rPr>
          <w:rFonts w:ascii="Times New Roman" w:cs="Times New Roman" w:eastAsia="Times New Roman" w:hAnsi="Times New Roman"/>
          <w:sz w:val="9"/>
          <w:szCs w:val="9"/>
          <w:b w:val="1"/>
          <w:bCs w:val="1"/>
          <w:i w:val="1"/>
          <w:iCs w:val="1"/>
          <w:color w:val="auto"/>
        </w:rPr>
        <w:t>DBLP</w:t>
      </w:r>
      <w:r>
        <w:rPr>
          <w:rFonts w:ascii="Times New Roman" w:cs="Times New Roman" w:eastAsia="Times New Roman" w:hAnsi="Times New Roman"/>
          <w:sz w:val="9"/>
          <w:szCs w:val="9"/>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7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Indemnification Agreements with Officers and Directors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 has also purchased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Policies and Procedures for Related Person Transactions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or at any time during the applicable period was, one of Rezolve’s executive officers or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known by Rezolve to be the beneficial owner of more than 5% of Rezolve voting shares;</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immediate family member of any of the foregoing persons, which means any child, stepchild, parent, stepparent, spouse, sibling, mother- in-law, father-in-law, son- in- law, daughter-in- law, brother in- law or sister-in -law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firm, corporation or other entity in which any of the foregoing persons is a partner or principal, or in a similar position, or in which such person has a 10% or greater beneficial ownership interest.</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09" w:name="page110"/>
    <w:bookmarkEnd w:id="109"/>
    <w:p>
      <w:pPr>
        <w:ind w:left="4300"/>
        <w:spacing w:after="0"/>
        <w:rPr>
          <w:sz w:val="20"/>
          <w:szCs w:val="20"/>
          <w:color w:val="auto"/>
        </w:rPr>
      </w:pPr>
      <w:r>
        <w:rPr>
          <w:rFonts w:ascii="Times New Roman" w:cs="Times New Roman" w:eastAsia="Times New Roman" w:hAnsi="Times New Roman"/>
          <w:sz w:val="10"/>
          <w:szCs w:val="10"/>
          <w:b w:val="1"/>
          <w:bCs w:val="1"/>
          <w:color w:val="auto"/>
        </w:rPr>
        <w:t>BENEFICIAL OWNERSHIP OF SECURITIES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information known to us regarding the beneficial ownership of our Ordinary Shares as of December [x],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person known by us to be the beneficial owner of more than 5%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of our executive officers and directors;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our executive officers and directors as a group.</w:t>
      </w:r>
    </w:p>
    <w:p>
      <w:pPr>
        <w:spacing w:after="0" w:line="11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 xml:space="preserve">The percentage of Ordinary Shares beneficially owned is computed on the basis of 172,182,769 Ordinary Shares outstanding as of December [x], 2024, after giving effect to the Business Combination, and does not include (i) 8,069,976 Ordinary Shares issuable upon the exercise of outstanding Warrants; (ii) 39,612,603 Ordinary Shares issuable upon the conversion of the Convertible Notes; (iii) 15,374,145 Ordinary Shares issuable pursuant to the advanced subscription agreements; (iv) 4,838,779 Ordinary Shares issuable pursuant to an agreement with </w:t>
      </w:r>
      <w:r>
        <w:rPr>
          <w:rFonts w:ascii="Times New Roman" w:cs="Times New Roman" w:eastAsia="Times New Roman" w:hAnsi="Times New Roman"/>
          <w:sz w:val="10"/>
          <w:szCs w:val="10"/>
          <w:color w:val="212529"/>
        </w:rPr>
        <w:t>YA II PN, LTD; (v) 1,071,429 Ordinary Shares issuable upon conversion of the YA Notes; (vii) 400,625 Ordinary Shares issuable pursuant to the Northland Note</w:t>
      </w:r>
      <w:r>
        <w:rPr>
          <w:rFonts w:ascii="Times New Roman" w:cs="Times New Roman" w:eastAsia="Times New Roman" w:hAnsi="Times New Roman"/>
          <w:sz w:val="10"/>
          <w:szCs w:val="10"/>
          <w:color w:val="auto"/>
        </w:rPr>
        <w:t xml:space="preserve"> and (viii) 545,373 Ordinary Shares issuable upon the conversion of the Promissory Notes (as defined herein). .</w:t>
      </w:r>
    </w:p>
    <w:p>
      <w:pPr>
        <w:spacing w:after="0" w:line="108" w:lineRule="exact"/>
        <w:rPr>
          <w:sz w:val="20"/>
          <w:szCs w:val="20"/>
          <w:color w:val="auto"/>
        </w:rPr>
      </w:pPr>
    </w:p>
    <w:p>
      <w:pPr>
        <w:ind w:right="380" w:firstLine="480"/>
        <w:spacing w:after="0" w:line="255" w:lineRule="auto"/>
        <w:rPr>
          <w:sz w:val="20"/>
          <w:szCs w:val="20"/>
          <w:color w:val="auto"/>
        </w:rPr>
      </w:pPr>
      <w:r>
        <w:rPr>
          <w:rFonts w:ascii="Times New Roman" w:cs="Times New Roman" w:eastAsia="Times New Roman" w:hAnsi="Times New Roman"/>
          <w:sz w:val="10"/>
          <w:szCs w:val="10"/>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Name of Beneficial Owners</w:t>
            </w:r>
            <w:r>
              <w:rPr>
                <w:rFonts w:ascii="Times New Roman" w:cs="Times New Roman" w:eastAsia="Times New Roman" w:hAnsi="Times New Roman"/>
                <w:sz w:val="13"/>
                <w:szCs w:val="13"/>
                <w:i w:val="1"/>
                <w:iCs w:val="1"/>
                <w:color w:val="auto"/>
                <w:vertAlign w:val="superscript"/>
              </w:rPr>
              <w:t>(1)</w:t>
            </w:r>
          </w:p>
        </w:tc>
        <w:tc>
          <w:tcPr>
            <w:tcW w:w="2060" w:type="dxa"/>
            <w:vAlign w:val="bottom"/>
          </w:tcPr>
          <w:p>
            <w:pPr>
              <w:spacing w:after="0"/>
              <w:rPr>
                <w:sz w:val="12"/>
                <w:szCs w:val="12"/>
                <w:color w:val="auto"/>
              </w:rPr>
            </w:pPr>
          </w:p>
        </w:tc>
        <w:tc>
          <w:tcPr>
            <w:tcW w:w="5860" w:type="dxa"/>
            <w:vAlign w:val="bottom"/>
          </w:tcPr>
          <w:p>
            <w:pPr>
              <w:spacing w:after="0"/>
              <w:rPr>
                <w:sz w:val="12"/>
                <w:szCs w:val="12"/>
                <w:color w:val="auto"/>
              </w:rPr>
            </w:pPr>
          </w:p>
        </w:tc>
      </w:tr>
      <w:tr>
        <w:trPr>
          <w:trHeight w:val="99"/>
        </w:trPr>
        <w:tc>
          <w:tcPr>
            <w:tcW w:w="27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Directors and Executive Officers</w:t>
            </w:r>
          </w:p>
        </w:tc>
        <w:tc>
          <w:tcPr>
            <w:tcW w:w="2060" w:type="dxa"/>
            <w:vAlign w:val="bottom"/>
          </w:tcPr>
          <w:p>
            <w:pPr>
              <w:ind w:left="86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p>
        </w:tc>
        <w:tc>
          <w:tcPr>
            <w:tcW w:w="5860" w:type="dxa"/>
            <w:vAlign w:val="bottom"/>
          </w:tcPr>
          <w:p>
            <w:pPr>
              <w:ind w:left="230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Daniel Wagner</w:t>
            </w:r>
            <w:r>
              <w:rPr>
                <w:rFonts w:ascii="Times New Roman" w:cs="Times New Roman" w:eastAsia="Times New Roman" w:hAnsi="Times New Roman"/>
                <w:sz w:val="13"/>
                <w:szCs w:val="13"/>
                <w:i w:val="1"/>
                <w:iCs w:val="1"/>
                <w:color w:val="auto"/>
                <w:vertAlign w:val="superscript"/>
              </w:rPr>
              <w:t>(2)</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39,965,221</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23.21%</w:t>
            </w:r>
          </w:p>
        </w:tc>
      </w:tr>
      <w:tr>
        <w:trPr>
          <w:trHeight w:val="128"/>
        </w:trPr>
        <w:tc>
          <w:tcPr>
            <w:tcW w:w="2700" w:type="dxa"/>
            <w:vAlign w:val="bottom"/>
          </w:tcPr>
          <w:p>
            <w:pPr>
              <w:ind w:left="40"/>
              <w:spacing w:after="0" w:line="128" w:lineRule="exact"/>
              <w:rPr>
                <w:sz w:val="20"/>
                <w:szCs w:val="20"/>
                <w:color w:val="auto"/>
              </w:rPr>
            </w:pPr>
            <w:r>
              <w:rPr>
                <w:rFonts w:ascii="Times New Roman" w:cs="Times New Roman" w:eastAsia="Times New Roman" w:hAnsi="Times New Roman"/>
                <w:sz w:val="10"/>
                <w:szCs w:val="10"/>
                <w:color w:val="auto"/>
              </w:rPr>
              <w:t>John Wagner</w:t>
            </w:r>
            <w:r>
              <w:rPr>
                <w:rFonts w:ascii="Times New Roman" w:cs="Times New Roman" w:eastAsia="Times New Roman" w:hAnsi="Times New Roman"/>
                <w:sz w:val="13"/>
                <w:szCs w:val="13"/>
                <w:i w:val="1"/>
                <w:iCs w:val="1"/>
                <w:color w:val="auto"/>
                <w:vertAlign w:val="superscript"/>
              </w:rPr>
              <w:t>(3)</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36,082,705</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20.96%</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1,879,352</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1.09%</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495,343</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564,935</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Stephen Herbert</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298,436</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1,142,384</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300</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All directors and executive officers as a group</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45,565,901</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26.46%</w:t>
            </w:r>
          </w:p>
        </w:tc>
      </w:tr>
      <w:tr>
        <w:trPr>
          <w:trHeight w:val="197"/>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Five Percent Holders</w:t>
            </w:r>
          </w:p>
        </w:tc>
        <w:tc>
          <w:tcPr>
            <w:tcW w:w="206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128"/>
        </w:trPr>
        <w:tc>
          <w:tcPr>
            <w:tcW w:w="2700" w:type="dxa"/>
            <w:vAlign w:val="bottom"/>
          </w:tcPr>
          <w:p>
            <w:pPr>
              <w:ind w:left="40"/>
              <w:spacing w:after="0" w:line="128" w:lineRule="exact"/>
              <w:rPr>
                <w:sz w:val="20"/>
                <w:szCs w:val="20"/>
                <w:color w:val="auto"/>
              </w:rPr>
            </w:pPr>
            <w:r>
              <w:rPr>
                <w:rFonts w:ascii="Times New Roman" w:cs="Times New Roman" w:eastAsia="Times New Roman" w:hAnsi="Times New Roman"/>
                <w:sz w:val="10"/>
                <w:szCs w:val="10"/>
                <w:color w:val="auto"/>
              </w:rPr>
              <w:t>DBLP Sea Cow Limited</w:t>
            </w:r>
            <w:r>
              <w:rPr>
                <w:rFonts w:ascii="Times New Roman" w:cs="Times New Roman" w:eastAsia="Times New Roman" w:hAnsi="Times New Roman"/>
                <w:sz w:val="13"/>
                <w:szCs w:val="13"/>
                <w:i w:val="1"/>
                <w:iCs w:val="1"/>
                <w:color w:val="auto"/>
                <w:vertAlign w:val="superscript"/>
              </w:rPr>
              <w:t>(4)</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35,266,716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20.48%</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34,771,000</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20.19%</w:t>
            </w:r>
          </w:p>
        </w:tc>
      </w:tr>
      <w:tr>
        <w:trPr>
          <w:trHeight w:val="98"/>
        </w:trPr>
        <w:tc>
          <w:tcPr>
            <w:tcW w:w="27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color w:val="auto"/>
              </w:rPr>
              <w:t>Brooks Newmark</w:t>
            </w:r>
          </w:p>
        </w:tc>
        <w:tc>
          <w:tcPr>
            <w:tcW w:w="2060" w:type="dxa"/>
            <w:vAlign w:val="bottom"/>
          </w:tcPr>
          <w:p>
            <w:pPr>
              <w:ind w:left="860"/>
              <w:spacing w:after="0" w:line="99" w:lineRule="exact"/>
              <w:rPr>
                <w:sz w:val="20"/>
                <w:szCs w:val="20"/>
                <w:color w:val="auto"/>
              </w:rPr>
            </w:pPr>
            <w:r>
              <w:rPr>
                <w:rFonts w:ascii="Times New Roman" w:cs="Times New Roman" w:eastAsia="Times New Roman" w:hAnsi="Times New Roman"/>
                <w:sz w:val="10"/>
                <w:szCs w:val="10"/>
                <w:color w:val="auto"/>
              </w:rPr>
              <w:t>15,170,676</w:t>
            </w:r>
          </w:p>
        </w:tc>
        <w:tc>
          <w:tcPr>
            <w:tcW w:w="5860" w:type="dxa"/>
            <w:vAlign w:val="bottom"/>
          </w:tcPr>
          <w:p>
            <w:pPr>
              <w:ind w:left="2300"/>
              <w:spacing w:after="0" w:line="99" w:lineRule="exact"/>
              <w:rPr>
                <w:sz w:val="20"/>
                <w:szCs w:val="20"/>
                <w:color w:val="auto"/>
              </w:rPr>
            </w:pPr>
            <w:r>
              <w:rPr>
                <w:rFonts w:ascii="Times New Roman" w:cs="Times New Roman" w:eastAsia="Times New Roman" w:hAnsi="Times New Roman"/>
                <w:sz w:val="10"/>
                <w:szCs w:val="10"/>
                <w:color w:val="auto"/>
              </w:rPr>
              <w:t>8.81%</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Brad Wickens</w:t>
            </w:r>
          </w:p>
        </w:tc>
        <w:tc>
          <w:tcPr>
            <w:tcW w:w="2060" w:type="dxa"/>
            <w:vAlign w:val="bottom"/>
          </w:tcPr>
          <w:p>
            <w:pPr>
              <w:ind w:left="860"/>
              <w:spacing w:after="0" w:line="113" w:lineRule="exact"/>
              <w:rPr>
                <w:sz w:val="20"/>
                <w:szCs w:val="20"/>
                <w:color w:val="auto"/>
              </w:rPr>
            </w:pPr>
            <w:r>
              <w:rPr>
                <w:rFonts w:ascii="Times New Roman" w:cs="Times New Roman" w:eastAsia="Times New Roman" w:hAnsi="Times New Roman"/>
                <w:sz w:val="10"/>
                <w:szCs w:val="10"/>
                <w:color w:val="auto"/>
              </w:rPr>
              <w:t>9,138,778</w:t>
            </w:r>
            <w:r>
              <w:rPr>
                <w:rFonts w:ascii="Times New Roman" w:cs="Times New Roman" w:eastAsia="Times New Roman" w:hAnsi="Times New Roman"/>
                <w:sz w:val="13"/>
                <w:szCs w:val="13"/>
                <w:color w:val="auto"/>
                <w:vertAlign w:val="superscript"/>
              </w:rPr>
              <w:t>(5)</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5.31%</w:t>
            </w:r>
          </w:p>
        </w:tc>
      </w:tr>
      <w:tr>
        <w:trPr>
          <w:trHeight w:val="127"/>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Aperion Investment Group Limited</w:t>
            </w:r>
          </w:p>
        </w:tc>
        <w:tc>
          <w:tcPr>
            <w:tcW w:w="2060" w:type="dxa"/>
            <w:vAlign w:val="bottom"/>
          </w:tcPr>
          <w:p>
            <w:pPr>
              <w:ind w:left="860"/>
              <w:spacing w:after="0" w:line="127" w:lineRule="exact"/>
              <w:rPr>
                <w:sz w:val="20"/>
                <w:szCs w:val="20"/>
                <w:color w:val="auto"/>
              </w:rPr>
            </w:pPr>
            <w:r>
              <w:rPr>
                <w:rFonts w:ascii="Times New Roman" w:cs="Times New Roman" w:eastAsia="Times New Roman" w:hAnsi="Times New Roman"/>
                <w:sz w:val="10"/>
                <w:szCs w:val="10"/>
                <w:color w:val="auto"/>
              </w:rPr>
              <w:t>14,712,645</w:t>
            </w:r>
            <w:r>
              <w:rPr>
                <w:rFonts w:ascii="Times New Roman" w:cs="Times New Roman" w:eastAsia="Times New Roman" w:hAnsi="Times New Roman"/>
                <w:sz w:val="13"/>
                <w:szCs w:val="13"/>
                <w:color w:val="auto"/>
                <w:vertAlign w:val="superscript"/>
              </w:rPr>
              <w:t>(6)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8.54%</w:t>
            </w:r>
          </w:p>
        </w:tc>
      </w:tr>
      <w:tr>
        <w:trPr>
          <w:trHeight w:val="125"/>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Cocoa Wagner</w:t>
            </w:r>
          </w:p>
        </w:tc>
        <w:tc>
          <w:tcPr>
            <w:tcW w:w="2060" w:type="dxa"/>
            <w:vAlign w:val="bottom"/>
          </w:tcPr>
          <w:p>
            <w:pPr>
              <w:ind w:left="860"/>
              <w:spacing w:after="0"/>
              <w:rPr>
                <w:sz w:val="20"/>
                <w:szCs w:val="20"/>
                <w:color w:val="auto"/>
              </w:rPr>
            </w:pPr>
            <w:r>
              <w:rPr>
                <w:rFonts w:ascii="Times New Roman" w:cs="Times New Roman" w:eastAsia="Times New Roman" w:hAnsi="Times New Roman"/>
                <w:sz w:val="10"/>
                <w:szCs w:val="10"/>
                <w:color w:val="auto"/>
              </w:rPr>
              <w:t>9,955,060</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5.78%</w:t>
            </w:r>
          </w:p>
        </w:tc>
      </w:tr>
      <w:tr>
        <w:trPr>
          <w:trHeight w:val="345"/>
        </w:trPr>
        <w:tc>
          <w:tcPr>
            <w:tcW w:w="2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101</w:t>
            </w:r>
          </w:p>
        </w:tc>
      </w:tr>
      <w:tr>
        <w:trPr>
          <w:trHeight w:val="422"/>
        </w:trPr>
        <w:tc>
          <w:tcPr>
            <w:tcW w:w="270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5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10" w:name="page111"/>
    <w:bookmarkEnd w:id="110"/>
    <w:p>
      <w:pPr>
        <w:spacing w:after="0" w:line="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 Less than one percent.</w:t>
      </w:r>
    </w:p>
    <w:p>
      <w:pPr>
        <w:spacing w:after="0" w:line="95" w:lineRule="exact"/>
        <w:rPr>
          <w:sz w:val="20"/>
          <w:szCs w:val="20"/>
          <w:color w:val="auto"/>
        </w:rPr>
      </w:pPr>
    </w:p>
    <w:p>
      <w:pPr>
        <w:ind w:left="130" w:hanging="130"/>
        <w:spacing w:after="0"/>
        <w:tabs>
          <w:tab w:leader="none" w:pos="13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Unless otherwise indicated, the business address of each of the following owners is 3rd Floor, 80 New Bond Street, London, W1S 1SB, United Kingdom.</w:t>
      </w:r>
    </w:p>
    <w:p>
      <w:pPr>
        <w:spacing w:after="0" w:line="93" w:lineRule="exact"/>
        <w:rPr>
          <w:rFonts w:ascii="Times New Roman" w:cs="Times New Roman" w:eastAsia="Times New Roman" w:hAnsi="Times New Roman"/>
          <w:sz w:val="10"/>
          <w:szCs w:val="10"/>
          <w:color w:val="auto"/>
        </w:rPr>
      </w:pPr>
    </w:p>
    <w:p>
      <w:pPr>
        <w:ind w:left="10" w:right="120" w:hanging="10"/>
        <w:spacing w:after="0" w:line="259" w:lineRule="auto"/>
        <w:tabs>
          <w:tab w:leader="none" w:pos="14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4,698,505 shares directly held by Daniel Wagner and (ii) 35,266,716 shares directly held by DBLP Sea Cow Limited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DBLP is wholly legally owned by Mr. Wagner and Mr. Wagner is a director of DBLP and therefore Mr. Wagner may be deemed to share voting and investment power over the shares held by DBLP.</w:t>
      </w:r>
    </w:p>
    <w:p>
      <w:pPr>
        <w:spacing w:after="0" w:line="76" w:lineRule="exact"/>
        <w:rPr>
          <w:rFonts w:ascii="Times New Roman" w:cs="Times New Roman" w:eastAsia="Times New Roman" w:hAnsi="Times New Roman"/>
          <w:sz w:val="10"/>
          <w:szCs w:val="10"/>
          <w:color w:val="auto"/>
        </w:rPr>
      </w:pPr>
    </w:p>
    <w:p>
      <w:pPr>
        <w:ind w:left="10" w:hanging="10"/>
        <w:spacing w:after="0" w:line="255" w:lineRule="auto"/>
        <w:tabs>
          <w:tab w:leader="none" w:pos="14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815,989 shares directly held by John Wagner and (ii) 35,266,716 shares directly held by DBLP. DBLP is beneficially owned by Mr. John Wagner and Mr. John Wagner is a director of DBLP and therefore Mr. Wagner may be deemed to share voting and investment power over the shares held by DBLP.</w:t>
      </w:r>
    </w:p>
    <w:p>
      <w:pPr>
        <w:spacing w:after="0" w:line="78"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DBLP is wholly legally owned by Daniel Wagner and is wholly beneficially owned by John Wagner. Both Daniel Wagner and John Wagner are directors of DBLP.</w:t>
      </w:r>
    </w:p>
    <w:p>
      <w:pPr>
        <w:spacing w:after="0" w:line="95" w:lineRule="exact"/>
        <w:rPr>
          <w:rFonts w:ascii="Times New Roman" w:cs="Times New Roman" w:eastAsia="Times New Roman" w:hAnsi="Times New Roman"/>
          <w:sz w:val="10"/>
          <w:szCs w:val="10"/>
          <w:color w:val="auto"/>
        </w:rPr>
      </w:pPr>
    </w:p>
    <w:p>
      <w:pPr>
        <w:ind w:left="170" w:hanging="170"/>
        <w:spacing w:after="0"/>
        <w:tabs>
          <w:tab w:leader="none" w:pos="17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7,897,913 Ordinary Shares and (ii) 1,240,865 Ordinary Shares currently held by Apeiron on Brad Wickens' behalf.</w:t>
      </w:r>
    </w:p>
    <w:p>
      <w:pPr>
        <w:spacing w:after="0" w:line="95"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Based on the Schedule 13G filed by Apeiron on September 24, 2024.</w:t>
      </w:r>
    </w:p>
    <w:p>
      <w:pPr>
        <w:spacing w:after="0" w:line="118" w:lineRule="exact"/>
        <w:rPr>
          <w:sz w:val="20"/>
          <w:szCs w:val="20"/>
          <w:color w:val="auto"/>
        </w:rPr>
      </w:pPr>
    </w:p>
    <w:p>
      <w:pPr>
        <w:jc w:val="center"/>
        <w:ind w:right="-149"/>
        <w:spacing w:after="0"/>
        <w:rPr>
          <w:sz w:val="20"/>
          <w:szCs w:val="20"/>
          <w:color w:val="auto"/>
        </w:rPr>
      </w:pPr>
      <w:r>
        <w:rPr>
          <w:rFonts w:ascii="Times New Roman" w:cs="Times New Roman" w:eastAsia="Times New Roman" w:hAnsi="Times New Roman"/>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90"/>
          </w:cols>
          <w:pgMar w:left="630" w:top="1440" w:right="78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0"/>
          <w:szCs w:val="10"/>
          <w:b w:val="1"/>
          <w:bCs w:val="1"/>
          <w:color w:val="auto"/>
        </w:rPr>
        <w:t>DESCRIPTION OF ORDINARY SHARES, ARTICLES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ASSOCIATION AND CERTAIN LEGAL CONSIDERATIONS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58"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xml:space="preserve">”), and (iii) a summary of relevant provisions of the UK Companies Act 2006 (as amended) (the “ </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General Description of Ordinary Shares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comprise a single class of ordinary shares with a nominal value of £0.0001 each.</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carry the right to receive dividends and distributions paid by Rezolve, if any.</w:t>
      </w:r>
    </w:p>
    <w:p>
      <w:pPr>
        <w:spacing w:after="0" w:line="58" w:lineRule="exact"/>
        <w:rPr>
          <w:sz w:val="20"/>
          <w:szCs w:val="20"/>
          <w:color w:val="auto"/>
        </w:rPr>
      </w:pPr>
    </w:p>
    <w:p>
      <w:pPr>
        <w:ind w:left="480" w:right="240"/>
        <w:spacing w:after="0" w:line="310" w:lineRule="auto"/>
        <w:rPr>
          <w:sz w:val="20"/>
          <w:szCs w:val="20"/>
          <w:color w:val="auto"/>
        </w:rPr>
      </w:pPr>
      <w:r>
        <w:rPr>
          <w:rFonts w:ascii="Times New Roman" w:cs="Times New Roman" w:eastAsia="Times New Roman" w:hAnsi="Times New Roman"/>
          <w:sz w:val="9"/>
          <w:szCs w:val="9"/>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equity securities issued by Rezolve for cash must first be offered to Rezolve shareholders in proportion to their existing holdings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9"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01"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99" w:lineRule="exact"/>
        <w:rPr>
          <w:sz w:val="20"/>
          <w:szCs w:val="20"/>
          <w:color w:val="auto"/>
        </w:rPr>
      </w:pPr>
    </w:p>
    <w:p>
      <w:pPr>
        <w:jc w:val="both"/>
        <w:ind w:right="20" w:firstLine="480"/>
        <w:spacing w:after="0" w:line="247" w:lineRule="auto"/>
        <w:rPr>
          <w:sz w:val="20"/>
          <w:szCs w:val="20"/>
          <w:color w:val="auto"/>
        </w:rPr>
      </w:pPr>
      <w:r>
        <w:rPr>
          <w:rFonts w:ascii="Times New Roman" w:cs="Times New Roman" w:eastAsia="Times New Roman" w:hAnsi="Times New Roman"/>
          <w:sz w:val="10"/>
          <w:szCs w:val="10"/>
          <w:color w:val="auto"/>
        </w:rPr>
        <w:t>Rezolve may convert Ordinary Shares into deferred shares of £ 0.0001 each (or other nominal value) in the capital of Rezolve (the “</w:t>
      </w:r>
      <w:r>
        <w:rPr>
          <w:rFonts w:ascii="Times New Roman" w:cs="Times New Roman" w:eastAsia="Times New Roman" w:hAnsi="Times New Roman"/>
          <w:sz w:val="10"/>
          <w:szCs w:val="10"/>
          <w:b w:val="1"/>
          <w:bCs w:val="1"/>
          <w:i w:val="1"/>
          <w:iCs w:val="1"/>
          <w:color w:val="auto"/>
        </w:rPr>
        <w:t>Deferred Shares</w:t>
      </w:r>
      <w:r>
        <w:rPr>
          <w:rFonts w:ascii="Times New Roman" w:cs="Times New Roman" w:eastAsia="Times New Roman" w:hAnsi="Times New Roman"/>
          <w:sz w:val="10"/>
          <w:szCs w:val="10"/>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04"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Register</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12" w:name="page113"/>
    <w:bookmarkEnd w:id="112"/>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any of its shareholders or any other affected person may apply to the court for rectification of the share register if: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name of any person, without sufficient cause, is wrongly entered in or omitted from Rezolve’s register of shareholders; or</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Public Warrants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92"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 xml:space="preserve">Redemption of Public Warrants when the price per Ordinary Share equals or exceeds $18.00. </w:t>
      </w:r>
      <w:r>
        <w:rPr>
          <w:rFonts w:ascii="Times New Roman" w:cs="Times New Roman" w:eastAsia="Times New Roman" w:hAnsi="Times New Roman"/>
          <w:sz w:val="10"/>
          <w:szCs w:val="10"/>
          <w:color w:val="auto"/>
        </w:rPr>
        <w:t>Once the warrants become exercisable, we may redeem the outstanding warrants (subject to any restrictions under the UK Companies Act):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 price of $0.01 per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a minimum of 30 days’ prior written notice of redemption; and</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113" w:name="page114"/>
    <w:bookmarkEnd w:id="113"/>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03" w:lineRule="exact"/>
        <w:rPr>
          <w:sz w:val="20"/>
          <w:szCs w:val="20"/>
          <w:color w:val="auto"/>
        </w:rPr>
      </w:pPr>
    </w:p>
    <w:p>
      <w:pPr>
        <w:ind w:right="22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Holder Election to Limit Exercise</w:t>
      </w:r>
      <w:r>
        <w:rPr>
          <w:rFonts w:ascii="Times New Roman" w:cs="Times New Roman" w:eastAsia="Times New Roman" w:hAnsi="Times New Roman"/>
          <w:sz w:val="10"/>
          <w:szCs w:val="10"/>
          <w:color w:val="auto"/>
        </w:rPr>
        <w:t>. A holder of a warrant may notify us in writing in the event it elects to be subject to a requirement that such holder will not have the right to exercise such warrant, to the extent that after giving effect to such exercise, such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person (together with such person’s affiliates), to the warrant agent’s actual knowledge, would beneficially own in excess of 9.8% (as specified by the holder) of the Ordinary Shares outstanding immediately after giving effect to such exercise.</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Anti -Dilution Adjustments</w:t>
      </w:r>
      <w:r>
        <w:rPr>
          <w:rFonts w:ascii="Times New Roman" w:cs="Times New Roman" w:eastAsia="Times New Roman" w:hAnsi="Times New Roman"/>
          <w:sz w:val="10"/>
          <w:szCs w:val="10"/>
          <w:color w:val="auto"/>
        </w:rPr>
        <w:t>. If the number of outstanding Ordinary Shares is increased by a stock dividend payable in Ordinary Shares, or by a split up of common stock or other similar event, then, on the effective date of such share capitalization, sub-division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7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1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0"/>
          <w:szCs w:val="10"/>
          <w:b w:val="1"/>
          <w:bCs w:val="1"/>
          <w:color w:val="auto"/>
        </w:rPr>
        <w:t>Articles of Association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rights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Voting rights and quorum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holder.</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number of votes attaching to all the shares held by Daniel Wagner as the “Rezolve Founder” or in which he is interested shall be equal to the higher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(i)75% of the votes attaching to all shares in the capital of the Company;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(ii)the total number of votes that would otherwise have been conferred on Daniel Wagner.</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Restrictions on Voting</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Variation of Rights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rights attached to any class of shares may be varied in accordance with the provisions of the UK Companies Act and with either the written consent of the holders of not less than three- 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0"/>
          <w:szCs w:val="10"/>
          <w:b w:val="1"/>
          <w:bCs w:val="1"/>
          <w:i w:val="1"/>
          <w:iCs w:val="1"/>
          <w:color w:val="auto"/>
        </w:rPr>
        <w:t>Share transfers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Ordinary Shares are in registered form. Any Ordinary Shares may be held in uncertificated form.</w:t>
      </w:r>
    </w:p>
    <w:p>
      <w:pPr>
        <w:spacing w:after="0" w:line="11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transferor of an ordinary share is deemed to remain the holder until the transferee’s name is entered in the share register.</w:t>
      </w:r>
    </w:p>
    <w:p>
      <w:pPr>
        <w:spacing w:after="0" w:line="118"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Dividends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dividends on shares are to be paid according to the amounts paid up on their nominal value, or otherwise in accordance with the terms concerning entitlement to dividends on which shares were issued.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unclaimed dividends may be made use of by Rezolve’s board of directors for Rezolve’s benefit until claimed.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dividend unclaimed for a period of 10 years from the date when it was declared or became due for payment shall revert to Rezolve.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Shareholder meetings</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6" w:name="page117"/>
    <w:bookmarkEnd w:id="116"/>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voting rights of each member at a general meeting are as set out under the heading “Voting Rights and Quorum”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Alteration of share capital</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agree with any member terms and conditions upon which all or any part of the Ordinary Shares held by such member from time to time shall be automatically converted into deferred shares.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Change of Control</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There is no specific provision in the articles of association that would have the effect of delaying, deferring or preventing a change of control. Our board will be divided into three classes serving staggered three -year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Winding Up</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Number of Directors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1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Rezolve’s board is divided into three classes serving staggered three -year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0"/>
          <w:szCs w:val="10"/>
          <w:b w:val="1"/>
          <w:bCs w:val="1"/>
          <w:i w:val="1"/>
          <w:iCs w:val="1"/>
          <w:color w:val="auto"/>
        </w:rPr>
        <w:t>Appointment of Directors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0"/>
          <w:szCs w:val="10"/>
          <w:i w:val="1"/>
          <w:i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Retirement of Directors</w:t>
      </w:r>
    </w:p>
    <w:p>
      <w:pPr>
        <w:spacing w:after="0" w:line="60" w:lineRule="exact"/>
        <w:rPr>
          <w:sz w:val="20"/>
          <w:szCs w:val="20"/>
          <w:color w:val="auto"/>
        </w:rPr>
      </w:pPr>
    </w:p>
    <w:p>
      <w:pPr>
        <w:jc w:val="both"/>
        <w:ind w:right="320" w:firstLine="480"/>
        <w:spacing w:after="0" w:line="245" w:lineRule="auto"/>
        <w:rPr>
          <w:sz w:val="20"/>
          <w:szCs w:val="20"/>
          <w:color w:val="auto"/>
        </w:rPr>
      </w:pPr>
      <w:r>
        <w:rPr>
          <w:rFonts w:ascii="Times New Roman" w:cs="Times New Roman" w:eastAsia="Times New Roman" w:hAnsi="Times New Roman"/>
          <w:sz w:val="10"/>
          <w:szCs w:val="10"/>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Interests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2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director shall be entitled to vote (and be counted in the quorum) in respect of any resolution concerning any of the following matters: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contract, transaction or arrangement in which the director is interested by virtue of an interest in shares, debentures or other securities of Rezolve or any of its subsidiary undertakings;</w:t>
      </w:r>
    </w:p>
    <w:p>
      <w:pPr>
        <w:spacing w:after="0" w:line="58"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•indemnification by Rezolve in relation to the performance of the director’s duties on behalf of the Company or any of its subsidiary undertakings;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18" w:name="page119"/>
    <w:bookmarkEnd w:id="118"/>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8" w:lineRule="exact"/>
        <w:rPr>
          <w:sz w:val="20"/>
          <w:szCs w:val="20"/>
          <w:color w:val="auto"/>
        </w:rPr>
      </w:pPr>
    </w:p>
    <w:p>
      <w:pPr>
        <w:ind w:left="480" w:right="420"/>
        <w:spacing w:after="0" w:line="380" w:lineRule="auto"/>
        <w:rPr>
          <w:sz w:val="20"/>
          <w:szCs w:val="20"/>
          <w:color w:val="auto"/>
        </w:rPr>
      </w:pPr>
      <w:r>
        <w:rPr>
          <w:rFonts w:ascii="Times New Roman" w:cs="Times New Roman" w:eastAsia="Times New Roman" w:hAnsi="Times New Roman"/>
          <w:sz w:val="10"/>
          <w:szCs w:val="10"/>
          <w:color w:val="auto"/>
        </w:rPr>
        <w:t>•any arrangement for the benefit of employees of Rezolve or of any of its subsidiary undertakings which does not accord to the director any privilege or benefit not generally accorded to the employees to whom the contract or arrangement relates; and •the purchase or maintenance of insurance either for or for the benefit of any director or for persons who include directors.</w:t>
      </w:r>
    </w:p>
    <w:p>
      <w:pPr>
        <w:spacing w:after="0" w:line="4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Fees and Remuneration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Special remuneration may be granted to any director who performs any special or extra services to, or at the request of, Rezolve, to be paid by way of lump sum, salary, commission, participation in profits or otherwise as the Rezolve board of directors may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decide.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Borrowing Powers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Indemnity</w:t>
      </w:r>
    </w:p>
    <w:p>
      <w:pPr>
        <w:spacing w:after="0" w:line="60" w:lineRule="exact"/>
        <w:rPr>
          <w:sz w:val="20"/>
          <w:szCs w:val="20"/>
          <w:color w:val="auto"/>
        </w:rPr>
      </w:pPr>
    </w:p>
    <w:p>
      <w:pPr>
        <w:ind w:right="28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English Law Considerations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Mandatory Purchases and Acquisitions</w:t>
      </w:r>
    </w:p>
    <w:p>
      <w:pPr>
        <w:spacing w:after="0" w:line="60" w:lineRule="exact"/>
        <w:rPr>
          <w:sz w:val="20"/>
          <w:szCs w:val="20"/>
          <w:color w:val="auto"/>
        </w:rPr>
      </w:pPr>
    </w:p>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0"/>
          <w:szCs w:val="10"/>
          <w:color w:val="auto"/>
        </w:rPr>
        <w:t>acquire, those shares on the same terms as the general offer. The offeror would do so by sending a notice to the outstanding minority shareholders telling them that it will compulsorily acquire their shares.</w:t>
      </w:r>
    </w:p>
    <w:p>
      <w:pPr>
        <w:spacing w:after="0" w:line="11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Such notice must be sent within three months of the last day on which the offer can be accepted in the prescribed manner. The squeeze -out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Sell Out</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Disclosure of Interest in Shares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8" w:lineRule="exact"/>
        <w:rPr>
          <w:sz w:val="20"/>
          <w:szCs w:val="20"/>
          <w:color w:val="auto"/>
        </w:rPr>
      </w:pPr>
    </w:p>
    <w:p>
      <w:pPr>
        <w:jc w:val="both"/>
        <w:ind w:left="480" w:right="220"/>
        <w:spacing w:after="0" w:line="245" w:lineRule="auto"/>
        <w:rPr>
          <w:sz w:val="20"/>
          <w:szCs w:val="20"/>
          <w:color w:val="auto"/>
        </w:rPr>
      </w:pPr>
      <w:r>
        <w:rPr>
          <w:rFonts w:ascii="Times New Roman" w:cs="Times New Roman" w:eastAsia="Times New Roman" w:hAnsi="Times New Roman"/>
          <w:sz w:val="10"/>
          <w:szCs w:val="10"/>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Purchase of Own Shares</w:t>
      </w:r>
    </w:p>
    <w:p>
      <w:pPr>
        <w:spacing w:after="0" w:line="60" w:lineRule="exact"/>
        <w:rPr>
          <w:sz w:val="20"/>
          <w:szCs w:val="20"/>
          <w:color w:val="auto"/>
        </w:rPr>
      </w:pPr>
    </w:p>
    <w:p>
      <w:pPr>
        <w:ind w:right="200" w:firstLine="480"/>
        <w:spacing w:after="0" w:line="241" w:lineRule="auto"/>
        <w:rPr>
          <w:sz w:val="20"/>
          <w:szCs w:val="20"/>
          <w:color w:val="auto"/>
        </w:rPr>
      </w:pPr>
      <w:r>
        <w:rPr>
          <w:rFonts w:ascii="Times New Roman" w:cs="Times New Roman" w:eastAsia="Times New Roman" w:hAnsi="Times New Roman"/>
          <w:sz w:val="10"/>
          <w:szCs w:val="10"/>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the maximum number of shares authorized to be acquired;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•determine the maximum and minimum prices that may be paid for the shares;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a date, not being later than five years after the passing of the resolution, on which the authority to purchase is to expire.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20" w:name="page121"/>
    <w:bookmarkEnd w:id="120"/>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and Dividends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It is not sufficient that Rezolve, once re- 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41" w:lineRule="exact"/>
        <w:rPr>
          <w:sz w:val="20"/>
          <w:szCs w:val="20"/>
          <w:color w:val="auto"/>
        </w:rPr>
      </w:pPr>
    </w:p>
    <w:p>
      <w:pPr>
        <w:ind w:left="480" w:right="2120"/>
        <w:spacing w:after="0" w:line="380" w:lineRule="auto"/>
        <w:rPr>
          <w:sz w:val="20"/>
          <w:szCs w:val="20"/>
          <w:color w:val="auto"/>
        </w:rPr>
      </w:pPr>
      <w:r>
        <w:rPr>
          <w:rFonts w:ascii="Times New Roman" w:cs="Times New Roman" w:eastAsia="Times New Roman" w:hAnsi="Times New Roman"/>
          <w:sz w:val="10"/>
          <w:szCs w:val="10"/>
          <w:color w:val="auto"/>
        </w:rPr>
        <w:t>•if, at the time that the distribution is made, the amount of its net assets (that is, the total excess of assets over liabilities) is not less than the total of its called-up share capital and undistributable reserves; and •if, and to the extent that, the distribution itself, at the time that it is made, does not reduce the amount of the net assets to less than that total.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Anti-Money Laundering</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Enforceability of Civil Liabilities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05"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Data Protection - United Kingdom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has certain duties under the General Data Protection Regulation (as implemented in the UK) and the Data Protection Act 2018 (“</w:t>
      </w:r>
      <w:r>
        <w:rPr>
          <w:rFonts w:ascii="Times New Roman" w:cs="Times New Roman" w:eastAsia="Times New Roman" w:hAnsi="Times New Roman"/>
          <w:sz w:val="10"/>
          <w:szCs w:val="10"/>
          <w:b w:val="1"/>
          <w:bCs w:val="1"/>
          <w:i w:val="1"/>
          <w:iCs w:val="1"/>
          <w:color w:val="auto"/>
        </w:rPr>
        <w:t>UK GDPR</w:t>
      </w:r>
      <w:r>
        <w:rPr>
          <w:rFonts w:ascii="Times New Roman" w:cs="Times New Roman" w:eastAsia="Times New Roman" w:hAnsi="Times New Roman"/>
          <w:sz w:val="10"/>
          <w:szCs w:val="10"/>
          <w:color w:val="auto"/>
        </w:rPr>
        <w:t>”) based on internationally accepted principles of data privacy.</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0"/>
          <w:szCs w:val="10"/>
          <w:b w:val="1"/>
          <w:bCs w:val="1"/>
          <w:i w:val="1"/>
          <w:iCs w:val="1"/>
          <w:color w:val="auto"/>
        </w:rPr>
        <w:t>Privacy Notice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Introduction</w:t>
      </w:r>
    </w:p>
    <w:p>
      <w:pPr>
        <w:spacing w:after="0" w:line="58" w:lineRule="exact"/>
        <w:rPr>
          <w:sz w:val="20"/>
          <w:szCs w:val="20"/>
          <w:color w:val="auto"/>
        </w:rPr>
      </w:pPr>
    </w:p>
    <w:p>
      <w:pPr>
        <w:ind w:right="260" w:firstLine="480"/>
        <w:spacing w:after="0" w:line="259" w:lineRule="auto"/>
        <w:rPr>
          <w:sz w:val="20"/>
          <w:szCs w:val="20"/>
          <w:color w:val="auto"/>
        </w:rPr>
      </w:pPr>
      <w:r>
        <w:rPr>
          <w:rFonts w:ascii="Times New Roman" w:cs="Times New Roman" w:eastAsia="Times New Roman" w:hAnsi="Times New Roman"/>
          <w:sz w:val="10"/>
          <w:szCs w:val="10"/>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0"/>
          <w:szCs w:val="10"/>
          <w:b w:val="1"/>
          <w:bCs w:val="1"/>
          <w:i w:val="1"/>
          <w:iCs w:val="1"/>
          <w:color w:val="auto"/>
        </w:rPr>
        <w:t>personal data</w:t>
      </w:r>
      <w:r>
        <w:rPr>
          <w:rFonts w:ascii="Times New Roman" w:cs="Times New Roman" w:eastAsia="Times New Roman" w:hAnsi="Times New Roman"/>
          <w:sz w:val="10"/>
          <w:szCs w:val="10"/>
          <w:color w:val="auto"/>
        </w:rPr>
        <w:t>”). In the following discussion, the “Company” refers to Rezolve and its affiliates and/or delegates, except where the context requires otherwise.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Investor Data</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05" w:lineRule="exact"/>
        <w:rPr>
          <w:sz w:val="20"/>
          <w:szCs w:val="20"/>
          <w:color w:val="auto"/>
        </w:rPr>
      </w:pPr>
    </w:p>
    <w:p>
      <w:pPr>
        <w:ind w:right="320" w:firstLine="480"/>
        <w:spacing w:after="0" w:line="245" w:lineRule="auto"/>
        <w:rPr>
          <w:sz w:val="20"/>
          <w:szCs w:val="20"/>
          <w:color w:val="auto"/>
        </w:rPr>
      </w:pPr>
      <w:r>
        <w:rPr>
          <w:rFonts w:ascii="Times New Roman" w:cs="Times New Roman" w:eastAsia="Times New Roman" w:hAnsi="Times New Roman"/>
          <w:sz w:val="10"/>
          <w:szCs w:val="10"/>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Who this Affects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How Rezolve May Use a Member’s Personal Data</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as the data controller, may collect, store and use personal data for lawful purposes, including, in particular: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•where this is necessary for the performance of its rights and obligations under any purchase agreements;</w:t>
      </w:r>
    </w:p>
    <w:p>
      <w:pPr>
        <w:spacing w:after="0" w:line="58" w:lineRule="exact"/>
        <w:rPr>
          <w:sz w:val="20"/>
          <w:szCs w:val="20"/>
          <w:color w:val="auto"/>
        </w:rPr>
      </w:pPr>
    </w:p>
    <w:p>
      <w:pPr>
        <w:ind w:left="480" w:right="2380"/>
        <w:spacing w:after="0" w:line="380" w:lineRule="auto"/>
        <w:rPr>
          <w:sz w:val="20"/>
          <w:szCs w:val="20"/>
          <w:color w:val="auto"/>
        </w:rPr>
      </w:pPr>
      <w:r>
        <w:rPr>
          <w:rFonts w:ascii="Times New Roman" w:cs="Times New Roman" w:eastAsia="Times New Roman" w:hAnsi="Times New Roman"/>
          <w:sz w:val="10"/>
          <w:szCs w:val="10"/>
          <w:color w:val="auto"/>
        </w:rPr>
        <w:t>•where this is necessary for compliance with a legal and regulatory obligation to which the company is subject (such as compliance with anti-money laundering and FATCA/CRS requirements); and/or •where this is necessary for the purposes of our legitimate interests and such interests are not overridden by your interests, fundamental rights or freedoms.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Should Rezolve wish to use personal data for other specific purposes (including, if applicable, any purpose that requires your consent), it will contact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Why Rezolve May Share Your Personal Data</w:t>
      </w:r>
    </w:p>
    <w:p>
      <w:pPr>
        <w:spacing w:after="0" w:line="60"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22" w:name="page123"/>
    <w:bookmarkEnd w:id="122"/>
    <w:p>
      <w:pPr>
        <w:ind w:left="480"/>
        <w:spacing w:after="0"/>
        <w:rPr>
          <w:sz w:val="20"/>
          <w:szCs w:val="20"/>
          <w:color w:val="auto"/>
        </w:rPr>
      </w:pPr>
      <w:r>
        <w:rPr>
          <w:rFonts w:ascii="Times New Roman" w:cs="Times New Roman" w:eastAsia="Times New Roman" w:hAnsi="Times New Roman"/>
          <w:sz w:val="10"/>
          <w:szCs w:val="10"/>
          <w:color w:val="auto"/>
        </w:rPr>
        <w:t>Rezolve may share your personal data with our affiliates for any of the purposes described in this privacy notice.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International Data Transfers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The Data Protection Measures Rezolve Takes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Retention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23" w:name="page124"/>
    <w:bookmarkEnd w:id="123"/>
    <w:p>
      <w:pPr>
        <w:ind w:left="4340"/>
        <w:spacing w:after="0"/>
        <w:rPr>
          <w:sz w:val="20"/>
          <w:szCs w:val="20"/>
          <w:color w:val="auto"/>
        </w:rPr>
      </w:pPr>
      <w:r>
        <w:rPr>
          <w:rFonts w:ascii="Times New Roman" w:cs="Times New Roman" w:eastAsia="Times New Roman" w:hAnsi="Times New Roman"/>
          <w:sz w:val="10"/>
          <w:szCs w:val="10"/>
          <w:b w:val="1"/>
          <w:bCs w:val="1"/>
          <w:color w:val="auto"/>
        </w:rPr>
        <w:t>DESCRIPTION OF SECURITIES WE ARE OFFERING</w:t>
      </w:r>
    </w:p>
    <w:p>
      <w:pPr>
        <w:spacing w:after="0" w:line="172"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We are offering up to Ordinary Shares and accompanying Offering Warrants to purchase up to Ordinary Shares. We are also offering up to Pre-Funded Warrants to those purchasers whose purchase Ordinary Shares in this offering would result in the purchaser, together with its affiliates and certain related parties, beneficially owning more than 4.99% (or, at the election of the purchaser, 9.99%) of our outstanding Ordinary Shares following the consummation of this offering in lieu of the Ordinary Shares that would result in such excess ownership. Each Pre-Funded Warrant will be exercisable for one Ordinary Share. For each Pre-Funded Warrant we sell, the number of Ordinary Shares we are offering will be decreased on a one-for-one basis. No Offering Warrants for fractional Ordinary Shares will be issued, rather Offering Warrants will be issued only for whole shares. We are also registering the Ordinary Shares issuable from time to time upon exercise of the Pre-Funded Warrants and Offering Warrants offered hereby.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Ordinary Shares</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The material terms and provisions of our Ordinary Shares are described under the caption “</w:t>
      </w:r>
      <w:r>
        <w:rPr>
          <w:rFonts w:ascii="Times New Roman" w:cs="Times New Roman" w:eastAsia="Times New Roman" w:hAnsi="Times New Roman"/>
          <w:sz w:val="10"/>
          <w:szCs w:val="10"/>
          <w:i w:val="1"/>
          <w:iCs w:val="1"/>
          <w:color w:val="auto"/>
        </w:rPr>
        <w:t>General Description of Ordinary Shares</w:t>
      </w:r>
      <w:r>
        <w:rPr>
          <w:rFonts w:ascii="Times New Roman" w:cs="Times New Roman" w:eastAsia="Times New Roman" w:hAnsi="Times New Roman"/>
          <w:sz w:val="10"/>
          <w:szCs w:val="10"/>
          <w:color w:val="auto"/>
        </w:rPr>
        <w:t>” in this prospectus.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Offering Warrants</w:t>
      </w:r>
    </w:p>
    <w:p>
      <w:pPr>
        <w:spacing w:after="0" w:line="112" w:lineRule="exact"/>
        <w:rPr>
          <w:sz w:val="20"/>
          <w:szCs w:val="20"/>
          <w:color w:val="auto"/>
        </w:rPr>
      </w:pPr>
    </w:p>
    <w:p>
      <w:pPr>
        <w:ind w:right="80" w:firstLine="705"/>
        <w:spacing w:after="0" w:line="310" w:lineRule="auto"/>
        <w:rPr>
          <w:sz w:val="20"/>
          <w:szCs w:val="20"/>
          <w:color w:val="auto"/>
        </w:rPr>
      </w:pPr>
      <w:r>
        <w:rPr>
          <w:rFonts w:ascii="Times New Roman" w:cs="Times New Roman" w:eastAsia="Times New Roman" w:hAnsi="Times New Roman"/>
          <w:sz w:val="9"/>
          <w:szCs w:val="9"/>
          <w:color w:val="auto"/>
        </w:rPr>
        <w:t>The following is a summary of certain terms and provisions of the Offering Warrants that are being offered hereby and is not complete and is subject to, and qualified in its entirety by, the provisions of the Offering Warrants, the form of which is filed as an exhibit to the registration statement of which this prospectus forms a part. Prospective investors should carefully review the terms and provisions of the form of Offering Warrants for a complete description of the terms and conditions of the Offering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Duration and Exercise Price</w:t>
      </w:r>
    </w:p>
    <w:p>
      <w:pPr>
        <w:spacing w:after="0" w:line="112" w:lineRule="exact"/>
        <w:rPr>
          <w:sz w:val="20"/>
          <w:szCs w:val="20"/>
          <w:color w:val="auto"/>
        </w:rPr>
      </w:pPr>
    </w:p>
    <w:p>
      <w:pPr>
        <w:ind w:right="100" w:firstLine="705"/>
        <w:spacing w:after="0" w:line="245" w:lineRule="auto"/>
        <w:rPr>
          <w:sz w:val="20"/>
          <w:szCs w:val="20"/>
          <w:color w:val="auto"/>
        </w:rPr>
      </w:pPr>
      <w:r>
        <w:rPr>
          <w:rFonts w:ascii="Times New Roman" w:cs="Times New Roman" w:eastAsia="Times New Roman" w:hAnsi="Times New Roman"/>
          <w:sz w:val="10"/>
          <w:szCs w:val="10"/>
          <w:color w:val="auto"/>
        </w:rPr>
        <w:t>Each Offering Warrant offered hereby will have an exercise price equal to $ . The Offering Warrants will be immediately exercisable and may be exercised until the five-year anniversary of the issuance date. The exercise price and number of Ordinary Shares issuable upon exercise of the Offering Warrants are subject to appropriate adjustment in the event of stock dividends, stock splits, reorganizations or similar events affecting our Ordinary Shares. The Offering Warrants will be issued separately from the Ordinary Shares or Pre-Funded Warrants, respectively, and may be transferred separately immediately thereafter.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Exercisability</w:t>
      </w:r>
    </w:p>
    <w:p>
      <w:pPr>
        <w:spacing w:after="0" w:line="112" w:lineRule="exact"/>
        <w:rPr>
          <w:sz w:val="20"/>
          <w:szCs w:val="20"/>
          <w:color w:val="auto"/>
        </w:rPr>
      </w:pPr>
    </w:p>
    <w:p>
      <w:pPr>
        <w:ind w:firstLine="705"/>
        <w:spacing w:after="0" w:line="277" w:lineRule="auto"/>
        <w:rPr>
          <w:sz w:val="20"/>
          <w:szCs w:val="20"/>
          <w:color w:val="auto"/>
        </w:rPr>
      </w:pPr>
      <w:r>
        <w:rPr>
          <w:rFonts w:ascii="Times New Roman" w:cs="Times New Roman" w:eastAsia="Times New Roman" w:hAnsi="Times New Roman"/>
          <w:sz w:val="9"/>
          <w:szCs w:val="9"/>
          <w:color w:val="auto"/>
        </w:rPr>
        <w:t>The Offering Warrants will be exercisable, at the option of each holder, in whole or in part, by delivering to us a duly executed exercise notice accompanied by payment in full for the number of Ordinary Shares purchased upon such exercise (except in the case of a cashless exercise as discussed below). A holder (together with its affiliates) may not exercise any portion of such holder’s Offering Warrants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 effect to the exercise, as such percentage ownership is determined in accordance with the terms of the Offering Warrants, provided that any increase in the beneficial ownership limitation will not take effect until 61 days following notice to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Fundamental Transactions</w:t>
      </w:r>
    </w:p>
    <w:p>
      <w:pPr>
        <w:spacing w:after="0" w:line="112" w:lineRule="exact"/>
        <w:rPr>
          <w:sz w:val="20"/>
          <w:szCs w:val="20"/>
          <w:color w:val="auto"/>
        </w:rPr>
      </w:pPr>
    </w:p>
    <w:p>
      <w:pPr>
        <w:ind w:right="60" w:firstLine="705"/>
        <w:spacing w:after="0" w:line="239" w:lineRule="auto"/>
        <w:rPr>
          <w:sz w:val="20"/>
          <w:szCs w:val="20"/>
          <w:color w:val="auto"/>
        </w:rPr>
      </w:pPr>
      <w:r>
        <w:rPr>
          <w:rFonts w:ascii="Times New Roman" w:cs="Times New Roman" w:eastAsia="Times New Roman" w:hAnsi="Times New Roman"/>
          <w:sz w:val="10"/>
          <w:szCs w:val="10"/>
          <w:color w:val="auto"/>
        </w:rPr>
        <w:t>In the event of any fundamental transaction, as described in the Offering Warrants and generally including any merger or consolidation with or into another entity, sale of all or substantially all of our assets, tender offer or exchange offer, or reclassification of our Ordinary Shares, then upon any subsequent exercise of the Offering Warrants, the holder will have the right to receive as alternative consideration, for each Ordinary Share that would have been issuable upon such exercise immediately prior to the occurrence of such fundamental transaction, the number of Ordinary Shares of the successor or acquiring corporation or of our Company, if it is the surviving corporation, and any additional consideration receivable upon or as a result of such transaction by a holder of the number of Ordinary Shares for which the Offering Warrants are exercisable immediately prior to such event. Notwithstanding the foregoing, in the event of a fundamental transaction, the holders of the Offering Warrants have the right to require us or a successor entity to redeem the Offering Warrants for cash in the amount of the Black-Scholes Value (as defined in the Offering Warrants) of the remaining unexercised portion of the Offering Warrants on the date of the consummation of such fundamental transaction, concurrently with or within 30 days following the consummation of a fundamental transaction.</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124" w:name="page125"/>
    <w:bookmarkEnd w:id="124"/>
    <w:p>
      <w:pPr>
        <w:ind w:right="100" w:firstLine="705"/>
        <w:spacing w:after="0" w:line="241" w:lineRule="auto"/>
        <w:rPr>
          <w:sz w:val="20"/>
          <w:szCs w:val="20"/>
          <w:color w:val="auto"/>
        </w:rPr>
      </w:pPr>
      <w:r>
        <w:rPr>
          <w:rFonts w:ascii="Times New Roman" w:cs="Times New Roman" w:eastAsia="Times New Roman" w:hAnsi="Times New Roman"/>
          <w:sz w:val="10"/>
          <w:szCs w:val="10"/>
          <w:color w:val="auto"/>
        </w:rPr>
        <w:t>However, in the event of a fundamental transaction which is not in our control, including a fundamental transaction not approved by our Board, the holders of the Offering Warrants will only be entitled to receive from us or our successor entity, as of the date of consummation of such fundamental transaction the same type or form of consideration (and in the same proportion), at the Black Scholes Value of the unexercised portion of the Offering Warrants that are being offered and paid to the holders of our Ordinary Shares in connection with the fundamental transaction, whether that consideration is in the form of cash, stock or any combination of cash and stock, or whether the holders of our Ordinary Shares are given the choice to receive alternative forms of consideration in connection with the fundamental transaction.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Transferability</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Subject to applicable laws, the Offering Warrants may be transferred at the option of the holder upon surrender of the Offering Warrants to us together with the appropriate instruments of transfer.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Fractional Shares</w:t>
      </w:r>
    </w:p>
    <w:p>
      <w:pPr>
        <w:spacing w:after="0" w:line="112" w:lineRule="exact"/>
        <w:rPr>
          <w:sz w:val="20"/>
          <w:szCs w:val="20"/>
          <w:color w:val="auto"/>
        </w:rPr>
      </w:pPr>
    </w:p>
    <w:p>
      <w:pPr>
        <w:ind w:right="40" w:firstLine="705"/>
        <w:spacing w:after="0" w:line="255" w:lineRule="auto"/>
        <w:rPr>
          <w:sz w:val="20"/>
          <w:szCs w:val="20"/>
          <w:color w:val="auto"/>
        </w:rPr>
      </w:pPr>
      <w:r>
        <w:rPr>
          <w:rFonts w:ascii="Times New Roman" w:cs="Times New Roman" w:eastAsia="Times New Roman" w:hAnsi="Times New Roman"/>
          <w:sz w:val="10"/>
          <w:szCs w:val="10"/>
          <w:color w:val="auto"/>
        </w:rPr>
        <w:t>No fractional Ordinary Shares will be issued upon the exercise of the Offering Warrants. Rather, the number of shares of Ordinary Shares to be issued will, at our election, either be rounded up to the nearest whole number or we will pay a cash adjustment in respect of such final fraction in an amount equal to such fraction multiplied by the exercise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Trading Market</w:t>
      </w:r>
    </w:p>
    <w:p>
      <w:pPr>
        <w:spacing w:after="0" w:line="112" w:lineRule="exact"/>
        <w:rPr>
          <w:sz w:val="20"/>
          <w:szCs w:val="20"/>
          <w:color w:val="auto"/>
        </w:rPr>
      </w:pPr>
    </w:p>
    <w:p>
      <w:pPr>
        <w:ind w:right="24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trading market for the Offering Warrants, and we do not expect an active trading market to develop. We do not intend to apply to list the Offering Warrants on any securities exchange or other trading market. Without a trading market, the liquidity of the Offering Warrants will be extremely limited. The Ordinary Shares issuable upon exercise of the Offering Warrants are currently traded on Nasdaq.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Right as a Stockholder</w:t>
      </w:r>
    </w:p>
    <w:p>
      <w:pPr>
        <w:spacing w:after="0" w:line="112"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0"/>
          <w:szCs w:val="10"/>
          <w:color w:val="auto"/>
        </w:rPr>
        <w:t>Except as otherwise provided in the Offering Warrants or by virtue of the holder’s ownership of Ordinary Shares, such holder of Offering Warrants does not have the rights or privileges of a holder of Ordinary Shares, including any voting rights, until such holder exercises such holder’s Offering Warrants. The Offering Warrants provide that holders have the right to participate in distributions or dividends paid on our Ordinary Shares.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Waivers and Amendments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No term of the Offering Warrants may be amended or waived without the written consent of the holder.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Pre-Funded Warrants</w:t>
      </w:r>
    </w:p>
    <w:p>
      <w:pPr>
        <w:spacing w:after="0" w:line="112" w:lineRule="exact"/>
        <w:rPr>
          <w:sz w:val="20"/>
          <w:szCs w:val="20"/>
          <w:color w:val="auto"/>
        </w:rPr>
      </w:pPr>
    </w:p>
    <w:p>
      <w:pPr>
        <w:ind w:right="100" w:firstLine="705"/>
        <w:spacing w:after="0" w:line="310" w:lineRule="auto"/>
        <w:rPr>
          <w:sz w:val="20"/>
          <w:szCs w:val="20"/>
          <w:color w:val="auto"/>
        </w:rPr>
      </w:pPr>
      <w:r>
        <w:rPr>
          <w:rFonts w:ascii="Times New Roman" w:cs="Times New Roman" w:eastAsia="Times New Roman" w:hAnsi="Times New Roman"/>
          <w:sz w:val="9"/>
          <w:szCs w:val="9"/>
          <w:color w:val="auto"/>
        </w:rPr>
        <w:t>The following summary of certain terms and provisions of the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Duration and Exercise Price</w:t>
      </w:r>
    </w:p>
    <w:p>
      <w:pPr>
        <w:spacing w:after="0" w:line="112" w:lineRule="exact"/>
        <w:rPr>
          <w:sz w:val="20"/>
          <w:szCs w:val="20"/>
          <w:color w:val="auto"/>
        </w:rPr>
      </w:pPr>
    </w:p>
    <w:p>
      <w:pPr>
        <w:ind w:right="40" w:firstLine="705"/>
        <w:spacing w:after="0" w:line="255" w:lineRule="auto"/>
        <w:rPr>
          <w:sz w:val="20"/>
          <w:szCs w:val="20"/>
          <w:color w:val="auto"/>
        </w:rPr>
      </w:pPr>
      <w:r>
        <w:rPr>
          <w:rFonts w:ascii="Times New Roman" w:cs="Times New Roman" w:eastAsia="Times New Roman" w:hAnsi="Times New Roman"/>
          <w:sz w:val="10"/>
          <w:szCs w:val="10"/>
          <w:color w:val="auto"/>
        </w:rPr>
        <w:t>Each Pre-Funded Warrant offered hereby will have an initial exercise price per Ordinary Share equal to $0.0001. The Pre-Funded Warrants will be immediately exercisable and will expire when exercised in full. The exercise price and number of Ordinary Shares issuable upon exercise is subject to appropriate adjustment in the event of share dividends, share splits, reorganizations or similar events affecting our Ordinary Shares.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Exercisability</w:t>
      </w:r>
    </w:p>
    <w:p>
      <w:pPr>
        <w:spacing w:after="0" w:line="112" w:lineRule="exact"/>
        <w:rPr>
          <w:sz w:val="20"/>
          <w:szCs w:val="20"/>
          <w:color w:val="auto"/>
        </w:rPr>
      </w:pPr>
    </w:p>
    <w:p>
      <w:pPr>
        <w:ind w:right="40" w:firstLine="705"/>
        <w:spacing w:after="0" w:line="285" w:lineRule="auto"/>
        <w:rPr>
          <w:sz w:val="20"/>
          <w:szCs w:val="20"/>
          <w:color w:val="auto"/>
        </w:rPr>
      </w:pPr>
      <w:r>
        <w:rPr>
          <w:rFonts w:ascii="Times New Roman" w:cs="Times New Roman" w:eastAsia="Times New Roman" w:hAnsi="Times New Roman"/>
          <w:sz w:val="9"/>
          <w:szCs w:val="9"/>
          <w:color w:val="auto"/>
        </w:rPr>
        <w:t>The Pre-Funded Warrants will be exercisable, at the option of each holder, in whole or in part, by delivering to us a duly executed exercise notice accompanied by payment in full for the number of Ordinary Shares purchased upon such exercise (except in the case of a cashless exercise as discussed below) . A holder (together with its affiliates) may not exercise any portion of the pre -funded warrant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35" w:right="60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0"/>
          <w:szCs w:val="10"/>
          <w:color w:val="auto"/>
        </w:rPr>
        <w:t>effect to the exercise, as such percentage ownership is determined in accordance with the terms of the Pre-Funded Warrants, provided that any increase in the beneficial ownership limitation will not take effect until 61 days following notice to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Fractional Shares</w:t>
      </w:r>
    </w:p>
    <w:p>
      <w:pPr>
        <w:spacing w:after="0" w:line="112"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0"/>
          <w:szCs w:val="10"/>
          <w:color w:val="auto"/>
        </w:rPr>
        <w:t>No fractional Ordinary Shares will be issued upon the exercise of the Pre-Funded Warrants. Rather, at our election, the number of Ordinary Shares to be issued will be rounded up to the nearest whole number or we will pay a cash adjustment in an amount equal to such fraction multiplied by the exercise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Transferability</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color w:val="auto"/>
        </w:rPr>
        <w:t>Subject to applicable laws, a Pre-Funded Warrant may be transferred at the option of the holder upon surrender of the Pre-Funded Warrants to us together with the appropriate instruments of transfer.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Trading Market</w:t>
      </w:r>
    </w:p>
    <w:p>
      <w:pPr>
        <w:spacing w:after="0" w:line="112" w:lineRule="exact"/>
        <w:rPr>
          <w:sz w:val="20"/>
          <w:szCs w:val="20"/>
          <w:color w:val="auto"/>
        </w:rPr>
      </w:pPr>
    </w:p>
    <w:p>
      <w:pPr>
        <w:ind w:right="2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trading market for the Pre -Funded Warrants, and we do not expect an active trading market to develop. We do not intend to list the Pre-funded Warrants on any securities exchange or other trading market. Without a trading market, the liquidity of the Pre-Funded Warrants will be extremely limited. The Ordinary Shares issuable upon exercise of the Pre-Funded Warrants are currently traded on Nasdaq.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Right as a Stockholder</w:t>
      </w:r>
    </w:p>
    <w:p>
      <w:pPr>
        <w:spacing w:after="0" w:line="112" w:lineRule="exact"/>
        <w:rPr>
          <w:sz w:val="20"/>
          <w:szCs w:val="20"/>
          <w:color w:val="auto"/>
        </w:rPr>
      </w:pPr>
    </w:p>
    <w:p>
      <w:pPr>
        <w:ind w:right="180" w:firstLine="705"/>
        <w:spacing w:after="0" w:line="255" w:lineRule="auto"/>
        <w:rPr>
          <w:sz w:val="20"/>
          <w:szCs w:val="20"/>
          <w:color w:val="auto"/>
        </w:rPr>
      </w:pPr>
      <w:r>
        <w:rPr>
          <w:rFonts w:ascii="Times New Roman" w:cs="Times New Roman" w:eastAsia="Times New Roman" w:hAnsi="Times New Roman"/>
          <w:sz w:val="10"/>
          <w:szCs w:val="10"/>
          <w:color w:val="auto"/>
        </w:rPr>
        <w:t>Except as otherwise provided in the Pre-Funded Warrants or by virtue of such holder’s ownership of Ordinary Shares, the holders of the Pre-Funded Warrants do not have the rights or privileges of holders of our Ordinary Shares, including any voting rights, until such holder exercise their Pre-Funded Warrants. The Pre-Funded Warrants provide that holders have the right to participate in distributions or dividends paid on our Ordinary Shares.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5" w:right="640" w:bottom="1440" w:gutter="0" w:footer="0" w:header="0"/>
        </w:sectPr>
      </w:pPr>
    </w:p>
    <w:bookmarkStart w:id="126" w:name="page127"/>
    <w:bookmarkEnd w:id="126"/>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MATERIAL TAX CONSIDERATIONS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United Kingdom Tax Considerations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29"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statements are not directed at and do not apply to persons who are resident, or in the case of individuals, domiciled for tax purposes in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YOU ARE IN ANY DOUBT AS TO YOUR TAX POSITION, YOU SHOULD CONSULT YOUR PROFESSIONAL TAX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subject to UK corporation tax on its taxable profits and gains, as it is tax resident in the UK. The Business Combination will not give rise to any taxable profits or gains for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Disposals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Dividends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not required to withhold UK tax when paying a dividend.</w:t>
      </w:r>
    </w:p>
    <w:p>
      <w:pPr>
        <w:spacing w:after="0" w:line="118"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033" w:right="78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0"/>
          <w:szCs w:val="10"/>
          <w:b w:val="1"/>
          <w:bCs w:val="1"/>
          <w:i w:val="1"/>
          <w:iCs w:val="1"/>
          <w:color w:val="auto"/>
        </w:rPr>
        <w:t>Stamp Duty and Stamp Duty Reserve Tax (“SDRT”)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UK stamp duty or UK SDRT should arise on the issue of Ordinary Shares.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An agreement to transfer Ordinary Shares or Warrants other than to a depository trust company (“</w:t>
      </w:r>
      <w:r>
        <w:rPr>
          <w:rFonts w:ascii="Times New Roman" w:cs="Times New Roman" w:eastAsia="Times New Roman" w:hAnsi="Times New Roman"/>
          <w:sz w:val="10"/>
          <w:szCs w:val="10"/>
          <w:b w:val="1"/>
          <w:bCs w:val="1"/>
          <w:i w:val="1"/>
          <w:iCs w:val="1"/>
          <w:color w:val="auto"/>
        </w:rPr>
        <w:t>DTC</w:t>
      </w:r>
      <w:r>
        <w:rPr>
          <w:rFonts w:ascii="Times New Roman" w:cs="Times New Roman" w:eastAsia="Times New Roman" w:hAnsi="Times New Roman"/>
          <w:sz w:val="10"/>
          <w:szCs w:val="10"/>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06"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U.S. Federal Tax Considerations</w:t>
      </w:r>
    </w:p>
    <w:p>
      <w:pPr>
        <w:spacing w:after="0" w:line="60" w:lineRule="exact"/>
        <w:rPr>
          <w:sz w:val="20"/>
          <w:szCs w:val="20"/>
          <w:color w:val="auto"/>
        </w:rPr>
      </w:pPr>
    </w:p>
    <w:p>
      <w:pPr>
        <w:ind w:right="300" w:firstLine="480"/>
        <w:spacing w:after="0" w:line="245" w:lineRule="auto"/>
        <w:rPr>
          <w:sz w:val="20"/>
          <w:szCs w:val="20"/>
          <w:color w:val="auto"/>
        </w:rPr>
      </w:pPr>
      <w:r>
        <w:rPr>
          <w:rFonts w:ascii="Times New Roman" w:cs="Times New Roman" w:eastAsia="Times New Roman" w:hAnsi="Times New Roman"/>
          <w:sz w:val="10"/>
          <w:szCs w:val="10"/>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•brokers, dealers and other investors that do not own their Ordinary Shares or Warrants as capital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•traders in securities that elect to use a mark-to-market method of accounting for their securities holdings;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•tax-exempt organizations, qualified retirement plans, individual retirement accounts or other tax deferred accounts;</w:t>
      </w:r>
    </w:p>
    <w:p>
      <w:pPr>
        <w:spacing w:after="0" w:line="58" w:lineRule="exact"/>
        <w:rPr>
          <w:sz w:val="20"/>
          <w:szCs w:val="20"/>
          <w:color w:val="auto"/>
        </w:rPr>
      </w:pPr>
    </w:p>
    <w:p>
      <w:pPr>
        <w:ind w:left="480" w:right="4800"/>
        <w:spacing w:after="0" w:line="360" w:lineRule="auto"/>
        <w:rPr>
          <w:sz w:val="20"/>
          <w:szCs w:val="20"/>
          <w:color w:val="auto"/>
        </w:rPr>
      </w:pPr>
      <w:r>
        <w:rPr>
          <w:rFonts w:ascii="Times New Roman" w:cs="Times New Roman" w:eastAsia="Times New Roman" w:hAnsi="Times New Roman"/>
          <w:sz w:val="10"/>
          <w:szCs w:val="10"/>
          <w:color w:val="auto"/>
        </w:rPr>
        <w:t>•banks or other financial institutions, underwriters, insurance companies, real estate investment trusts or regulated investment companies; •U.S. expatriates or former long-term residents of the United States;</w:t>
      </w:r>
    </w:p>
    <w:p>
      <w:pPr>
        <w:ind w:left="480" w:right="4400"/>
        <w:spacing w:after="0" w:line="400" w:lineRule="auto"/>
        <w:rPr>
          <w:sz w:val="20"/>
          <w:szCs w:val="20"/>
          <w:color w:val="auto"/>
        </w:rPr>
      </w:pPr>
      <w:r>
        <w:rPr>
          <w:rFonts w:ascii="Times New Roman" w:cs="Times New Roman" w:eastAsia="Times New Roman" w:hAnsi="Times New Roman"/>
          <w:sz w:val="9"/>
          <w:szCs w:val="9"/>
          <w:color w:val="auto"/>
        </w:rPr>
        <w:t>•persons that own (directly, indirectly, or by attribution) 5% or more (by vote or value) of the Armada Common Stock or Ordinary Shares; •partnerships or other pass-through entities for U.S. federal income tax purposes, or beneficial owners of partnerships or other pass-through entities;</w:t>
      </w:r>
    </w:p>
    <w:p>
      <w:pPr>
        <w:ind w:left="480"/>
        <w:spacing w:after="0"/>
        <w:rPr>
          <w:sz w:val="20"/>
          <w:szCs w:val="20"/>
          <w:color w:val="auto"/>
        </w:rPr>
      </w:pPr>
      <w:r>
        <w:rPr>
          <w:rFonts w:ascii="Times New Roman" w:cs="Times New Roman" w:eastAsia="Times New Roman" w:hAnsi="Times New Roman"/>
          <w:sz w:val="10"/>
          <w:szCs w:val="10"/>
          <w:color w:val="auto"/>
        </w:rPr>
        <w:t>•persons holding Ordinary Shares or Warrants as part of a straddle, hedging or conversion transaction, constructive sale, or other arrangement involving more than one position;</w:t>
      </w:r>
    </w:p>
    <w:p>
      <w:pPr>
        <w:spacing w:after="0" w:line="58" w:lineRule="exact"/>
        <w:rPr>
          <w:sz w:val="20"/>
          <w:szCs w:val="20"/>
          <w:color w:val="auto"/>
        </w:rPr>
      </w:pPr>
    </w:p>
    <w:p>
      <w:pPr>
        <w:ind w:left="480" w:right="2320"/>
        <w:spacing w:after="0" w:line="360" w:lineRule="auto"/>
        <w:rPr>
          <w:sz w:val="20"/>
          <w:szCs w:val="20"/>
          <w:color w:val="auto"/>
        </w:rPr>
      </w:pPr>
      <w:r>
        <w:rPr>
          <w:rFonts w:ascii="Times New Roman" w:cs="Times New Roman" w:eastAsia="Times New Roman" w:hAnsi="Times New Roman"/>
          <w:sz w:val="10"/>
          <w:szCs w:val="10"/>
          <w:color w:val="auto"/>
        </w:rPr>
        <w:t>•persons required to accelerate the recognition of any item of gross income with respect to Ordinary Shares or Warrants as a result of such income being recognized on an applicable financial statement; •persons whose functional currency is not the U.S. dollar;</w:t>
      </w:r>
    </w:p>
    <w:p>
      <w:pPr>
        <w:ind w:left="480"/>
        <w:spacing w:after="0"/>
        <w:rPr>
          <w:sz w:val="20"/>
          <w:szCs w:val="20"/>
          <w:color w:val="auto"/>
        </w:rPr>
      </w:pPr>
      <w:r>
        <w:rPr>
          <w:rFonts w:ascii="Times New Roman" w:cs="Times New Roman" w:eastAsia="Times New Roman" w:hAnsi="Times New Roman"/>
          <w:sz w:val="10"/>
          <w:szCs w:val="10"/>
          <w:color w:val="auto"/>
        </w:rPr>
        <w:t>•persons that received Ordinary Shares or Warrants as compensation for services;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•controlled foreign corporations or passive foreign investment companies.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This discussion is based on the Code, its legislative history, existing and proposed Treasury regulations promulgated under the Code (the “</w:t>
      </w:r>
      <w:r>
        <w:rPr>
          <w:rFonts w:ascii="Times New Roman" w:cs="Times New Roman" w:eastAsia="Times New Roman" w:hAnsi="Times New Roman"/>
          <w:sz w:val="10"/>
          <w:szCs w:val="10"/>
          <w:b w:val="1"/>
          <w:bCs w:val="1"/>
          <w:i w:val="1"/>
          <w:iCs w:val="1"/>
          <w:color w:val="auto"/>
        </w:rPr>
        <w:t>Treasury Regulations</w:t>
      </w:r>
      <w:r>
        <w:rPr>
          <w:rFonts w:ascii="Times New Roman" w:cs="Times New Roman" w:eastAsia="Times New Roman" w:hAnsi="Times New Roman"/>
          <w:sz w:val="10"/>
          <w:szCs w:val="10"/>
          <w:color w:val="auto"/>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0"/>
          <w:szCs w:val="10"/>
          <w:color w:val="auto"/>
        </w:rPr>
        <w:t>IRS will not take positions concerning the tax consequences of the Business Combination that are different from those discussed below, or that any such different positions would not be sustained by a court.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individual who is a citizen or resident of the United States;</w:t>
      </w:r>
    </w:p>
    <w:p>
      <w:pPr>
        <w:spacing w:after="0" w:line="58" w:lineRule="exact"/>
        <w:rPr>
          <w:sz w:val="20"/>
          <w:szCs w:val="20"/>
          <w:color w:val="auto"/>
        </w:rPr>
      </w:pPr>
    </w:p>
    <w:p>
      <w:pPr>
        <w:ind w:left="480" w:right="2360"/>
        <w:spacing w:after="0" w:line="360" w:lineRule="auto"/>
        <w:rPr>
          <w:sz w:val="20"/>
          <w:szCs w:val="20"/>
          <w:color w:val="auto"/>
        </w:rPr>
      </w:pPr>
      <w:r>
        <w:rPr>
          <w:rFonts w:ascii="Times New Roman" w:cs="Times New Roman" w:eastAsia="Times New Roman" w:hAnsi="Times New Roman"/>
          <w:sz w:val="10"/>
          <w:szCs w:val="10"/>
          <w:color w:val="auto"/>
        </w:rPr>
        <w:t>•a corporation (or other entity taxable as a corporation for U.S. federal income tax purposes) created or organized in or under the laws of the United States, any state thereof or the District of Columbia; •an estate whose income is subject to U.S. federal income tax regardless of its source; or</w:t>
      </w:r>
    </w:p>
    <w:p>
      <w:pPr>
        <w:ind w:left="480" w:right="340"/>
        <w:spacing w:after="0" w:line="255" w:lineRule="auto"/>
        <w:rPr>
          <w:sz w:val="20"/>
          <w:szCs w:val="20"/>
          <w:color w:val="auto"/>
        </w:rPr>
      </w:pPr>
      <w:r>
        <w:rPr>
          <w:rFonts w:ascii="Times New Roman" w:cs="Times New Roman" w:eastAsia="Times New Roman" w:hAnsi="Times New Roman"/>
          <w:sz w:val="10"/>
          <w:szCs w:val="10"/>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Holders who are not U.S. holders should consult with their own tax advisors regarding the U.S. federal income tax consequences of holding Rezolve Securities.</w:t>
      </w:r>
    </w:p>
    <w:p>
      <w:pPr>
        <w:spacing w:after="0" w:line="1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Ordinary Shares</w:t>
      </w:r>
    </w:p>
    <w:p>
      <w:pPr>
        <w:spacing w:after="0" w:line="58" w:lineRule="exact"/>
        <w:rPr>
          <w:sz w:val="20"/>
          <w:szCs w:val="20"/>
          <w:color w:val="auto"/>
        </w:rPr>
      </w:pPr>
    </w:p>
    <w:p>
      <w:pPr>
        <w:ind w:right="120" w:firstLine="480"/>
        <w:spacing w:after="0" w:line="278" w:lineRule="auto"/>
        <w:rPr>
          <w:sz w:val="20"/>
          <w:szCs w:val="20"/>
          <w:color w:val="auto"/>
        </w:rPr>
      </w:pPr>
      <w:r>
        <w:rPr>
          <w:rFonts w:ascii="Times New Roman" w:cs="Times New Roman" w:eastAsia="Times New Roman" w:hAnsi="Times New Roman"/>
          <w:sz w:val="9"/>
          <w:szCs w:val="9"/>
          <w:color w:val="auto"/>
        </w:rPr>
        <w:t>Subject to the discussion under the section entitled “</w:t>
      </w:r>
      <w:r>
        <w:rPr>
          <w:rFonts w:ascii="Times New Roman" w:cs="Times New Roman" w:eastAsia="Times New Roman" w:hAnsi="Times New Roman"/>
          <w:sz w:val="9"/>
          <w:szCs w:val="9"/>
          <w:i w:val="1"/>
          <w:iCs w:val="1"/>
          <w:color w:val="auto"/>
        </w:rPr>
        <w:t>Material Tax Considerations — Material U.S. Federal Income Tax Considerations — Passive Foreign Investment Company Rules</w:t>
      </w:r>
      <w:r>
        <w:rPr>
          <w:rFonts w:ascii="Times New Roman" w:cs="Times New Roman" w:eastAsia="Times New Roman" w:hAnsi="Times New Roman"/>
          <w:sz w:val="9"/>
          <w:szCs w:val="9"/>
          <w:color w:val="auto"/>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91"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0"/>
          <w:szCs w:val="10"/>
          <w:i w:val="1"/>
          <w:iCs w:val="1"/>
          <w:color w:val="auto"/>
        </w:rPr>
        <w:t>Material Tax Considerations — Material U.S. Federal Income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Tax Considerations — Passive Foreign Investment Company Rules.</w:t>
      </w:r>
      <w:r>
        <w:rPr>
          <w:rFonts w:ascii="Times New Roman" w:cs="Times New Roman" w:eastAsia="Times New Roman" w:hAnsi="Times New Roman"/>
          <w:sz w:val="10"/>
          <w:szCs w:val="10"/>
          <w:color w:val="auto"/>
        </w:rPr>
        <w:t>”</w:t>
      </w:r>
    </w:p>
    <w:p>
      <w:pPr>
        <w:spacing w:after="0" w:line="11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9"/>
          <w:szCs w:val="9"/>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Sale, Exchange, Redemption or Other Taxable Disposition of Ordinary Shares and Warrants</w:t>
      </w:r>
    </w:p>
    <w:p>
      <w:pPr>
        <w:spacing w:after="0" w:line="5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xml:space="preserve"> ,”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Exercise or Lapse of a Warrant</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Possible Constructive Distributions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0"/>
          <w:szCs w:val="10"/>
          <w:i w:val="1"/>
          <w:iCs w:val="1"/>
          <w:color w:val="auto"/>
        </w:rPr>
        <w:t>Description of Rezolve Securities</w:t>
      </w:r>
      <w:r>
        <w:rPr>
          <w:rFonts w:ascii="Times New Roman" w:cs="Times New Roman" w:eastAsia="Times New Roman" w:hAnsi="Times New Roman"/>
          <w:sz w:val="10"/>
          <w:szCs w:val="10"/>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Distributions on Ordinary Shares.</w:t>
      </w:r>
      <w:r>
        <w:rPr>
          <w:rFonts w:ascii="Times New Roman" w:cs="Times New Roman" w:eastAsia="Times New Roman" w:hAnsi="Times New Roman"/>
          <w:sz w:val="10"/>
          <w:szCs w:val="10"/>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Passive Foreign Investment Company Rules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 xml:space="preserve">Generally. </w:t>
      </w:r>
      <w:r>
        <w:rPr>
          <w:rFonts w:ascii="Times New Roman" w:cs="Times New Roman" w:eastAsia="Times New Roman" w:hAnsi="Times New Roman"/>
          <w:sz w:val="10"/>
          <w:szCs w:val="10"/>
          <w:color w:val="auto"/>
        </w:rPr>
        <w:t>The treatment of U.S. holders of the Ordinary Shares could be materially different from that described above if Rezolve is treated as a passive foreign investment company, or PFIC, for U.S. federal income tax purposes. A PFIC is any foreign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0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30" w:name="page131"/>
    <w:bookmarkEnd w:id="130"/>
    <w:p>
      <w:pPr>
        <w:ind w:right="140"/>
        <w:spacing w:after="0" w:line="245" w:lineRule="auto"/>
        <w:rPr>
          <w:sz w:val="20"/>
          <w:szCs w:val="20"/>
          <w:color w:val="auto"/>
        </w:rPr>
      </w:pPr>
      <w:r>
        <w:rPr>
          <w:rFonts w:ascii="Times New Roman" w:cs="Times New Roman" w:eastAsia="Times New Roman" w:hAnsi="Times New Roman"/>
          <w:sz w:val="10"/>
          <w:szCs w:val="10"/>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06" w:lineRule="exact"/>
        <w:rPr>
          <w:sz w:val="20"/>
          <w:szCs w:val="20"/>
          <w:color w:val="auto"/>
        </w:rPr>
      </w:pPr>
    </w:p>
    <w:p>
      <w:pPr>
        <w:jc w:val="both"/>
        <w:ind w:right="18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 xml:space="preserve">Excess Distribution Regime. </w:t>
      </w:r>
      <w:r>
        <w:rPr>
          <w:rFonts w:ascii="Times New Roman" w:cs="Times New Roman" w:eastAsia="Times New Roman" w:hAnsi="Times New Roman"/>
          <w:sz w:val="10"/>
          <w:szCs w:val="10"/>
          <w:color w:val="auto"/>
        </w:rPr>
        <w:t>If a U.S. holder does not make a mark-to-market election, as described below, the U.S. holder will be subject to the default “excess distribution regime” under the PFIC rules with respect to (i) any gain realized on a sale or other</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gain or excess distribution will be allocated ratably over the period during which the U.S. holder held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the current taxable year, will be treated as ordinary income;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99"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i w:val="1"/>
          <w:iCs w:val="1"/>
          <w:color w:val="auto"/>
        </w:rPr>
        <w:t xml:space="preserve">Mark-to-Market Regime. </w:t>
      </w:r>
      <w:r>
        <w:rPr>
          <w:rFonts w:ascii="Times New Roman" w:cs="Times New Roman" w:eastAsia="Times New Roman" w:hAnsi="Times New Roman"/>
          <w:sz w:val="10"/>
          <w:szCs w:val="10"/>
          <w:color w:val="auto"/>
        </w:rPr>
        <w:t>Alternatively, a U.S. holder may make an election to mark marketable shares in a PFIC to market on an annual basis. PFIC shares generally are marketable if: (i) they are “regularly traded” on a national securities exchange that is</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 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0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QEF Regime. </w:t>
      </w:r>
      <w:r>
        <w:rPr>
          <w:rFonts w:ascii="Times New Roman" w:cs="Times New Roman" w:eastAsia="Times New Roman" w:hAnsi="Times New Roman"/>
          <w:sz w:val="10"/>
          <w:szCs w:val="10"/>
          <w:color w:val="auto"/>
        </w:rPr>
        <w:t>Alternatively, a U.S. holder of a PFIC may avoid the adverse PFIC tax consequences described above in respect of stock of the PFIC (but not warrants) by making and maintaining a timely and valid qualified electing fund (“QEF”) election (if</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eligible to do so) to include in income its pro rata share of the PFIC’s net capital gains (as long-term capital gain) and other earnings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1" w:name="page132"/>
    <w:bookmarkEnd w:id="131"/>
    <w:p>
      <w:pPr>
        <w:spacing w:after="0" w:line="245" w:lineRule="auto"/>
        <w:rPr>
          <w:sz w:val="20"/>
          <w:szCs w:val="20"/>
          <w:color w:val="auto"/>
        </w:rPr>
      </w:pPr>
      <w:r>
        <w:rPr>
          <w:rFonts w:ascii="Times New Roman" w:cs="Times New Roman" w:eastAsia="Times New Roman" w:hAnsi="Times New Roman"/>
          <w:sz w:val="10"/>
          <w:szCs w:val="10"/>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03" w:lineRule="exact"/>
        <w:rPr>
          <w:sz w:val="20"/>
          <w:szCs w:val="20"/>
          <w:color w:val="auto"/>
        </w:rPr>
      </w:pPr>
    </w:p>
    <w:p>
      <w:pPr>
        <w:ind w:right="30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PFIC Reporting Requirements. </w:t>
      </w:r>
      <w:r>
        <w:rPr>
          <w:rFonts w:ascii="Times New Roman" w:cs="Times New Roman" w:eastAsia="Times New Roman" w:hAnsi="Times New Roman"/>
          <w:sz w:val="10"/>
          <w:szCs w:val="10"/>
          <w:color w:val="auto"/>
        </w:rPr>
        <w:t>A U.S. holder of Ordinary Shares will be required to file an annual report on IRS Form 8621 containing such information with respect to its interest in a PFIC as the IRS may require. Failure to file IRS Form 8621 for each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applicable taxable year may result in substantial penalties and result in the U.S. holder’s taxable years being open to audit by the IRS until such Forms are properly filed.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Additional Reporting Requirements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Information Reporting and Backup Withholding</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0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0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PLAN OF DISTRIBUTION</w:t>
      </w:r>
    </w:p>
    <w:p>
      <w:pPr>
        <w:spacing w:after="0" w:line="112" w:lineRule="exact"/>
        <w:rPr>
          <w:sz w:val="20"/>
          <w:szCs w:val="20"/>
          <w:color w:val="auto"/>
        </w:rPr>
      </w:pPr>
    </w:p>
    <w:p>
      <w:pPr>
        <w:ind w:right="160" w:firstLine="705"/>
        <w:spacing w:after="0" w:line="245" w:lineRule="auto"/>
        <w:rPr>
          <w:sz w:val="20"/>
          <w:szCs w:val="20"/>
          <w:color w:val="auto"/>
        </w:rPr>
      </w:pPr>
      <w:r>
        <w:rPr>
          <w:rFonts w:ascii="Times New Roman" w:cs="Times New Roman" w:eastAsia="Times New Roman" w:hAnsi="Times New Roman"/>
          <w:sz w:val="10"/>
          <w:szCs w:val="10"/>
          <w:color w:val="auto"/>
        </w:rPr>
        <w:t>We have engaged to act as our exclusive placement agent to solicit offers to purchase the securities offered by this prospectus on a reasonable best-efforts basis. The placement agent is not purchasing or selling any securities, nor are they required to arrange for the purchase and sale of any specific number or dollar amount of securities, other than to use their “reasonable best efforts” to arrange for the sale of the securities by us. Therefore, we may not sell the entire amount of securities being offered pursuant to this prospectus.</w:t>
      </w:r>
    </w:p>
    <w:p>
      <w:pPr>
        <w:spacing w:after="0" w:line="98"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The terms of this offering are subject to market conditions and negotiations between us, the placement agent and prospective investors. The placement agent will have no authority to bind us by virtue of the engagement letter. This is a best-efforts offering and there is no minimum amount of proceeds that is a condition to closing of this offering. Investors purchasing securities offered hereby will have the option to execute a securities purchase agreement with us. In addition to rights and remedies available to all purchasers in this offering under federal securities and state law, the purchasers who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variable rate financings for a period of two years following the closing of the offering, subject to an exception; and (ii) a covenant to not enter into any equity financings for 45 days from closing of the offering, subject to certain exceptions.</w:t>
      </w:r>
      <w:r>
        <w:rPr>
          <w:rFonts w:ascii="Arial" w:cs="Arial" w:eastAsia="Arial" w:hAnsi="Arial"/>
          <w:sz w:val="10"/>
          <w:szCs w:val="10"/>
          <w:color w:val="auto"/>
        </w:rPr>
        <w:t> </w:t>
      </w:r>
      <w:r>
        <w:rPr>
          <w:rFonts w:ascii="Times New Roman" w:cs="Times New Roman" w:eastAsia="Times New Roman" w:hAnsi="Times New Roman"/>
          <w:sz w:val="10"/>
          <w:szCs w:val="10"/>
          <w:color w:val="auto"/>
        </w:rPr>
        <w:t xml:space="preserve"> The placement agent may engage one or more sub-agents or selected dealers in connection with the offering.</w:t>
      </w:r>
    </w:p>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The nature of the representations, warranties and covenants in the securities purchase agreements shall include:</w:t>
      </w:r>
    </w:p>
    <w:p>
      <w:pPr>
        <w:spacing w:after="0" w:line="170"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•standard issuer representations and warranties on matters such as organization, qualification, authorization, no conflict, no governmental filings required, current in SEC filings, no litigation, labor or other compliance issues, environmental, intellectual property and title matters and compliance with various laws such as the Foreign Corrupt Practices Act; and</w:t>
      </w:r>
    </w:p>
    <w:p>
      <w:pPr>
        <w:spacing w:after="0" w:line="183"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•covenants regarding matters such as registration of warrant shares, no integration with other offerings, filing of an 6- K to disclose entering into these securities purchase agreements, no stockholder rights plans, no material nonpublic information, use of proceeds, indemnification of purchasers, reservation and listing of common stock, and no subsequent equity sales for 45 days, subject to certain exceptions.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82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Delivery of the securities offered hereby is expected to occur on or about</w:t>
            </w:r>
          </w:p>
        </w:tc>
        <w:tc>
          <w:tcPr>
            <w:tcW w:w="3080" w:type="dxa"/>
            <w:vAlign w:val="bottom"/>
            <w:gridSpan w:val="6"/>
          </w:tcPr>
          <w:p>
            <w:pPr>
              <w:jc w:val="right"/>
              <w:ind w:right="156"/>
              <w:spacing w:after="0"/>
              <w:rPr>
                <w:sz w:val="20"/>
                <w:szCs w:val="20"/>
                <w:color w:val="auto"/>
              </w:rPr>
            </w:pPr>
            <w:r>
              <w:rPr>
                <w:rFonts w:ascii="Times New Roman" w:cs="Times New Roman" w:eastAsia="Times New Roman" w:hAnsi="Times New Roman"/>
                <w:sz w:val="10"/>
                <w:szCs w:val="10"/>
                <w:color w:val="auto"/>
              </w:rPr>
              <w:t>, 2024, subject to satisfaction of certain customary closing conditions.</w:t>
            </w:r>
          </w:p>
        </w:tc>
        <w:tc>
          <w:tcPr>
            <w:tcW w:w="2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25"/>
        </w:trPr>
        <w:tc>
          <w:tcPr>
            <w:tcW w:w="15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Fees and Expenses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10620" w:type="dxa"/>
            <w:vAlign w:val="bottom"/>
            <w:gridSpan w:val="12"/>
          </w:tcPr>
          <w:p>
            <w:pPr>
              <w:ind w:left="700"/>
              <w:spacing w:after="0"/>
              <w:rPr>
                <w:sz w:val="20"/>
                <w:szCs w:val="20"/>
                <w:color w:val="auto"/>
              </w:rPr>
            </w:pPr>
            <w:r>
              <w:rPr>
                <w:rFonts w:ascii="Times New Roman" w:cs="Times New Roman" w:eastAsia="Times New Roman" w:hAnsi="Times New Roman"/>
                <w:sz w:val="10"/>
                <w:szCs w:val="10"/>
                <w:color w:val="auto"/>
                <w:w w:val="97"/>
              </w:rPr>
              <w:t>The following table shows the per share and accompanying Offering Warrant, and per pre-funded warrant and accompanying Offering Warrant, and total placement agent fees we will pay in connection with the sale of the securities in this offering based</w:t>
            </w:r>
          </w:p>
        </w:tc>
      </w:tr>
      <w:tr>
        <w:trPr>
          <w:trHeight w:val="125"/>
        </w:trPr>
        <w:tc>
          <w:tcPr>
            <w:tcW w:w="1560" w:type="dxa"/>
            <w:vAlign w:val="bottom"/>
          </w:tcPr>
          <w:p>
            <w:pPr>
              <w:spacing w:after="0"/>
              <w:rPr>
                <w:sz w:val="20"/>
                <w:szCs w:val="20"/>
                <w:color w:val="auto"/>
              </w:rPr>
            </w:pPr>
            <w:r>
              <w:rPr>
                <w:rFonts w:ascii="Times New Roman" w:cs="Times New Roman" w:eastAsia="Times New Roman" w:hAnsi="Times New Roman"/>
                <w:sz w:val="10"/>
                <w:szCs w:val="10"/>
                <w:color w:val="auto"/>
              </w:rPr>
              <w:t>on the assumed offering price of $</w:t>
            </w:r>
          </w:p>
        </w:tc>
        <w:tc>
          <w:tcPr>
            <w:tcW w:w="226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per share and accompanying Offering Warrant.</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316"/>
        </w:trPr>
        <w:tc>
          <w:tcPr>
            <w:tcW w:w="1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4"/>
          </w:tcPr>
          <w:p>
            <w:pPr>
              <w:jc w:val="center"/>
              <w:ind w:right="796"/>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580" w:type="dxa"/>
            <w:vAlign w:val="bottom"/>
          </w:tcPr>
          <w:p>
            <w:pPr>
              <w:jc w:val="center"/>
              <w:ind w:right="351"/>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1"/>
        </w:trPr>
        <w:tc>
          <w:tcPr>
            <w:tcW w:w="1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0"/>
                <w:szCs w:val="10"/>
                <w:b w:val="1"/>
                <w:bCs w:val="1"/>
                <w:color w:val="auto"/>
                <w:w w:val="97"/>
              </w:rPr>
              <w:t>Share and Offering Warrant</w:t>
            </w:r>
          </w:p>
        </w:tc>
        <w:tc>
          <w:tcPr>
            <w:tcW w:w="220" w:type="dxa"/>
            <w:vAlign w:val="bottom"/>
            <w:gridSpan w:val="2"/>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0"/>
                <w:szCs w:val="10"/>
                <w:b w:val="1"/>
                <w:bCs w:val="1"/>
                <w:color w:val="auto"/>
                <w:w w:val="97"/>
              </w:rPr>
              <w:t>Pre-Funded Warrant and Offering Warrant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2"/>
                <w:szCs w:val="12"/>
                <w:color w:val="auto"/>
              </w:rPr>
            </w:pPr>
          </w:p>
        </w:tc>
      </w:tr>
      <w:tr>
        <w:trPr>
          <w:trHeight w:val="103"/>
        </w:trPr>
        <w:tc>
          <w:tcPr>
            <w:tcW w:w="1560" w:type="dxa"/>
            <w:vAlign w:val="bottom"/>
            <w:tcBorders>
              <w:top w:val="single" w:sz="8" w:color="CCEEFF"/>
            </w:tcBorders>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Public offering price</w:t>
            </w:r>
          </w:p>
        </w:tc>
        <w:tc>
          <w:tcPr>
            <w:tcW w:w="22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gridSpan w:val="2"/>
            <w:shd w:val="clear" w:color="auto" w:fill="CCEEFF"/>
          </w:tcPr>
          <w:p>
            <w:pPr>
              <w:jc w:val="right"/>
              <w:ind w:right="160"/>
              <w:spacing w:after="0" w:line="103" w:lineRule="exact"/>
              <w:rPr>
                <w:sz w:val="20"/>
                <w:szCs w:val="20"/>
                <w:color w:val="auto"/>
              </w:rPr>
            </w:pPr>
            <w:r>
              <w:rPr>
                <w:rFonts w:ascii="Times New Roman" w:cs="Times New Roman" w:eastAsia="Times New Roman" w:hAnsi="Times New Roman"/>
                <w:sz w:val="10"/>
                <w:szCs w:val="10"/>
                <w:color w:val="auto"/>
              </w:rPr>
              <w:t>$</w:t>
            </w:r>
          </w:p>
        </w:tc>
        <w:tc>
          <w:tcPr>
            <w:tcW w:w="184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5"/>
                <w:szCs w:val="5"/>
                <w:color w:val="auto"/>
                <w:w w:val="78"/>
              </w:rPr>
              <w:t>$</w:t>
            </w:r>
          </w:p>
        </w:tc>
        <w:tc>
          <w:tcPr>
            <w:tcW w:w="258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gridSpan w:val="2"/>
            <w:shd w:val="clear" w:color="auto" w:fill="CCEEFF"/>
          </w:tcPr>
          <w:p>
            <w:pPr>
              <w:jc w:val="right"/>
              <w:ind w:right="731"/>
              <w:spacing w:after="0" w:line="10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r>
      <w:tr>
        <w:trPr>
          <w:trHeight w:val="135"/>
        </w:trPr>
        <w:tc>
          <w:tcPr>
            <w:tcW w:w="1560" w:type="dxa"/>
            <w:vAlign w:val="bottom"/>
          </w:tcPr>
          <w:p>
            <w:pPr>
              <w:spacing w:after="0" w:line="135" w:lineRule="exact"/>
              <w:rPr>
                <w:sz w:val="20"/>
                <w:szCs w:val="20"/>
                <w:color w:val="auto"/>
              </w:rPr>
            </w:pPr>
            <w:r>
              <w:rPr>
                <w:rFonts w:ascii="Times New Roman" w:cs="Times New Roman" w:eastAsia="Times New Roman" w:hAnsi="Times New Roman"/>
                <w:sz w:val="10"/>
                <w:szCs w:val="10"/>
                <w:color w:val="auto"/>
              </w:rPr>
              <w:t>Placement Agent Fees</w:t>
            </w:r>
            <w:r>
              <w:rPr>
                <w:rFonts w:ascii="Times New Roman" w:cs="Times New Roman" w:eastAsia="Times New Roman" w:hAnsi="Times New Roman"/>
                <w:sz w:val="13"/>
                <w:szCs w:val="13"/>
                <w:color w:val="auto"/>
                <w:vertAlign w:val="superscript"/>
              </w:rPr>
              <w:t>(1)</w:t>
            </w:r>
          </w:p>
        </w:tc>
        <w:tc>
          <w:tcPr>
            <w:tcW w:w="226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360" w:type="dxa"/>
            <w:vAlign w:val="bottom"/>
            <w:gridSpan w:val="4"/>
          </w:tcPr>
          <w:p>
            <w:pPr>
              <w:jc w:val="right"/>
              <w:ind w:right="336"/>
              <w:spacing w:after="0"/>
              <w:rPr>
                <w:sz w:val="20"/>
                <w:szCs w:val="20"/>
                <w:color w:val="auto"/>
              </w:rPr>
            </w:pPr>
            <w:r>
              <w:rPr>
                <w:rFonts w:ascii="Times New Roman" w:cs="Times New Roman" w:eastAsia="Times New Roman" w:hAnsi="Times New Roman"/>
                <w:sz w:val="10"/>
                <w:szCs w:val="10"/>
                <w:color w:val="auto"/>
              </w:rPr>
              <w:t>$</w:t>
            </w:r>
          </w:p>
        </w:tc>
        <w:tc>
          <w:tcPr>
            <w:tcW w:w="2580" w:type="dxa"/>
            <w:vAlign w:val="bottom"/>
          </w:tcPr>
          <w:p>
            <w:pPr>
              <w:spacing w:after="0"/>
              <w:rPr>
                <w:sz w:val="11"/>
                <w:szCs w:val="11"/>
                <w:color w:val="auto"/>
              </w:rPr>
            </w:pPr>
          </w:p>
        </w:tc>
        <w:tc>
          <w:tcPr>
            <w:tcW w:w="1040" w:type="dxa"/>
            <w:vAlign w:val="bottom"/>
            <w:gridSpan w:val="2"/>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r>
      <w:tr>
        <w:trPr>
          <w:trHeight w:val="135"/>
        </w:trPr>
        <w:tc>
          <w:tcPr>
            <w:tcW w:w="1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Proceeds to us, before expenses</w:t>
            </w:r>
            <w:r>
              <w:rPr>
                <w:rFonts w:ascii="Times New Roman" w:cs="Times New Roman" w:eastAsia="Times New Roman" w:hAnsi="Times New Roman"/>
                <w:sz w:val="13"/>
                <w:szCs w:val="13"/>
                <w:color w:val="auto"/>
                <w:vertAlign w:val="superscript"/>
              </w:rPr>
              <w:t>(2)</w:t>
            </w:r>
          </w:p>
        </w:tc>
        <w:tc>
          <w:tcPr>
            <w:tcW w:w="22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360" w:type="dxa"/>
            <w:vAlign w:val="bottom"/>
            <w:gridSpan w:val="4"/>
            <w:shd w:val="clear" w:color="auto" w:fill="CCEEFF"/>
          </w:tcPr>
          <w:p>
            <w:pPr>
              <w:jc w:val="right"/>
              <w:ind w:right="336"/>
              <w:spacing w:after="0"/>
              <w:rPr>
                <w:sz w:val="20"/>
                <w:szCs w:val="20"/>
                <w:color w:val="auto"/>
              </w:rPr>
            </w:pPr>
            <w:r>
              <w:rPr>
                <w:rFonts w:ascii="Times New Roman" w:cs="Times New Roman" w:eastAsia="Times New Roman" w:hAnsi="Times New Roman"/>
                <w:sz w:val="10"/>
                <w:szCs w:val="10"/>
                <w:color w:val="auto"/>
              </w:rPr>
              <w:t>$</w:t>
            </w:r>
          </w:p>
        </w:tc>
        <w:tc>
          <w:tcPr>
            <w:tcW w:w="25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r>
    </w:tbl>
    <w:p>
      <w:pPr>
        <w:spacing w:after="0" w:line="53"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(1)We have agreed to pay the Placement Agent a cash fee equal to 5.5% of the gross proceeds raised in this offering. We have also agreed to reimburse the Placement Agent for certain of its offering-related expenses, including legal fees and other out-of-pocket expenses in the amount of up to $150,000, and for its clearing expenses in the amount of up to $15,950.</w:t>
      </w:r>
    </w:p>
    <w:p>
      <w:pPr>
        <w:spacing w:after="0" w:line="41"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(2)Because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Tail</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In the event that any investors that were contacted by the placement agent or were introduced to us by the placement agent during the term of our engagement agreement with the placement agent provide any capital to us in a public or private offering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33" w:name="page134"/>
    <w:bookmarkEnd w:id="133"/>
    <w:p>
      <w:pPr>
        <w:ind w:right="20"/>
        <w:spacing w:after="0" w:line="259" w:lineRule="auto"/>
        <w:rPr>
          <w:sz w:val="20"/>
          <w:szCs w:val="20"/>
          <w:color w:val="auto"/>
        </w:rPr>
      </w:pPr>
      <w:r>
        <w:rPr>
          <w:rFonts w:ascii="Times New Roman" w:cs="Times New Roman" w:eastAsia="Times New Roman" w:hAnsi="Times New Roman"/>
          <w:sz w:val="10"/>
          <w:szCs w:val="10"/>
          <w:color w:val="auto"/>
        </w:rPr>
        <w:t>financing or capital-raising transaction of any kind (each, a “</w:t>
      </w:r>
      <w:r>
        <w:rPr>
          <w:rFonts w:ascii="Times New Roman" w:cs="Times New Roman" w:eastAsia="Times New Roman" w:hAnsi="Times New Roman"/>
          <w:sz w:val="10"/>
          <w:szCs w:val="10"/>
          <w:b w:val="1"/>
          <w:bCs w:val="1"/>
          <w:i w:val="1"/>
          <w:iCs w:val="1"/>
          <w:color w:val="auto"/>
        </w:rPr>
        <w:t>Tail Financing</w:t>
      </w:r>
      <w:r>
        <w:rPr>
          <w:rFonts w:ascii="Times New Roman" w:cs="Times New Roman" w:eastAsia="Times New Roman" w:hAnsi="Times New Roman"/>
          <w:sz w:val="10"/>
          <w:szCs w:val="10"/>
          <w:color w:val="auto"/>
        </w:rPr>
        <w:t>”) within 12 months following the termination or expiration of our engagement agreement with the placement agent, we shall pay the placement agent the cash compensation provided above on the gross proceeds raised in such Tail Financing from such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Determination of Offering Price</w:t>
      </w:r>
    </w:p>
    <w:p>
      <w:pPr>
        <w:spacing w:after="0" w:line="112" w:lineRule="exact"/>
        <w:rPr>
          <w:sz w:val="20"/>
          <w:szCs w:val="20"/>
          <w:color w:val="auto"/>
        </w:rPr>
      </w:pPr>
    </w:p>
    <w:p>
      <w:pPr>
        <w:jc w:val="both"/>
        <w:ind w:right="140" w:firstLine="705"/>
        <w:spacing w:after="0" w:line="241" w:lineRule="auto"/>
        <w:rPr>
          <w:sz w:val="20"/>
          <w:szCs w:val="20"/>
          <w:color w:val="auto"/>
        </w:rPr>
      </w:pPr>
      <w:r>
        <w:rPr>
          <w:rFonts w:ascii="Times New Roman" w:cs="Times New Roman" w:eastAsia="Times New Roman" w:hAnsi="Times New Roman"/>
          <w:sz w:val="10"/>
          <w:szCs w:val="10"/>
          <w:color w:val="auto"/>
        </w:rPr>
        <w:t>The combined public offering price per share and Offering Warrant and the combined public offering price per Pre-Funded Warrant and Offering Warrant we are offering and the exercise prices and other terms of the Pre-Funded Warrants and Offering Warrants were negotiated between us and the investors, in consultation with the placement agent based on the trading of our Ordinary Shares prior to this offering, among other things. Other factors considered in determining the public offering prices of the securities we are offering and the exercise prices and other terms of the Pre-Funded Warrants and Offering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Agreements</w:t>
      </w:r>
    </w:p>
    <w:p>
      <w:pPr>
        <w:spacing w:after="0" w:line="112" w:lineRule="exact"/>
        <w:rPr>
          <w:sz w:val="20"/>
          <w:szCs w:val="20"/>
          <w:color w:val="auto"/>
        </w:rPr>
      </w:pPr>
    </w:p>
    <w:p>
      <w:pPr>
        <w:ind w:right="100" w:firstLine="705"/>
        <w:spacing w:after="0" w:line="277" w:lineRule="auto"/>
        <w:rPr>
          <w:sz w:val="20"/>
          <w:szCs w:val="20"/>
          <w:color w:val="auto"/>
        </w:rPr>
      </w:pPr>
      <w:r>
        <w:rPr>
          <w:rFonts w:ascii="Times New Roman" w:cs="Times New Roman" w:eastAsia="Times New Roman" w:hAnsi="Times New Roman"/>
          <w:sz w:val="9"/>
          <w:szCs w:val="9"/>
          <w:color w:val="auto"/>
        </w:rPr>
        <w:t>We and each of our officers and directors have agreed with the Placement Agent to be subject to a lock-up period of 45 days following the date of this prospectus. This means that, during the applicable lock-up period, we and such persons may not offer for sale, contract to sell, or sell any shares of our Ordinary Shares or any securities convertible into, or exercisable or exchangeable for, shares of our Ordinary Shares, subject to certain customary exceptions. The Placement Agent may, in its sole discretion and without notice, waive the terms of any of these lock-up agreements. In addition, we have agreed to not issue any securities that are subject to a price reset based on the trading prices of our Ordinary Shares or upon a specified or contingent event in the future or enter into any agreement to issue securities at a future determined price for a period of two years following the closing date of this offering, subject to an exception. The Placement Agent may waive this prohibition in its sole discretion and without notice.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Indemnification</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We have agreed to indemnify the placement agent against certain liabilities, including certain liabilities arising under the Securities Act, and to contribute to payments that the placement agent may be required to make for these liabilities.</w:t>
      </w:r>
    </w:p>
    <w:p>
      <w:pPr>
        <w:spacing w:after="0" w:line="110" w:lineRule="exact"/>
        <w:rPr>
          <w:sz w:val="20"/>
          <w:szCs w:val="20"/>
          <w:color w:val="auto"/>
        </w:rPr>
      </w:pPr>
    </w:p>
    <w:p>
      <w:pPr>
        <w:ind w:firstLine="705"/>
        <w:spacing w:after="0" w:line="245" w:lineRule="auto"/>
        <w:rPr>
          <w:sz w:val="20"/>
          <w:szCs w:val="20"/>
          <w:color w:val="auto"/>
        </w:rPr>
      </w:pPr>
      <w:r>
        <w:rPr>
          <w:rFonts w:ascii="Times New Roman" w:cs="Times New Roman" w:eastAsia="Times New Roman" w:hAnsi="Times New Roman"/>
          <w:sz w:val="10"/>
          <w:szCs w:val="10"/>
          <w:color w:val="auto"/>
        </w:rPr>
        <w:t>In addition, we will indemnify the purchasers who enter into the securities purchase agreement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Regulation M</w:t>
      </w:r>
    </w:p>
    <w:p>
      <w:pPr>
        <w:spacing w:after="0" w:line="112"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Relationships</w:t>
      </w:r>
    </w:p>
    <w:p>
      <w:pPr>
        <w:spacing w:after="0" w:line="112" w:lineRule="exact"/>
        <w:rPr>
          <w:sz w:val="20"/>
          <w:szCs w:val="20"/>
          <w:color w:val="auto"/>
        </w:rPr>
      </w:pPr>
    </w:p>
    <w:p>
      <w:pPr>
        <w:ind w:right="120" w:firstLine="705"/>
        <w:spacing w:after="0" w:line="255" w:lineRule="auto"/>
        <w:rPr>
          <w:sz w:val="20"/>
          <w:szCs w:val="20"/>
          <w:color w:val="auto"/>
        </w:rPr>
      </w:pPr>
      <w:r>
        <w:rPr>
          <w:rFonts w:ascii="Times New Roman" w:cs="Times New Roman" w:eastAsia="Times New Roman" w:hAnsi="Times New Roman"/>
          <w:sz w:val="10"/>
          <w:szCs w:val="10"/>
          <w:color w:val="auto"/>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However, except as disclosed in this prospectus, we have no present arrangements with the Placement Agent for any further services.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Electronic Distribution</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A prospectus in electronic format may be made available on a website maintained by the placement agent and the placement agent may distribute prospectuses electronically. Other than the prospectus in electronic format, the information on these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websites is not</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34" w:name="page135"/>
    <w:bookmarkEnd w:id="134"/>
    <w:p>
      <w:pPr>
        <w:ind w:right="1960"/>
        <w:spacing w:after="0" w:line="438" w:lineRule="auto"/>
        <w:rPr>
          <w:sz w:val="20"/>
          <w:szCs w:val="20"/>
          <w:color w:val="auto"/>
        </w:rPr>
      </w:pPr>
      <w:r>
        <w:rPr>
          <w:rFonts w:ascii="Times New Roman" w:cs="Times New Roman" w:eastAsia="Times New Roman" w:hAnsi="Times New Roman"/>
          <w:sz w:val="10"/>
          <w:szCs w:val="10"/>
          <w:color w:val="auto"/>
        </w:rPr>
        <w:t xml:space="preserve">part of this prospectus or the registration statement of which this prospectus forms a part, has not been approved and/or endorsed by us or the placement agent and should not be relied upon by investors. </w:t>
      </w:r>
      <w:r>
        <w:rPr>
          <w:rFonts w:ascii="Times New Roman" w:cs="Times New Roman" w:eastAsia="Times New Roman" w:hAnsi="Times New Roman"/>
          <w:sz w:val="10"/>
          <w:szCs w:val="10"/>
          <w:b w:val="1"/>
          <w:bCs w:val="1"/>
          <w:color w:val="auto"/>
        </w:rPr>
        <w:t>Listing</w:t>
      </w:r>
    </w:p>
    <w:p>
      <w:pPr>
        <w:ind w:left="700"/>
        <w:spacing w:after="0"/>
        <w:rPr>
          <w:sz w:val="20"/>
          <w:szCs w:val="20"/>
          <w:color w:val="auto"/>
        </w:rPr>
      </w:pPr>
      <w:r>
        <w:rPr>
          <w:rFonts w:ascii="Times New Roman" w:cs="Times New Roman" w:eastAsia="Times New Roman" w:hAnsi="Times New Roman"/>
          <w:sz w:val="10"/>
          <w:szCs w:val="10"/>
          <w:color w:val="auto"/>
        </w:rPr>
        <w:t>Our Ordinary Shares and Public Warrants are listed on the Nasdaq Stock Market under the symbol “RZLV” and “RZLVW”, respectively.</w:t>
      </w: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0"/>
          <w:szCs w:val="1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035" w:right="14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27"/>
        </w:trPr>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0" w:type="dxa"/>
            <w:vAlign w:val="bottom"/>
          </w:tcPr>
          <w:p>
            <w:pPr>
              <w:jc w:val="center"/>
              <w:ind w:left="1231"/>
              <w:spacing w:after="0"/>
              <w:rPr>
                <w:sz w:val="20"/>
                <w:szCs w:val="20"/>
                <w:color w:val="auto"/>
              </w:rPr>
            </w:pPr>
            <w:r>
              <w:rPr>
                <w:rFonts w:ascii="Times New Roman" w:cs="Times New Roman" w:eastAsia="Times New Roman" w:hAnsi="Times New Roman"/>
                <w:sz w:val="10"/>
                <w:szCs w:val="10"/>
                <w:b w:val="1"/>
                <w:bCs w:val="1"/>
                <w:color w:val="auto"/>
                <w:w w:val="97"/>
              </w:rPr>
              <w:t>EXPENSES RELATED TO THIS OFFERING</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0"/>
        </w:trPr>
        <w:tc>
          <w:tcPr>
            <w:tcW w:w="686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The following table sets forth the fees and expenses payable by us in connection with the sale and distribution of the securities being registered hereby.</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Expenses</w:t>
            </w:r>
          </w:p>
        </w:tc>
        <w:tc>
          <w:tcPr>
            <w:tcW w:w="4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08"/>
        </w:trPr>
        <w:tc>
          <w:tcPr>
            <w:tcW w:w="2120" w:type="dxa"/>
            <w:vAlign w:val="bottom"/>
          </w:tcPr>
          <w:p>
            <w:pPr>
              <w:spacing w:after="0"/>
              <w:rPr>
                <w:sz w:val="9"/>
                <w:szCs w:val="9"/>
                <w:color w:val="auto"/>
              </w:rPr>
            </w:pPr>
          </w:p>
        </w:tc>
        <w:tc>
          <w:tcPr>
            <w:tcW w:w="474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SEC registration fee</w:t>
            </w:r>
          </w:p>
        </w:tc>
        <w:tc>
          <w:tcPr>
            <w:tcW w:w="740" w:type="dxa"/>
            <w:vAlign w:val="bottom"/>
            <w:shd w:val="clear" w:color="auto" w:fill="CFF0FC"/>
          </w:tcPr>
          <w:p>
            <w:pPr>
              <w:jc w:val="right"/>
              <w:ind w:right="131"/>
              <w:spacing w:after="0" w:line="108"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ind w:right="33"/>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6"/>
        </w:trPr>
        <w:tc>
          <w:tcPr>
            <w:tcW w:w="2120" w:type="dxa"/>
            <w:vAlign w:val="bottom"/>
          </w:tcPr>
          <w:p>
            <w:pPr>
              <w:spacing w:after="0"/>
              <w:rPr>
                <w:sz w:val="9"/>
                <w:szCs w:val="9"/>
                <w:color w:val="auto"/>
              </w:rPr>
            </w:pPr>
          </w:p>
        </w:tc>
        <w:tc>
          <w:tcPr>
            <w:tcW w:w="47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Legal fees and expenses Accounting fees and expenses</w:t>
            </w:r>
          </w:p>
        </w:tc>
        <w:tc>
          <w:tcPr>
            <w:tcW w:w="7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19"/>
        </w:trPr>
        <w:tc>
          <w:tcPr>
            <w:tcW w:w="2120" w:type="dxa"/>
            <w:vAlign w:val="bottom"/>
          </w:tcPr>
          <w:p>
            <w:pPr>
              <w:spacing w:after="0"/>
              <w:rPr>
                <w:sz w:val="10"/>
                <w:szCs w:val="10"/>
                <w:color w:val="auto"/>
              </w:rPr>
            </w:pPr>
          </w:p>
        </w:tc>
        <w:tc>
          <w:tcPr>
            <w:tcW w:w="47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Transfer agent fees and expenses Miscellaneous expenses</w:t>
            </w:r>
          </w:p>
        </w:tc>
        <w:tc>
          <w:tcPr>
            <w:tcW w:w="740" w:type="dxa"/>
            <w:vAlign w:val="bottom"/>
          </w:tcPr>
          <w:p>
            <w:pPr>
              <w:spacing w:after="0"/>
              <w:rPr>
                <w:sz w:val="10"/>
                <w:szCs w:val="1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2120" w:type="dxa"/>
            <w:vAlign w:val="bottom"/>
          </w:tcPr>
          <w:p>
            <w:pPr>
              <w:spacing w:after="0"/>
              <w:rPr>
                <w:sz w:val="9"/>
                <w:szCs w:val="9"/>
                <w:color w:val="auto"/>
              </w:rPr>
            </w:pPr>
          </w:p>
        </w:tc>
        <w:tc>
          <w:tcPr>
            <w:tcW w:w="474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w:t>
            </w:r>
          </w:p>
        </w:tc>
        <w:tc>
          <w:tcPr>
            <w:tcW w:w="740" w:type="dxa"/>
            <w:vAlign w:val="bottom"/>
            <w:shd w:val="clear" w:color="auto" w:fill="CFF0FC"/>
          </w:tcPr>
          <w:p>
            <w:pPr>
              <w:spacing w:after="0"/>
              <w:rPr>
                <w:sz w:val="9"/>
                <w:szCs w:val="9"/>
                <w:color w:val="auto"/>
              </w:rPr>
            </w:pPr>
          </w:p>
        </w:tc>
        <w:tc>
          <w:tcPr>
            <w:tcW w:w="90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261"/>
        </w:trPr>
        <w:tc>
          <w:tcPr>
            <w:tcW w:w="68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 These fees are calculated based on the securities offered and the number of issuances and accordingly cannot be defined at this time.</w:t>
            </w: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0" w:type="dxa"/>
            <w:vAlign w:val="bottom"/>
          </w:tcPr>
          <w:p>
            <w:pPr>
              <w:jc w:val="center"/>
              <w:ind w:left="1251"/>
              <w:spacing w:after="0"/>
              <w:rPr>
                <w:sz w:val="20"/>
                <w:szCs w:val="20"/>
                <w:color w:val="auto"/>
              </w:rPr>
            </w:pPr>
            <w:r>
              <w:rPr>
                <w:rFonts w:ascii="Times New Roman" w:cs="Times New Roman" w:eastAsia="Times New Roman" w:hAnsi="Times New Roman"/>
                <w:sz w:val="10"/>
                <w:szCs w:val="10"/>
                <w:b w:val="1"/>
                <w:bCs w:val="1"/>
                <w:color w:val="auto"/>
                <w:w w:val="98"/>
              </w:rPr>
              <w:t>LEGAL MATTERS</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DLA Piper LLP (US), New York, New York, and Taylor Wessing LLP, have passed upon the validity of the securities of Rezolve AI Limited offered by this prospectus and certain other legal matters related to this prospectus.</w:t>
      </w:r>
    </w:p>
    <w:p>
      <w:pPr>
        <w:spacing w:after="0" w:line="9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0"/>
          <w:szCs w:val="10"/>
          <w:b w:val="1"/>
          <w:bCs w:val="1"/>
          <w:color w:val="auto"/>
        </w:rPr>
        <w:t>EXPERTS</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ENFORCEABILITY OF CIVIL LIABILITY</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WHERE YOU CAN FIND MORE INFORMATION</w:t>
      </w:r>
    </w:p>
    <w:p>
      <w:pPr>
        <w:spacing w:after="0" w:line="97"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01" w:lineRule="exact"/>
        <w:rPr>
          <w:sz w:val="20"/>
          <w:szCs w:val="20"/>
          <w:color w:val="auto"/>
        </w:rPr>
      </w:pPr>
    </w:p>
    <w:p>
      <w:pPr>
        <w:ind w:right="400" w:firstLine="480"/>
        <w:spacing w:after="0" w:line="245" w:lineRule="auto"/>
        <w:rPr>
          <w:sz w:val="20"/>
          <w:szCs w:val="20"/>
          <w:color w:val="auto"/>
        </w:rPr>
      </w:pPr>
      <w:r>
        <w:rPr>
          <w:rFonts w:ascii="Times New Roman" w:cs="Times New Roman" w:eastAsia="Times New Roman" w:hAnsi="Times New Roman"/>
          <w:sz w:val="10"/>
          <w:szCs w:val="10"/>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31" w:right="60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0"/>
          <w:szCs w:val="10"/>
          <w:b w:val="1"/>
          <w:bCs w:val="1"/>
          <w:color w:val="auto"/>
        </w:rPr>
        <w:t>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INDEX TO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interim condensed carve-out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six months ended June 30,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60" w:type="dxa"/>
            <w:vAlign w:val="bottom"/>
            <w:gridSpan w:val="22"/>
          </w:tcPr>
          <w:p>
            <w:pPr>
              <w:spacing w:after="0"/>
              <w:rPr>
                <w:sz w:val="20"/>
                <w:szCs w:val="20"/>
                <w:color w:val="auto"/>
              </w:rPr>
            </w:pPr>
            <w:r>
              <w:rPr>
                <w:rFonts w:ascii="Times New Roman" w:cs="Times New Roman" w:eastAsia="Times New Roman" w:hAnsi="Times New Roman"/>
                <w:sz w:val="10"/>
                <w:szCs w:val="10"/>
                <w:color w:val="auto"/>
              </w:rPr>
              <w:t>Condensed Interim Carve-out Consolidated Financial Statements (Unaudited)</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540" w:type="dxa"/>
            <w:vAlign w:val="bottom"/>
            <w:tcBorders>
              <w:bottom w:val="single" w:sz="8" w:color="0000FF"/>
            </w:tcBorders>
            <w:gridSpan w:val="17"/>
          </w:tcPr>
          <w:p>
            <w:pPr>
              <w:spacing w:after="0" w:line="104" w:lineRule="exact"/>
              <w:rPr>
                <w:rFonts w:ascii="Times New Roman" w:cs="Times New Roman" w:eastAsia="Times New Roman" w:hAnsi="Times New Roman"/>
                <w:sz w:val="10"/>
                <w:szCs w:val="10"/>
                <w:color w:val="0000FF"/>
                <w:w w:val="97"/>
              </w:rPr>
            </w:pPr>
            <w:hyperlink w:anchor="page139">
              <w:r>
                <w:rPr>
                  <w:rFonts w:ascii="Times New Roman" w:cs="Times New Roman" w:eastAsia="Times New Roman" w:hAnsi="Times New Roman"/>
                  <w:sz w:val="10"/>
                  <w:szCs w:val="10"/>
                  <w:color w:val="0000FF"/>
                  <w:w w:val="97"/>
                </w:rPr>
                <w:t>Condensed interim Carve-out Consolidated Balance Sheets as of June 30, 2024 (Unaudited) and December 31, 2023</w:t>
              </w:r>
            </w:hyperlink>
          </w:p>
        </w:tc>
        <w:tc>
          <w:tcPr>
            <w:tcW w:w="4020" w:type="dxa"/>
            <w:vAlign w:val="bottom"/>
            <w:gridSpan w:val="5"/>
          </w:tcPr>
          <w:p>
            <w:pPr>
              <w:spacing w:after="0"/>
              <w:rPr>
                <w:sz w:val="9"/>
                <w:szCs w:val="9"/>
                <w:color w:val="auto"/>
              </w:rPr>
            </w:pP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F-3</w:t>
            </w:r>
          </w:p>
        </w:tc>
        <w:tc>
          <w:tcPr>
            <w:tcW w:w="0" w:type="dxa"/>
            <w:vAlign w:val="bottom"/>
          </w:tcPr>
          <w:p>
            <w:pPr>
              <w:spacing w:after="0"/>
              <w:rPr>
                <w:sz w:val="1"/>
                <w:szCs w:val="1"/>
                <w:color w:val="auto"/>
              </w:rPr>
            </w:pPr>
          </w:p>
        </w:tc>
      </w:tr>
      <w:tr>
        <w:trPr>
          <w:trHeight w:val="93"/>
        </w:trPr>
        <w:tc>
          <w:tcPr>
            <w:tcW w:w="514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141">
              <w:r>
                <w:rPr>
                  <w:rFonts w:ascii="Times New Roman" w:cs="Times New Roman" w:eastAsia="Times New Roman" w:hAnsi="Times New Roman"/>
                  <w:sz w:val="10"/>
                  <w:szCs w:val="10"/>
                  <w:color w:val="0000FF"/>
                  <w:w w:val="97"/>
                </w:rPr>
                <w:t>Condensed interim Carve-out Consolidated Statements of Operations for the six months ended June 30, 2024 and 2023 (Unaudited)</w:t>
              </w:r>
            </w:hyperlink>
          </w:p>
        </w:tc>
        <w:tc>
          <w:tcPr>
            <w:tcW w:w="3420" w:type="dxa"/>
            <w:vAlign w:val="bottom"/>
            <w:gridSpan w:val="3"/>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F-5</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2">
              <w:r>
                <w:rPr>
                  <w:rFonts w:ascii="Times New Roman" w:cs="Times New Roman" w:eastAsia="Times New Roman" w:hAnsi="Times New Roman"/>
                  <w:sz w:val="10"/>
                  <w:szCs w:val="10"/>
                  <w:color w:val="0000FF"/>
                </w:rPr>
                <w:t>Condensed interim Carve-out Consolidated Statements of Comprehensive Loss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F-7</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3">
              <w:r>
                <w:rPr>
                  <w:rFonts w:ascii="Times New Roman" w:cs="Times New Roman" w:eastAsia="Times New Roman" w:hAnsi="Times New Roman"/>
                  <w:sz w:val="10"/>
                  <w:szCs w:val="10"/>
                  <w:color w:val="0000FF"/>
                </w:rPr>
                <w:t>Condensed interim Carve-out Consolidated Statements of Changes in Stockholders’ deficit for the six and the six months ended June 30, 2024 and 2023 (Unaudited)</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20" w:type="dxa"/>
            <w:vAlign w:val="bottom"/>
            <w:tcBorders>
              <w:top w:val="single" w:sz="8" w:color="0000FF"/>
              <w:bottom w:val="single" w:sz="8" w:color="0000FF"/>
            </w:tcBorders>
            <w:gridSpan w:val="18"/>
          </w:tcPr>
          <w:p>
            <w:pPr>
              <w:spacing w:after="0" w:line="93" w:lineRule="exact"/>
              <w:rPr>
                <w:rFonts w:ascii="Times New Roman" w:cs="Times New Roman" w:eastAsia="Times New Roman" w:hAnsi="Times New Roman"/>
                <w:sz w:val="10"/>
                <w:szCs w:val="10"/>
                <w:color w:val="0000FF"/>
                <w:w w:val="97"/>
              </w:rPr>
            </w:pPr>
            <w:hyperlink w:anchor="page144">
              <w:r>
                <w:rPr>
                  <w:rFonts w:ascii="Times New Roman" w:cs="Times New Roman" w:eastAsia="Times New Roman" w:hAnsi="Times New Roman"/>
                  <w:sz w:val="10"/>
                  <w:szCs w:val="10"/>
                  <w:color w:val="0000FF"/>
                  <w:w w:val="97"/>
                </w:rPr>
                <w:t>Condensed interim Carve-out Consolidated Statements of Cash Flows for the six and the six months ended June 30, 2024 and 2023</w:t>
              </w:r>
            </w:hyperlink>
          </w:p>
        </w:tc>
        <w:tc>
          <w:tcPr>
            <w:tcW w:w="1300" w:type="dxa"/>
            <w:vAlign w:val="bottom"/>
            <w:tcBorders>
              <w:top w:val="single" w:sz="8" w:color="0000FF"/>
            </w:tcBorders>
            <w:gridSpan w:val="3"/>
          </w:tcPr>
          <w:p>
            <w:pPr>
              <w:spacing w:after="0"/>
              <w:rPr>
                <w:sz w:val="8"/>
                <w:szCs w:val="8"/>
                <w:color w:val="auto"/>
              </w:rPr>
            </w:pPr>
          </w:p>
        </w:tc>
        <w:tc>
          <w:tcPr>
            <w:tcW w:w="2140" w:type="dxa"/>
            <w:vAlign w:val="bottom"/>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5">
              <w:r>
                <w:rPr>
                  <w:rFonts w:ascii="Times New Roman" w:cs="Times New Roman" w:eastAsia="Times New Roman" w:hAnsi="Times New Roman"/>
                  <w:sz w:val="10"/>
                  <w:szCs w:val="10"/>
                  <w:color w:val="0000FF"/>
                </w:rPr>
                <w:t>Notes to the Condensed interim Carve-out Consolidated Financial Statements June 30, 2024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F-9</w:t>
            </w:r>
          </w:p>
        </w:tc>
        <w:tc>
          <w:tcPr>
            <w:tcW w:w="0" w:type="dxa"/>
            <w:vAlign w:val="bottom"/>
          </w:tcPr>
          <w:p>
            <w:pPr>
              <w:spacing w:after="0"/>
              <w:rPr>
                <w:sz w:val="1"/>
                <w:szCs w:val="1"/>
                <w:color w:val="auto"/>
              </w:rPr>
            </w:pPr>
          </w:p>
        </w:tc>
      </w:tr>
      <w:tr>
        <w:trPr>
          <w:trHeight w:val="333"/>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Carve-out Consolidated Financial Statements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gridSpan w:val="9"/>
          </w:tcPr>
          <w:p>
            <w:pPr>
              <w:jc w:val="center"/>
              <w:ind w:right="1860"/>
              <w:spacing w:after="0"/>
              <w:rPr>
                <w:sz w:val="20"/>
                <w:szCs w:val="20"/>
                <w:color w:val="auto"/>
              </w:rPr>
            </w:pPr>
            <w:r>
              <w:rPr>
                <w:rFonts w:ascii="Times New Roman" w:cs="Times New Roman" w:eastAsia="Times New Roman" w:hAnsi="Times New Roman"/>
                <w:sz w:val="10"/>
                <w:szCs w:val="10"/>
                <w:color w:val="auto"/>
                <w:w w:val="97"/>
              </w:rPr>
              <w:t>As of and for the years ended December 31, 2023 (Restated) and 2022</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163">
              <w:r>
                <w:rPr>
                  <w:rFonts w:ascii="Times New Roman" w:cs="Times New Roman" w:eastAsia="Times New Roman" w:hAnsi="Times New Roman"/>
                  <w:sz w:val="10"/>
                  <w:szCs w:val="10"/>
                  <w:color w:val="0000FF"/>
                </w:rPr>
                <w:t>Independent Auditor’s Report</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F-27</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560" w:type="dxa"/>
            <w:vAlign w:val="bottom"/>
            <w:gridSpan w:val="22"/>
          </w:tcPr>
          <w:p>
            <w:pPr>
              <w:spacing w:after="0" w:line="101" w:lineRule="exact"/>
              <w:rPr>
                <w:sz w:val="20"/>
                <w:szCs w:val="20"/>
                <w:color w:val="auto"/>
              </w:rPr>
            </w:pPr>
            <w:r>
              <w:rPr>
                <w:rFonts w:ascii="Times New Roman" w:cs="Times New Roman" w:eastAsia="Times New Roman" w:hAnsi="Times New Roman"/>
                <w:sz w:val="10"/>
                <w:szCs w:val="10"/>
                <w:color w:val="auto"/>
              </w:rPr>
              <w:t>Carve-out Consolidated Financial Statements</w:t>
            </w: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560" w:type="dxa"/>
            <w:vAlign w:val="bottom"/>
            <w:gridSpan w:val="22"/>
          </w:tcPr>
          <w:p>
            <w:pPr>
              <w:spacing w:after="0" w:line="104" w:lineRule="exact"/>
              <w:rPr>
                <w:rFonts w:ascii="Times New Roman" w:cs="Times New Roman" w:eastAsia="Times New Roman" w:hAnsi="Times New Roman"/>
                <w:sz w:val="10"/>
                <w:szCs w:val="10"/>
                <w:color w:val="0000FF"/>
              </w:rPr>
            </w:pPr>
            <w:hyperlink w:anchor="page164">
              <w:r>
                <w:rPr>
                  <w:rFonts w:ascii="Times New Roman" w:cs="Times New Roman" w:eastAsia="Times New Roman" w:hAnsi="Times New Roman"/>
                  <w:sz w:val="10"/>
                  <w:szCs w:val="10"/>
                  <w:color w:val="0000FF"/>
                </w:rPr>
                <w:t xml:space="preserve">Carve-out Consolidated Balance Sheets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F-28</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F-29</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5">
              <w:r>
                <w:rPr>
                  <w:rFonts w:ascii="Times New Roman" w:cs="Times New Roman" w:eastAsia="Times New Roman" w:hAnsi="Times New Roman"/>
                  <w:sz w:val="10"/>
                  <w:szCs w:val="10"/>
                  <w:color w:val="0000FF"/>
                </w:rPr>
                <w:t xml:space="preserve">Carve-out Consolidated Statements of Operations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F-30</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6">
              <w:r>
                <w:rPr>
                  <w:rFonts w:ascii="Times New Roman" w:cs="Times New Roman" w:eastAsia="Times New Roman" w:hAnsi="Times New Roman"/>
                  <w:sz w:val="10"/>
                  <w:szCs w:val="10"/>
                  <w:color w:val="0000FF"/>
                </w:rPr>
                <w:t xml:space="preserve">Carve-out Consolidated Statements of Comprehensive Loss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F-31</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7">
              <w:r>
                <w:rPr>
                  <w:rFonts w:ascii="Times New Roman" w:cs="Times New Roman" w:eastAsia="Times New Roman" w:hAnsi="Times New Roman"/>
                  <w:sz w:val="10"/>
                  <w:szCs w:val="10"/>
                  <w:color w:val="0000FF"/>
                </w:rPr>
                <w:t xml:space="preserve">Carve-out Consolidated Statements of Changes in Shareholders’ Deficit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800" w:type="dxa"/>
            <w:vAlign w:val="bottom"/>
            <w:tcBorders>
              <w:top w:val="single" w:sz="8" w:color="0000FF"/>
            </w:tcBorders>
            <w:gridSpan w:val="8"/>
          </w:tcPr>
          <w:p>
            <w:pPr>
              <w:spacing w:after="0" w:line="93" w:lineRule="exact"/>
              <w:rPr>
                <w:rFonts w:ascii="Times New Roman" w:cs="Times New Roman" w:eastAsia="Times New Roman" w:hAnsi="Times New Roman"/>
                <w:sz w:val="10"/>
                <w:szCs w:val="10"/>
                <w:color w:val="0000FF"/>
              </w:rPr>
            </w:pPr>
            <w:hyperlink w:anchor="page168">
              <w:r>
                <w:rPr>
                  <w:rFonts w:ascii="Times New Roman" w:cs="Times New Roman" w:eastAsia="Times New Roman" w:hAnsi="Times New Roman"/>
                  <w:sz w:val="10"/>
                  <w:szCs w:val="10"/>
                  <w:color w:val="0000FF"/>
                </w:rPr>
                <w:t xml:space="preserve">Carve-out Consolidated Statements of Cash Flows </w:t>
              </w:r>
            </w:hyperlink>
            <w:r>
              <w:rPr>
                <w:rFonts w:ascii="Times New Roman" w:cs="Times New Roman" w:eastAsia="Times New Roman" w:hAnsi="Times New Roman"/>
                <w:sz w:val="10"/>
                <w:szCs w:val="10"/>
                <w:color w:val="000000"/>
              </w:rPr>
              <w:t>(Restated)</w:t>
            </w:r>
          </w:p>
        </w:tc>
        <w:tc>
          <w:tcPr>
            <w:tcW w:w="5760" w:type="dxa"/>
            <w:vAlign w:val="bottom"/>
            <w:gridSpan w:val="1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F-32</w:t>
            </w: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F-33</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9">
              <w:r>
                <w:rPr>
                  <w:rFonts w:ascii="Times New Roman" w:cs="Times New Roman" w:eastAsia="Times New Roman" w:hAnsi="Times New Roman"/>
                  <w:sz w:val="10"/>
                  <w:szCs w:val="10"/>
                  <w:color w:val="0000FF"/>
                </w:rPr>
                <w:t>Notes to the Carve-out Consolidated Financial Statements</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5"/>
          </w:tcPr>
          <w:p>
            <w:pPr>
              <w:jc w:val="center"/>
              <w:ind w:right="2500"/>
              <w:spacing w:after="0"/>
              <w:rPr>
                <w:sz w:val="20"/>
                <w:szCs w:val="20"/>
                <w:color w:val="auto"/>
              </w:rPr>
            </w:pPr>
            <w:r>
              <w:rPr>
                <w:rFonts w:ascii="Times New Roman" w:cs="Times New Roman" w:eastAsia="Times New Roman" w:hAnsi="Times New Roman"/>
                <w:sz w:val="10"/>
                <w:szCs w:val="10"/>
                <w:b w:val="1"/>
                <w:bCs w:val="1"/>
                <w:color w:val="auto"/>
                <w:w w:val="97"/>
              </w:rPr>
              <w:t>ARMADA ACQUISITION CORP. I</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6"/>
              </w:rPr>
              <w:t>For the Three and Nine Month Periods Ended June 30,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24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w:anchor="page197">
              <w:r>
                <w:rPr>
                  <w:rFonts w:ascii="Times New Roman" w:cs="Times New Roman" w:eastAsia="Times New Roman" w:hAnsi="Times New Roman"/>
                  <w:sz w:val="10"/>
                  <w:szCs w:val="10"/>
                  <w:color w:val="0000FF"/>
                  <w:w w:val="97"/>
                </w:rPr>
                <w:t>Unaudited Condensed Balance Sheets as of June 30, 2024 and September 30, 2023</w:t>
              </w:r>
            </w:hyperlink>
          </w:p>
        </w:tc>
        <w:tc>
          <w:tcPr>
            <w:tcW w:w="5320" w:type="dxa"/>
            <w:vAlign w:val="bottom"/>
            <w:gridSpan w:val="13"/>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F-61</w:t>
            </w:r>
          </w:p>
        </w:tc>
        <w:tc>
          <w:tcPr>
            <w:tcW w:w="0" w:type="dxa"/>
            <w:vAlign w:val="bottom"/>
          </w:tcPr>
          <w:p>
            <w:pPr>
              <w:spacing w:after="0"/>
              <w:rPr>
                <w:sz w:val="1"/>
                <w:szCs w:val="1"/>
                <w:color w:val="auto"/>
              </w:rPr>
            </w:pPr>
          </w:p>
        </w:tc>
      </w:tr>
      <w:tr>
        <w:trPr>
          <w:trHeight w:val="93"/>
        </w:trPr>
        <w:tc>
          <w:tcPr>
            <w:tcW w:w="4260" w:type="dxa"/>
            <w:vAlign w:val="bottom"/>
            <w:tcBorders>
              <w:bottom w:val="single" w:sz="8" w:color="0000FF"/>
            </w:tcBorders>
            <w:gridSpan w:val="15"/>
          </w:tcPr>
          <w:p>
            <w:pPr>
              <w:spacing w:after="0" w:line="93" w:lineRule="exact"/>
              <w:rPr>
                <w:rFonts w:ascii="Times New Roman" w:cs="Times New Roman" w:eastAsia="Times New Roman" w:hAnsi="Times New Roman"/>
                <w:sz w:val="10"/>
                <w:szCs w:val="10"/>
                <w:color w:val="0000FF"/>
                <w:w w:val="96"/>
              </w:rPr>
            </w:pPr>
            <w:hyperlink w:anchor="page198">
              <w:r>
                <w:rPr>
                  <w:rFonts w:ascii="Times New Roman" w:cs="Times New Roman" w:eastAsia="Times New Roman" w:hAnsi="Times New Roman"/>
                  <w:sz w:val="10"/>
                  <w:szCs w:val="10"/>
                  <w:color w:val="0000FF"/>
                  <w:w w:val="96"/>
                </w:rPr>
                <w:t>Unaudited Condensed Statements of Operations for the three and nine months-ended June 30, 2024 and 2023</w:t>
              </w:r>
            </w:hyperlink>
          </w:p>
        </w:tc>
        <w:tc>
          <w:tcPr>
            <w:tcW w:w="4300" w:type="dxa"/>
            <w:vAlign w:val="bottom"/>
            <w:gridSpan w:val="7"/>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F-62</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99">
              <w:r>
                <w:rPr>
                  <w:rFonts w:ascii="Times New Roman" w:cs="Times New Roman" w:eastAsia="Times New Roman" w:hAnsi="Times New Roman"/>
                  <w:sz w:val="10"/>
                  <w:szCs w:val="10"/>
                  <w:color w:val="0000FF"/>
                </w:rPr>
                <w:t>Unaudited Condensed Statements of Changes in Stockholders’ Deficit for the three and nine months-ended June 30, 2024 and 2023</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F-63</w:t>
            </w:r>
          </w:p>
        </w:tc>
        <w:tc>
          <w:tcPr>
            <w:tcW w:w="0" w:type="dxa"/>
            <w:vAlign w:val="bottom"/>
          </w:tcPr>
          <w:p>
            <w:pPr>
              <w:spacing w:after="0"/>
              <w:rPr>
                <w:sz w:val="1"/>
                <w:szCs w:val="1"/>
                <w:color w:val="auto"/>
              </w:rPr>
            </w:pPr>
          </w:p>
        </w:tc>
      </w:tr>
      <w:tr>
        <w:trPr>
          <w:trHeight w:val="93"/>
        </w:trPr>
        <w:tc>
          <w:tcPr>
            <w:tcW w:w="3900" w:type="dxa"/>
            <w:vAlign w:val="bottom"/>
            <w:tcBorders>
              <w:top w:val="single" w:sz="8" w:color="0000FF"/>
              <w:bottom w:val="single" w:sz="8" w:color="0000FF"/>
            </w:tcBorders>
            <w:gridSpan w:val="12"/>
          </w:tcPr>
          <w:p>
            <w:pPr>
              <w:spacing w:after="0" w:line="93" w:lineRule="exact"/>
              <w:rPr>
                <w:rFonts w:ascii="Times New Roman" w:cs="Times New Roman" w:eastAsia="Times New Roman" w:hAnsi="Times New Roman"/>
                <w:sz w:val="10"/>
                <w:szCs w:val="10"/>
                <w:color w:val="0000FF"/>
                <w:w w:val="96"/>
              </w:rPr>
            </w:pPr>
            <w:hyperlink w:anchor="page200">
              <w:r>
                <w:rPr>
                  <w:rFonts w:ascii="Times New Roman" w:cs="Times New Roman" w:eastAsia="Times New Roman" w:hAnsi="Times New Roman"/>
                  <w:sz w:val="10"/>
                  <w:szCs w:val="10"/>
                  <w:color w:val="0000FF"/>
                  <w:w w:val="96"/>
                </w:rPr>
                <w:t>Unaudited Condensed Statements of Cash Flows for the nine months ended June 30, 2024 and 2023</w:t>
              </w:r>
            </w:hyperlink>
          </w:p>
        </w:tc>
        <w:tc>
          <w:tcPr>
            <w:tcW w:w="1220" w:type="dxa"/>
            <w:vAlign w:val="bottom"/>
            <w:tcBorders>
              <w:top w:val="single" w:sz="8" w:color="0000FF"/>
            </w:tcBorders>
            <w:gridSpan w:val="6"/>
          </w:tcPr>
          <w:p>
            <w:pPr>
              <w:spacing w:after="0"/>
              <w:rPr>
                <w:sz w:val="8"/>
                <w:szCs w:val="8"/>
                <w:color w:val="auto"/>
              </w:rPr>
            </w:pPr>
          </w:p>
        </w:tc>
        <w:tc>
          <w:tcPr>
            <w:tcW w:w="3440" w:type="dxa"/>
            <w:vAlign w:val="bottom"/>
            <w:gridSpan w:val="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F-64</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01">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F-65</w:t>
            </w:r>
          </w:p>
        </w:tc>
        <w:tc>
          <w:tcPr>
            <w:tcW w:w="0" w:type="dxa"/>
            <w:vAlign w:val="bottom"/>
          </w:tcPr>
          <w:p>
            <w:pPr>
              <w:spacing w:after="0"/>
              <w:rPr>
                <w:sz w:val="1"/>
                <w:szCs w:val="1"/>
                <w:color w:val="auto"/>
              </w:rPr>
            </w:pPr>
          </w:p>
        </w:tc>
      </w:tr>
      <w:tr>
        <w:trPr>
          <w:trHeight w:val="221"/>
        </w:trPr>
        <w:tc>
          <w:tcPr>
            <w:tcW w:w="11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7"/>
              </w:rPr>
              <w:t>For the Three and Six Month Periods Ended March 31,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221">
              <w:r>
                <w:rPr>
                  <w:rFonts w:ascii="Times New Roman" w:cs="Times New Roman" w:eastAsia="Times New Roman" w:hAnsi="Times New Roman"/>
                  <w:sz w:val="10"/>
                  <w:szCs w:val="10"/>
                  <w:color w:val="0000FF"/>
                </w:rPr>
                <w:t>Unaudited Condensed Balance Sheets as of March 31, 2024 and September 30, 202</w:t>
              </w:r>
            </w:hyperlink>
            <w:r>
              <w:rPr>
                <w:rFonts w:ascii="Times New Roman" w:cs="Times New Roman" w:eastAsia="Times New Roman" w:hAnsi="Times New Roman"/>
                <w:sz w:val="10"/>
                <w:szCs w:val="10"/>
                <w:color w:val="000000"/>
              </w:rPr>
              <w:t>3</w:t>
            </w: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F-85</w:t>
            </w:r>
          </w:p>
        </w:tc>
        <w:tc>
          <w:tcPr>
            <w:tcW w:w="0" w:type="dxa"/>
            <w:vAlign w:val="bottom"/>
          </w:tcPr>
          <w:p>
            <w:pPr>
              <w:spacing w:after="0"/>
              <w:rPr>
                <w:sz w:val="1"/>
                <w:szCs w:val="1"/>
                <w:color w:val="auto"/>
              </w:rPr>
            </w:pPr>
          </w:p>
        </w:tc>
      </w:tr>
      <w:tr>
        <w:trPr>
          <w:trHeight w:val="20"/>
        </w:trPr>
        <w:tc>
          <w:tcPr>
            <w:tcW w:w="3260" w:type="dxa"/>
            <w:vAlign w:val="bottom"/>
            <w:gridSpan w:val="10"/>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F-86</w:t>
            </w:r>
          </w:p>
        </w:tc>
        <w:tc>
          <w:tcPr>
            <w:tcW w:w="0" w:type="dxa"/>
            <w:vAlign w:val="bottom"/>
          </w:tcPr>
          <w:p>
            <w:pPr>
              <w:spacing w:after="0" w:line="20" w:lineRule="exact"/>
              <w:rPr>
                <w:sz w:val="1"/>
                <w:szCs w:val="1"/>
                <w:color w:val="auto"/>
              </w:rPr>
            </w:pPr>
          </w:p>
        </w:tc>
      </w:tr>
      <w:tr>
        <w:trPr>
          <w:trHeight w:val="93"/>
        </w:trPr>
        <w:tc>
          <w:tcPr>
            <w:tcW w:w="4280" w:type="dxa"/>
            <w:vAlign w:val="bottom"/>
            <w:tcBorders>
              <w:bottom w:val="single" w:sz="8" w:color="0000FF"/>
            </w:tcBorders>
            <w:gridSpan w:val="16"/>
          </w:tcPr>
          <w:p>
            <w:pPr>
              <w:spacing w:after="0" w:line="93" w:lineRule="exact"/>
              <w:rPr>
                <w:rFonts w:ascii="Times New Roman" w:cs="Times New Roman" w:eastAsia="Times New Roman" w:hAnsi="Times New Roman"/>
                <w:sz w:val="10"/>
                <w:szCs w:val="10"/>
                <w:color w:val="0000FF"/>
                <w:w w:val="96"/>
              </w:rPr>
            </w:pPr>
            <w:hyperlink w:anchor="page222">
              <w:r>
                <w:rPr>
                  <w:rFonts w:ascii="Times New Roman" w:cs="Times New Roman" w:eastAsia="Times New Roman" w:hAnsi="Times New Roman"/>
                  <w:sz w:val="10"/>
                  <w:szCs w:val="10"/>
                  <w:color w:val="0000FF"/>
                  <w:w w:val="96"/>
                </w:rPr>
                <w:t>Unaudited Condensed Statements of Operations for the three and six months-ended March 31, 2024 and 2023</w:t>
              </w:r>
            </w:hyperlink>
          </w:p>
        </w:tc>
        <w:tc>
          <w:tcPr>
            <w:tcW w:w="4280" w:type="dxa"/>
            <w:vAlign w:val="bottom"/>
            <w:gridSpan w:val="6"/>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60" w:type="dxa"/>
            <w:vAlign w:val="bottom"/>
            <w:tcBorders>
              <w:bottom w:val="single" w:sz="8" w:color="0000FF"/>
            </w:tcBorders>
            <w:gridSpan w:val="20"/>
          </w:tcPr>
          <w:p>
            <w:pPr>
              <w:spacing w:after="0" w:line="93" w:lineRule="exact"/>
              <w:rPr>
                <w:rFonts w:ascii="Times New Roman" w:cs="Times New Roman" w:eastAsia="Times New Roman" w:hAnsi="Times New Roman"/>
                <w:sz w:val="10"/>
                <w:szCs w:val="10"/>
                <w:color w:val="0000FF"/>
                <w:w w:val="97"/>
              </w:rPr>
            </w:pPr>
            <w:hyperlink w:anchor="page223">
              <w:r>
                <w:rPr>
                  <w:rFonts w:ascii="Times New Roman" w:cs="Times New Roman" w:eastAsia="Times New Roman" w:hAnsi="Times New Roman"/>
                  <w:sz w:val="10"/>
                  <w:szCs w:val="10"/>
                  <w:color w:val="0000FF"/>
                  <w:w w:val="97"/>
                </w:rPr>
                <w:t>Unaudited Condensed Statements of Changes in Stockholders’ Deficit for the three and six months-ended March 31, 2024 and 2023</w:t>
              </w:r>
            </w:hyperlink>
          </w:p>
        </w:tc>
        <w:tc>
          <w:tcPr>
            <w:tcW w:w="3400" w:type="dxa"/>
            <w:vAlign w:val="bottom"/>
            <w:gridSpan w:val="2"/>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F-87</w:t>
            </w:r>
          </w:p>
        </w:tc>
        <w:tc>
          <w:tcPr>
            <w:tcW w:w="0" w:type="dxa"/>
            <w:vAlign w:val="bottom"/>
          </w:tcPr>
          <w:p>
            <w:pPr>
              <w:spacing w:after="0"/>
              <w:rPr>
                <w:sz w:val="1"/>
                <w:szCs w:val="1"/>
                <w:color w:val="auto"/>
              </w:rPr>
            </w:pPr>
          </w:p>
        </w:tc>
      </w:tr>
      <w:tr>
        <w:trPr>
          <w:trHeight w:val="93"/>
        </w:trPr>
        <w:tc>
          <w:tcPr>
            <w:tcW w:w="3920" w:type="dxa"/>
            <w:vAlign w:val="bottom"/>
            <w:tcBorders>
              <w:bottom w:val="single" w:sz="8" w:color="0000FF"/>
            </w:tcBorders>
            <w:gridSpan w:val="13"/>
          </w:tcPr>
          <w:p>
            <w:pPr>
              <w:spacing w:after="0" w:line="93" w:lineRule="exact"/>
              <w:rPr>
                <w:rFonts w:ascii="Times New Roman" w:cs="Times New Roman" w:eastAsia="Times New Roman" w:hAnsi="Times New Roman"/>
                <w:sz w:val="10"/>
                <w:szCs w:val="10"/>
                <w:color w:val="0000FF"/>
                <w:w w:val="96"/>
              </w:rPr>
            </w:pPr>
            <w:hyperlink w:anchor="page224">
              <w:r>
                <w:rPr>
                  <w:rFonts w:ascii="Times New Roman" w:cs="Times New Roman" w:eastAsia="Times New Roman" w:hAnsi="Times New Roman"/>
                  <w:sz w:val="10"/>
                  <w:szCs w:val="10"/>
                  <w:color w:val="0000FF"/>
                  <w:w w:val="96"/>
                </w:rPr>
                <w:t>Unaudited Condensed Statements of Cash Flows for the six months ended March 31, 2024 and 2023</w:t>
              </w:r>
            </w:hyperlink>
          </w:p>
        </w:tc>
        <w:tc>
          <w:tcPr>
            <w:tcW w:w="4640" w:type="dxa"/>
            <w:vAlign w:val="bottom"/>
            <w:gridSpan w:val="9"/>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F-88</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25">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F-89</w:t>
            </w:r>
          </w:p>
        </w:tc>
        <w:tc>
          <w:tcPr>
            <w:tcW w:w="0" w:type="dxa"/>
            <w:vAlign w:val="bottom"/>
          </w:tcPr>
          <w:p>
            <w:pPr>
              <w:spacing w:after="0"/>
              <w:rPr>
                <w:sz w:val="1"/>
                <w:szCs w:val="1"/>
                <w:color w:val="auto"/>
              </w:rPr>
            </w:pPr>
          </w:p>
        </w:tc>
      </w:tr>
      <w:tr>
        <w:trPr>
          <w:trHeight w:val="345"/>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2"/>
          </w:tcPr>
          <w:p>
            <w:pPr>
              <w:jc w:val="center"/>
              <w:ind w:right="3100"/>
              <w:spacing w:after="0"/>
              <w:rPr>
                <w:sz w:val="20"/>
                <w:szCs w:val="20"/>
                <w:color w:val="auto"/>
              </w:rPr>
            </w:pPr>
            <w:r>
              <w:rPr>
                <w:rFonts w:ascii="Times New Roman" w:cs="Times New Roman" w:eastAsia="Times New Roman" w:hAnsi="Times New Roman"/>
                <w:sz w:val="10"/>
                <w:szCs w:val="10"/>
                <w:color w:val="auto"/>
              </w:rPr>
              <w:t>F-1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1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-3266440</wp:posOffset>
            </wp:positionV>
            <wp:extent cx="14605" cy="5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-2980690</wp:posOffset>
            </wp:positionV>
            <wp:extent cx="14605" cy="5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-2252345</wp:posOffset>
            </wp:positionV>
            <wp:extent cx="14605" cy="50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Three Month Periods Ended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w:anchor="page242">
              <w:r>
                <w:rPr>
                  <w:rFonts w:ascii="Times New Roman" w:cs="Times New Roman" w:eastAsia="Times New Roman" w:hAnsi="Times New Roman"/>
                  <w:sz w:val="10"/>
                  <w:szCs w:val="10"/>
                  <w:color w:val="0000FF"/>
                  <w:w w:val="97"/>
                </w:rPr>
                <w:t>Condensed Balance Sheets as of December 31, 2023 (Unaudited) and September 30, 2023</w:t>
              </w:r>
            </w:hyperlink>
          </w:p>
        </w:tc>
        <w:tc>
          <w:tcPr>
            <w:tcW w:w="4800" w:type="dxa"/>
            <w:vAlign w:val="bottom"/>
            <w:gridSpan w:val="4"/>
          </w:tcPr>
          <w:p>
            <w:pPr>
              <w:spacing w:after="0"/>
              <w:rPr>
                <w:sz w:val="10"/>
                <w:szCs w:val="10"/>
                <w:color w:val="auto"/>
              </w:rPr>
            </w:pP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F-106</w:t>
            </w:r>
          </w:p>
        </w:tc>
        <w:tc>
          <w:tcPr>
            <w:tcW w:w="0" w:type="dxa"/>
            <w:vAlign w:val="bottom"/>
          </w:tcPr>
          <w:p>
            <w:pPr>
              <w:spacing w:after="0"/>
              <w:rPr>
                <w:sz w:val="1"/>
                <w:szCs w:val="1"/>
                <w:color w:val="auto"/>
              </w:rPr>
            </w:pPr>
          </w:p>
        </w:tc>
      </w:tr>
      <w:tr>
        <w:trPr>
          <w:trHeight w:val="93"/>
        </w:trPr>
        <w:tc>
          <w:tcPr>
            <w:tcW w:w="418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6"/>
              </w:rPr>
            </w:pPr>
            <w:hyperlink w:anchor="page243">
              <w:r>
                <w:rPr>
                  <w:rFonts w:ascii="Times New Roman" w:cs="Times New Roman" w:eastAsia="Times New Roman" w:hAnsi="Times New Roman"/>
                  <w:sz w:val="10"/>
                  <w:szCs w:val="10"/>
                  <w:color w:val="0000FF"/>
                  <w:w w:val="96"/>
                </w:rPr>
                <w:t>Condensed Statements of Operations for the three months ended December 31, 2023 and 2022 (Unaudited)</w:t>
              </w:r>
            </w:hyperlink>
          </w:p>
        </w:tc>
        <w:tc>
          <w:tcPr>
            <w:tcW w:w="4160" w:type="dxa"/>
            <w:vAlign w:val="bottom"/>
            <w:gridSpan w:val="3"/>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F-107</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44">
              <w:r>
                <w:rPr>
                  <w:rFonts w:ascii="Times New Roman" w:cs="Times New Roman" w:eastAsia="Times New Roman" w:hAnsi="Times New Roman"/>
                  <w:sz w:val="10"/>
                  <w:szCs w:val="10"/>
                  <w:color w:val="0000FF"/>
                </w:rPr>
                <w:t>Condensed Statements of Changes in Stockholders’ Deficit for the three months ended December 31, 2023 and 2022 (Unaudited)</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F-108</w:t>
            </w:r>
          </w:p>
        </w:tc>
        <w:tc>
          <w:tcPr>
            <w:tcW w:w="0" w:type="dxa"/>
            <w:vAlign w:val="bottom"/>
          </w:tcPr>
          <w:p>
            <w:pPr>
              <w:spacing w:after="0"/>
              <w:rPr>
                <w:sz w:val="1"/>
                <w:szCs w:val="1"/>
                <w:color w:val="auto"/>
              </w:rPr>
            </w:pPr>
          </w:p>
        </w:tc>
      </w:tr>
      <w:tr>
        <w:trPr>
          <w:trHeight w:val="93"/>
        </w:trPr>
        <w:tc>
          <w:tcPr>
            <w:tcW w:w="4220" w:type="dxa"/>
            <w:vAlign w:val="bottom"/>
            <w:tcBorders>
              <w:top w:val="single" w:sz="8" w:color="0000FF"/>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w:anchor="page245">
              <w:r>
                <w:rPr>
                  <w:rFonts w:ascii="Times New Roman" w:cs="Times New Roman" w:eastAsia="Times New Roman" w:hAnsi="Times New Roman"/>
                  <w:sz w:val="10"/>
                  <w:szCs w:val="10"/>
                  <w:color w:val="0000FF"/>
                  <w:w w:val="97"/>
                </w:rPr>
                <w:t>Condensed Statements of Cash Flows for the three months ended December 31, 2023 and 2022 (Unaudited)</w:t>
              </w:r>
            </w:hyperlink>
          </w:p>
        </w:tc>
        <w:tc>
          <w:tcPr>
            <w:tcW w:w="820" w:type="dxa"/>
            <w:vAlign w:val="bottom"/>
            <w:tcBorders>
              <w:top w:val="single" w:sz="8" w:color="0000FF"/>
            </w:tcBorders>
          </w:tcPr>
          <w:p>
            <w:pPr>
              <w:spacing w:after="0"/>
              <w:rPr>
                <w:sz w:val="8"/>
                <w:szCs w:val="8"/>
                <w:color w:val="auto"/>
              </w:rPr>
            </w:pPr>
          </w:p>
        </w:tc>
        <w:tc>
          <w:tcPr>
            <w:tcW w:w="3300" w:type="dxa"/>
            <w:vAlign w:val="bottom"/>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F-109</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46">
              <w:r>
                <w:rPr>
                  <w:rFonts w:ascii="Times New Roman" w:cs="Times New Roman" w:eastAsia="Times New Roman" w:hAnsi="Times New Roman"/>
                  <w:sz w:val="10"/>
                  <w:szCs w:val="10"/>
                  <w:color w:val="0000FF"/>
                </w:rPr>
                <w:t>Notes to Unaudited Condensed Financial Statements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F-110</w:t>
            </w:r>
          </w:p>
        </w:tc>
        <w:tc>
          <w:tcPr>
            <w:tcW w:w="0" w:type="dxa"/>
            <w:vAlign w:val="bottom"/>
          </w:tcPr>
          <w:p>
            <w:pPr>
              <w:spacing w:after="0"/>
              <w:rPr>
                <w:sz w:val="1"/>
                <w:szCs w:val="1"/>
                <w:color w:val="auto"/>
              </w:rPr>
            </w:pPr>
          </w:p>
        </w:tc>
      </w:tr>
      <w:tr>
        <w:trPr>
          <w:trHeight w:val="221"/>
        </w:trPr>
        <w:tc>
          <w:tcPr>
            <w:tcW w:w="60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20" w:type="dxa"/>
            <w:vAlign w:val="bottom"/>
            <w:gridSpan w:val="2"/>
          </w:tcPr>
          <w:p>
            <w:pPr>
              <w:jc w:val="center"/>
              <w:ind w:right="1911"/>
              <w:spacing w:after="0"/>
              <w:rPr>
                <w:sz w:val="20"/>
                <w:szCs w:val="20"/>
                <w:color w:val="auto"/>
              </w:rPr>
            </w:pPr>
            <w:r>
              <w:rPr>
                <w:rFonts w:ascii="Times New Roman" w:cs="Times New Roman" w:eastAsia="Times New Roman" w:hAnsi="Times New Roman"/>
                <w:sz w:val="10"/>
                <w:szCs w:val="10"/>
                <w:b w:val="1"/>
                <w:bCs w:val="1"/>
                <w:color w:val="auto"/>
                <w:w w:val="98"/>
              </w:rPr>
              <w:t>Financial Statements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120" w:type="dxa"/>
            <w:vAlign w:val="bottom"/>
            <w:gridSpan w:val="2"/>
          </w:tcPr>
          <w:p>
            <w:pPr>
              <w:jc w:val="center"/>
              <w:ind w:right="1911"/>
              <w:spacing w:after="0"/>
              <w:rPr>
                <w:sz w:val="20"/>
                <w:szCs w:val="20"/>
                <w:color w:val="auto"/>
              </w:rPr>
            </w:pPr>
            <w:r>
              <w:rPr>
                <w:rFonts w:ascii="Times New Roman" w:cs="Times New Roman" w:eastAsia="Times New Roman" w:hAnsi="Times New Roman"/>
                <w:sz w:val="10"/>
                <w:szCs w:val="10"/>
                <w:color w:val="auto"/>
                <w:w w:val="97"/>
              </w:rPr>
              <w:t>For the years ended September 30, 2023 and 2022</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340" w:type="dxa"/>
            <w:vAlign w:val="bottom"/>
            <w:gridSpan w:val="12"/>
          </w:tcPr>
          <w:p>
            <w:pPr>
              <w:spacing w:after="0"/>
              <w:rPr>
                <w:rFonts w:ascii="Times New Roman" w:cs="Times New Roman" w:eastAsia="Times New Roman" w:hAnsi="Times New Roman"/>
                <w:sz w:val="10"/>
                <w:szCs w:val="10"/>
                <w:color w:val="0000FF"/>
              </w:rPr>
            </w:pPr>
            <w:hyperlink w:anchor="page263">
              <w:r>
                <w:rPr>
                  <w:rFonts w:ascii="Times New Roman" w:cs="Times New Roman" w:eastAsia="Times New Roman" w:hAnsi="Times New Roman"/>
                  <w:sz w:val="10"/>
                  <w:szCs w:val="10"/>
                  <w:color w:val="0000FF"/>
                </w:rPr>
                <w:t xml:space="preserve">Report of Independent Registered Public Accounting Firm </w:t>
              </w:r>
            </w:hyperlink>
            <w:r>
              <w:rPr>
                <w:rFonts w:ascii="Times New Roman" w:cs="Times New Roman" w:eastAsia="Times New Roman" w:hAnsi="Times New Roman"/>
                <w:sz w:val="10"/>
                <w:szCs w:val="10"/>
                <w:color w:val="000000"/>
              </w:rPr>
              <w:t>(PCAOB</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10"/>
                <w:szCs w:val="10"/>
                <w:color w:val="000000"/>
              </w:rPr>
              <w:t>ID#688)</w:t>
            </w: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F-127</w:t>
            </w:r>
          </w:p>
        </w:tc>
        <w:tc>
          <w:tcPr>
            <w:tcW w:w="0" w:type="dxa"/>
            <w:vAlign w:val="bottom"/>
          </w:tcPr>
          <w:p>
            <w:pPr>
              <w:spacing w:after="0"/>
              <w:rPr>
                <w:sz w:val="1"/>
                <w:szCs w:val="1"/>
                <w:color w:val="auto"/>
              </w:rPr>
            </w:pPr>
          </w:p>
        </w:tc>
      </w:tr>
      <w:tr>
        <w:trPr>
          <w:trHeight w:val="93"/>
        </w:trPr>
        <w:tc>
          <w:tcPr>
            <w:tcW w:w="600" w:type="dxa"/>
            <w:vAlign w:val="bottom"/>
            <w:tcBorders>
              <w:top w:val="single" w:sz="8" w:color="0000FF"/>
              <w:bottom w:val="single" w:sz="8" w:color="0000FF"/>
            </w:tcBorders>
          </w:tcPr>
          <w:p>
            <w:pPr>
              <w:spacing w:after="0" w:line="93" w:lineRule="exact"/>
              <w:rPr>
                <w:rFonts w:ascii="Times New Roman" w:cs="Times New Roman" w:eastAsia="Times New Roman" w:hAnsi="Times New Roman"/>
                <w:sz w:val="10"/>
                <w:szCs w:val="10"/>
                <w:color w:val="0000FF"/>
                <w:w w:val="95"/>
              </w:rPr>
            </w:pPr>
            <w:hyperlink w:anchor="page264">
              <w:r>
                <w:rPr>
                  <w:rFonts w:ascii="Times New Roman" w:cs="Times New Roman" w:eastAsia="Times New Roman" w:hAnsi="Times New Roman"/>
                  <w:sz w:val="10"/>
                  <w:szCs w:val="10"/>
                  <w:color w:val="0000FF"/>
                  <w:w w:val="95"/>
                </w:rPr>
                <w:t>Balance Sheets</w:t>
              </w:r>
            </w:hyperlink>
          </w:p>
        </w:tc>
        <w:tc>
          <w:tcPr>
            <w:tcW w:w="1680" w:type="dxa"/>
            <w:vAlign w:val="bottom"/>
            <w:tcBorders>
              <w:top w:val="single" w:sz="8" w:color="0000FF"/>
            </w:tcBorders>
            <w:gridSpan w:val="6"/>
          </w:tcPr>
          <w:p>
            <w:pPr>
              <w:spacing w:after="0"/>
              <w:rPr>
                <w:sz w:val="8"/>
                <w:szCs w:val="8"/>
                <w:color w:val="auto"/>
              </w:rPr>
            </w:pPr>
          </w:p>
        </w:tc>
        <w:tc>
          <w:tcPr>
            <w:tcW w:w="6060" w:type="dxa"/>
            <w:vAlign w:val="bottom"/>
            <w:gridSpan w:val="5"/>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F-128</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5">
              <w:r>
                <w:rPr>
                  <w:rFonts w:ascii="Times New Roman" w:cs="Times New Roman" w:eastAsia="Times New Roman" w:hAnsi="Times New Roman"/>
                  <w:sz w:val="10"/>
                  <w:szCs w:val="10"/>
                  <w:color w:val="0000FF"/>
                </w:rPr>
                <w:t>Statements of Operations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F-129</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280" w:type="dxa"/>
            <w:vAlign w:val="bottom"/>
            <w:vMerge w:val="restart"/>
          </w:tcPr>
          <w:p>
            <w:pPr>
              <w:ind w:left="2040"/>
              <w:spacing w:after="0" w:line="113" w:lineRule="exact"/>
              <w:rPr>
                <w:sz w:val="20"/>
                <w:szCs w:val="20"/>
                <w:color w:val="auto"/>
              </w:rPr>
            </w:pPr>
            <w:r>
              <w:rPr>
                <w:rFonts w:ascii="Times New Roman" w:cs="Times New Roman" w:eastAsia="Times New Roman" w:hAnsi="Times New Roman"/>
                <w:sz w:val="10"/>
                <w:szCs w:val="10"/>
                <w:color w:val="auto"/>
                <w:w w:val="91"/>
              </w:rPr>
              <w:t>F-130</w:t>
            </w:r>
          </w:p>
        </w:tc>
        <w:tc>
          <w:tcPr>
            <w:tcW w:w="0" w:type="dxa"/>
            <w:vAlign w:val="bottom"/>
          </w:tcPr>
          <w:p>
            <w:pPr>
              <w:spacing w:after="0" w:line="20" w:lineRule="exact"/>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6">
              <w:r>
                <w:rPr>
                  <w:rFonts w:ascii="Times New Roman" w:cs="Times New Roman" w:eastAsia="Times New Roman" w:hAnsi="Times New Roman"/>
                  <w:sz w:val="10"/>
                  <w:szCs w:val="10"/>
                  <w:color w:val="0000FF"/>
                </w:rPr>
                <w:t>Statements of Changes in Stockholders’ Equity (Deficit)</w:t>
              </w:r>
            </w:hyperlink>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0000FF"/>
              <w:bottom w:val="single" w:sz="8" w:color="0000FF"/>
            </w:tcBorders>
            <w:gridSpan w:val="3"/>
          </w:tcPr>
          <w:p>
            <w:pPr>
              <w:spacing w:after="0" w:line="93" w:lineRule="exact"/>
              <w:rPr>
                <w:rFonts w:ascii="Times New Roman" w:cs="Times New Roman" w:eastAsia="Times New Roman" w:hAnsi="Times New Roman"/>
                <w:sz w:val="10"/>
                <w:szCs w:val="10"/>
                <w:color w:val="0000FF"/>
                <w:w w:val="95"/>
              </w:rPr>
            </w:pPr>
            <w:hyperlink w:anchor="page267">
              <w:r>
                <w:rPr>
                  <w:rFonts w:ascii="Times New Roman" w:cs="Times New Roman" w:eastAsia="Times New Roman" w:hAnsi="Times New Roman"/>
                  <w:sz w:val="10"/>
                  <w:szCs w:val="10"/>
                  <w:color w:val="0000FF"/>
                  <w:w w:val="95"/>
                </w:rPr>
                <w:t>Statements of Cash Flows</w:t>
              </w:r>
            </w:hyperlink>
          </w:p>
        </w:tc>
        <w:tc>
          <w:tcPr>
            <w:tcW w:w="1180" w:type="dxa"/>
            <w:vAlign w:val="bottom"/>
            <w:tcBorders>
              <w:top w:val="single" w:sz="8" w:color="0000FF"/>
            </w:tcBorders>
            <w:gridSpan w:val="3"/>
          </w:tcPr>
          <w:p>
            <w:pPr>
              <w:spacing w:after="0"/>
              <w:rPr>
                <w:sz w:val="8"/>
                <w:szCs w:val="8"/>
                <w:color w:val="auto"/>
              </w:rPr>
            </w:pPr>
          </w:p>
        </w:tc>
        <w:tc>
          <w:tcPr>
            <w:tcW w:w="6140" w:type="dxa"/>
            <w:vAlign w:val="bottom"/>
            <w:gridSpan w:val="6"/>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F-131</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8">
              <w:r>
                <w:rPr>
                  <w:rFonts w:ascii="Times New Roman" w:cs="Times New Roman" w:eastAsia="Times New Roman" w:hAnsi="Times New Roman"/>
                  <w:sz w:val="10"/>
                  <w:szCs w:val="10"/>
                  <w:color w:val="0000FF"/>
                </w:rPr>
                <w:t>Notes to Financial Statements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F-132</w:t>
            </w:r>
          </w:p>
        </w:tc>
        <w:tc>
          <w:tcPr>
            <w:tcW w:w="0" w:type="dxa"/>
            <w:vAlign w:val="bottom"/>
          </w:tcPr>
          <w:p>
            <w:pPr>
              <w:spacing w:after="0"/>
              <w:rPr>
                <w:sz w:val="1"/>
                <w:szCs w:val="1"/>
                <w:color w:val="auto"/>
              </w:rPr>
            </w:pPr>
          </w:p>
        </w:tc>
      </w:tr>
      <w:tr>
        <w:trPr>
          <w:trHeight w:val="346"/>
        </w:trPr>
        <w:tc>
          <w:tcPr>
            <w:tcW w:w="6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jc w:val="center"/>
              <w:ind w:right="2711"/>
              <w:spacing w:after="0"/>
              <w:rPr>
                <w:sz w:val="20"/>
                <w:szCs w:val="20"/>
                <w:color w:val="auto"/>
              </w:rPr>
            </w:pPr>
            <w:r>
              <w:rPr>
                <w:rFonts w:ascii="Times New Roman" w:cs="Times New Roman" w:eastAsia="Times New Roman" w:hAnsi="Times New Roman"/>
                <w:sz w:val="10"/>
                <w:szCs w:val="10"/>
                <w:color w:val="auto"/>
              </w:rPr>
              <w:t>F-2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3300" w:type="dxa"/>
            <w:vAlign w:val="bottom"/>
            <w:tcBorders>
              <w:bottom w:val="single" w:sz="8" w:color="EEEEEE"/>
            </w:tcBorders>
          </w:tcPr>
          <w:p>
            <w:pPr>
              <w:spacing w:after="0"/>
              <w:rPr>
                <w:sz w:val="24"/>
                <w:szCs w:val="24"/>
                <w:color w:val="auto"/>
              </w:rPr>
            </w:pPr>
          </w:p>
        </w:tc>
        <w:tc>
          <w:tcPr>
            <w:tcW w:w="22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3" w:right="6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600" w:type="dxa"/>
            <w:vAlign w:val="bottom"/>
          </w:tcPr>
          <w:p>
            <w:pPr>
              <w:spacing w:after="0"/>
              <w:rPr>
                <w:sz w:val="8"/>
                <w:szCs w:val="8"/>
                <w:color w:val="auto"/>
              </w:rPr>
            </w:pP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8"/>
        </w:trPr>
        <w:tc>
          <w:tcPr>
            <w:tcW w:w="6600" w:type="dxa"/>
            <w:vAlign w:val="bottom"/>
          </w:tcPr>
          <w:p>
            <w:pPr>
              <w:spacing w:after="0"/>
              <w:rPr>
                <w:sz w:val="9"/>
                <w:szCs w:val="9"/>
                <w:color w:val="auto"/>
              </w:rPr>
            </w:pPr>
          </w:p>
        </w:tc>
        <w:tc>
          <w:tcPr>
            <w:tcW w:w="1320" w:type="dxa"/>
            <w:vAlign w:val="bottom"/>
          </w:tcPr>
          <w:p>
            <w:pPr>
              <w:jc w:val="center"/>
              <w:ind w:left="539"/>
              <w:spacing w:after="0"/>
              <w:rPr>
                <w:sz w:val="20"/>
                <w:szCs w:val="20"/>
                <w:color w:val="auto"/>
              </w:rPr>
            </w:pPr>
            <w:r>
              <w:rPr>
                <w:rFonts w:ascii="Times New Roman" w:cs="Times New Roman" w:eastAsia="Times New Roman" w:hAnsi="Times New Roman"/>
                <w:sz w:val="8"/>
                <w:szCs w:val="8"/>
                <w:b w:val="1"/>
                <w:bCs w:val="1"/>
                <w:i w:val="1"/>
                <w:iCs w:val="1"/>
                <w:color w:val="auto"/>
              </w:rPr>
              <w:t>(Unaudited)</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1"/>
        </w:trPr>
        <w:tc>
          <w:tcPr>
            <w:tcW w:w="7920" w:type="dxa"/>
            <w:vAlign w:val="bottom"/>
            <w:gridSpan w:val="2"/>
          </w:tcPr>
          <w:p>
            <w:pPr>
              <w:jc w:val="center"/>
              <w:ind w:left="711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jc w:val="right"/>
              <w:ind w:right="832"/>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11,434</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430,691</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299,013</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502,423</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61,542</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 net</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3,396,489</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3,458,031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100" w:type="dxa"/>
            <w:vAlign w:val="bottom"/>
          </w:tcPr>
          <w:p>
            <w:pPr>
              <w:spacing w:after="0"/>
              <w:rPr>
                <w:sz w:val="9"/>
                <w:szCs w:val="9"/>
                <w:color w:val="auto"/>
              </w:rPr>
            </w:pPr>
          </w:p>
        </w:tc>
      </w:tr>
      <w:tr>
        <w:trPr>
          <w:trHeight w:val="113"/>
        </w:trPr>
        <w:tc>
          <w:tcPr>
            <w:tcW w:w="66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32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20" w:type="dxa"/>
            <w:vAlign w:val="bottom"/>
            <w:tcBorders>
              <w:bottom w:val="single" w:sz="8" w:color="CFF0FC"/>
            </w:tcBorders>
            <w:shd w:val="clear" w:color="auto" w:fill="CFF0FC"/>
          </w:tcPr>
          <w:p>
            <w:pPr>
              <w:spacing w:after="0"/>
              <w:rPr>
                <w:sz w:val="9"/>
                <w:szCs w:val="9"/>
                <w:color w:val="auto"/>
              </w:rPr>
            </w:pPr>
          </w:p>
        </w:tc>
        <w:tc>
          <w:tcPr>
            <w:tcW w:w="18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00" w:type="dxa"/>
            <w:vAlign w:val="bottom"/>
            <w:tcBorders>
              <w:bottom w:val="single" w:sz="8" w:color="CFF0FC"/>
            </w:tcBorders>
            <w:shd w:val="clear" w:color="auto" w:fill="CFF0FC"/>
          </w:tcPr>
          <w:p>
            <w:pPr>
              <w:spacing w:after="0"/>
              <w:rPr>
                <w:sz w:val="9"/>
                <w:szCs w:val="9"/>
                <w:color w:val="auto"/>
              </w:rPr>
            </w:pPr>
          </w:p>
        </w:tc>
      </w:tr>
      <w:tr>
        <w:trPr>
          <w:trHeight w:val="108"/>
        </w:trPr>
        <w:tc>
          <w:tcPr>
            <w:tcW w:w="79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4,055,537</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1,093,471</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777,576</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4,708,590</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22,776,285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debt </w:t>
            </w:r>
            <w:r>
              <w:rPr>
                <w:rFonts w:ascii="Times New Roman" w:cs="Times New Roman" w:eastAsia="Times New Roman" w:hAnsi="Times New Roman"/>
                <w:sz w:val="10"/>
                <w:szCs w:val="10"/>
                <w:i w:val="1"/>
                <w:iCs w:val="1"/>
                <w:color w:val="auto"/>
              </w:rPr>
              <w:t>(includes related party balances of $6,291,581)</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38,737,594</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promissory notes </w:t>
            </w:r>
            <w:r>
              <w:rPr>
                <w:rFonts w:ascii="Times New Roman" w:cs="Times New Roman" w:eastAsia="Times New Roman" w:hAnsi="Times New Roman"/>
                <w:sz w:val="10"/>
                <w:szCs w:val="10"/>
                <w:i w:val="1"/>
                <w:iCs w:val="1"/>
                <w:color w:val="auto"/>
              </w:rPr>
              <w:t>(includes related party balances of $1,565,007)</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5,395,702</w:t>
            </w:r>
          </w:p>
        </w:tc>
        <w:tc>
          <w:tcPr>
            <w:tcW w:w="220" w:type="dxa"/>
            <w:vAlign w:val="bottom"/>
          </w:tcPr>
          <w:p>
            <w:pPr>
              <w:spacing w:after="0"/>
              <w:rPr>
                <w:sz w:val="9"/>
                <w:szCs w:val="9"/>
                <w:color w:val="auto"/>
              </w:rPr>
            </w:pP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66,909,581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tcPr>
          <w:p>
            <w:pPr>
              <w:spacing w:after="0"/>
              <w:rPr>
                <w:sz w:val="9"/>
                <w:szCs w:val="9"/>
                <w:color w:val="auto"/>
              </w:rPr>
            </w:pPr>
          </w:p>
        </w:tc>
      </w:tr>
      <w:tr>
        <w:trPr>
          <w:trHeight w:val="113"/>
        </w:trPr>
        <w:tc>
          <w:tcPr>
            <w:tcW w:w="66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13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66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40" w:type="dxa"/>
            <w:vAlign w:val="bottom"/>
          </w:tcPr>
          <w:p>
            <w:pPr>
              <w:spacing w:after="0"/>
              <w:rPr>
                <w:sz w:val="8"/>
                <w:szCs w:val="8"/>
                <w:color w:val="auto"/>
              </w:rPr>
            </w:pPr>
          </w:p>
        </w:tc>
        <w:tc>
          <w:tcPr>
            <w:tcW w:w="160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20" w:type="dxa"/>
            <w:vAlign w:val="bottom"/>
          </w:tcPr>
          <w:p>
            <w:pPr>
              <w:spacing w:after="0"/>
              <w:rPr>
                <w:sz w:val="8"/>
                <w:szCs w:val="8"/>
                <w:color w:val="auto"/>
              </w:rPr>
            </w:pPr>
          </w:p>
        </w:tc>
      </w:t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2024</w:t>
            </w:r>
          </w:p>
        </w:tc>
        <w:tc>
          <w:tcPr>
            <w:tcW w:w="1840" w:type="dxa"/>
            <w:vAlign w:val="bottom"/>
            <w:gridSpan w:val="2"/>
          </w:tcPr>
          <w:p>
            <w:pPr>
              <w:jc w:val="right"/>
              <w:ind w:right="67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Pr>
          <w:p>
            <w:pPr>
              <w:spacing w:after="0"/>
              <w:rPr>
                <w:sz w:val="8"/>
                <w:szCs w:val="8"/>
                <w:color w:val="auto"/>
              </w:rPr>
            </w:pPr>
          </w:p>
        </w:tc>
      </w:tr>
      <w:tr>
        <w:trPr>
          <w:trHeight w:val="106"/>
        </w:trPr>
        <w:tc>
          <w:tcPr>
            <w:tcW w:w="7120" w:type="dxa"/>
            <w:vAlign w:val="bottom"/>
          </w:tcPr>
          <w:p>
            <w:pPr>
              <w:spacing w:after="0"/>
              <w:rPr>
                <w:sz w:val="9"/>
                <w:szCs w:val="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840" w:type="dxa"/>
            <w:vAlign w:val="bottom"/>
            <w:gridSpan w:val="2"/>
          </w:tcPr>
          <w:p>
            <w:pPr>
              <w:jc w:val="right"/>
              <w:ind w:right="734"/>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9"/>
                <w:szCs w:val="9"/>
                <w:color w:val="auto"/>
              </w:rPr>
            </w:pPr>
          </w:p>
        </w:tc>
      </w:tr>
      <w:tr>
        <w:trPr>
          <w:trHeight w:val="100"/>
        </w:trPr>
        <w:tc>
          <w:tcPr>
            <w:tcW w:w="7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15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06"/>
        </w:trPr>
        <w:tc>
          <w:tcPr>
            <w:tcW w:w="7120" w:type="dxa"/>
            <w:vAlign w:val="bottom"/>
          </w:tcPr>
          <w:p>
            <w:pPr>
              <w:ind w:left="120"/>
              <w:spacing w:after="0" w:line="106" w:lineRule="exact"/>
              <w:rPr>
                <w:sz w:val="20"/>
                <w:szCs w:val="20"/>
                <w:color w:val="auto"/>
              </w:rPr>
            </w:pPr>
            <w:r>
              <w:rPr>
                <w:rFonts w:ascii="Times New Roman" w:cs="Times New Roman" w:eastAsia="Times New Roman" w:hAnsi="Times New Roman"/>
                <w:sz w:val="10"/>
                <w:szCs w:val="10"/>
                <w:color w:val="auto"/>
              </w:rPr>
              <w:t>Common stock, £0.0001 nominal value 932,997,081 issued and outstanding as</w:t>
            </w: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9"/>
        </w:trPr>
        <w:tc>
          <w:tcPr>
            <w:tcW w:w="71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of June 30, 2024 932,969,424 issued and outstanding as of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120" w:type="dxa"/>
            <w:vAlign w:val="bottom"/>
          </w:tcPr>
          <w:p>
            <w:pPr>
              <w:spacing w:after="0"/>
              <w:rPr>
                <w:sz w:val="10"/>
                <w:szCs w:val="10"/>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stock series A, £0.0001 nominal value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176,274,941</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120" w:type="dxa"/>
            <w:vAlign w:val="bottom"/>
          </w:tcPr>
          <w:p>
            <w:pPr>
              <w:spacing w:after="0"/>
              <w:rPr>
                <w:sz w:val="9"/>
                <w:szCs w:val="9"/>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Stock subscription receivable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(239,133,876)</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(226,291,430)</w:t>
            </w:r>
          </w:p>
        </w:tc>
        <w:tc>
          <w:tcPr>
            <w:tcW w:w="120" w:type="dxa"/>
            <w:vAlign w:val="bottom"/>
          </w:tcPr>
          <w:p>
            <w:pPr>
              <w:spacing w:after="0"/>
              <w:rPr>
                <w:sz w:val="9"/>
                <w:szCs w:val="9"/>
                <w:color w:val="auto"/>
              </w:rPr>
            </w:pPr>
          </w:p>
        </w:tc>
      </w:tr>
      <w:tr>
        <w:trPr>
          <w:trHeight w:val="113"/>
        </w:trPr>
        <w:tc>
          <w:tcPr>
            <w:tcW w:w="7120" w:type="dxa"/>
            <w:vAlign w:val="bottom"/>
            <w:tcBorders>
              <w:bottom w:val="single" w:sz="8" w:color="CFF0FC"/>
            </w:tcBorders>
            <w:shd w:val="clear" w:color="auto" w:fill="CFF0FC"/>
          </w:tcPr>
          <w:p>
            <w:pPr>
              <w:ind w:left="24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5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(42,653)</w:t>
            </w:r>
          </w:p>
        </w:tc>
        <w:tc>
          <w:tcPr>
            <w:tcW w:w="240" w:type="dxa"/>
            <w:vAlign w:val="bottom"/>
            <w:tcBorders>
              <w:bottom w:val="single" w:sz="8" w:color="CFF0FC"/>
            </w:tcBorders>
            <w:shd w:val="clear" w:color="auto" w:fill="CFF0FC"/>
          </w:tcPr>
          <w:p>
            <w:pPr>
              <w:spacing w:after="0"/>
              <w:rPr>
                <w:sz w:val="9"/>
                <w:szCs w:val="9"/>
                <w:color w:val="auto"/>
              </w:rPr>
            </w:pPr>
          </w:p>
        </w:tc>
        <w:tc>
          <w:tcPr>
            <w:tcW w:w="1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(150,744)</w:t>
            </w:r>
          </w:p>
        </w:tc>
        <w:tc>
          <w:tcPr>
            <w:tcW w:w="120" w:type="dxa"/>
            <w:vAlign w:val="bottom"/>
            <w:tcBorders>
              <w:bottom w:val="single" w:sz="8" w:color="CFF0FC"/>
            </w:tcBorders>
            <w:shd w:val="clear" w:color="auto" w:fill="CFF0FC"/>
          </w:tcPr>
          <w:p>
            <w:pPr>
              <w:spacing w:after="0"/>
              <w:rPr>
                <w:sz w:val="9"/>
                <w:szCs w:val="9"/>
                <w:color w:val="auto"/>
              </w:rPr>
            </w:pPr>
          </w:p>
        </w:tc>
      </w:tr>
      <w:tr>
        <w:trPr>
          <w:trHeight w:val="100"/>
        </w:trPr>
        <w:tc>
          <w:tcPr>
            <w:tcW w:w="712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5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(62,949,127)</w:t>
            </w:r>
          </w:p>
        </w:tc>
        <w:tc>
          <w:tcPr>
            <w:tcW w:w="18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(54,284,884)</w:t>
            </w:r>
          </w:p>
        </w:tc>
        <w:tc>
          <w:tcPr>
            <w:tcW w:w="120" w:type="dxa"/>
            <w:vAlign w:val="bottom"/>
          </w:tcPr>
          <w:p>
            <w:pPr>
              <w:spacing w:after="0"/>
              <w:rPr>
                <w:sz w:val="8"/>
                <w:szCs w:val="8"/>
                <w:color w:val="auto"/>
              </w:rPr>
            </w:pPr>
          </w:p>
        </w:tc>
      </w:tr>
      <w:tr>
        <w:trPr>
          <w:trHeight w:val="103"/>
        </w:trPr>
        <w:tc>
          <w:tcPr>
            <w:tcW w:w="712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40" w:type="dxa"/>
            <w:vAlign w:val="bottom"/>
            <w:tcBorders>
              <w:bottom w:val="single" w:sz="8" w:color="CFF0FC"/>
            </w:tcBorders>
            <w:shd w:val="clear" w:color="auto" w:fill="CFF0FC"/>
          </w:tcPr>
          <w:p>
            <w:pPr>
              <w:spacing w:after="0"/>
              <w:rPr>
                <w:sz w:val="8"/>
                <w:szCs w:val="8"/>
                <w:color w:val="auto"/>
              </w:rPr>
            </w:pPr>
          </w:p>
        </w:tc>
        <w:tc>
          <w:tcPr>
            <w:tcW w:w="160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20" w:type="dxa"/>
            <w:vAlign w:val="bottom"/>
            <w:tcBorders>
              <w:bottom w:val="single" w:sz="8" w:color="CFF0FC"/>
            </w:tcBorders>
            <w:shd w:val="clear" w:color="auto" w:fill="CFF0FC"/>
          </w:tcPr>
          <w:p>
            <w:pPr>
              <w:spacing w:after="0"/>
              <w:rPr>
                <w:sz w:val="8"/>
                <w:szCs w:val="8"/>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Operations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9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5340" w:type="dxa"/>
            <w:vAlign w:val="bottom"/>
          </w:tcPr>
          <w:p>
            <w:pPr>
              <w:spacing w:after="0"/>
              <w:rPr>
                <w:sz w:val="9"/>
                <w:szCs w:val="9"/>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53,399</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46,764</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16,111</w:t>
            </w:r>
          </w:p>
        </w:tc>
      </w:tr>
      <w:tr>
        <w:trPr>
          <w:trHeight w:val="104"/>
        </w:trPr>
        <w:tc>
          <w:tcPr>
            <w:tcW w:w="5340" w:type="dxa"/>
            <w:vAlign w:val="bottom"/>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21"/>
        </w:trPr>
        <w:tc>
          <w:tcPr>
            <w:tcW w:w="5340" w:type="dxa"/>
            <w:vAlign w:val="bottom"/>
          </w:tcPr>
          <w:p>
            <w:pPr>
              <w:ind w:left="200"/>
              <w:spacing w:after="0"/>
              <w:rPr>
                <w:sz w:val="20"/>
                <w:szCs w:val="20"/>
                <w:color w:val="auto"/>
              </w:rPr>
            </w:pPr>
            <w:r>
              <w:rPr>
                <w:rFonts w:ascii="Times New Roman" w:cs="Times New Roman" w:eastAsia="Times New Roman" w:hAnsi="Times New Roman"/>
                <w:sz w:val="10"/>
                <w:szCs w:val="10"/>
                <w:i w:val="1"/>
                <w:iCs w:val="1"/>
                <w:color w:val="auto"/>
              </w:rPr>
              <w:t>1,370,214 and 1,361,168, refer to Note 8)</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1,431,430</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4,710,174</w:t>
            </w:r>
          </w:p>
        </w:tc>
      </w:tr>
      <w:tr>
        <w:trPr>
          <w:trHeight w:val="104"/>
        </w:trPr>
        <w:tc>
          <w:tcPr>
            <w:tcW w:w="5340" w:type="dxa"/>
            <w:vAlign w:val="bottom"/>
            <w:shd w:val="clear" w:color="auto" w:fill="CFF0FC"/>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21"/>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i w:val="1"/>
                <w:iCs w:val="1"/>
                <w:color w:val="auto"/>
              </w:rPr>
              <w:t>5,754,682 and 1,733,938, refer to Note 8)</w:t>
            </w:r>
          </w:p>
        </w:tc>
        <w:tc>
          <w:tcPr>
            <w:tcW w:w="37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8,066,209</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8,743,377</w:t>
            </w:r>
          </w:p>
        </w:tc>
      </w:tr>
      <w:tr>
        <w:trPr>
          <w:trHeight w:val="113"/>
        </w:trPr>
        <w:tc>
          <w:tcPr>
            <w:tcW w:w="53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costs and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9,719,157</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14,376,233</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(9,665,758)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(14,329,469)</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 / income</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expense, net</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(107,816)</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171,751</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(3,116,818)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(2,883,195)</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(12,782,576)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(17,212,664)</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(12,842,446)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(0.01)</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(0.02)</w:t>
            </w:r>
          </w:p>
        </w:tc>
      </w:tr>
      <w:tr>
        <w:trPr>
          <w:trHeight w:val="125"/>
        </w:trPr>
        <w:tc>
          <w:tcPr>
            <w:tcW w:w="534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927,893,144</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922,013,028</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Comprehensive Loss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6960" w:type="dxa"/>
            <w:vAlign w:val="bottom"/>
          </w:tcPr>
          <w:p>
            <w:pPr>
              <w:spacing w:after="0"/>
              <w:rPr>
                <w:sz w:val="8"/>
                <w:szCs w:val="8"/>
                <w:color w:val="auto"/>
              </w:rPr>
            </w:pPr>
          </w:p>
        </w:tc>
        <w:tc>
          <w:tcPr>
            <w:tcW w:w="1120" w:type="dxa"/>
            <w:vAlign w:val="bottom"/>
          </w:tcPr>
          <w:p>
            <w:pPr>
              <w:jc w:val="center"/>
              <w:ind w:left="419"/>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8"/>
        </w:trPr>
        <w:tc>
          <w:tcPr>
            <w:tcW w:w="6960" w:type="dxa"/>
            <w:vAlign w:val="bottom"/>
          </w:tcPr>
          <w:p>
            <w:pPr>
              <w:spacing w:after="0"/>
              <w:rPr>
                <w:sz w:val="9"/>
                <w:szCs w:val="9"/>
                <w:color w:val="auto"/>
              </w:rPr>
            </w:pPr>
          </w:p>
        </w:tc>
        <w:tc>
          <w:tcPr>
            <w:tcW w:w="1120" w:type="dxa"/>
            <w:vAlign w:val="bottom"/>
          </w:tcPr>
          <w:p>
            <w:pPr>
              <w:jc w:val="center"/>
              <w:ind w:left="43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1"/>
        </w:trPr>
        <w:tc>
          <w:tcPr>
            <w:tcW w:w="8080" w:type="dxa"/>
            <w:vAlign w:val="bottom"/>
            <w:gridSpan w:val="2"/>
          </w:tcPr>
          <w:p>
            <w:pPr>
              <w:jc w:val="center"/>
              <w:ind w:left="739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113"/>
        </w:trPr>
        <w:tc>
          <w:tcPr>
            <w:tcW w:w="808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780" w:type="dxa"/>
            <w:vAlign w:val="bottom"/>
            <w:gridSpan w:val="2"/>
            <w:shd w:val="clear" w:color="auto" w:fill="CFF0FC"/>
          </w:tcPr>
          <w:p>
            <w:pPr>
              <w:jc w:val="right"/>
              <w:ind w:right="280"/>
              <w:spacing w:after="0" w:line="113" w:lineRule="exact"/>
              <w:rPr>
                <w:sz w:val="20"/>
                <w:szCs w:val="20"/>
                <w:color w:val="auto"/>
              </w:rPr>
            </w:pPr>
            <w:r>
              <w:rPr>
                <w:rFonts w:ascii="Times New Roman" w:cs="Times New Roman" w:eastAsia="Times New Roman" w:hAnsi="Times New Roman"/>
                <w:sz w:val="10"/>
                <w:szCs w:val="10"/>
                <w:b w:val="1"/>
                <w:bCs w:val="1"/>
                <w:color w:val="auto"/>
                <w:w w:val="92"/>
              </w:rPr>
              <w:t>(12,842,446)</w:t>
            </w:r>
          </w:p>
        </w:tc>
        <w:tc>
          <w:tcPr>
            <w:tcW w:w="176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808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3"/>
        </w:trPr>
        <w:tc>
          <w:tcPr>
            <w:tcW w:w="808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780" w:type="dxa"/>
            <w:vAlign w:val="bottom"/>
            <w:gridSpan w:val="2"/>
            <w:shd w:val="clear" w:color="auto" w:fill="CFF0FC"/>
          </w:tcPr>
          <w:p>
            <w:pPr>
              <w:jc w:val="right"/>
              <w:ind w:right="320"/>
              <w:spacing w:after="0" w:line="113" w:lineRule="exact"/>
              <w:rPr>
                <w:sz w:val="20"/>
                <w:szCs w:val="20"/>
                <w:color w:val="auto"/>
              </w:rPr>
            </w:pPr>
            <w:r>
              <w:rPr>
                <w:rFonts w:ascii="Times New Roman" w:cs="Times New Roman" w:eastAsia="Times New Roman" w:hAnsi="Times New Roman"/>
                <w:sz w:val="10"/>
                <w:szCs w:val="10"/>
                <w:color w:val="auto"/>
              </w:rPr>
              <w:t>108,091</w:t>
            </w:r>
          </w:p>
        </w:tc>
        <w:tc>
          <w:tcPr>
            <w:tcW w:w="176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2,901</w:t>
            </w:r>
          </w:p>
        </w:tc>
      </w:tr>
      <w:tr>
        <w:trPr>
          <w:trHeight w:val="113"/>
        </w:trPr>
        <w:tc>
          <w:tcPr>
            <w:tcW w:w="696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1120" w:type="dxa"/>
            <w:vAlign w:val="bottom"/>
          </w:tcPr>
          <w:p>
            <w:pPr>
              <w:spacing w:after="0"/>
              <w:rPr>
                <w:sz w:val="9"/>
                <w:szCs w:val="9"/>
                <w:color w:val="auto"/>
              </w:rPr>
            </w:pPr>
          </w:p>
        </w:tc>
        <w:tc>
          <w:tcPr>
            <w:tcW w:w="780" w:type="dxa"/>
            <w:vAlign w:val="bottom"/>
            <w:gridSpan w:val="2"/>
          </w:tcPr>
          <w:p>
            <w:pPr>
              <w:jc w:val="right"/>
              <w:ind w:right="280"/>
              <w:spacing w:after="0" w:line="113" w:lineRule="exact"/>
              <w:rPr>
                <w:sz w:val="20"/>
                <w:szCs w:val="20"/>
                <w:color w:val="auto"/>
              </w:rPr>
            </w:pPr>
            <w:r>
              <w:rPr>
                <w:rFonts w:ascii="Times New Roman" w:cs="Times New Roman" w:eastAsia="Times New Roman" w:hAnsi="Times New Roman"/>
                <w:sz w:val="10"/>
                <w:szCs w:val="10"/>
                <w:b w:val="1"/>
                <w:bCs w:val="1"/>
                <w:color w:val="auto"/>
                <w:w w:val="88"/>
              </w:rPr>
              <w:t>(12,734,355 )</w:t>
            </w:r>
          </w:p>
        </w:tc>
        <w:tc>
          <w:tcPr>
            <w:tcW w:w="176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(17,273,171 )</w:t>
            </w:r>
          </w:p>
        </w:tc>
      </w:tr>
      <w:tr>
        <w:trPr>
          <w:trHeight w:val="346"/>
        </w:trPr>
        <w:tc>
          <w:tcPr>
            <w:tcW w:w="6960" w:type="dxa"/>
            <w:vAlign w:val="bottom"/>
          </w:tcPr>
          <w:p>
            <w:pPr>
              <w:ind w:left="5240"/>
              <w:spacing w:after="0"/>
              <w:rPr>
                <w:sz w:val="20"/>
                <w:szCs w:val="20"/>
                <w:color w:val="auto"/>
              </w:rPr>
            </w:pPr>
            <w:r>
              <w:rPr>
                <w:rFonts w:ascii="Times New Roman" w:cs="Times New Roman" w:eastAsia="Times New Roman" w:hAnsi="Times New Roman"/>
                <w:sz w:val="10"/>
                <w:szCs w:val="10"/>
                <w:color w:val="auto"/>
              </w:rPr>
              <w:t>F-6</w:t>
            </w:r>
          </w:p>
        </w:tc>
        <w:tc>
          <w:tcPr>
            <w:tcW w:w="1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22"/>
        </w:trPr>
        <w:tc>
          <w:tcPr>
            <w:tcW w:w="696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Changes in Stockholders’ Deficit</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8"/>
              </w:rPr>
              <w:t>other</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1720" w:type="dxa"/>
            <w:vAlign w:val="bottom"/>
          </w:tcPr>
          <w:p>
            <w:pPr>
              <w:spacing w:after="0"/>
              <w:rPr>
                <w:sz w:val="8"/>
                <w:szCs w:val="8"/>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3"/>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Series A Shares</w:t>
            </w: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8"/>
                <w:szCs w:val="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subscription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6"/>
              </w:rPr>
              <w:t>loss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06"/>
        </w:trPr>
        <w:tc>
          <w:tcPr>
            <w:tcW w:w="1720" w:type="dxa"/>
            <w:vAlign w:val="bottom"/>
          </w:tcPr>
          <w:p>
            <w:pPr>
              <w:spacing w:after="0"/>
              <w:rPr>
                <w:sz w:val="9"/>
                <w:szCs w:val="9"/>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9"/>
                <w:szCs w:val="9"/>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Shares</w:t>
            </w:r>
          </w:p>
        </w:tc>
        <w:tc>
          <w:tcPr>
            <w:tcW w:w="820" w:type="dxa"/>
            <w:vAlign w:val="bottom"/>
            <w:gridSpan w:val="2"/>
          </w:tcPr>
          <w:p>
            <w:pPr>
              <w:jc w:val="right"/>
              <w:ind w:right="233"/>
              <w:spacing w:after="0"/>
              <w:rPr>
                <w:sz w:val="20"/>
                <w:szCs w:val="20"/>
                <w:color w:val="auto"/>
              </w:rPr>
            </w:pPr>
            <w:r>
              <w:rPr>
                <w:rFonts w:ascii="Times New Roman" w:cs="Times New Roman" w:eastAsia="Times New Roman" w:hAnsi="Times New Roman"/>
                <w:sz w:val="8"/>
                <w:szCs w:val="8"/>
                <w:b w:val="1"/>
                <w:bCs w:val="1"/>
                <w:color w:val="auto"/>
              </w:rPr>
              <w:t>$</w:t>
            </w:r>
          </w:p>
        </w:tc>
        <w:tc>
          <w:tcPr>
            <w:tcW w:w="1120" w:type="dxa"/>
            <w:vAlign w:val="bottom"/>
            <w:gridSpan w:val="2"/>
          </w:tcPr>
          <w:p>
            <w:pPr>
              <w:jc w:val="center"/>
              <w:ind w:left="15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receivable</w:t>
            </w: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927,806,159</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126,677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163,165,083</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(195,555,332 )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(81,179 )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 xml:space="preserve">(32,519,603 </w:t>
            </w:r>
            <w:r>
              <w:rPr>
                <w:rFonts w:ascii="Times New Roman" w:cs="Times New Roman" w:eastAsia="Times New Roman" w:hAnsi="Times New Roman"/>
                <w:sz w:val="8"/>
                <w:szCs w:val="8"/>
                <w:color w:val="auto"/>
              </w:rPr>
              <w:t>)</w:t>
            </w: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Common stock issued to related</w:t>
            </w:r>
          </w:p>
        </w:tc>
        <w:tc>
          <w:tcPr>
            <w:tcW w:w="72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163,265</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20</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199,954</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199,974</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Common stock issued from the</w:t>
            </w:r>
          </w:p>
        </w:tc>
        <w:tc>
          <w:tcPr>
            <w:tcW w:w="72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5,000,000</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613</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3"/>
            <w:shd w:val="clear" w:color="auto" w:fill="CFF0FC"/>
          </w:tcPr>
          <w:p>
            <w:pPr>
              <w:jc w:val="right"/>
              <w:ind w:right="200"/>
              <w:spacing w:after="0" w:line="91" w:lineRule="exact"/>
              <w:rPr>
                <w:sz w:val="20"/>
                <w:szCs w:val="20"/>
                <w:color w:val="auto"/>
              </w:rPr>
            </w:pPr>
            <w:r>
              <w:rPr>
                <w:rFonts w:ascii="Times New Roman" w:cs="Times New Roman" w:eastAsia="Times New Roman" w:hAnsi="Times New Roman"/>
                <w:sz w:val="8"/>
                <w:szCs w:val="8"/>
                <w:color w:val="auto"/>
              </w:rPr>
              <w:t>(613 )</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jc w:val="right"/>
              <w:ind w:right="140"/>
              <w:spacing w:after="0" w:line="91" w:lineRule="exact"/>
              <w:rPr>
                <w:sz w:val="20"/>
                <w:szCs w:val="20"/>
                <w:color w:val="auto"/>
              </w:rPr>
            </w:pPr>
            <w:r>
              <w:rPr>
                <w:rFonts w:ascii="Times New Roman" w:cs="Times New Roman" w:eastAsia="Times New Roman" w:hAnsi="Times New Roman"/>
                <w:sz w:val="10"/>
                <w:szCs w:val="10"/>
                <w:color w:val="auto"/>
              </w:rPr>
              <w:t>—</w:t>
            </w: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exercise of stock options</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1060" w:type="dxa"/>
            <w:vAlign w:val="bottom"/>
            <w:gridSpan w:val="3"/>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(17,276,072 )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(17,276,072 )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168,360,003</w:t>
            </w:r>
          </w:p>
        </w:tc>
        <w:tc>
          <w:tcPr>
            <w:tcW w:w="220" w:type="dxa"/>
            <w:vAlign w:val="bottom"/>
          </w:tcPr>
          <w:p>
            <w:pPr>
              <w:spacing w:after="0"/>
              <w:rPr>
                <w:sz w:val="9"/>
                <w:szCs w:val="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(212,831,404 )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(78,278 )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(44,597,221 )</w:t>
            </w:r>
          </w:p>
        </w:tc>
      </w:tr>
      <w:tr>
        <w:trPr>
          <w:trHeight w:val="87"/>
        </w:trPr>
        <w:tc>
          <w:tcPr>
            <w:tcW w:w="1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172,204,832</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(226,291,430 )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(150,744)</w:t>
            </w:r>
          </w:p>
        </w:tc>
        <w:tc>
          <w:tcPr>
            <w:tcW w:w="20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(54,284,884 )</w:t>
            </w: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issued</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27,757</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25,143</w:t>
            </w:r>
          </w:p>
        </w:tc>
        <w:tc>
          <w:tcPr>
            <w:tcW w:w="220" w:type="dxa"/>
            <w:vAlign w:val="bottom"/>
          </w:tcPr>
          <w:p>
            <w:pPr>
              <w:spacing w:after="0"/>
              <w:rPr>
                <w:sz w:val="9"/>
                <w:szCs w:val="9"/>
                <w:color w:val="auto"/>
              </w:rPr>
            </w:pPr>
          </w:p>
        </w:tc>
        <w:tc>
          <w:tcPr>
            <w:tcW w:w="11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25,146</w:t>
            </w:r>
          </w:p>
        </w:tc>
        <w:tc>
          <w:tcPr>
            <w:tcW w:w="120" w:type="dxa"/>
            <w:vAlign w:val="bottom"/>
          </w:tcPr>
          <w:p>
            <w:pPr>
              <w:spacing w:after="0"/>
              <w:rPr>
                <w:sz w:val="9"/>
                <w:szCs w:val="9"/>
                <w:color w:val="auto"/>
              </w:rPr>
            </w:pPr>
          </w:p>
        </w:tc>
      </w:tr>
      <w:tr>
        <w:trPr>
          <w:trHeight w:val="113"/>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Warrants issued with loan</w:t>
            </w:r>
          </w:p>
        </w:tc>
        <w:tc>
          <w:tcPr>
            <w:tcW w:w="1060" w:type="dxa"/>
            <w:vAlign w:val="bottom"/>
            <w:gridSpan w:val="3"/>
            <w:shd w:val="clear" w:color="auto" w:fill="CFF0FC"/>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2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220" w:type="dxa"/>
            <w:vAlign w:val="bottom"/>
            <w:shd w:val="clear" w:color="auto" w:fill="CFF0FC"/>
          </w:tcPr>
          <w:p>
            <w:pPr>
              <w:spacing w:after="0"/>
              <w:rPr>
                <w:sz w:val="7"/>
                <w:szCs w:val="7"/>
                <w:color w:val="auto"/>
              </w:rPr>
            </w:pP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(12,842,446 )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(12,842,446 )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932,997,181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127,313</w:t>
            </w:r>
          </w:p>
        </w:tc>
        <w:tc>
          <w:tcPr>
            <w:tcW w:w="24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24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22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176,274,941</w:t>
            </w:r>
          </w:p>
        </w:tc>
        <w:tc>
          <w:tcPr>
            <w:tcW w:w="220" w:type="dxa"/>
            <w:vAlign w:val="bottom"/>
          </w:tcPr>
          <w:p>
            <w:pPr>
              <w:spacing w:after="0"/>
              <w:rPr>
                <w:sz w:val="8"/>
                <w:szCs w:val="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(239,133,876 )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(42,653 )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(62,949,127 )</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Consolidated Carve-out Statements of Cash Flows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60" w:type="dxa"/>
            <w:vAlign w:val="bottom"/>
          </w:tcPr>
          <w:p>
            <w:pPr>
              <w:jc w:val="center"/>
              <w:ind w:right="172"/>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820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860" w:type="dxa"/>
            <w:vAlign w:val="bottom"/>
          </w:tcPr>
          <w:p>
            <w:pPr>
              <w:spacing w:after="0"/>
              <w:rPr>
                <w:sz w:val="8"/>
                <w:szCs w:val="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8200" w:type="dxa"/>
            <w:vAlign w:val="bottom"/>
          </w:tcPr>
          <w:p>
            <w:pPr>
              <w:jc w:val="center"/>
              <w:ind w:left="751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60" w:type="dxa"/>
            <w:vAlign w:val="bottom"/>
          </w:tcPr>
          <w:p>
            <w:pPr>
              <w:spacing w:after="0"/>
              <w:rPr>
                <w:sz w:val="8"/>
                <w:szCs w:val="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06"/>
        </w:trPr>
        <w:tc>
          <w:tcPr>
            <w:tcW w:w="8200" w:type="dxa"/>
            <w:vAlign w:val="bottom"/>
          </w:tcPr>
          <w:p>
            <w:pPr>
              <w:jc w:val="center"/>
              <w:ind w:left="751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60" w:type="dxa"/>
            <w:vAlign w:val="bottom"/>
          </w:tcPr>
          <w:p>
            <w:pPr>
              <w:spacing w:after="0"/>
              <w:rPr>
                <w:sz w:val="9"/>
                <w:szCs w:val="9"/>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6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6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92"/>
              </w:rPr>
              <w:t>(12,842,446 )</w:t>
            </w:r>
          </w:p>
        </w:tc>
        <w:tc>
          <w:tcPr>
            <w:tcW w:w="15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86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activities:</w:t>
            </w:r>
          </w:p>
        </w:tc>
        <w:tc>
          <w:tcPr>
            <w:tcW w:w="86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loss</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156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related parties</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2,190,482</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1,291,429</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employees</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1,852,702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3,588,960</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 and other current assets</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86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accounts receivable</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1,100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534</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86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(131,679 )</w:t>
            </w:r>
          </w:p>
        </w:tc>
        <w:tc>
          <w:tcPr>
            <w:tcW w:w="15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(695,026 )</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accounts payable, accrued expenses and other payables</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477,428</w:t>
            </w:r>
          </w:p>
        </w:tc>
        <w:tc>
          <w:tcPr>
            <w:tcW w:w="15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(263,348 )</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other payables with related parties</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315,895</w:t>
            </w:r>
          </w:p>
        </w:tc>
        <w:tc>
          <w:tcPr>
            <w:tcW w:w="15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(125,000 )</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6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(4,898,451 </w:t>
            </w:r>
            <w:r>
              <w:rPr>
                <w:rFonts w:ascii="Times New Roman" w:cs="Times New Roman" w:eastAsia="Times New Roman" w:hAnsi="Times New Roman"/>
                <w:sz w:val="10"/>
                <w:szCs w:val="10"/>
                <w:color w:val="auto"/>
              </w:rPr>
              <w:t>)</w:t>
            </w:r>
          </w:p>
        </w:tc>
        <w:tc>
          <w:tcPr>
            <w:tcW w:w="15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b w:val="1"/>
                <w:bCs w:val="1"/>
                <w:color w:val="auto"/>
              </w:rPr>
              <w:t>(8,818,307 )</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6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w:t>
            </w:r>
          </w:p>
        </w:tc>
        <w:tc>
          <w:tcPr>
            <w:tcW w:w="86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(1,360,525 )</w:t>
            </w:r>
          </w:p>
        </w:tc>
        <w:tc>
          <w:tcPr>
            <w:tcW w:w="15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(104,604 )</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86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(3,850 )</w:t>
            </w:r>
          </w:p>
        </w:tc>
        <w:tc>
          <w:tcPr>
            <w:tcW w:w="15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(8,060 )</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86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(1,364,375 </w:t>
            </w:r>
            <w:r>
              <w:rPr>
                <w:rFonts w:ascii="Times New Roman" w:cs="Times New Roman" w:eastAsia="Times New Roman" w:hAnsi="Times New Roman"/>
                <w:sz w:val="10"/>
                <w:szCs w:val="10"/>
                <w:color w:val="auto"/>
              </w:rPr>
              <w:t>)</w:t>
            </w:r>
          </w:p>
        </w:tc>
        <w:tc>
          <w:tcPr>
            <w:tcW w:w="15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b w:val="1"/>
                <w:bCs w:val="1"/>
                <w:color w:val="auto"/>
              </w:rPr>
              <w:t>(112,664 )</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6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1,350,000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1,653,882</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Call up capital received from related parties</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222,306</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199,974</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 term debt obligation from related parties</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(250,000 )</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4,178,008</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15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762,505</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convertible debt</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4,301,855</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2,627,543</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6,274,161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9,171,912</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38,522</w:t>
            </w:r>
          </w:p>
        </w:tc>
        <w:tc>
          <w:tcPr>
            <w:tcW w:w="15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b w:val="1"/>
                <w:bCs w:val="1"/>
                <w:color w:val="auto"/>
              </w:rPr>
              <w:t>(159,230 )</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49,857</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81,711</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period</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60,298</w:t>
            </w:r>
          </w:p>
        </w:tc>
        <w:tc>
          <w:tcPr>
            <w:tcW w:w="15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121,091</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6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115,190</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86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3,000,000</w:t>
            </w:r>
          </w:p>
        </w:tc>
      </w:tr>
      <w:tr>
        <w:trPr>
          <w:trHeight w:val="113"/>
        </w:trPr>
        <w:tc>
          <w:tcPr>
            <w:tcW w:w="8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Conversion of expenses under advanced subscription agreements</w:t>
            </w:r>
          </w:p>
        </w:tc>
        <w:tc>
          <w:tcPr>
            <w:tcW w:w="86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25,143</w:t>
            </w:r>
          </w:p>
        </w:tc>
        <w:tc>
          <w:tcPr>
            <w:tcW w:w="15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132,453</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preparation and consolidation</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77862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does not have any VIEs to which we are the primary beneficiary.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06"/>
        </w:trPr>
        <w:tc>
          <w:tcPr>
            <w:tcW w:w="322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Country of incorporation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Group shareholding (%)</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5"/>
              </w:rPr>
              <w:t>April 20, 2016</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United States of America</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60" w:type="dxa"/>
            <w:vAlign w:val="bottom"/>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2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9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3"/>
              </w:rPr>
              <w:t>Taiwan</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25"/>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10"/>
                <w:szCs w:val="10"/>
                <w:color w:val="auto"/>
                <w:w w:val="94"/>
              </w:rPr>
              <w:t>March 20,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India</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2.3.Use of estimates</w:t>
      </w:r>
    </w:p>
    <w:p>
      <w:pPr>
        <w:spacing w:after="0" w:line="60"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2.4.Emerging Growth Company</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is an “emerging growth company,” as defined in Section 2(a) of the Securities Act of 1933, as amended, (the “Securities Act”), as modified by the Jumpstart our Business Startups Act of 2012, (the “JOBS Act”) .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29"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2.5.Liquidity</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historically funded its operations with cash flow from debt and equity capital raises agreements from investors. The Company's principal uses of cash have been working capital and funding operations.</w:t>
      </w:r>
    </w:p>
    <w:p>
      <w:pPr>
        <w:spacing w:after="0" w:line="11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As of June 30, 2024, the Company had an accumulated deficit of $239.1 million. For the six months ended June 30, 2024, the Company incurred a net loss of $ 12.8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08" w:lineRule="exact"/>
        <w:rPr>
          <w:sz w:val="20"/>
          <w:szCs w:val="20"/>
          <w:color w:val="auto"/>
        </w:rPr>
      </w:pPr>
    </w:p>
    <w:p>
      <w:pPr>
        <w:ind w:right="60" w:firstLine="480"/>
        <w:spacing w:after="0" w:line="292" w:lineRule="auto"/>
        <w:rPr>
          <w:sz w:val="20"/>
          <w:szCs w:val="20"/>
          <w:color w:val="auto"/>
        </w:rPr>
      </w:pPr>
      <w:r>
        <w:rPr>
          <w:rFonts w:ascii="Times New Roman" w:cs="Times New Roman" w:eastAsia="Times New Roman" w:hAnsi="Times New Roman"/>
          <w:sz w:val="10"/>
          <w:szCs w:val="10"/>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2027.</w:t>
      </w:r>
    </w:p>
    <w:p>
      <w:pPr>
        <w:spacing w:after="0" w:line="3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2.6.Recently issued accounting pronouncements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08" w:lineRule="exact"/>
        <w:rPr>
          <w:sz w:val="20"/>
          <w:szCs w:val="20"/>
          <w:color w:val="auto"/>
        </w:rPr>
      </w:pPr>
    </w:p>
    <w:p>
      <w:pPr>
        <w:jc w:val="both"/>
        <w:ind w:right="140" w:firstLine="480"/>
        <w:spacing w:after="0" w:line="277" w:lineRule="auto"/>
        <w:rPr>
          <w:sz w:val="20"/>
          <w:szCs w:val="20"/>
          <w:color w:val="auto"/>
        </w:rPr>
      </w:pPr>
      <w:r>
        <w:rPr>
          <w:rFonts w:ascii="Times New Roman" w:cs="Times New Roman" w:eastAsia="Times New Roman" w:hAnsi="Times New Roman"/>
          <w:sz w:val="9"/>
          <w:szCs w:val="9"/>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2.8.Net loss per share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1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4080" w:type="dxa"/>
            <w:vAlign w:val="bottom"/>
          </w:tcPr>
          <w:p>
            <w:pPr>
              <w:spacing w:after="0"/>
              <w:rPr>
                <w:sz w:val="9"/>
                <w:szCs w:val="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00" w:type="dxa"/>
            <w:vAlign w:val="bottom"/>
          </w:tcPr>
          <w:p>
            <w:pPr>
              <w:spacing w:after="0"/>
              <w:rPr>
                <w:sz w:val="9"/>
                <w:szCs w:val="9"/>
                <w:color w:val="auto"/>
              </w:rPr>
            </w:pPr>
          </w:p>
        </w:tc>
      </w:tr>
      <w:tr>
        <w:trPr>
          <w:trHeight w:val="100"/>
        </w:trPr>
        <w:tc>
          <w:tcPr>
            <w:tcW w:w="40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Convertible loans</w:t>
            </w:r>
          </w:p>
        </w:tc>
        <w:tc>
          <w:tcPr>
            <w:tcW w:w="110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5,423,768</w:t>
            </w:r>
          </w:p>
        </w:tc>
        <w:tc>
          <w:tcPr>
            <w:tcW w:w="10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4,273,552</w:t>
            </w:r>
          </w:p>
        </w:tc>
        <w:tc>
          <w:tcPr>
            <w:tcW w:w="100" w:type="dxa"/>
            <w:vAlign w:val="bottom"/>
            <w:shd w:val="clear" w:color="auto" w:fill="CFF0FC"/>
          </w:tcPr>
          <w:p>
            <w:pPr>
              <w:spacing w:after="0"/>
              <w:rPr>
                <w:sz w:val="8"/>
                <w:szCs w:val="8"/>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loan from related party</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00" w:type="dxa"/>
            <w:vAlign w:val="bottom"/>
            <w:shd w:val="clear" w:color="auto" w:fill="CFF0FC"/>
          </w:tcPr>
          <w:p>
            <w:pPr>
              <w:spacing w:after="0"/>
              <w:rPr>
                <w:sz w:val="9"/>
                <w:szCs w:val="9"/>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3,521,846</w:t>
            </w:r>
          </w:p>
        </w:tc>
        <w:tc>
          <w:tcPr>
            <w:tcW w:w="10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00" w:type="dxa"/>
            <w:vAlign w:val="bottom"/>
            <w:shd w:val="clear" w:color="auto" w:fill="CFF0FC"/>
          </w:tcPr>
          <w:p>
            <w:pPr>
              <w:spacing w:after="0"/>
              <w:rPr>
                <w:sz w:val="9"/>
                <w:szCs w:val="9"/>
                <w:color w:val="auto"/>
              </w:rPr>
            </w:pPr>
          </w:p>
        </w:tc>
      </w:tr>
      <w:tr>
        <w:trPr>
          <w:trHeight w:val="113"/>
        </w:trPr>
        <w:tc>
          <w:tcPr>
            <w:tcW w:w="4080" w:type="dxa"/>
            <w:vAlign w:val="bottom"/>
            <w:tcBorders>
              <w:bottom w:val="single" w:sz="8" w:color="CFF0FC"/>
            </w:tcBorders>
          </w:tcPr>
          <w:p>
            <w:pPr>
              <w:ind w:left="20"/>
              <w:spacing w:after="0" w:line="113" w:lineRule="exact"/>
              <w:rPr>
                <w:sz w:val="20"/>
                <w:szCs w:val="20"/>
                <w:color w:val="auto"/>
              </w:rPr>
            </w:pPr>
            <w:r>
              <w:rPr>
                <w:rFonts w:ascii="Times New Roman" w:cs="Times New Roman" w:eastAsia="Times New Roman" w:hAnsi="Times New Roman"/>
                <w:sz w:val="10"/>
                <w:szCs w:val="10"/>
                <w:color w:val="auto"/>
              </w:rPr>
              <w:t>Preferred shares</w:t>
            </w:r>
          </w:p>
        </w:tc>
        <w:tc>
          <w:tcPr>
            <w:tcW w:w="1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r>
      <w:tr>
        <w:trPr>
          <w:trHeight w:val="103"/>
        </w:trPr>
        <w:tc>
          <w:tcPr>
            <w:tcW w:w="4080" w:type="dxa"/>
            <w:vAlign w:val="bottom"/>
            <w:tcBorders>
              <w:bottom w:val="single" w:sz="8" w:color="CFF0FC"/>
            </w:tcBorders>
            <w:shd w:val="clear" w:color="auto" w:fill="CFF0FC"/>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00" w:type="dxa"/>
            <w:vAlign w:val="bottom"/>
            <w:tcBorders>
              <w:bottom w:val="single" w:sz="8" w:color="auto"/>
            </w:tcBorders>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42,325,131</w:t>
            </w:r>
          </w:p>
        </w:tc>
        <w:tc>
          <w:tcPr>
            <w:tcW w:w="10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38,690,644</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36"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37"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0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Requiring Additional</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at Par Value</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Paid in Capital</w:t>
            </w:r>
          </w:p>
        </w:tc>
        <w:tc>
          <w:tcPr>
            <w:tcW w:w="1280" w:type="dxa"/>
            <w:vAlign w:val="bottom"/>
            <w:gridSpan w:val="2"/>
          </w:tcPr>
          <w:p>
            <w:pPr>
              <w:jc w:val="right"/>
              <w:ind w:right="491"/>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8"/>
                <w:szCs w:val="8"/>
                <w:color w:val="auto"/>
              </w:rPr>
            </w:pPr>
          </w:p>
        </w:tc>
      </w:tr>
      <w:tr>
        <w:trPr>
          <w:trHeight w:val="106"/>
        </w:trPr>
        <w:tc>
          <w:tcPr>
            <w:tcW w:w="4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 xml:space="preserve">£ </w:t>
            </w:r>
            <w:r>
              <w:rPr>
                <w:rFonts w:ascii="Times New Roman" w:cs="Times New Roman" w:eastAsia="Times New Roman" w:hAnsi="Times New Roman"/>
                <w:sz w:val="8"/>
                <w:szCs w:val="8"/>
                <w:b w:val="1"/>
                <w:bCs w:val="1"/>
                <w:color w:val="000000"/>
              </w:rPr>
              <w:t>0.0001</w:t>
            </w:r>
          </w:p>
        </w:tc>
        <w:tc>
          <w:tcPr>
            <w:tcW w:w="1700" w:type="dxa"/>
            <w:vAlign w:val="bottom"/>
            <w:gridSpan w:val="2"/>
          </w:tcPr>
          <w:p>
            <w:pPr>
              <w:jc w:val="center"/>
              <w:ind w:left="54"/>
              <w:spacing w:after="0"/>
              <w:rPr>
                <w:sz w:val="20"/>
                <w:szCs w:val="20"/>
                <w:color w:val="auto"/>
              </w:rPr>
            </w:pPr>
            <w:r>
              <w:rPr>
                <w:rFonts w:ascii="Times New Roman" w:cs="Times New Roman" w:eastAsia="Times New Roman" w:hAnsi="Times New Roman"/>
                <w:sz w:val="8"/>
                <w:szCs w:val="8"/>
                <w:b w:val="1"/>
                <w:bCs w:val="1"/>
                <w:color w:val="202124"/>
                <w:w w:val="99"/>
              </w:rPr>
              <w:t xml:space="preserve">£ </w:t>
            </w:r>
            <w:r>
              <w:rPr>
                <w:rFonts w:ascii="Times New Roman" w:cs="Times New Roman" w:eastAsia="Times New Roman" w:hAnsi="Times New Roman"/>
                <w:sz w:val="8"/>
                <w:szCs w:val="8"/>
                <w:b w:val="1"/>
                <w:bCs w:val="1"/>
                <w:color w:val="000000"/>
                <w:w w:val="99"/>
              </w:rPr>
              <w:t>0.016</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As at January 1, 2023</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2024</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2024</w:t>
            </w:r>
          </w:p>
        </w:tc>
        <w:tc>
          <w:tcPr>
            <w:tcW w:w="13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 w:type="dxa"/>
            <w:vAlign w:val="bottom"/>
            <w:tcBorders>
              <w:bottom w:val="single" w:sz="8" w:color="CFF0FC"/>
            </w:tcBorders>
            <w:shd w:val="clear" w:color="auto" w:fill="CFF0FC"/>
          </w:tcPr>
          <w:p>
            <w:pPr>
              <w:spacing w:after="0"/>
              <w:rPr>
                <w:sz w:val="9"/>
                <w:szCs w:val="9"/>
                <w:color w:val="auto"/>
              </w:rPr>
            </w:pPr>
          </w:p>
        </w:tc>
        <w:tc>
          <w:tcPr>
            <w:tcW w:w="1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0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Borders>
              <w:bottom w:val="single" w:sz="8" w:color="CFF0FC"/>
            </w:tcBorders>
            <w:shd w:val="clear" w:color="auto" w:fill="CFF0FC"/>
          </w:tcPr>
          <w:p>
            <w:pPr>
              <w:spacing w:after="0"/>
              <w:rPr>
                <w:sz w:val="9"/>
                <w:szCs w:val="9"/>
                <w:color w:val="auto"/>
              </w:rPr>
            </w:pPr>
          </w:p>
        </w:tc>
      </w:tr>
    </w:tbl>
    <w:p>
      <w:pPr>
        <w:spacing w:after="0" w:line="136"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0"/>
          <w:szCs w:val="10"/>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2.9.Restatement of error in previously filed condensed interim carve-out consolidated financial statements: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On August 30, 2021, the Company executed a binding term sheet to acquire ANY from the Radio Group GmbH. In accordance with the binding term sheet, the Company issued 14,427,185 ordinary shares valued at $1.03 per share. The ordinary shares were</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0"/>
          <w:szCs w:val="10"/>
          <w:color w:val="auto"/>
        </w:rPr>
        <w:t>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1980" w:type="dxa"/>
            <w:vAlign w:val="bottom"/>
          </w:tcPr>
          <w:p>
            <w:pPr>
              <w:spacing w:after="0"/>
              <w:rPr>
                <w:sz w:val="9"/>
                <w:szCs w:val="9"/>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Assets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122,364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(1,275 )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121,089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75,353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(67,032 )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8,321</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738,274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(161,304 )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576,970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935,991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(229,611 )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706,380</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1980" w:type="dxa"/>
            <w:vAlign w:val="bottom"/>
            <w:shd w:val="clear" w:color="auto" w:fill="CFF0FC"/>
          </w:tcPr>
          <w:p>
            <w:pPr>
              <w:spacing w:after="0"/>
              <w:rPr>
                <w:sz w:val="8"/>
                <w:szCs w:val="8"/>
                <w:color w:val="auto"/>
              </w:rPr>
            </w:pPr>
          </w:p>
        </w:tc>
        <w:tc>
          <w:tcPr>
            <w:tcW w:w="1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119,591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(24,263 )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95,328</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589,524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(18,225 )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571,299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709,115</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(42,488 )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666,627</w:t>
            </w:r>
          </w:p>
        </w:tc>
        <w:tc>
          <w:tcPr>
            <w:tcW w:w="100" w:type="dxa"/>
            <w:vAlign w:val="bottom"/>
          </w:tcPr>
          <w:p>
            <w:pPr>
              <w:spacing w:after="0"/>
              <w:rPr>
                <w:sz w:val="9"/>
                <w:szCs w:val="9"/>
                <w:color w:val="auto"/>
              </w:rPr>
            </w:pPr>
          </w:p>
        </w:tc>
      </w:tr>
      <w:tr>
        <w:trPr>
          <w:trHeight w:val="100"/>
        </w:trPr>
        <w:tc>
          <w:tcPr>
            <w:tcW w:w="344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980" w:type="dxa"/>
            <w:vAlign w:val="bottom"/>
            <w:tcBorders>
              <w:bottom w:val="single" w:sz="8" w:color="CFF0FC"/>
            </w:tcBorders>
            <w:shd w:val="clear" w:color="auto" w:fill="CFF0FC"/>
          </w:tcPr>
          <w:p>
            <w:pPr>
              <w:spacing w:after="0"/>
              <w:rPr>
                <w:sz w:val="8"/>
                <w:szCs w:val="8"/>
                <w:color w:val="auto"/>
              </w:rPr>
            </w:pP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(272,099</w:t>
            </w:r>
          </w:p>
        </w:tc>
        <w:tc>
          <w:tcPr>
            <w:tcW w:w="20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tcBorders>
              <w:bottom w:val="single" w:sz="8" w:color="CFF0FC"/>
            </w:tcBorders>
            <w:shd w:val="clear" w:color="auto" w:fill="CFF0FC"/>
          </w:tcPr>
          <w:p>
            <w:pPr>
              <w:spacing w:after="0"/>
              <w:rPr>
                <w:sz w:val="8"/>
                <w:szCs w:val="8"/>
                <w:color w:val="auto"/>
              </w:rPr>
            </w:pPr>
          </w:p>
        </w:tc>
      </w:tr>
      <w:tr>
        <w:trPr>
          <w:trHeight w:val="108"/>
        </w:trPr>
        <w:tc>
          <w:tcPr>
            <w:tcW w:w="344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4,050,668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(74,773 )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3,975,895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895,170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(795,050 )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100,120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2,875,038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(348,254 )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2,526,784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220" w:type="dxa"/>
            <w:vAlign w:val="bottom"/>
          </w:tcPr>
          <w:p>
            <w:pPr>
              <w:spacing w:after="0"/>
              <w:rPr>
                <w:sz w:val="9"/>
                <w:szCs w:val="9"/>
                <w:color w:val="auto"/>
              </w:rPr>
            </w:pPr>
          </w:p>
        </w:tc>
        <w:tc>
          <w:tcPr>
            <w:tcW w:w="176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16,030,909</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(1,218,077 )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14,812,832</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30,968,733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(1,053,869 )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29,914,864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100" w:type="dxa"/>
            <w:vAlign w:val="bottom"/>
            <w:shd w:val="clear" w:color="auto" w:fill="CFF0FC"/>
          </w:tcPr>
          <w:p>
            <w:pPr>
              <w:spacing w:after="0"/>
              <w:rPr>
                <w:sz w:val="9"/>
                <w:szCs w:val="9"/>
                <w:color w:val="auto"/>
              </w:rPr>
            </w:pPr>
          </w:p>
        </w:tc>
      </w:tr>
      <w:tr>
        <w:trPr>
          <w:trHeight w:val="100"/>
        </w:trPr>
        <w:tc>
          <w:tcPr>
            <w:tcW w:w="344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352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32,211,266</w:t>
            </w:r>
          </w:p>
        </w:tc>
        <w:tc>
          <w:tcPr>
            <w:tcW w:w="220" w:type="dxa"/>
            <w:vAlign w:val="bottom"/>
          </w:tcPr>
          <w:p>
            <w:pPr>
              <w:spacing w:after="0"/>
              <w:rPr>
                <w:sz w:val="8"/>
                <w:szCs w:val="8"/>
                <w:color w:val="auto"/>
              </w:rPr>
            </w:pPr>
          </w:p>
        </w:tc>
        <w:tc>
          <w:tcPr>
            <w:tcW w:w="15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(1,053,869</w:t>
            </w:r>
          </w:p>
        </w:tc>
        <w:tc>
          <w:tcPr>
            <w:tcW w:w="200" w:type="dxa"/>
            <w:vAlign w:val="bottom"/>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31,157,397</w:t>
            </w:r>
          </w:p>
        </w:tc>
        <w:tc>
          <w:tcPr>
            <w:tcW w:w="100" w:type="dxa"/>
            <w:vAlign w:val="bottom"/>
          </w:tcPr>
          <w:p>
            <w:pPr>
              <w:spacing w:after="0"/>
              <w:rPr>
                <w:sz w:val="8"/>
                <w:szCs w:val="8"/>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352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48,242,175</w:t>
            </w: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(2,271,946)</w:t>
            </w:r>
          </w:p>
        </w:tc>
        <w:tc>
          <w:tcPr>
            <w:tcW w:w="200" w:type="dxa"/>
            <w:vAlign w:val="bottom"/>
            <w:shd w:val="clear" w:color="auto" w:fill="CFF0FC"/>
          </w:tcPr>
          <w:p>
            <w:pPr>
              <w:spacing w:after="0"/>
              <w:rPr>
                <w:sz w:val="8"/>
                <w:szCs w:val="8"/>
                <w:color w:val="auto"/>
              </w:rPr>
            </w:pPr>
          </w:p>
        </w:tc>
        <w:tc>
          <w:tcPr>
            <w:tcW w:w="1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45,970,229</w:t>
            </w: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 xml:space="preserve">(1,993 </w:t>
            </w:r>
            <w:r>
              <w:rPr>
                <w:rFonts w:ascii="Times New Roman" w:cs="Times New Roman" w:eastAsia="Times New Roman" w:hAnsi="Times New Roman"/>
                <w:sz w:val="10"/>
                <w:szCs w:val="10"/>
                <w:b w:val="1"/>
                <w:bCs w:val="1"/>
                <w:color w:val="auto"/>
              </w:rPr>
              <w:t>)</w:t>
            </w:r>
          </w:p>
        </w:tc>
        <w:tc>
          <w:tcPr>
            <w:tcW w:w="16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168,358,010</w:t>
            </w:r>
          </w:p>
        </w:tc>
        <w:tc>
          <w:tcPr>
            <w:tcW w:w="2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0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168,360,003</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(213,740,307 </w:t>
            </w:r>
            <w:r>
              <w:rPr>
                <w:rFonts w:ascii="Times New Roman" w:cs="Times New Roman" w:eastAsia="Times New Roman" w:hAnsi="Times New Roman"/>
                <w:sz w:val="10"/>
                <w:szCs w:val="10"/>
                <w:b w:val="1"/>
                <w:bCs w:val="1"/>
                <w:color w:val="auto"/>
              </w:rPr>
              <w: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908,901</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(212,831,406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(1,169,223 </w:t>
            </w:r>
            <w:r>
              <w:rPr>
                <w:rFonts w:ascii="Times New Roman" w:cs="Times New Roman" w:eastAsia="Times New Roman" w:hAnsi="Times New Roman"/>
                <w:sz w:val="10"/>
                <w:szCs w:val="10"/>
                <w:b w:val="1"/>
                <w:bCs w:val="1"/>
                <w:color w:val="auto"/>
              </w:rPr>
              <w:t>)</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1,090,946</w:t>
            </w:r>
          </w:p>
        </w:tc>
        <w:tc>
          <w:tcPr>
            <w:tcW w:w="200" w:type="dxa"/>
            <w:vAlign w:val="bottom"/>
            <w:shd w:val="clear" w:color="auto" w:fill="CFF0FC"/>
          </w:tcPr>
          <w:p>
            <w:pPr>
              <w:spacing w:after="0"/>
              <w:rPr>
                <w:sz w:val="9"/>
                <w:szCs w:val="9"/>
                <w:color w:val="auto"/>
              </w:rPr>
            </w:pP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(78,277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(46,597,069 )</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1,999,847</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(44,597,222 )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(272,099 )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shd w:val="clear" w:color="auto" w:fill="CFF0FC"/>
          </w:tcPr>
          <w:p>
            <w:pPr>
              <w:spacing w:after="0"/>
              <w:rPr>
                <w:sz w:val="9"/>
                <w:szCs w:val="9"/>
                <w:color w:val="auto"/>
              </w:rPr>
            </w:pPr>
          </w:p>
        </w:tc>
      </w:tr>
      <w:tr>
        <w:trPr>
          <w:trHeight w:val="345"/>
        </w:trPr>
        <w:tc>
          <w:tcPr>
            <w:tcW w:w="34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ind w:left="1780"/>
              <w:spacing w:after="0"/>
              <w:rPr>
                <w:sz w:val="20"/>
                <w:szCs w:val="20"/>
                <w:color w:val="auto"/>
              </w:rPr>
            </w:pPr>
            <w:r>
              <w:rPr>
                <w:rFonts w:ascii="Times New Roman" w:cs="Times New Roman" w:eastAsia="Times New Roman" w:hAnsi="Times New Roman"/>
                <w:sz w:val="10"/>
                <w:szCs w:val="10"/>
                <w:color w:val="auto"/>
                <w:w w:val="95"/>
              </w:rPr>
              <w:t>F-15</w:t>
            </w: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77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9"/>
                <w:szCs w:val="9"/>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9"/>
                <w:szCs w:val="9"/>
                <w:color w:val="auto"/>
              </w:rPr>
            </w:pPr>
          </w:p>
        </w:tc>
        <w:tc>
          <w:tcPr>
            <w:tcW w:w="1480" w:type="dxa"/>
            <w:vAlign w:val="bottom"/>
            <w:gridSpan w:val="2"/>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Revenue</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4,604,332</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(4,557,568</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46,764</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Cost of revenue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2,334,088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(2,317,977 )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16,111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Sales and marketing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5,509,407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(799,233 )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4,710,174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11,112,591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(2,369,214 )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8,743,377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Other 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6,397,167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785,000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(258,329)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(1,080,110 )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operating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26,813,263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(12,437,030 )</w:t>
            </w: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14,376,233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Operating loss</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(22,208,931</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7,879,462</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(14,329,469</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Other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(4,106,733)</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1,051,787</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269,510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(97,759 )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171,751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other expenses, net</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(3,837,223</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954,028</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(2,883,195</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Loss before taxes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2"/>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rPr>
              <w:t>(26,046,154 )</w:t>
            </w:r>
          </w:p>
        </w:tc>
        <w:tc>
          <w:tcPr>
            <w:tcW w:w="100" w:type="dxa"/>
            <w:vAlign w:val="bottom"/>
          </w:tcPr>
          <w:p>
            <w:pPr>
              <w:spacing w:after="0"/>
              <w:rPr>
                <w:sz w:val="7"/>
                <w:szCs w:val="7"/>
                <w:color w:val="auto"/>
              </w:rPr>
            </w:pPr>
          </w:p>
        </w:tc>
        <w:tc>
          <w:tcPr>
            <w:tcW w:w="150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8,833,490</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(17,212,664 )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Income tax recovery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1,477,389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(1,540,797 )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(63,408 )</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for the year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b w:val="1"/>
                <w:bCs w:val="1"/>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(17,276,072 )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loss per share – Basic and diluted</w:t>
            </w:r>
          </w:p>
        </w:tc>
        <w:tc>
          <w:tcPr>
            <w:tcW w:w="220" w:type="dxa"/>
            <w:vAlign w:val="bottom"/>
            <w:gridSpan w:val="2"/>
            <w:shd w:val="clear" w:color="auto" w:fill="CFF0FC"/>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tcBorders>
              <w:top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(0.03)</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(0.01</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(0.02</w:t>
            </w:r>
          </w:p>
        </w:tc>
        <w:tc>
          <w:tcPr>
            <w:tcW w:w="1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06"/>
        </w:trPr>
        <w:tc>
          <w:tcPr>
            <w:tcW w:w="5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Weighted average number of shares – Basic and diluted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20"/>
                <w:szCs w:val="20"/>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8"/>
                <w:szCs w:val="8"/>
                <w:color w:val="auto"/>
              </w:rPr>
            </w:pPr>
          </w:p>
        </w:tc>
        <w:tc>
          <w:tcPr>
            <w:tcW w:w="1480" w:type="dxa"/>
            <w:vAlign w:val="bottom"/>
            <w:gridSpan w:val="2"/>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operating activities:</w:t>
            </w: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48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(17,276,072 )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Adjustments to reconcile net loss to net cash (used in)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activities: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Depreciation and amortization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(258,329 )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Unrealized foreign exchange (gain)/loss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63,284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264,099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327,383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3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Share based compensation issued to related parties for consultancy</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services</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Employee share based compensation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4,880,389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3,588,960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prepayments and other current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Impairment of customer list intangible asset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Deferred tax benefit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(1,459,336 )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1,459,336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4,134,431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(1,079,485 )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Changes in operating assets and liabilities: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Decrease/(increase) in accounts receivable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(605 )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(Increase) in prepayment and other current assets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236,410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(931,436 )</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(695,026 )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 in receivable with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(320,702 )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320,702</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Decrease in accounts payable, accrued expenses and other payables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(825,679 )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562,331</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(263,348 )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Increase (decrease) in payables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670,050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(795,050 )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(125,000 )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operating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(8,962,030</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spacing w:after="0"/>
              <w:rPr>
                <w:sz w:val="7"/>
                <w:szCs w:val="7"/>
                <w:color w:val="auto"/>
              </w:rPr>
            </w:pPr>
          </w:p>
        </w:tc>
        <w:tc>
          <w:tcPr>
            <w:tcW w:w="1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143,723</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(8,818,307 )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investing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Purchase of property and equipment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(104,604 )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(104,604 )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Development of intangible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(8,060 )</w:t>
            </w: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(8,060 )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investing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(112,664</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7"/>
                <w:szCs w:val="7"/>
                <w:color w:val="auto"/>
              </w:rPr>
            </w:pPr>
          </w:p>
        </w:tc>
        <w:tc>
          <w:tcPr>
            <w:tcW w:w="1700" w:type="dxa"/>
            <w:vAlign w:val="bottom"/>
            <w:gridSpan w:val="2"/>
          </w:tcPr>
          <w:p>
            <w:pPr>
              <w:jc w:val="right"/>
              <w:ind w:right="215"/>
              <w:spacing w:after="0" w:line="85"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(112,664 )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financing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rights issuance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issuance of common stock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Repayment of short term debt obligation from related parties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(250,000 )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(250,000 )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short-term debt from related party</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short-term debt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convertible debt</w:t>
            </w: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2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700" w:type="dxa"/>
            <w:vAlign w:val="bottom"/>
            <w:tcBorders>
              <w:bottom w:val="single" w:sz="8" w:color="CFF0FC"/>
            </w:tcBorders>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FF0FC"/>
            </w:tcBorders>
            <w:shd w:val="clear" w:color="auto" w:fill="CFF0FC"/>
          </w:tcPr>
          <w:p>
            <w:pPr>
              <w:spacing w:after="0"/>
              <w:rPr>
                <w:sz w:val="8"/>
                <w:szCs w:val="8"/>
                <w:color w:val="auto"/>
              </w:rPr>
            </w:pPr>
          </w:p>
        </w:tc>
        <w:tc>
          <w:tcPr>
            <w:tcW w:w="1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flow generated from financing activities</w:t>
            </w: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Effect of exchange rate changes on cash</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(16,563</w:t>
            </w:r>
          </w:p>
        </w:tc>
        <w:tc>
          <w:tcPr>
            <w:tcW w:w="220" w:type="dxa"/>
            <w:vAlign w:val="bottom"/>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FF0FC"/>
          </w:tcPr>
          <w:p>
            <w:pPr>
              <w:spacing w:after="0"/>
              <w:rPr>
                <w:sz w:val="7"/>
                <w:szCs w:val="7"/>
                <w:color w:val="auto"/>
              </w:rPr>
            </w:pPr>
          </w:p>
        </w:tc>
        <w:tc>
          <w:tcPr>
            <w:tcW w:w="1700" w:type="dxa"/>
            <w:vAlign w:val="bottom"/>
            <w:gridSpan w:val="2"/>
            <w:shd w:val="clear" w:color="auto" w:fill="CFF0FC"/>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(142,667 )</w:t>
            </w:r>
          </w:p>
        </w:tc>
        <w:tc>
          <w:tcPr>
            <w:tcW w:w="100" w:type="dxa"/>
            <w:vAlign w:val="bottom"/>
            <w:shd w:val="clear" w:color="auto" w:fill="CFF0FC"/>
          </w:tcPr>
          <w:p>
            <w:pPr>
              <w:spacing w:after="0"/>
              <w:rPr>
                <w:sz w:val="7"/>
                <w:szCs w:val="7"/>
                <w:color w:val="auto"/>
              </w:rPr>
            </w:pPr>
          </w:p>
        </w:tc>
        <w:tc>
          <w:tcPr>
            <w:tcW w:w="1480" w:type="dxa"/>
            <w:vAlign w:val="bottom"/>
            <w:gridSpan w:val="2"/>
            <w:shd w:val="clear" w:color="auto" w:fill="CFF0FC"/>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(159,230 )</w:t>
            </w:r>
          </w:p>
        </w:tc>
        <w:tc>
          <w:tcPr>
            <w:tcW w:w="0" w:type="dxa"/>
            <w:vAlign w:val="bottom"/>
          </w:tcPr>
          <w:p>
            <w:pPr>
              <w:spacing w:after="0"/>
              <w:rPr>
                <w:sz w:val="1"/>
                <w:szCs w:val="1"/>
                <w:color w:val="auto"/>
              </w:rPr>
            </w:pPr>
          </w:p>
        </w:tc>
      </w:tr>
      <w:tr>
        <w:trPr>
          <w:trHeight w:val="85"/>
        </w:trPr>
        <w:tc>
          <w:tcPr>
            <w:tcW w:w="5320" w:type="dxa"/>
            <w:vAlign w:val="bottom"/>
            <w:tcBorders>
              <w:top w:val="single" w:sz="8" w:color="CFF0FC"/>
            </w:tcBorders>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change in cash</w:t>
            </w: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80,655</w:t>
            </w: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1,056</w:t>
            </w: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81,711</w:t>
            </w: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 beginning of year</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41,709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39,380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and cash equivalents, end of year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122,364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b w:val="1"/>
                <w:bCs w:val="1"/>
                <w:color w:val="auto"/>
              </w:rPr>
              <w:t>(1,273 )</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121,091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2.10.Fair value measurement and concentration of credit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9"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1—Observable inputs are quoted prices (unadjusted) in active markets for identical assets or liabilities that the Company has the ability to access at the measurement date.</w:t>
      </w:r>
    </w:p>
    <w:p>
      <w:pPr>
        <w:spacing w:after="0" w:line="11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68"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29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080" w:type="dxa"/>
            <w:vAlign w:val="bottom"/>
          </w:tcPr>
          <w:p>
            <w:pPr>
              <w:ind w:left="16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480" w:type="dxa"/>
            <w:vAlign w:val="bottom"/>
          </w:tcPr>
          <w:p>
            <w:pPr>
              <w:ind w:left="9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jc w:val="right"/>
              <w:ind w:right="6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13"/>
        </w:trPr>
        <w:tc>
          <w:tcPr>
            <w:tcW w:w="290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25"/>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tcPr>
          <w:p>
            <w:pPr>
              <w:spacing w:after="0"/>
              <w:rPr>
                <w:sz w:val="10"/>
                <w:szCs w:val="10"/>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common shares payable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equivalents, accounts receivables, accounts payable and accrued expenses approximated their fair values due to their short maturities.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As at June 30, 2024 and December 31, 2023,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920" w:type="dxa"/>
            <w:vAlign w:val="bottom"/>
          </w:tcPr>
          <w:p>
            <w:pPr>
              <w:spacing w:after="0"/>
              <w:rPr>
                <w:sz w:val="9"/>
                <w:szCs w:val="9"/>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8"/>
                <w:szCs w:val="8"/>
                <w:b w:val="1"/>
                <w:bCs w:val="1"/>
                <w:color w:val="auto"/>
              </w:rPr>
              <w:t>June 23, 2024</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0"/>
        </w:trPr>
        <w:tc>
          <w:tcPr>
            <w:tcW w:w="392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KPMG LLP</w:t>
            </w:r>
          </w:p>
        </w:tc>
        <w:tc>
          <w:tcPr>
            <w:tcW w:w="118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ind w:left="200"/>
              <w:spacing w:after="0" w:line="100" w:lineRule="exact"/>
              <w:rPr>
                <w:sz w:val="20"/>
                <w:szCs w:val="20"/>
                <w:color w:val="auto"/>
              </w:rPr>
            </w:pPr>
            <w:r>
              <w:rPr>
                <w:rFonts w:ascii="Times New Roman" w:cs="Times New Roman" w:eastAsia="Times New Roman" w:hAnsi="Times New Roman"/>
                <w:sz w:val="10"/>
                <w:szCs w:val="10"/>
                <w:color w:val="auto"/>
                <w:w w:val="79"/>
              </w:rPr>
              <w:t>11</w:t>
            </w:r>
          </w:p>
        </w:tc>
        <w:tc>
          <w:tcPr>
            <w:tcW w:w="340" w:type="dxa"/>
            <w:vAlign w:val="bottom"/>
            <w:shd w:val="clear" w:color="auto" w:fill="CFF0FC"/>
          </w:tcPr>
          <w:p>
            <w:pPr>
              <w:jc w:val="right"/>
              <w:ind w:right="211"/>
              <w:spacing w:after="0" w:line="100" w:lineRule="exact"/>
              <w:rPr>
                <w:sz w:val="20"/>
                <w:szCs w:val="20"/>
                <w:color w:val="auto"/>
              </w:rPr>
            </w:pPr>
            <w:r>
              <w:rPr>
                <w:rFonts w:ascii="Times New Roman" w:cs="Times New Roman" w:eastAsia="Times New Roman" w:hAnsi="Times New Roman"/>
                <w:sz w:val="10"/>
                <w:szCs w:val="10"/>
                <w:color w:val="auto"/>
                <w:w w:val="71"/>
              </w:rPr>
              <w:t>%</w:t>
            </w:r>
          </w:p>
        </w:tc>
        <w:tc>
          <w:tcPr>
            <w:tcW w:w="1480" w:type="dxa"/>
            <w:vAlign w:val="bottom"/>
            <w:tcBorders>
              <w:top w:val="single" w:sz="8" w:color="auto"/>
            </w:tcBorders>
            <w:shd w:val="clear" w:color="auto" w:fill="CFF0FC"/>
          </w:tcPr>
          <w:p>
            <w:pPr>
              <w:ind w:left="1380"/>
              <w:spacing w:after="0" w:line="100" w:lineRule="exact"/>
              <w:rPr>
                <w:sz w:val="20"/>
                <w:szCs w:val="20"/>
                <w:color w:val="auto"/>
              </w:rPr>
            </w:pPr>
            <w:r>
              <w:rPr>
                <w:rFonts w:ascii="Times New Roman" w:cs="Times New Roman" w:eastAsia="Times New Roman" w:hAnsi="Times New Roman"/>
                <w:sz w:val="10"/>
                <w:szCs w:val="10"/>
                <w:color w:val="auto"/>
                <w:w w:val="79"/>
              </w:rPr>
              <w:t>10</w:t>
            </w:r>
          </w:p>
        </w:tc>
        <w:tc>
          <w:tcPr>
            <w:tcW w:w="220" w:type="dxa"/>
            <w:vAlign w:val="bottom"/>
            <w:shd w:val="clear" w:color="auto" w:fill="CFF0FC"/>
          </w:tcPr>
          <w:p>
            <w:pPr>
              <w:jc w:val="right"/>
              <w:ind w:right="91"/>
              <w:spacing w:after="0" w:line="100" w:lineRule="exact"/>
              <w:rPr>
                <w:sz w:val="20"/>
                <w:szCs w:val="20"/>
                <w:color w:val="auto"/>
              </w:rPr>
            </w:pPr>
            <w:r>
              <w:rPr>
                <w:rFonts w:ascii="Times New Roman" w:cs="Times New Roman" w:eastAsia="Times New Roman" w:hAnsi="Times New Roman"/>
                <w:sz w:val="10"/>
                <w:szCs w:val="10"/>
                <w:color w:val="auto"/>
                <w:w w:val="71"/>
              </w:rPr>
              <w:t>%</w:t>
            </w:r>
          </w:p>
        </w:tc>
      </w:tr>
      <w:tr>
        <w:trPr>
          <w:trHeight w:val="113"/>
        </w:trPr>
        <w:tc>
          <w:tcPr>
            <w:tcW w:w="51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640" w:type="dxa"/>
            <w:vAlign w:val="bottom"/>
            <w:gridSpan w:val="2"/>
          </w:tcPr>
          <w:p>
            <w:pPr>
              <w:ind w:lef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700" w:type="dxa"/>
            <w:vAlign w:val="bottom"/>
            <w:gridSpan w:val="2"/>
          </w:tcPr>
          <w:p>
            <w:pPr>
              <w:ind w:left="1380"/>
              <w:spacing w:after="0" w:line="113" w:lineRule="exact"/>
              <w:rPr>
                <w:sz w:val="20"/>
                <w:szCs w:val="20"/>
                <w:color w:val="auto"/>
              </w:rPr>
            </w:pPr>
            <w:r>
              <w:rPr>
                <w:rFonts w:ascii="Times New Roman" w:cs="Times New Roman" w:eastAsia="Times New Roman" w:hAnsi="Times New Roman"/>
                <w:sz w:val="10"/>
                <w:szCs w:val="10"/>
                <w:color w:val="auto"/>
              </w:rPr>
              <w:t>13 %</w:t>
            </w:r>
          </w:p>
        </w:tc>
      </w:tr>
      <w:tr>
        <w:trPr>
          <w:trHeight w:val="113"/>
        </w:trPr>
        <w:tc>
          <w:tcPr>
            <w:tcW w:w="510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640" w:type="dxa"/>
            <w:vAlign w:val="bottom"/>
            <w:gridSpan w:val="2"/>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15 %</w:t>
            </w:r>
          </w:p>
        </w:tc>
        <w:tc>
          <w:tcPr>
            <w:tcW w:w="1700" w:type="dxa"/>
            <w:vAlign w:val="bottom"/>
            <w:gridSpan w:val="2"/>
            <w:shd w:val="clear" w:color="auto" w:fill="CFF0FC"/>
          </w:tcPr>
          <w:p>
            <w:pPr>
              <w:ind w:left="1380"/>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Amazon Web Services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14 %</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3.Prepayments and other current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80" w:type="dxa"/>
            <w:vAlign w:val="bottom"/>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Prepaid expense</w:t>
            </w: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207,829</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130,309</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3,393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68,788</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tcBorders>
              <w:bottom w:val="single" w:sz="8" w:color="CFF0FC"/>
            </w:tcBorders>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 receivable</w:t>
            </w: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150,681</w:t>
            </w: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00" w:type="dxa"/>
            <w:vAlign w:val="bottom"/>
            <w:tcBorders>
              <w:bottom w:val="single" w:sz="8" w:color="CFF0FC"/>
            </w:tcBorders>
          </w:tcPr>
          <w:p>
            <w:pPr>
              <w:spacing w:after="0"/>
              <w:rPr>
                <w:sz w:val="9"/>
                <w:szCs w:val="9"/>
                <w:color w:val="auto"/>
              </w:rPr>
            </w:pPr>
          </w:p>
        </w:tc>
      </w:tr>
      <w:tr>
        <w:trPr>
          <w:trHeight w:val="103"/>
        </w:trPr>
        <w:tc>
          <w:tcPr>
            <w:tcW w:w="1580" w:type="dxa"/>
            <w:vAlign w:val="bottom"/>
          </w:tcPr>
          <w:p>
            <w:pPr>
              <w:spacing w:after="0"/>
              <w:rPr>
                <w:sz w:val="8"/>
                <w:szCs w:val="8"/>
                <w:color w:val="auto"/>
              </w:rPr>
            </w:pPr>
          </w:p>
        </w:tc>
        <w:tc>
          <w:tcPr>
            <w:tcW w:w="4080" w:type="dxa"/>
            <w:vAlign w:val="bottom"/>
            <w:tcBorders>
              <w:bottom w:val="single" w:sz="8" w:color="CFF0FC"/>
            </w:tcBorders>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430,691</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299,013</w:t>
            </w:r>
          </w:p>
        </w:tc>
        <w:tc>
          <w:tcPr>
            <w:tcW w:w="100" w:type="dxa"/>
            <w:vAlign w:val="bottom"/>
            <w:tcBorders>
              <w:bottom w:val="single" w:sz="8" w:color="CFF0FC"/>
            </w:tcBorders>
            <w:shd w:val="clear" w:color="auto" w:fill="CFF0FC"/>
          </w:tcPr>
          <w:p>
            <w:pPr>
              <w:spacing w:after="0"/>
              <w:rPr>
                <w:sz w:val="8"/>
                <w:szCs w:val="8"/>
                <w:color w:val="auto"/>
              </w:rPr>
            </w:pPr>
          </w:p>
        </w:tc>
      </w:tr>
      <w:tr>
        <w:trPr>
          <w:trHeight w:val="321"/>
        </w:trPr>
        <w:tc>
          <w:tcPr>
            <w:tcW w:w="5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4.Intangible assets, net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6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Software</w:t>
            </w: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1,014,094</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1,009,272</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3,218,169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4,232,263</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 - Accumulated amortization</w:t>
            </w:r>
          </w:p>
        </w:tc>
        <w:tc>
          <w:tcPr>
            <w:tcW w:w="168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(835,774 )</w:t>
            </w:r>
          </w:p>
        </w:tc>
        <w:tc>
          <w:tcPr>
            <w:tcW w:w="20" w:type="dxa"/>
            <w:vAlign w:val="bottom"/>
          </w:tcPr>
          <w:p>
            <w:pPr>
              <w:spacing w:after="0"/>
              <w:rPr>
                <w:sz w:val="9"/>
                <w:szCs w:val="9"/>
                <w:color w:val="auto"/>
              </w:rPr>
            </w:pPr>
          </w:p>
        </w:tc>
        <w:tc>
          <w:tcPr>
            <w:tcW w:w="16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(736,834 )</w:t>
            </w:r>
          </w:p>
        </w:tc>
      </w:tr>
      <w:tr>
        <w:trPr>
          <w:trHeight w:val="103"/>
        </w:trPr>
        <w:tc>
          <w:tcPr>
            <w:tcW w:w="1580" w:type="dxa"/>
            <w:vAlign w:val="bottom"/>
          </w:tcPr>
          <w:p>
            <w:pPr>
              <w:spacing w:after="0"/>
              <w:rPr>
                <w:sz w:val="8"/>
                <w:szCs w:val="8"/>
                <w:color w:val="auto"/>
              </w:rPr>
            </w:pPr>
          </w:p>
        </w:tc>
        <w:tc>
          <w:tcPr>
            <w:tcW w:w="4060" w:type="dxa"/>
            <w:vAlign w:val="bottom"/>
            <w:tcBorders>
              <w:bottom w:val="single" w:sz="8" w:color="CFF0FC"/>
            </w:tcBorders>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3,396,489</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2,134,903</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Amortization expense in each of the six months ended June 30, 2024 and June 30, 2023 was $ $98,940.</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40"/>
          </w:cols>
          <w:pgMar w:left="640" w:top="921" w:right="82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5.Debt and other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40" w:type="dxa"/>
            <w:vAlign w:val="bottom"/>
          </w:tcPr>
          <w:p>
            <w:pPr>
              <w:ind w:left="450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20" w:type="dxa"/>
            <w:vAlign w:val="bottom"/>
          </w:tcPr>
          <w:p>
            <w:pPr>
              <w:spacing w:after="0"/>
              <w:rPr>
                <w:sz w:val="8"/>
                <w:szCs w:val="8"/>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40" w:type="dxa"/>
            <w:vAlign w:val="bottom"/>
          </w:tcPr>
          <w:p>
            <w:pPr>
              <w:ind w:left="4720"/>
              <w:spacing w:after="0"/>
              <w:rPr>
                <w:sz w:val="20"/>
                <w:szCs w:val="20"/>
                <w:color w:val="auto"/>
              </w:rPr>
            </w:pPr>
            <w:r>
              <w:rPr>
                <w:rFonts w:ascii="Times New Roman" w:cs="Times New Roman" w:eastAsia="Times New Roman" w:hAnsi="Times New Roman"/>
                <w:sz w:val="8"/>
                <w:szCs w:val="8"/>
                <w:b w:val="1"/>
                <w:bCs w:val="1"/>
                <w:color w:val="auto"/>
              </w:rPr>
              <w:t>$</w:t>
            </w:r>
          </w:p>
        </w:tc>
        <w:tc>
          <w:tcPr>
            <w:tcW w:w="820" w:type="dxa"/>
            <w:vAlign w:val="bottom"/>
          </w:tcPr>
          <w:p>
            <w:pPr>
              <w:spacing w:after="0"/>
              <w:rPr>
                <w:sz w:val="9"/>
                <w:szCs w:val="9"/>
                <w:color w:val="auto"/>
              </w:rPr>
            </w:pPr>
          </w:p>
        </w:tc>
        <w:tc>
          <w:tcPr>
            <w:tcW w:w="1580" w:type="dxa"/>
            <w:vAlign w:val="bottom"/>
          </w:tcPr>
          <w:p>
            <w:pPr>
              <w:jc w:val="right"/>
              <w:ind w:right="83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from Related parties (5.1)</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6,225,815</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(5.2)</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(5.3)</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31,088,259</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 (5.5)</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short-term debt</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1,298,734</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37,446,343</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Long-term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06"/>
        </w:trPr>
        <w:tc>
          <w:tcPr>
            <w:tcW w:w="50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promissory notes (5.4)</w:t>
            </w:r>
          </w:p>
        </w:tc>
        <w:tc>
          <w:tcPr>
            <w:tcW w:w="820" w:type="dxa"/>
            <w:vAlign w:val="bottom"/>
          </w:tcPr>
          <w:p>
            <w:pPr>
              <w:jc w:val="right"/>
              <w:ind w:right="291"/>
              <w:spacing w:after="0" w:line="106" w:lineRule="exact"/>
              <w:rPr>
                <w:sz w:val="20"/>
                <w:szCs w:val="20"/>
                <w:color w:val="auto"/>
              </w:rPr>
            </w:pPr>
            <w:r>
              <w:rPr>
                <w:rFonts w:ascii="Times New Roman" w:cs="Times New Roman" w:eastAsia="Times New Roman" w:hAnsi="Times New Roman"/>
                <w:sz w:val="10"/>
                <w:szCs w:val="10"/>
                <w:color w:val="auto"/>
              </w:rPr>
              <w:t>5,395,702</w:t>
            </w:r>
          </w:p>
        </w:tc>
        <w:tc>
          <w:tcPr>
            <w:tcW w:w="158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w:t>
            </w:r>
          </w:p>
        </w:tc>
      </w:tr>
      <w:tr>
        <w:trPr>
          <w:trHeight w:val="119"/>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loans (5.3)</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38,737,594</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long-term debt</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details of the Company’s debt are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5.1.</w:t>
      </w:r>
      <w:r>
        <w:rPr>
          <w:rFonts w:ascii="Times New Roman" w:cs="Times New Roman" w:eastAsia="Times New Roman" w:hAnsi="Times New Roman"/>
          <w:sz w:val="10"/>
          <w:szCs w:val="10"/>
          <w:color w:val="auto"/>
        </w:rPr>
        <w:t>Short-term debt from Related parties: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bore a borrowing fee of $660,000 and €660,000, respectively, which has been recorded in interest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expense in the six months ended June 30, 2023. The loans were due to mature on July 31, 2023 or at the option of the investor, can be converted into ordinary shares of the Company including the accrued borrowing fees at a conversion rate of 0.50 to the Company’s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price at listing after completing any reorganization. The loans were not repaid by the maturity date and therefore the Company was in default of the two unsecured convertible loans and the loans remained repayable on demand at December 31, 2023 for a total of</w:t>
      </w:r>
    </w:p>
    <w:p>
      <w:pPr>
        <w:spacing w:after="0"/>
        <w:rPr>
          <w:sz w:val="20"/>
          <w:szCs w:val="20"/>
          <w:color w:val="auto"/>
        </w:rPr>
      </w:pPr>
      <w:r>
        <w:rPr>
          <w:rFonts w:ascii="Times New Roman" w:cs="Times New Roman" w:eastAsia="Times New Roman" w:hAnsi="Times New Roman"/>
          <w:sz w:val="9"/>
          <w:szCs w:val="9"/>
          <w:color w:val="auto"/>
        </w:rPr>
        <w:t>$5,587,343 including their accrued borrowing fee. On January 26, 2024, the two unsecured convertible loans were added to the Company’s senior secured convertible notes (note 5.3). The loan principal and accrued borrowing fees were rounded to a sum of $8,000,000.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key terms of the loan amendment include that of the senior secured convertible notes, as noted below: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at the option of the investor from any date of an IPO or Business Combination with a publicly listed company.</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 xml:space="preserve">5.2. </w:t>
      </w:r>
      <w:r>
        <w:rPr>
          <w:rFonts w:ascii="Times New Roman" w:cs="Times New Roman" w:eastAsia="Times New Roman" w:hAnsi="Times New Roman"/>
          <w:sz w:val="10"/>
          <w:szCs w:val="10"/>
          <w:color w:val="auto"/>
        </w:rPr>
        <w:t>A Short term convertible debt to a related party of $132,269 was also added to the Company’s senior secured convertible note. The loan includes principal of $125,000 and $11,943 of interest. The loan was originally entered into March 2, 2023 and bore interest at 7.5%</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per annum. Upon adding to the Company's senior secured convertible note on January 26, 2024, the note now bears the same terms and conditions as Igor Lychagov's loan discussed above in note 5.2.</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0"/>
          <w:szCs w:val="10"/>
          <w:b w:val="1"/>
          <w:bCs w:val="1"/>
          <w:color w:val="auto"/>
        </w:rPr>
        <w:t>5.3.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04"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May 23, 2023 amendment terms of the secured convertible notes, Rezolve has given certain covenants to the noteholders which remain in force while the convertible notes are outstanding, including that</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(i)the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41" w:lineRule="exact"/>
        <w:rPr>
          <w:sz w:val="20"/>
          <w:szCs w:val="20"/>
          <w:color w:val="auto"/>
        </w:rPr>
      </w:pPr>
    </w:p>
    <w:p>
      <w:pPr>
        <w:ind w:left="480" w:right="38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01"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It is the Company’s current intent to settle the principal amount and accrued interest of its outstanding convertible debt in the Company’s ordinary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August 16, 2024, and extension to the maturity date to at least August 16, 2027, the Company classified the Convertible debt as non-current as at June 30, 2024 under the guidance in ASC 470-10-45-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14.</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5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20" w:type="dxa"/>
            <w:vAlign w:val="bottom"/>
          </w:tcPr>
          <w:p>
            <w:pPr>
              <w:jc w:val="right"/>
              <w:ind w:right="873"/>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3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debt under troubled debt</w:t>
            </w:r>
          </w:p>
        </w:tc>
        <w:tc>
          <w:tcPr>
            <w:tcW w:w="2020" w:type="dxa"/>
            <w:vAlign w:val="bottom"/>
          </w:tcPr>
          <w:p>
            <w:pPr>
              <w:jc w:val="right"/>
              <w:ind w:right="333"/>
              <w:spacing w:after="0" w:line="106" w:lineRule="exact"/>
              <w:rPr>
                <w:sz w:val="20"/>
                <w:szCs w:val="20"/>
                <w:color w:val="auto"/>
              </w:rPr>
            </w:pPr>
            <w:r>
              <w:rPr>
                <w:rFonts w:ascii="Times New Roman" w:cs="Times New Roman" w:eastAsia="Times New Roman" w:hAnsi="Times New Roman"/>
                <w:sz w:val="10"/>
                <w:szCs w:val="10"/>
                <w:color w:val="auto"/>
              </w:rPr>
              <w:t>38,737,594</w:t>
            </w:r>
          </w:p>
        </w:tc>
        <w:tc>
          <w:tcPr>
            <w:tcW w:w="154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31,220,528</w:t>
            </w:r>
          </w:p>
        </w:tc>
      </w:tr>
      <w:tr>
        <w:trPr>
          <w:trHeight w:val="119"/>
        </w:trPr>
        <w:tc>
          <w:tcPr>
            <w:tcW w:w="1580" w:type="dxa"/>
            <w:vAlign w:val="bottom"/>
          </w:tcPr>
          <w:p>
            <w:pPr>
              <w:spacing w:after="0"/>
              <w:rPr>
                <w:sz w:val="10"/>
                <w:szCs w:val="10"/>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restructuring</w:t>
            </w:r>
          </w:p>
        </w:tc>
        <w:tc>
          <w:tcPr>
            <w:tcW w:w="20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spacing w:after="0"/>
              <w:rPr>
                <w:sz w:val="9"/>
                <w:szCs w:val="9"/>
                <w:color w:val="auto"/>
              </w:rPr>
            </w:pPr>
          </w:p>
        </w:tc>
        <w:tc>
          <w:tcPr>
            <w:tcW w:w="2020" w:type="dxa"/>
            <w:vAlign w:val="bottom"/>
            <w:shd w:val="clear" w:color="auto" w:fill="CFF0FC"/>
          </w:tcPr>
          <w:p>
            <w:pPr>
              <w:jc w:val="right"/>
              <w:ind w:right="333"/>
              <w:spacing w:after="0" w:line="113" w:lineRule="exact"/>
              <w:rPr>
                <w:sz w:val="20"/>
                <w:szCs w:val="20"/>
                <w:color w:val="auto"/>
              </w:rPr>
            </w:pPr>
            <w:r>
              <w:rPr>
                <w:rFonts w:ascii="Times New Roman" w:cs="Times New Roman" w:eastAsia="Times New Roman" w:hAnsi="Times New Roman"/>
                <w:sz w:val="10"/>
                <w:szCs w:val="10"/>
                <w:b w:val="1"/>
                <w:bCs w:val="1"/>
                <w:color w:val="auto"/>
              </w:rPr>
              <w:t>38,737,594</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r>
      <w:tr>
        <w:trPr>
          <w:trHeight w:val="321"/>
        </w:trPr>
        <w:tc>
          <w:tcPr>
            <w:tcW w:w="5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5.4.</w:t>
            </w:r>
            <w:r>
              <w:rPr>
                <w:rFonts w:ascii="Times New Roman" w:cs="Times New Roman" w:eastAsia="Times New Roman" w:hAnsi="Times New Roman"/>
                <w:sz w:val="10"/>
                <w:szCs w:val="10"/>
                <w:color w:val="auto"/>
              </w:rPr>
              <w:t>Convertible promissory notes: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2"/>
        </w:trPr>
        <w:tc>
          <w:tcPr>
            <w:tcW w:w="1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3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promissory note</w:t>
            </w:r>
          </w:p>
        </w:tc>
        <w:tc>
          <w:tcPr>
            <w:tcW w:w="2020" w:type="dxa"/>
            <w:vAlign w:val="bottom"/>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2,508,685</w:t>
            </w:r>
          </w:p>
        </w:tc>
        <w:tc>
          <w:tcPr>
            <w:tcW w:w="1540" w:type="dxa"/>
            <w:vAlign w:val="bottom"/>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2,887,017</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convertible promissory notes</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b w:val="1"/>
                <w:bCs w:val="1"/>
                <w:color w:val="auto"/>
              </w:rPr>
              <w:t>5,395,702</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bl>
    <w:p>
      <w:pPr>
        <w:spacing w:after="0" w:line="61" w:lineRule="exact"/>
        <w:rPr>
          <w:sz w:val="20"/>
          <w:szCs w:val="20"/>
          <w:color w:val="auto"/>
        </w:rPr>
      </w:pPr>
    </w:p>
    <w:p>
      <w:pPr>
        <w:ind w:right="20" w:firstLine="480"/>
        <w:spacing w:after="0" w:line="221" w:lineRule="auto"/>
        <w:rPr>
          <w:sz w:val="20"/>
          <w:szCs w:val="20"/>
          <w:color w:val="auto"/>
        </w:rPr>
      </w:pPr>
      <w:r>
        <w:rPr>
          <w:rFonts w:ascii="Times New Roman" w:cs="Times New Roman" w:eastAsia="Times New Roman" w:hAnsi="Times New Roman"/>
          <w:sz w:val="10"/>
          <w:szCs w:val="10"/>
          <w:color w:val="auto"/>
        </w:rPr>
        <w:t>On February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0"/>
          <w:szCs w:val="10"/>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5.5.</w:t>
      </w:r>
      <w:r>
        <w:rPr>
          <w:rFonts w:ascii="Times New Roman" w:cs="Times New Roman" w:eastAsia="Times New Roman" w:hAnsi="Times New Roman"/>
          <w:sz w:val="10"/>
          <w:szCs w:val="10"/>
          <w:color w:val="auto"/>
        </w:rPr>
        <w:t>Promissory note:</w:t>
      </w:r>
    </w:p>
    <w:p>
      <w:pPr>
        <w:spacing w:after="0" w:line="68" w:lineRule="exact"/>
        <w:rPr>
          <w:sz w:val="20"/>
          <w:szCs w:val="20"/>
          <w:color w:val="auto"/>
        </w:rPr>
      </w:pPr>
    </w:p>
    <w:p>
      <w:pPr>
        <w:ind w:right="80" w:firstLine="480"/>
        <w:spacing w:after="0" w:line="221"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6.Other current and long-term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20" w:type="dxa"/>
            <w:vAlign w:val="bottom"/>
          </w:tcPr>
          <w:p>
            <w:pPr>
              <w:jc w:val="center"/>
              <w:ind w:left="4374"/>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40" w:type="dxa"/>
            <w:vAlign w:val="bottom"/>
          </w:tcPr>
          <w:p>
            <w:pPr>
              <w:spacing w:after="0"/>
              <w:rPr>
                <w:sz w:val="8"/>
                <w:szCs w:val="8"/>
                <w:color w:val="auto"/>
              </w:rPr>
            </w:pP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20" w:type="dxa"/>
            <w:vAlign w:val="bottom"/>
          </w:tcPr>
          <w:p>
            <w:pPr>
              <w:jc w:val="right"/>
              <w:ind w:right="234"/>
              <w:spacing w:after="0"/>
              <w:rPr>
                <w:sz w:val="20"/>
                <w:szCs w:val="20"/>
                <w:color w:val="auto"/>
              </w:rPr>
            </w:pPr>
            <w:r>
              <w:rPr>
                <w:rFonts w:ascii="Times New Roman" w:cs="Times New Roman" w:eastAsia="Times New Roman" w:hAnsi="Times New Roman"/>
                <w:sz w:val="8"/>
                <w:szCs w:val="8"/>
                <w:b w:val="1"/>
                <w:bCs w:val="1"/>
                <w:color w:val="auto"/>
              </w:rPr>
              <w:t>$</w:t>
            </w:r>
          </w:p>
        </w:tc>
        <w:tc>
          <w:tcPr>
            <w:tcW w:w="840" w:type="dxa"/>
            <w:vAlign w:val="bottom"/>
          </w:tcPr>
          <w:p>
            <w:pPr>
              <w:spacing w:after="0"/>
              <w:rPr>
                <w:sz w:val="9"/>
                <w:szCs w:val="9"/>
                <w:color w:val="auto"/>
              </w:rPr>
            </w:pPr>
          </w:p>
        </w:tc>
        <w:tc>
          <w:tcPr>
            <w:tcW w:w="1580" w:type="dxa"/>
            <w:vAlign w:val="bottom"/>
          </w:tcPr>
          <w:p>
            <w:pPr>
              <w:jc w:val="right"/>
              <w:ind w:right="8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Other current liabilities</w:t>
            </w:r>
          </w:p>
        </w:tc>
        <w:tc>
          <w:tcPr>
            <w:tcW w:w="84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(6.1)</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1580" w:type="dxa"/>
            <w:vAlign w:val="bottom"/>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8,223,928</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(6.2)</w:t>
            </w:r>
          </w:p>
        </w:tc>
        <w:tc>
          <w:tcPr>
            <w:tcW w:w="84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158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1,311,028</w:t>
            </w:r>
          </w:p>
        </w:tc>
      </w:tr>
    </w:tbl>
    <w:p>
      <w:pPr>
        <w:spacing w:after="0" w:line="1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b w:val="1"/>
          <w:bCs w:val="1"/>
          <w:color w:val="auto"/>
        </w:rPr>
        <w:t>6.1.</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6.2.</w:t>
      </w:r>
      <w:r>
        <w:rPr>
          <w:rFonts w:ascii="Times New Roman" w:cs="Times New Roman" w:eastAsia="Times New Roman" w:hAnsi="Times New Roman"/>
          <w:sz w:val="9"/>
          <w:szCs w:val="9"/>
          <w:color w:val="auto"/>
        </w:rPr>
        <w:t>On October 7th, 2021, the Group acquired Jaymax International Service Inc. (“Jaymax”) (later renamed to “Rezolve Taiwan Limited”). As part of the acquisition of Jaymax, the Company agreed to issue $1,400,000 in Rezolve common stock to Jaymax’s former owner</w:t>
      </w:r>
    </w:p>
    <w:p>
      <w:pPr>
        <w:spacing w:after="0" w:line="2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0"/>
          <w:szCs w:val="10"/>
          <w:color w:val="auto"/>
        </w:rPr>
        <w:t>for completion of a 3-year noncompete period which began on the October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7.Other Non-operating (income)/ expenses,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20" w:type="dxa"/>
            <w:vAlign w:val="bottom"/>
            <w:gridSpan w:val="2"/>
          </w:tcPr>
          <w:p>
            <w:pPr>
              <w:jc w:val="center"/>
              <w:ind w:left="23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60" w:type="dxa"/>
            <w:vAlign w:val="bottom"/>
          </w:tcPr>
          <w:p>
            <w:pPr>
              <w:spacing w:after="0"/>
              <w:rPr>
                <w:sz w:val="9"/>
                <w:szCs w:val="9"/>
                <w:color w:val="auto"/>
              </w:rPr>
            </w:pPr>
          </w:p>
        </w:tc>
        <w:tc>
          <w:tcPr>
            <w:tcW w:w="880" w:type="dxa"/>
            <w:vAlign w:val="bottom"/>
          </w:tcPr>
          <w:p>
            <w:pPr>
              <w:jc w:val="center"/>
              <w:ind w:left="3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(gain) loss</w:t>
            </w:r>
          </w:p>
        </w:tc>
        <w:tc>
          <w:tcPr>
            <w:tcW w:w="39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260" w:type="dxa"/>
            <w:vAlign w:val="bottom"/>
            <w:shd w:val="clear" w:color="auto" w:fill="CFF0FC"/>
          </w:tcPr>
          <w:p>
            <w:pPr>
              <w:spacing w:after="0"/>
              <w:rPr>
                <w:sz w:val="9"/>
                <w:szCs w:val="9"/>
                <w:color w:val="auto"/>
              </w:rPr>
            </w:pP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420" w:type="dxa"/>
            <w:vAlign w:val="bottom"/>
          </w:tcPr>
          <w:p>
            <w:pPr>
              <w:spacing w:after="0"/>
              <w:rPr>
                <w:sz w:val="9"/>
                <w:szCs w:val="9"/>
                <w:color w:val="auto"/>
              </w:rPr>
            </w:pPr>
          </w:p>
        </w:tc>
        <w:tc>
          <w:tcPr>
            <w:tcW w:w="176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(496,448 )</w:t>
            </w: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4180" w:type="dxa"/>
            <w:vAlign w:val="bottom"/>
            <w:gridSpan w:val="3"/>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(408 )</w:t>
            </w: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(2,686)</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3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107,816</w:t>
            </w:r>
          </w:p>
        </w:tc>
        <w:tc>
          <w:tcPr>
            <w:tcW w:w="260" w:type="dxa"/>
            <w:vAlign w:val="bottom"/>
          </w:tcPr>
          <w:p>
            <w:pPr>
              <w:spacing w:after="0"/>
              <w:rPr>
                <w:sz w:val="9"/>
                <w:szCs w:val="9"/>
                <w:color w:val="auto"/>
              </w:rPr>
            </w:pP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(171,751 )</w:t>
            </w:r>
          </w:p>
        </w:tc>
      </w:tr>
      <w:tr>
        <w:trPr>
          <w:trHeight w:val="316"/>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8.Related party disclosures</w:t>
            </w:r>
          </w:p>
        </w:tc>
        <w:tc>
          <w:tcPr>
            <w:tcW w:w="24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52"/>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1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Director and chief executive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products, technology and digital services</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Susan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Member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 – Basis of presentation).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Transactions with and outstanding balances with related parties were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period</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00" w:type="dxa"/>
            <w:vAlign w:val="bottom"/>
          </w:tcPr>
          <w:p>
            <w:pPr>
              <w:spacing w:after="0"/>
              <w:rPr>
                <w:sz w:val="9"/>
                <w:szCs w:val="9"/>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(number of Ordinary shares issued in 2023 - 163,265)</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4,000,000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93,750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31,250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19,844</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63,500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27,413</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79,250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Reimbursement of expenses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79,180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151,799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147,702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113,849</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110,776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139,149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135,393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195,075</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115,682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673,282</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673,282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345,896</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345,896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189,749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184,627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184,627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200,129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China (2)</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570,917</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(1)DBLP Sea Cow Ltd. (a company incorporated in the Seychelles) (“DBLP Sea Cow”) is wholly legally owned by Dan Wagner, Chief Executive Officer of Rezolve.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(2)The Company has expensed all cash transferred to its subsidiary Rezolve China. Please refer to the basis of presentation discussed in note 2.1.</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921"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760" w:type="dxa"/>
            <w:vAlign w:val="bottom"/>
          </w:tcPr>
          <w:p>
            <w:pPr>
              <w:spacing w:after="0"/>
              <w:rPr>
                <w:sz w:val="8"/>
                <w:szCs w:val="8"/>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200" w:type="dxa"/>
            <w:vAlign w:val="bottom"/>
          </w:tcPr>
          <w:p>
            <w:pPr>
              <w:ind w:left="4880"/>
              <w:spacing w:after="0"/>
              <w:rPr>
                <w:sz w:val="20"/>
                <w:szCs w:val="20"/>
                <w:color w:val="auto"/>
              </w:rPr>
            </w:pPr>
            <w:r>
              <w:rPr>
                <w:rFonts w:ascii="Times New Roman" w:cs="Times New Roman" w:eastAsia="Times New Roman" w:hAnsi="Times New Roman"/>
                <w:sz w:val="8"/>
                <w:szCs w:val="8"/>
                <w:b w:val="1"/>
                <w:bCs w:val="1"/>
                <w:color w:val="auto"/>
              </w:rPr>
              <w:t>$</w:t>
            </w:r>
          </w:p>
        </w:tc>
        <w:tc>
          <w:tcPr>
            <w:tcW w:w="760" w:type="dxa"/>
            <w:vAlign w:val="bottom"/>
          </w:tcPr>
          <w:p>
            <w:pPr>
              <w:spacing w:after="0"/>
              <w:rPr>
                <w:sz w:val="9"/>
                <w:szCs w:val="9"/>
                <w:color w:val="auto"/>
              </w:rPr>
            </w:pPr>
          </w:p>
        </w:tc>
        <w:tc>
          <w:tcPr>
            <w:tcW w:w="1480" w:type="dxa"/>
            <w:vAlign w:val="bottom"/>
          </w:tcPr>
          <w:p>
            <w:pPr>
              <w:jc w:val="right"/>
              <w:ind w:right="7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Unsecured Loans payable</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447,067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Trade and other payables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450,000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334,725</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147,485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151,105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61,495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30,407</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31,248</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58,320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126,223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127,325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1,133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76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 (note 5.2)</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136,943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(note 5.3)</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6,028,177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5,587,343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1,260,417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94,531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31,510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20,009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64,029</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27,641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79,910</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9.Income taxes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Close of business combination with Armada Acquisition Corp I. (“Armada”)</w:t>
      </w:r>
    </w:p>
    <w:p>
      <w:pPr>
        <w:spacing w:after="0" w:line="120"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Amendment and restatement to the Yorkville Note</w:t>
      </w:r>
    </w:p>
    <w:p>
      <w:pPr>
        <w:spacing w:after="0" w:line="12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80"/>
          </w:cols>
          <w:pgMar w:left="640" w:top="921" w:right="88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Board of Directors and Stockholders of Rezolve AI Limited and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Restatement of the 2023 and 2022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discussed in Note 2, the accompanying 2023 and 2022 carve-out consolidated financial statements have been restated.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Substantial Doubt about the Company’s Ability to Continue as a Going Concern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have been prepared assuming that the Company will continue as a going concern. As discussed in Note 2 to the carve- 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and significant estimates made by management, as well as evaluating the overall presentation of the carve-out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Grassi &amp; Co., CPAs, P.C.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Jericho, New York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May 20, 2024, except for Notes 2.20, 13 and 14, as to which the date is June 11, 2024, expect Note 17 as to which the date is October 28, 2024.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7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8,855</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299,013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440,846</w:t>
            </w: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Loans receivable (net of credit loss provision of $785,000 and nil as at</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spacing w:after="0"/>
              <w:rPr>
                <w:sz w:val="10"/>
                <w:szCs w:val="1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598,414</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110,998</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450,446</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3,728,974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 (refer to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621,791</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2,640,384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(refer to note 14)</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 (refer to note 2.20 and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7,688,216</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(long-term)</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 (long-term)</w:t>
            </w:r>
          </w:p>
        </w:tc>
        <w:tc>
          <w:tcPr>
            <w:tcW w:w="240" w:type="dxa"/>
            <w:vAlign w:val="bottom"/>
          </w:tcPr>
          <w:p>
            <w:pPr>
              <w:spacing w:after="0"/>
              <w:rPr>
                <w:sz w:val="9"/>
                <w:szCs w:val="9"/>
                <w:color w:val="auto"/>
              </w:rPr>
            </w:pPr>
          </w:p>
        </w:tc>
        <w:tc>
          <w:tcPr>
            <w:tcW w:w="154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Ordinary shares, £0.0001 nominal value 932,969,424 shares issued and outstanding</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as of December 31, 2023 927,806,159 shares issued and outstanding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December 31, 2022 991,285,244 and 986,121,959 shares authorized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280" w:type="dxa"/>
            <w:vAlign w:val="bottom"/>
          </w:tcPr>
          <w:p>
            <w:pPr>
              <w:spacing w:after="0"/>
              <w:rPr>
                <w:sz w:val="10"/>
                <w:szCs w:val="10"/>
                <w:color w:val="auto"/>
              </w:rPr>
            </w:pP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126,677</w:t>
            </w:r>
          </w:p>
        </w:tc>
        <w:tc>
          <w:tcPr>
            <w:tcW w:w="100" w:type="dxa"/>
            <w:vAlign w:val="bottom"/>
          </w:tcPr>
          <w:p>
            <w:pPr>
              <w:spacing w:after="0"/>
              <w:rPr>
                <w:sz w:val="10"/>
                <w:szCs w:val="10"/>
                <w:color w:val="auto"/>
              </w:rPr>
            </w:pPr>
          </w:p>
        </w:tc>
      </w:tr>
      <w:tr>
        <w:trPr>
          <w:trHeight w:val="106"/>
        </w:trPr>
        <w:tc>
          <w:tcPr>
            <w:tcW w:w="7280" w:type="dxa"/>
            <w:vAlign w:val="bottom"/>
            <w:shd w:val="clear" w:color="auto" w:fill="CFF0FC"/>
          </w:tcPr>
          <w:p>
            <w:pPr>
              <w:ind w:left="100"/>
              <w:spacing w:after="0" w:line="106" w:lineRule="exact"/>
              <w:rPr>
                <w:sz w:val="20"/>
                <w:szCs w:val="20"/>
                <w:color w:val="auto"/>
              </w:rPr>
            </w:pPr>
            <w:r>
              <w:rPr>
                <w:rFonts w:ascii="Times New Roman" w:cs="Times New Roman" w:eastAsia="Times New Roman" w:hAnsi="Times New Roman"/>
                <w:sz w:val="10"/>
                <w:szCs w:val="10"/>
                <w:color w:val="auto"/>
              </w:rPr>
              <w:t>Series A shares, £0.0001 nominal value 28,039,517 shares issued, authorized and</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7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outstanding as of December 31, 2023 and 2022</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10"/>
                <w:szCs w:val="10"/>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163,165,083</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 (1)</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(226,291,430 )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(150,744 )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(54,284,884 )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4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(1)Includes related party balances of $(119,844) as at December 31, 2023 and 2022, refer to note 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340" w:type="dxa"/>
            <w:vAlign w:val="bottom"/>
          </w:tcPr>
          <w:p>
            <w:pPr>
              <w:spacing w:after="0"/>
              <w:rPr>
                <w:sz w:val="8"/>
                <w:szCs w:val="8"/>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340" w:type="dxa"/>
            <w:vAlign w:val="bottom"/>
          </w:tcPr>
          <w:p>
            <w:pPr>
              <w:spacing w:after="0"/>
              <w:rPr>
                <w:sz w:val="8"/>
                <w:szCs w:val="8"/>
                <w:color w:val="auto"/>
              </w:rPr>
            </w:pPr>
          </w:p>
        </w:tc>
        <w:tc>
          <w:tcPr>
            <w:tcW w:w="1340" w:type="dxa"/>
            <w:vAlign w:val="bottom"/>
          </w:tcPr>
          <w:p>
            <w:pPr>
              <w:jc w:val="center"/>
              <w:ind w:right="27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340" w:type="dxa"/>
            <w:vAlign w:val="bottom"/>
          </w:tcPr>
          <w:p>
            <w:pPr>
              <w:spacing w:after="0"/>
              <w:rPr>
                <w:sz w:val="9"/>
                <w:szCs w:val="9"/>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 (refer to note 2.11)</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04"/>
        </w:trPr>
        <w:tc>
          <w:tcPr>
            <w:tcW w:w="520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21"/>
        </w:trPr>
        <w:tc>
          <w:tcPr>
            <w:tcW w:w="5200" w:type="dxa"/>
            <w:vAlign w:val="bottom"/>
          </w:tcPr>
          <w:p>
            <w:pPr>
              <w:ind w:left="180"/>
              <w:spacing w:after="0"/>
              <w:rPr>
                <w:sz w:val="20"/>
                <w:szCs w:val="20"/>
                <w:color w:val="auto"/>
              </w:rPr>
            </w:pPr>
            <w:r>
              <w:rPr>
                <w:rFonts w:ascii="Times New Roman" w:cs="Times New Roman" w:eastAsia="Times New Roman" w:hAnsi="Times New Roman"/>
                <w:sz w:val="10"/>
                <w:szCs w:val="10"/>
                <w:i w:val="1"/>
                <w:iCs w:val="1"/>
                <w:color w:val="auto"/>
              </w:rPr>
              <w:t>2,072,224 and 869,777 refer to Note 14)</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6,731,254</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4,338,557</w:t>
            </w:r>
          </w:p>
        </w:tc>
      </w:tr>
      <w:tr>
        <w:trPr>
          <w:trHeight w:val="104"/>
        </w:trPr>
        <w:tc>
          <w:tcPr>
            <w:tcW w:w="5200" w:type="dxa"/>
            <w:vAlign w:val="bottom"/>
            <w:shd w:val="clear" w:color="auto" w:fill="CFF0FC"/>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i w:val="1"/>
                <w:iCs w:val="1"/>
                <w:color w:val="auto"/>
              </w:rPr>
              <w:t>3,831,291 and 41,231,704, refer to Note 14)</w:t>
            </w:r>
          </w:p>
        </w:tc>
        <w:tc>
          <w:tcPr>
            <w:tcW w:w="2320" w:type="dxa"/>
            <w:vAlign w:val="bottom"/>
            <w:shd w:val="clear" w:color="auto" w:fill="CFF0FC"/>
          </w:tcPr>
          <w:p>
            <w:pPr>
              <w:spacing w:after="0"/>
              <w:rPr>
                <w:sz w:val="10"/>
                <w:szCs w:val="10"/>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17,986,528</w:t>
            </w:r>
          </w:p>
        </w:tc>
        <w:tc>
          <w:tcPr>
            <w:tcW w:w="34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b w:val="1"/>
                <w:bCs w:val="1"/>
                <w:color w:val="auto"/>
              </w:rPr>
              <w:t>26,151,325</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(26,006,274 )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(4,666,416 )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320" w:type="dxa"/>
            <w:vAlign w:val="bottom"/>
          </w:tcPr>
          <w:p>
            <w:pPr>
              <w:spacing w:after="0"/>
              <w:rPr>
                <w:sz w:val="9"/>
                <w:szCs w:val="9"/>
                <w:color w:val="auto"/>
              </w:rPr>
            </w:pP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(30,672,690 )</w:t>
            </w:r>
          </w:p>
        </w:tc>
        <w:tc>
          <w:tcPr>
            <w:tcW w:w="34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32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(0.03 )</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52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927,204,508</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Comprehensive Loss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220" w:type="dxa"/>
            <w:vAlign w:val="bottom"/>
          </w:tcPr>
          <w:p>
            <w:pPr>
              <w:spacing w:after="0"/>
              <w:rPr>
                <w:sz w:val="8"/>
                <w:szCs w:val="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24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20" w:type="dxa"/>
            <w:vAlign w:val="bottom"/>
          </w:tcPr>
          <w:p>
            <w:pPr>
              <w:spacing w:after="0"/>
              <w:rPr>
                <w:sz w:val="9"/>
                <w:szCs w:val="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5120" w:type="dxa"/>
            <w:vAlign w:val="bottom"/>
            <w:gridSpan w:val="2"/>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2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4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(69,565 )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(87,941 )</w:t>
            </w:r>
          </w:p>
        </w:tc>
      </w:tr>
      <w:tr>
        <w:trPr>
          <w:trHeight w:val="115"/>
        </w:trPr>
        <w:tc>
          <w:tcPr>
            <w:tcW w:w="24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4880" w:type="dxa"/>
            <w:vAlign w:val="bottom"/>
          </w:tcPr>
          <w:p>
            <w:pPr>
              <w:spacing w:after="0"/>
              <w:rPr>
                <w:sz w:val="10"/>
                <w:szCs w:val="10"/>
                <w:color w:val="auto"/>
              </w:rPr>
            </w:pPr>
          </w:p>
        </w:tc>
        <w:tc>
          <w:tcPr>
            <w:tcW w:w="240" w:type="dxa"/>
            <w:vAlign w:val="bottom"/>
          </w:tcPr>
          <w:p>
            <w:pPr>
              <w:jc w:val="right"/>
              <w:ind w:right="13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5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(30,805,663 </w:t>
            </w:r>
            <w:r>
              <w:rPr>
                <w:rFonts w:ascii="Times New Roman" w:cs="Times New Roman" w:eastAsia="Times New Roman" w:hAnsi="Times New Roman"/>
                <w:sz w:val="10"/>
                <w:szCs w:val="10"/>
                <w:b w:val="1"/>
                <w:bCs w:val="1"/>
                <w:color w:val="auto"/>
                <w:vertAlign w:val="subscript"/>
              </w:rPr>
              <w:t>)</w:t>
            </w: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(110,800,889 </w:t>
            </w:r>
            <w:r>
              <w:rPr>
                <w:rFonts w:ascii="Times New Roman" w:cs="Times New Roman" w:eastAsia="Times New Roman" w:hAnsi="Times New Roman"/>
                <w:sz w:val="10"/>
                <w:szCs w:val="10"/>
                <w:b w:val="1"/>
                <w:bCs w:val="1"/>
                <w:color w:val="auto"/>
                <w:vertAlign w:val="subscript"/>
              </w:rPr>
              <w:t>)</w:t>
            </w:r>
          </w:p>
        </w:tc>
      </w:tr>
      <w:tr>
        <w:trPr>
          <w:trHeight w:val="261"/>
        </w:trPr>
        <w:tc>
          <w:tcPr>
            <w:tcW w:w="2400" w:type="dxa"/>
            <w:vAlign w:val="bottom"/>
          </w:tcPr>
          <w:p>
            <w:pPr>
              <w:spacing w:after="0"/>
              <w:rPr>
                <w:sz w:val="22"/>
                <w:szCs w:val="22"/>
                <w:color w:val="auto"/>
              </w:rPr>
            </w:pPr>
          </w:p>
        </w:tc>
        <w:tc>
          <w:tcPr>
            <w:tcW w:w="4880" w:type="dxa"/>
            <w:vAlign w:val="bottom"/>
          </w:tcPr>
          <w:p>
            <w:pPr>
              <w:jc w:val="right"/>
              <w:ind w:right="11"/>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2400" w:type="dxa"/>
            <w:vAlign w:val="bottom"/>
          </w:tcPr>
          <w:p>
            <w:pPr>
              <w:spacing w:after="0"/>
              <w:rPr>
                <w:sz w:val="20"/>
                <w:szCs w:val="20"/>
                <w:color w:val="auto"/>
              </w:rPr>
            </w:pPr>
          </w:p>
        </w:tc>
        <w:tc>
          <w:tcPr>
            <w:tcW w:w="5120" w:type="dxa"/>
            <w:vAlign w:val="bottom"/>
            <w:gridSpan w:val="2"/>
          </w:tcPr>
          <w:p>
            <w:pPr>
              <w:jc w:val="right"/>
              <w:ind w:right="2071"/>
              <w:spacing w:after="0"/>
              <w:rPr>
                <w:sz w:val="20"/>
                <w:szCs w:val="20"/>
                <w:color w:val="auto"/>
              </w:rPr>
            </w:pPr>
            <w:r>
              <w:rPr>
                <w:rFonts w:ascii="Times New Roman" w:cs="Times New Roman" w:eastAsia="Times New Roman" w:hAnsi="Times New Roman"/>
                <w:sz w:val="10"/>
                <w:szCs w:val="10"/>
                <w:color w:val="auto"/>
              </w:rPr>
              <w:t>F-30</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240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Changes in Shareholders’ Deficit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2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5"/>
              </w:rPr>
              <w:t>Accumulated</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3"/>
              </w:rPr>
              <w:t>Additional</w:t>
            </w: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gridSpan w:val="2"/>
          </w:tcPr>
          <w:p>
            <w:pPr>
              <w:jc w:val="center"/>
              <w:ind w:right="186"/>
              <w:spacing w:after="0"/>
              <w:rPr>
                <w:sz w:val="20"/>
                <w:szCs w:val="20"/>
                <w:color w:val="auto"/>
              </w:rPr>
            </w:pPr>
            <w:r>
              <w:rPr>
                <w:rFonts w:ascii="Times New Roman" w:cs="Times New Roman" w:eastAsia="Times New Roman" w:hAnsi="Times New Roman"/>
                <w:sz w:val="7"/>
                <w:szCs w:val="7"/>
                <w:b w:val="1"/>
                <w:bCs w:val="1"/>
                <w:color w:val="auto"/>
                <w:w w:val="91"/>
              </w:rPr>
              <w:t>Share</w:t>
            </w:r>
          </w:p>
        </w:tc>
        <w:tc>
          <w:tcPr>
            <w:tcW w:w="110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87"/>
              </w:rPr>
              <w:t>other</w:t>
            </w:r>
          </w:p>
        </w:tc>
        <w:tc>
          <w:tcPr>
            <w:tcW w:w="102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rPr>
              <w:t>Total</w:t>
            </w:r>
          </w:p>
        </w:tc>
      </w:tr>
      <w:tr>
        <w:trPr>
          <w:trHeight w:val="83"/>
        </w:trPr>
        <w:tc>
          <w:tcPr>
            <w:tcW w:w="2180" w:type="dxa"/>
            <w:vAlign w:val="bottom"/>
          </w:tcPr>
          <w:p>
            <w:pPr>
              <w:spacing w:after="0"/>
              <w:rPr>
                <w:sz w:val="7"/>
                <w:szCs w:val="7"/>
                <w:color w:val="auto"/>
              </w:rPr>
            </w:pPr>
          </w:p>
        </w:tc>
        <w:tc>
          <w:tcPr>
            <w:tcW w:w="1140" w:type="dxa"/>
            <w:vAlign w:val="bottom"/>
            <w:gridSpan w:val="3"/>
          </w:tcPr>
          <w:p>
            <w:pPr>
              <w:ind w:left="600"/>
              <w:spacing w:after="0"/>
              <w:rPr>
                <w:sz w:val="20"/>
                <w:szCs w:val="20"/>
                <w:color w:val="auto"/>
              </w:rPr>
            </w:pPr>
            <w:r>
              <w:rPr>
                <w:rFonts w:ascii="Times New Roman" w:cs="Times New Roman" w:eastAsia="Times New Roman" w:hAnsi="Times New Roman"/>
                <w:sz w:val="7"/>
                <w:szCs w:val="7"/>
                <w:b w:val="1"/>
                <w:bCs w:val="1"/>
                <w:color w:val="auto"/>
              </w:rPr>
              <w:t>Ordinary shares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7"/>
                <w:szCs w:val="7"/>
                <w:b w:val="1"/>
                <w:bCs w:val="1"/>
                <w:color w:val="auto"/>
              </w:rPr>
              <w:t>Series A shares</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7"/>
                <w:szCs w:val="7"/>
                <w:b w:val="1"/>
                <w:bCs w:val="1"/>
                <w:color w:val="auto"/>
                <w:w w:val="93"/>
              </w:rPr>
              <w:t>paid-in</w:t>
            </w:r>
          </w:p>
        </w:tc>
        <w:tc>
          <w:tcPr>
            <w:tcW w:w="960" w:type="dxa"/>
            <w:vAlign w:val="bottom"/>
            <w:gridSpan w:val="2"/>
          </w:tcPr>
          <w:p>
            <w:pPr>
              <w:jc w:val="right"/>
              <w:ind w:right="394"/>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940" w:type="dxa"/>
            <w:vAlign w:val="bottom"/>
            <w:gridSpan w:val="2"/>
          </w:tcPr>
          <w:p>
            <w:pPr>
              <w:jc w:val="center"/>
              <w:ind w:right="186"/>
              <w:spacing w:after="0"/>
              <w:rPr>
                <w:sz w:val="20"/>
                <w:szCs w:val="20"/>
                <w:color w:val="auto"/>
              </w:rPr>
            </w:pPr>
            <w:r>
              <w:rPr>
                <w:rFonts w:ascii="Times New Roman" w:cs="Times New Roman" w:eastAsia="Times New Roman" w:hAnsi="Times New Roman"/>
                <w:sz w:val="7"/>
                <w:szCs w:val="7"/>
                <w:b w:val="1"/>
                <w:bCs w:val="1"/>
                <w:color w:val="auto"/>
                <w:w w:val="97"/>
              </w:rPr>
              <w:t>subscription</w:t>
            </w:r>
          </w:p>
        </w:tc>
        <w:tc>
          <w:tcPr>
            <w:tcW w:w="110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3"/>
              </w:rPr>
              <w:t>comprehensive</w:t>
            </w:r>
          </w:p>
        </w:tc>
        <w:tc>
          <w:tcPr>
            <w:tcW w:w="1020" w:type="dxa"/>
            <w:vAlign w:val="bottom"/>
            <w:gridSpan w:val="2"/>
          </w:tcPr>
          <w:p>
            <w:pPr>
              <w:jc w:val="center"/>
              <w:ind w:right="74"/>
              <w:spacing w:after="0"/>
              <w:rPr>
                <w:sz w:val="20"/>
                <w:szCs w:val="20"/>
                <w:color w:val="auto"/>
              </w:rPr>
            </w:pPr>
            <w:r>
              <w:rPr>
                <w:rFonts w:ascii="Times New Roman" w:cs="Times New Roman" w:eastAsia="Times New Roman" w:hAnsi="Times New Roman"/>
                <w:sz w:val="7"/>
                <w:szCs w:val="7"/>
                <w:b w:val="1"/>
                <w:bCs w:val="1"/>
                <w:color w:val="auto"/>
                <w:w w:val="95"/>
              </w:rPr>
              <w:t>Shareholders</w:t>
            </w:r>
          </w:p>
        </w:tc>
      </w:tr>
      <w:tr>
        <w:trPr>
          <w:trHeight w:val="83"/>
        </w:trPr>
        <w:tc>
          <w:tcPr>
            <w:tcW w:w="2180" w:type="dxa"/>
            <w:vAlign w:val="bottom"/>
          </w:tcPr>
          <w:p>
            <w:pPr>
              <w:spacing w:after="0"/>
              <w:rPr>
                <w:sz w:val="7"/>
                <w:szCs w:val="7"/>
                <w:color w:val="auto"/>
              </w:rPr>
            </w:pP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7"/>
                <w:szCs w:val="7"/>
                <w:b w:val="1"/>
                <w:bCs w:val="1"/>
                <w:color w:val="auto"/>
              </w:rPr>
              <w:t>Shares</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7"/>
                <w:szCs w:val="7"/>
                <w:b w:val="1"/>
                <w:bCs w:val="1"/>
                <w:color w:val="auto"/>
              </w:rPr>
              <w:t>Amount</w:t>
            </w: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7"/>
                <w:szCs w:val="7"/>
                <w:b w:val="1"/>
                <w:bCs w:val="1"/>
                <w:color w:val="auto"/>
              </w:rPr>
              <w:t>Shares</w:t>
            </w: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7"/>
                <w:szCs w:val="7"/>
                <w:b w:val="1"/>
                <w:bCs w:val="1"/>
                <w:color w:val="auto"/>
              </w:rPr>
              <w:t>Amount</w:t>
            </w:r>
          </w:p>
        </w:tc>
        <w:tc>
          <w:tcPr>
            <w:tcW w:w="220" w:type="dxa"/>
            <w:vAlign w:val="bottom"/>
          </w:tcPr>
          <w:p>
            <w:pPr>
              <w:spacing w:after="0"/>
              <w:rPr>
                <w:sz w:val="7"/>
                <w:szCs w:val="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7"/>
                <w:szCs w:val="7"/>
                <w:b w:val="1"/>
                <w:bCs w:val="1"/>
                <w:color w:val="auto"/>
                <w:w w:val="98"/>
              </w:rPr>
              <w:t>capital</w:t>
            </w:r>
          </w:p>
        </w:tc>
        <w:tc>
          <w:tcPr>
            <w:tcW w:w="960" w:type="dxa"/>
            <w:vAlign w:val="bottom"/>
            <w:gridSpan w:val="2"/>
          </w:tcPr>
          <w:p>
            <w:pPr>
              <w:jc w:val="right"/>
              <w:ind w:right="494"/>
              <w:spacing w:after="0"/>
              <w:rPr>
                <w:sz w:val="20"/>
                <w:szCs w:val="20"/>
                <w:color w:val="auto"/>
              </w:rPr>
            </w:pPr>
            <w:r>
              <w:rPr>
                <w:rFonts w:ascii="Times New Roman" w:cs="Times New Roman" w:eastAsia="Times New Roman" w:hAnsi="Times New Roman"/>
                <w:sz w:val="7"/>
                <w:szCs w:val="7"/>
                <w:b w:val="1"/>
                <w:bCs w:val="1"/>
                <w:color w:val="auto"/>
              </w:rPr>
              <w:t>deficit</w:t>
            </w:r>
          </w:p>
        </w:tc>
        <w:tc>
          <w:tcPr>
            <w:tcW w:w="940" w:type="dxa"/>
            <w:vAlign w:val="bottom"/>
            <w:gridSpan w:val="2"/>
          </w:tcPr>
          <w:p>
            <w:pPr>
              <w:jc w:val="center"/>
              <w:ind w:right="186"/>
              <w:spacing w:after="0"/>
              <w:rPr>
                <w:sz w:val="20"/>
                <w:szCs w:val="20"/>
                <w:color w:val="auto"/>
              </w:rPr>
            </w:pPr>
            <w:r>
              <w:rPr>
                <w:rFonts w:ascii="Times New Roman" w:cs="Times New Roman" w:eastAsia="Times New Roman" w:hAnsi="Times New Roman"/>
                <w:sz w:val="7"/>
                <w:szCs w:val="7"/>
                <w:b w:val="1"/>
                <w:bCs w:val="1"/>
                <w:color w:val="auto"/>
                <w:w w:val="92"/>
              </w:rPr>
              <w:t>receivable</w:t>
            </w:r>
          </w:p>
        </w:tc>
        <w:tc>
          <w:tcPr>
            <w:tcW w:w="1100" w:type="dxa"/>
            <w:vAlign w:val="bottom"/>
            <w:gridSpan w:val="2"/>
          </w:tcPr>
          <w:p>
            <w:pPr>
              <w:jc w:val="center"/>
              <w:ind w:right="214"/>
              <w:spacing w:after="0"/>
              <w:rPr>
                <w:sz w:val="20"/>
                <w:szCs w:val="20"/>
                <w:color w:val="auto"/>
              </w:rPr>
            </w:pPr>
            <w:r>
              <w:rPr>
                <w:rFonts w:ascii="Times New Roman" w:cs="Times New Roman" w:eastAsia="Times New Roman" w:hAnsi="Times New Roman"/>
                <w:sz w:val="7"/>
                <w:szCs w:val="7"/>
                <w:b w:val="1"/>
                <w:bCs w:val="1"/>
                <w:color w:val="auto"/>
                <w:w w:val="93"/>
              </w:rPr>
              <w:t>income</w:t>
            </w:r>
          </w:p>
        </w:tc>
        <w:tc>
          <w:tcPr>
            <w:tcW w:w="1020" w:type="dxa"/>
            <w:vAlign w:val="bottom"/>
            <w:gridSpan w:val="2"/>
          </w:tcPr>
          <w:p>
            <w:pPr>
              <w:jc w:val="center"/>
              <w:ind w:right="74"/>
              <w:spacing w:after="0"/>
              <w:rPr>
                <w:sz w:val="20"/>
                <w:szCs w:val="20"/>
                <w:color w:val="auto"/>
              </w:rPr>
            </w:pPr>
            <w:r>
              <w:rPr>
                <w:rFonts w:ascii="Times New Roman" w:cs="Times New Roman" w:eastAsia="Times New Roman" w:hAnsi="Times New Roman"/>
                <w:sz w:val="7"/>
                <w:szCs w:val="7"/>
                <w:b w:val="1"/>
                <w:bCs w:val="1"/>
                <w:color w:val="auto"/>
                <w:w w:val="96"/>
              </w:rPr>
              <w:t>deficit</w:t>
            </w:r>
          </w:p>
        </w:tc>
      </w:tr>
      <w:tr>
        <w:trPr>
          <w:trHeight w:val="8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January 1, 2022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891,818,882</w:t>
            </w: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122,427</w:t>
            </w:r>
          </w:p>
        </w:tc>
        <w:tc>
          <w:tcPr>
            <w:tcW w:w="220" w:type="dxa"/>
            <w:vAlign w:val="bottom"/>
            <w:shd w:val="clear" w:color="auto" w:fill="CFF0FC"/>
          </w:tcPr>
          <w:p>
            <w:pPr>
              <w:spacing w:after="0"/>
              <w:rPr>
                <w:sz w:val="7"/>
                <w:szCs w:val="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83,692,381</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7"/>
                <w:szCs w:val="7"/>
                <w:b w:val="1"/>
                <w:bCs w:val="1"/>
                <w:color w:val="auto"/>
              </w:rPr>
              <w:t>(84,842,384 )</w:t>
            </w:r>
          </w:p>
        </w:tc>
        <w:tc>
          <w:tcPr>
            <w:tcW w:w="94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(175,505 )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6,762</w:t>
            </w:r>
          </w:p>
        </w:tc>
        <w:tc>
          <w:tcPr>
            <w:tcW w:w="200" w:type="dxa"/>
            <w:vAlign w:val="bottom"/>
            <w:shd w:val="clear" w:color="auto" w:fill="CFF0FC"/>
          </w:tcPr>
          <w:p>
            <w:pPr>
              <w:spacing w:after="0"/>
              <w:rPr>
                <w:sz w:val="7"/>
                <w:szCs w:val="7"/>
                <w:color w:val="auto"/>
              </w:rPr>
            </w:pPr>
          </w:p>
        </w:tc>
        <w:tc>
          <w:tcPr>
            <w:tcW w:w="102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(1,192,451 )</w:t>
            </w:r>
          </w:p>
        </w:tc>
      </w:tr>
      <w:tr>
        <w:trPr>
          <w:trHeight w:val="83"/>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w:t>
            </w:r>
          </w:p>
        </w:tc>
        <w:tc>
          <w:tcPr>
            <w:tcW w:w="7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2,040,816</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166</w:t>
            </w:r>
          </w:p>
        </w:tc>
        <w:tc>
          <w:tcPr>
            <w:tcW w:w="220" w:type="dxa"/>
            <w:vAlign w:val="bottom"/>
          </w:tcPr>
          <w:p>
            <w:pPr>
              <w:spacing w:after="0"/>
              <w:rPr>
                <w:sz w:val="7"/>
                <w:szCs w:val="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2,499,754</w:t>
            </w:r>
          </w:p>
        </w:tc>
        <w:tc>
          <w:tcPr>
            <w:tcW w:w="200" w:type="dxa"/>
            <w:vAlign w:val="bottom"/>
          </w:tcPr>
          <w:p>
            <w:pPr>
              <w:spacing w:after="0"/>
              <w:rPr>
                <w:sz w:val="7"/>
                <w:szCs w:val="7"/>
                <w:color w:val="auto"/>
              </w:rPr>
            </w:pP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2,499,920</w:t>
            </w:r>
          </w:p>
        </w:tc>
        <w:tc>
          <w:tcPr>
            <w:tcW w:w="100" w:type="dxa"/>
            <w:vAlign w:val="bottom"/>
          </w:tcPr>
          <w:p>
            <w:pPr>
              <w:spacing w:after="0"/>
              <w:rPr>
                <w:sz w:val="7"/>
                <w:szCs w:val="7"/>
                <w:color w:val="auto"/>
              </w:rPr>
            </w:pPr>
          </w:p>
        </w:tc>
      </w:tr>
      <w:tr>
        <w:trPr>
          <w:trHeight w:val="8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for ANY</w:t>
            </w: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(note 2.20) (as restated)</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14,427,185</w:t>
            </w: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shd w:val="clear" w:color="auto" w:fill="CFF0FC"/>
          </w:tcPr>
          <w:p>
            <w:pPr>
              <w:spacing w:after="0"/>
              <w:rPr>
                <w:sz w:val="7"/>
                <w:szCs w:val="7"/>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14,858,007</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14,860,000</w:t>
            </w:r>
          </w:p>
        </w:tc>
        <w:tc>
          <w:tcPr>
            <w:tcW w:w="100" w:type="dxa"/>
            <w:vAlign w:val="bottom"/>
            <w:shd w:val="clear" w:color="auto" w:fill="CFF0FC"/>
          </w:tcPr>
          <w:p>
            <w:pPr>
              <w:spacing w:after="0"/>
              <w:rPr>
                <w:sz w:val="7"/>
                <w:szCs w:val="7"/>
                <w:color w:val="auto"/>
              </w:rPr>
            </w:pPr>
          </w:p>
        </w:tc>
      </w:tr>
      <w:tr>
        <w:trPr>
          <w:trHeight w:val="84"/>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to</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consultant (note 11)</w:t>
            </w:r>
          </w:p>
        </w:tc>
        <w:tc>
          <w:tcPr>
            <w:tcW w:w="7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677</w:t>
            </w:r>
          </w:p>
        </w:tc>
        <w:tc>
          <w:tcPr>
            <w:tcW w:w="220" w:type="dxa"/>
            <w:vAlign w:val="bottom"/>
          </w:tcPr>
          <w:p>
            <w:pPr>
              <w:spacing w:after="0"/>
              <w:rPr>
                <w:sz w:val="7"/>
                <w:szCs w:val="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18,417,139</w:t>
            </w:r>
          </w:p>
        </w:tc>
        <w:tc>
          <w:tcPr>
            <w:tcW w:w="200" w:type="dxa"/>
            <w:vAlign w:val="bottom"/>
          </w:tcPr>
          <w:p>
            <w:pPr>
              <w:spacing w:after="0"/>
              <w:rPr>
                <w:sz w:val="7"/>
                <w:szCs w:val="7"/>
                <w:color w:val="auto"/>
              </w:rPr>
            </w:pP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18,417,816</w:t>
            </w:r>
          </w:p>
        </w:tc>
        <w:tc>
          <w:tcPr>
            <w:tcW w:w="100" w:type="dxa"/>
            <w:vAlign w:val="bottom"/>
          </w:tcPr>
          <w:p>
            <w:pPr>
              <w:spacing w:after="0"/>
              <w:rPr>
                <w:sz w:val="7"/>
                <w:szCs w:val="7"/>
                <w:color w:val="auto"/>
              </w:rPr>
            </w:pPr>
          </w:p>
        </w:tc>
      </w:tr>
      <w:tr>
        <w:trPr>
          <w:trHeight w:val="8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against</w:t>
            </w: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warrants (note 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1,700,000</w:t>
            </w: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192</w:t>
            </w:r>
          </w:p>
        </w:tc>
        <w:tc>
          <w:tcPr>
            <w:tcW w:w="220" w:type="dxa"/>
            <w:vAlign w:val="bottom"/>
            <w:shd w:val="clear" w:color="auto" w:fill="CFF0FC"/>
          </w:tcPr>
          <w:p>
            <w:pPr>
              <w:spacing w:after="0"/>
              <w:rPr>
                <w:sz w:val="7"/>
                <w:szCs w:val="7"/>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2,082,308</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2,082,500</w:t>
            </w:r>
          </w:p>
        </w:tc>
        <w:tc>
          <w:tcPr>
            <w:tcW w:w="100" w:type="dxa"/>
            <w:vAlign w:val="bottom"/>
            <w:shd w:val="clear" w:color="auto" w:fill="CFF0FC"/>
          </w:tcPr>
          <w:p>
            <w:pPr>
              <w:spacing w:after="0"/>
              <w:rPr>
                <w:sz w:val="7"/>
                <w:szCs w:val="7"/>
                <w:color w:val="auto"/>
              </w:rPr>
            </w:pPr>
          </w:p>
        </w:tc>
      </w:tr>
      <w:tr>
        <w:trPr>
          <w:trHeight w:val="84"/>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 related parties (note 11)</w:t>
            </w:r>
          </w:p>
        </w:tc>
        <w:tc>
          <w:tcPr>
            <w:tcW w:w="7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27,246,461</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3,215</w:t>
            </w:r>
          </w:p>
        </w:tc>
        <w:tc>
          <w:tcPr>
            <w:tcW w:w="220" w:type="dxa"/>
            <w:vAlign w:val="bottom"/>
          </w:tcPr>
          <w:p>
            <w:pPr>
              <w:spacing w:after="0"/>
              <w:rPr>
                <w:sz w:val="7"/>
                <w:szCs w:val="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200" w:type="dxa"/>
            <w:vAlign w:val="bottom"/>
          </w:tcPr>
          <w:p>
            <w:pPr>
              <w:spacing w:after="0"/>
              <w:rPr>
                <w:sz w:val="7"/>
                <w:szCs w:val="7"/>
                <w:color w:val="auto"/>
              </w:rPr>
            </w:pP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46"/>
              <w:spacing w:after="0"/>
              <w:rPr>
                <w:sz w:val="20"/>
                <w:szCs w:val="20"/>
                <w:color w:val="auto"/>
              </w:rPr>
            </w:pPr>
            <w:r>
              <w:rPr>
                <w:rFonts w:ascii="Times New Roman" w:cs="Times New Roman" w:eastAsia="Times New Roman" w:hAnsi="Times New Roman"/>
                <w:sz w:val="7"/>
                <w:szCs w:val="7"/>
                <w:color w:val="auto"/>
              </w:rPr>
              <w:t>(3,215 )</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100" w:type="dxa"/>
            <w:vAlign w:val="bottom"/>
          </w:tcPr>
          <w:p>
            <w:pPr>
              <w:spacing w:after="0"/>
              <w:rPr>
                <w:sz w:val="7"/>
                <w:szCs w:val="7"/>
                <w:color w:val="auto"/>
              </w:rPr>
            </w:pPr>
          </w:p>
        </w:tc>
      </w:tr>
      <w:tr>
        <w:trPr>
          <w:trHeight w:val="8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Employee share-based</w:t>
            </w: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compensation (note 11)</w:t>
            </w:r>
          </w:p>
        </w:tc>
        <w:tc>
          <w:tcPr>
            <w:tcW w:w="11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100" w:type="dxa"/>
            <w:vAlign w:val="bottom"/>
            <w:shd w:val="clear" w:color="auto" w:fill="CFF0FC"/>
          </w:tcPr>
          <w:p>
            <w:pPr>
              <w:spacing w:after="0"/>
              <w:rPr>
                <w:sz w:val="7"/>
                <w:szCs w:val="7"/>
                <w:color w:val="auto"/>
              </w:rPr>
            </w:pPr>
          </w:p>
        </w:tc>
      </w:tr>
      <w:tr>
        <w:trPr>
          <w:trHeight w:val="83"/>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ANY shares reverted (note 2.20)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7"/>
                <w:szCs w:val="7"/>
                <w:color w:val="auto"/>
              </w:rPr>
              <w:t>(14,427,185 )</w:t>
            </w:r>
          </w:p>
        </w:tc>
        <w:tc>
          <w:tcPr>
            <w:tcW w:w="160" w:type="dxa"/>
            <w:vAlign w:val="bottom"/>
          </w:tcPr>
          <w:p>
            <w:pPr>
              <w:spacing w:after="0"/>
              <w:rPr>
                <w:sz w:val="7"/>
                <w:szCs w:val="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7"/>
                <w:szCs w:val="7"/>
                <w:color w:val="auto"/>
              </w:rPr>
              <w:t>(1,993 )</w:t>
            </w: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00" w:type="dxa"/>
            <w:vAlign w:val="bottom"/>
          </w:tcPr>
          <w:p>
            <w:pPr>
              <w:spacing w:after="0"/>
              <w:rPr>
                <w:sz w:val="7"/>
                <w:szCs w:val="7"/>
                <w:color w:val="auto"/>
              </w:rPr>
            </w:pP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20" w:type="dxa"/>
            <w:vAlign w:val="bottom"/>
            <w:gridSpan w:val="2"/>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 (as restated)</w:t>
            </w:r>
          </w:p>
        </w:tc>
        <w:tc>
          <w:tcPr>
            <w:tcW w:w="11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7"/>
                <w:szCs w:val="7"/>
                <w:color w:val="auto"/>
              </w:rPr>
              <w:t>(110,712,948 )</w:t>
            </w:r>
          </w:p>
        </w:tc>
        <w:tc>
          <w:tcPr>
            <w:tcW w:w="94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2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(110,712,948 )</w:t>
            </w:r>
          </w:p>
        </w:tc>
      </w:tr>
      <w:tr>
        <w:trPr>
          <w:trHeight w:val="84"/>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Foreign currency translation</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(loss) (as restated)</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color w:val="auto"/>
              </w:rPr>
              <w:t>(87,941 )</w:t>
            </w:r>
          </w:p>
        </w:tc>
        <w:tc>
          <w:tcPr>
            <w:tcW w:w="102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color w:val="auto"/>
              </w:rPr>
              <w:t>(87,941 )</w:t>
            </w:r>
          </w:p>
        </w:tc>
      </w:tr>
      <w:tr>
        <w:trPr>
          <w:trHeight w:val="8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December 31, 2022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927,806,159</w:t>
            </w: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126,677</w:t>
            </w:r>
          </w:p>
        </w:tc>
        <w:tc>
          <w:tcPr>
            <w:tcW w:w="220" w:type="dxa"/>
            <w:vAlign w:val="bottom"/>
            <w:shd w:val="clear" w:color="auto" w:fill="CFF0FC"/>
          </w:tcPr>
          <w:p>
            <w:pPr>
              <w:spacing w:after="0"/>
              <w:rPr>
                <w:sz w:val="7"/>
                <w:szCs w:val="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163,165,083</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7"/>
                <w:szCs w:val="7"/>
                <w:b w:val="1"/>
                <w:bCs w:val="1"/>
                <w:color w:val="auto"/>
              </w:rPr>
              <w:t>(195,555,332 )</w:t>
            </w:r>
          </w:p>
        </w:tc>
        <w:tc>
          <w:tcPr>
            <w:tcW w:w="94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(178,720 )</w:t>
            </w:r>
          </w:p>
        </w:tc>
        <w:tc>
          <w:tcPr>
            <w:tcW w:w="110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(81,179 )</w:t>
            </w:r>
          </w:p>
        </w:tc>
        <w:tc>
          <w:tcPr>
            <w:tcW w:w="102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(32,519,603 )</w:t>
            </w:r>
          </w:p>
        </w:tc>
      </w:tr>
      <w:tr>
        <w:trPr>
          <w:trHeight w:val="84"/>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 to related</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7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163,265</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w:t>
            </w:r>
          </w:p>
        </w:tc>
        <w:tc>
          <w:tcPr>
            <w:tcW w:w="220" w:type="dxa"/>
            <w:vAlign w:val="bottom"/>
          </w:tcPr>
          <w:p>
            <w:pPr>
              <w:spacing w:after="0"/>
              <w:rPr>
                <w:sz w:val="7"/>
                <w:szCs w:val="7"/>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199,954</w:t>
            </w:r>
          </w:p>
        </w:tc>
        <w:tc>
          <w:tcPr>
            <w:tcW w:w="200" w:type="dxa"/>
            <w:vAlign w:val="bottom"/>
          </w:tcPr>
          <w:p>
            <w:pPr>
              <w:spacing w:after="0"/>
              <w:rPr>
                <w:sz w:val="7"/>
                <w:szCs w:val="7"/>
                <w:color w:val="auto"/>
              </w:rPr>
            </w:pP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199,974</w:t>
            </w:r>
          </w:p>
        </w:tc>
        <w:tc>
          <w:tcPr>
            <w:tcW w:w="100" w:type="dxa"/>
            <w:vAlign w:val="bottom"/>
          </w:tcPr>
          <w:p>
            <w:pPr>
              <w:spacing w:after="0"/>
              <w:rPr>
                <w:sz w:val="7"/>
                <w:szCs w:val="7"/>
                <w:color w:val="auto"/>
              </w:rPr>
            </w:pPr>
          </w:p>
        </w:tc>
      </w:tr>
      <w:tr>
        <w:trPr>
          <w:trHeight w:val="8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from</w:t>
            </w: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share-options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613</w:t>
            </w:r>
          </w:p>
        </w:tc>
        <w:tc>
          <w:tcPr>
            <w:tcW w:w="220" w:type="dxa"/>
            <w:vAlign w:val="bottom"/>
            <w:shd w:val="clear" w:color="auto" w:fill="CFF0FC"/>
          </w:tcPr>
          <w:p>
            <w:pPr>
              <w:spacing w:after="0"/>
              <w:rPr>
                <w:sz w:val="7"/>
                <w:szCs w:val="7"/>
                <w:color w:val="auto"/>
              </w:rPr>
            </w:pP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color w:val="auto"/>
              </w:rPr>
              <w:t>(613 )</w:t>
            </w:r>
          </w:p>
        </w:tc>
        <w:tc>
          <w:tcPr>
            <w:tcW w:w="96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2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4"/>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in lieu</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color w:val="auto"/>
              </w:rPr>
              <w:t>of services</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200" w:type="dxa"/>
            <w:vAlign w:val="bottom"/>
          </w:tcPr>
          <w:p>
            <w:pPr>
              <w:spacing w:after="0"/>
              <w:rPr>
                <w:sz w:val="7"/>
                <w:szCs w:val="7"/>
                <w:color w:val="auto"/>
              </w:rPr>
            </w:pP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100" w:type="dxa"/>
            <w:vAlign w:val="bottom"/>
          </w:tcPr>
          <w:p>
            <w:pPr>
              <w:spacing w:after="0"/>
              <w:rPr>
                <w:sz w:val="7"/>
                <w:szCs w:val="7"/>
                <w:color w:val="auto"/>
              </w:rPr>
            </w:pPr>
          </w:p>
        </w:tc>
      </w:tr>
      <w:tr>
        <w:trPr>
          <w:trHeight w:val="8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Share-based compensation related</w:t>
            </w: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11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200" w:type="dxa"/>
            <w:vAlign w:val="bottom"/>
            <w:shd w:val="clear" w:color="auto" w:fill="CFF0FC"/>
          </w:tcPr>
          <w:p>
            <w:pPr>
              <w:spacing w:after="0"/>
              <w:rPr>
                <w:sz w:val="7"/>
                <w:szCs w:val="7"/>
                <w:color w:val="auto"/>
              </w:rPr>
            </w:pPr>
          </w:p>
        </w:tc>
        <w:tc>
          <w:tcPr>
            <w:tcW w:w="96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100" w:type="dxa"/>
            <w:vAlign w:val="bottom"/>
            <w:shd w:val="clear" w:color="auto" w:fill="CFF0FC"/>
          </w:tcPr>
          <w:p>
            <w:pPr>
              <w:spacing w:after="0"/>
              <w:rPr>
                <w:sz w:val="7"/>
                <w:szCs w:val="7"/>
                <w:color w:val="auto"/>
              </w:rPr>
            </w:pPr>
          </w:p>
        </w:tc>
      </w:tr>
      <w:tr>
        <w:trPr>
          <w:trHeight w:val="83"/>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Employee share-based compensation</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200" w:type="dxa"/>
            <w:vAlign w:val="bottom"/>
          </w:tcPr>
          <w:p>
            <w:pPr>
              <w:spacing w:after="0"/>
              <w:rPr>
                <w:sz w:val="7"/>
                <w:szCs w:val="7"/>
                <w:color w:val="auto"/>
              </w:rPr>
            </w:pP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100" w:type="dxa"/>
            <w:vAlign w:val="bottom"/>
          </w:tcPr>
          <w:p>
            <w:pPr>
              <w:spacing w:after="0"/>
              <w:rPr>
                <w:sz w:val="7"/>
                <w:szCs w:val="7"/>
                <w:color w:val="auto"/>
              </w:rPr>
            </w:pPr>
          </w:p>
        </w:tc>
      </w:tr>
      <w:tr>
        <w:trPr>
          <w:trHeight w:val="83"/>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w:t>
            </w:r>
          </w:p>
        </w:tc>
        <w:tc>
          <w:tcPr>
            <w:tcW w:w="11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7"/>
                <w:szCs w:val="7"/>
                <w:color w:val="auto"/>
              </w:rPr>
              <w:t>—</w:t>
            </w: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100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7"/>
                <w:szCs w:val="7"/>
                <w:color w:val="auto"/>
              </w:rPr>
              <w:t>(30,736,098 )</w:t>
            </w:r>
          </w:p>
        </w:tc>
        <w:tc>
          <w:tcPr>
            <w:tcW w:w="94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2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(30,736,098 )</w:t>
            </w:r>
          </w:p>
        </w:tc>
      </w:tr>
      <w:tr>
        <w:trPr>
          <w:trHeight w:val="82"/>
        </w:trPr>
        <w:tc>
          <w:tcPr>
            <w:tcW w:w="218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Foreign currency translation</w:t>
            </w: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180" w:type="dxa"/>
            <w:vAlign w:val="bottom"/>
          </w:tcPr>
          <w:p>
            <w:pPr>
              <w:ind w:left="40"/>
              <w:spacing w:after="0"/>
              <w:rPr>
                <w:sz w:val="20"/>
                <w:szCs w:val="20"/>
                <w:color w:val="auto"/>
              </w:rPr>
            </w:pPr>
            <w:r>
              <w:rPr>
                <w:rFonts w:ascii="Times New Roman" w:cs="Times New Roman" w:eastAsia="Times New Roman" w:hAnsi="Times New Roman"/>
                <w:sz w:val="7"/>
                <w:szCs w:val="7"/>
                <w:b w:val="1"/>
                <w:bCs w:val="1"/>
                <w:color w:val="auto"/>
              </w:rPr>
              <w:t>(loss)</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7"/>
                <w:szCs w:val="7"/>
                <w:b w:val="1"/>
                <w:bCs w:val="1"/>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tcPr>
          <w:p>
            <w:pPr>
              <w:spacing w:after="0"/>
              <w:rPr>
                <w:sz w:val="7"/>
                <w:szCs w:val="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6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b w:val="1"/>
                <w:bCs w:val="1"/>
                <w:color w:val="auto"/>
              </w:rPr>
              <w:t>—</w:t>
            </w: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b w:val="1"/>
                <w:bCs w:val="1"/>
                <w:color w:val="auto"/>
              </w:rPr>
              <w:t>—</w:t>
            </w:r>
          </w:p>
        </w:tc>
        <w:tc>
          <w:tcPr>
            <w:tcW w:w="110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(69,565 )</w:t>
            </w:r>
          </w:p>
        </w:tc>
        <w:tc>
          <w:tcPr>
            <w:tcW w:w="102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(69,565 )</w:t>
            </w:r>
          </w:p>
        </w:tc>
      </w:tr>
      <w:tr>
        <w:trPr>
          <w:trHeight w:val="85"/>
        </w:trPr>
        <w:tc>
          <w:tcPr>
            <w:tcW w:w="2180" w:type="dxa"/>
            <w:vAlign w:val="bottom"/>
            <w:tcBorders>
              <w:bottom w:val="single" w:sz="8" w:color="CFF0FC"/>
            </w:tcBorders>
            <w:shd w:val="clear" w:color="auto" w:fill="CFF0FC"/>
          </w:tcPr>
          <w:p>
            <w:pPr>
              <w:spacing w:after="0" w:line="70" w:lineRule="exact"/>
              <w:rPr>
                <w:sz w:val="20"/>
                <w:szCs w:val="20"/>
                <w:color w:val="auto"/>
              </w:rPr>
            </w:pPr>
            <w:r>
              <w:rPr>
                <w:rFonts w:ascii="Times New Roman" w:cs="Times New Roman" w:eastAsia="Times New Roman" w:hAnsi="Times New Roman"/>
                <w:sz w:val="7"/>
                <w:szCs w:val="7"/>
                <w:b w:val="1"/>
                <w:bCs w:val="1"/>
                <w:color w:val="auto"/>
              </w:rPr>
              <w:t>Balance as at December 31, 2023</w:t>
            </w:r>
          </w:p>
        </w:tc>
        <w:tc>
          <w:tcPr>
            <w:tcW w:w="76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932,969,424</w:t>
            </w:r>
          </w:p>
        </w:tc>
        <w:tc>
          <w:tcPr>
            <w:tcW w:w="220" w:type="dxa"/>
            <w:vAlign w:val="bottom"/>
            <w:tcBorders>
              <w:bottom w:val="single" w:sz="8" w:color="CFF0FC"/>
            </w:tcBorders>
            <w:shd w:val="clear" w:color="auto" w:fill="CFF0FC"/>
          </w:tcPr>
          <w:p>
            <w:pPr>
              <w:spacing w:after="0"/>
              <w:rPr>
                <w:sz w:val="7"/>
                <w:szCs w:val="7"/>
                <w:color w:val="auto"/>
              </w:rPr>
            </w:pPr>
          </w:p>
        </w:tc>
        <w:tc>
          <w:tcPr>
            <w:tcW w:w="160" w:type="dxa"/>
            <w:vAlign w:val="bottom"/>
            <w:tcBorders>
              <w:bottom w:val="single" w:sz="8" w:color="auto"/>
            </w:tcBorders>
            <w:shd w:val="clear" w:color="auto" w:fill="CFF0FC"/>
          </w:tcPr>
          <w:p>
            <w:pPr>
              <w:spacing w:after="0"/>
              <w:rPr>
                <w:sz w:val="7"/>
                <w:szCs w:val="7"/>
                <w:color w:val="auto"/>
              </w:rPr>
            </w:pPr>
          </w:p>
        </w:tc>
        <w:tc>
          <w:tcPr>
            <w:tcW w:w="5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127,310</w:t>
            </w:r>
          </w:p>
        </w:tc>
        <w:tc>
          <w:tcPr>
            <w:tcW w:w="220" w:type="dxa"/>
            <w:vAlign w:val="bottom"/>
            <w:tcBorders>
              <w:bottom w:val="single" w:sz="8" w:color="CFF0FC"/>
            </w:tcBorders>
            <w:shd w:val="clear" w:color="auto" w:fill="CFF0FC"/>
          </w:tcPr>
          <w:p>
            <w:pPr>
              <w:spacing w:after="0"/>
              <w:rPr>
                <w:sz w:val="7"/>
                <w:szCs w:val="7"/>
                <w:color w:val="auto"/>
              </w:rPr>
            </w:pPr>
          </w:p>
        </w:tc>
        <w:tc>
          <w:tcPr>
            <w:tcW w:w="70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auto"/>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3,868</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172,204,832</w:t>
            </w:r>
          </w:p>
        </w:tc>
        <w:tc>
          <w:tcPr>
            <w:tcW w:w="200" w:type="dxa"/>
            <w:vAlign w:val="bottom"/>
            <w:tcBorders>
              <w:bottom w:val="single" w:sz="8" w:color="CFF0FC"/>
            </w:tcBorders>
            <w:shd w:val="clear" w:color="auto" w:fill="CFF0FC"/>
          </w:tcPr>
          <w:p>
            <w:pPr>
              <w:spacing w:after="0"/>
              <w:rPr>
                <w:sz w:val="7"/>
                <w:szCs w:val="7"/>
                <w:color w:val="auto"/>
              </w:rPr>
            </w:pP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(226,291,430</w:t>
            </w:r>
          </w:p>
        </w:tc>
        <w:tc>
          <w:tcPr>
            <w:tcW w:w="220" w:type="dxa"/>
            <w:vAlign w:val="bottom"/>
            <w:tcBorders>
              <w:bottom w:val="single" w:sz="8" w:color="CFF0FC"/>
            </w:tcBorders>
            <w:shd w:val="clear" w:color="auto" w:fill="CFF0FC"/>
          </w:tcPr>
          <w:p>
            <w:pPr>
              <w:jc w:val="right"/>
              <w:ind w:right="19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7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(178,720</w:t>
            </w:r>
          </w:p>
        </w:tc>
        <w:tc>
          <w:tcPr>
            <w:tcW w:w="220" w:type="dxa"/>
            <w:vAlign w:val="bottom"/>
            <w:tcBorders>
              <w:bottom w:val="single" w:sz="8" w:color="CFF0FC"/>
            </w:tcBorders>
            <w:shd w:val="clear" w:color="auto" w:fill="CFF0FC"/>
          </w:tcPr>
          <w:p>
            <w:pPr>
              <w:jc w:val="right"/>
              <w:ind w:right="146"/>
              <w:spacing w:after="0" w:line="70" w:lineRule="exact"/>
              <w:rPr>
                <w:sz w:val="20"/>
                <w:szCs w:val="20"/>
                <w:color w:val="auto"/>
              </w:rPr>
            </w:pPr>
            <w:r>
              <w:rPr>
                <w:rFonts w:ascii="Times New Roman" w:cs="Times New Roman" w:eastAsia="Times New Roman" w:hAnsi="Times New Roman"/>
                <w:sz w:val="7"/>
                <w:szCs w:val="7"/>
                <w:b w:val="1"/>
                <w:bCs w:val="1"/>
                <w:color w:val="auto"/>
                <w:w w:val="83"/>
              </w:rPr>
              <w:t>)</w:t>
            </w:r>
          </w:p>
        </w:tc>
        <w:tc>
          <w:tcPr>
            <w:tcW w:w="90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(150,744</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9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(54,284,884</w:t>
            </w:r>
          </w:p>
        </w:tc>
        <w:tc>
          <w:tcPr>
            <w:tcW w:w="100" w:type="dxa"/>
            <w:vAlign w:val="bottom"/>
            <w:tcBorders>
              <w:bottom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77"/>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5180" w:type="dxa"/>
            <w:vAlign w:val="bottom"/>
          </w:tcPr>
          <w:p>
            <w:pPr>
              <w:spacing w:after="0"/>
              <w:rPr>
                <w:sz w:val="9"/>
                <w:szCs w:val="9"/>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3100" w:type="dxa"/>
            <w:vAlign w:val="bottom"/>
          </w:tcPr>
          <w:p>
            <w:pPr>
              <w:jc w:val="right"/>
              <w:ind w:right="897"/>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(30,736,098 )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 for consultancy services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3,646,017</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5,079,201</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loans receivable</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(3,679 )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(416,069 )</w:t>
            </w:r>
          </w:p>
        </w:tc>
        <w:tc>
          <w:tcPr>
            <w:tcW w:w="380" w:type="dxa"/>
            <w:vAlign w:val="bottom"/>
          </w:tcPr>
          <w:p>
            <w:pPr>
              <w:spacing w:after="0"/>
              <w:rPr>
                <w:sz w:val="9"/>
                <w:szCs w:val="9"/>
                <w:color w:val="auto"/>
              </w:rPr>
            </w:pP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accounts payable, accrued expenses and other payables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2,310,465</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552,456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(13,001,875 )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7,767,674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199,974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short-term debt obligation from related parties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(250,000 )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4,369,413</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2,625,000</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14,712,061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42,399</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(28,939 )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10,441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115,190</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310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4,040,989</w:t>
            </w:r>
          </w:p>
        </w:tc>
        <w:tc>
          <w:tcPr>
            <w:tcW w:w="380" w:type="dxa"/>
            <w:vAlign w:val="bottom"/>
          </w:tcPr>
          <w:p>
            <w:pPr>
              <w:spacing w:after="0"/>
              <w:rPr>
                <w:sz w:val="10"/>
                <w:szCs w:val="10"/>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26" w:lineRule="exact"/>
        <w:rPr>
          <w:sz w:val="20"/>
          <w:szCs w:val="20"/>
          <w:color w:val="auto"/>
        </w:rPr>
      </w:pPr>
    </w:p>
    <w:p>
      <w:pPr>
        <w:ind w:right="280" w:firstLine="480"/>
        <w:spacing w:after="0" w:line="221"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13"/>
          <w:szCs w:val="13"/>
          <w:color w:val="auto"/>
          <w:vertAlign w:val="superscript"/>
        </w:rPr>
        <w:t>rd</w:t>
      </w:r>
      <w:r>
        <w:rPr>
          <w:rFonts w:ascii="Times New Roman" w:cs="Times New Roman" w:eastAsia="Times New Roman" w:hAnsi="Times New Roman"/>
          <w:sz w:val="10"/>
          <w:szCs w:val="10"/>
          <w:color w:val="auto"/>
        </w:rPr>
        <w:t xml:space="preserve"> Floor, 80 New Bond Street, London, United Kingdom, W1S 1SB.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2.Basis of presentation and summary of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presentation</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Carve -out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1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Consolidated Statement of Operations in accordance with </w:t>
      </w:r>
      <w:r>
        <w:rPr>
          <w:rFonts w:ascii="Times New Roman" w:cs="Times New Roman" w:eastAsia="Times New Roman" w:hAnsi="Times New Roman"/>
          <w:sz w:val="10"/>
          <w:szCs w:val="10"/>
          <w:i w:val="1"/>
          <w:iCs w:val="1"/>
          <w:color w:val="auto"/>
        </w:rPr>
        <w:t>Staff Accounting Bulletin Topic 1-B1, Costs Reflected in Historical Financial Statements</w:t>
      </w:r>
      <w:r>
        <w:rPr>
          <w:rFonts w:ascii="Times New Roman" w:cs="Times New Roman" w:eastAsia="Times New Roman" w:hAnsi="Times New Roman"/>
          <w:sz w:val="10"/>
          <w:szCs w:val="10"/>
          <w:color w:val="auto"/>
        </w:rPr>
        <w:t xml:space="preserve"> (“SAB 1-B1”). Management asserts that this method used is reasonable.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list of subsidiaries and Rezolve Limited’s holding as of December 31, 2023 and 2022 is as follows: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40" w:type="dxa"/>
            <w:vAlign w:val="bottom"/>
          </w:tcPr>
          <w:p>
            <w:pPr>
              <w:jc w:val="center"/>
              <w:ind w:left="33"/>
              <w:spacing w:after="0"/>
              <w:rPr>
                <w:sz w:val="20"/>
                <w:szCs w:val="20"/>
                <w:color w:val="auto"/>
              </w:rPr>
            </w:pPr>
            <w:r>
              <w:rPr>
                <w:rFonts w:ascii="Times New Roman" w:cs="Times New Roman" w:eastAsia="Times New Roman" w:hAnsi="Times New Roman"/>
                <w:sz w:val="8"/>
                <w:szCs w:val="8"/>
                <w:b w:val="1"/>
                <w:bCs w:val="1"/>
                <w:color w:val="auto"/>
              </w:rPr>
              <w:t>Country of</w:t>
            </w:r>
          </w:p>
        </w:tc>
        <w:tc>
          <w:tcPr>
            <w:tcW w:w="1420" w:type="dxa"/>
            <w:vAlign w:val="bottom"/>
          </w:tcPr>
          <w:p>
            <w:pPr>
              <w:jc w:val="right"/>
              <w:ind w:right="554"/>
              <w:spacing w:after="0"/>
              <w:rPr>
                <w:sz w:val="20"/>
                <w:szCs w:val="20"/>
                <w:color w:val="auto"/>
              </w:rPr>
            </w:pPr>
            <w:r>
              <w:rPr>
                <w:rFonts w:ascii="Times New Roman" w:cs="Times New Roman" w:eastAsia="Times New Roman" w:hAnsi="Times New Roman"/>
                <w:sz w:val="8"/>
                <w:szCs w:val="8"/>
                <w:b w:val="1"/>
                <w:bCs w:val="1"/>
                <w:color w:val="auto"/>
              </w:rPr>
              <w:t>Group</w:t>
            </w:r>
          </w:p>
        </w:tc>
      </w:tr>
      <w:tr>
        <w:trPr>
          <w:trHeight w:val="106"/>
        </w:trPr>
        <w:tc>
          <w:tcPr>
            <w:tcW w:w="326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280" w:type="dxa"/>
            <w:vAlign w:val="bottom"/>
          </w:tcPr>
          <w:p>
            <w:pPr>
              <w:jc w:val="center"/>
              <w:ind w:left="51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154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incorporation</w:t>
            </w:r>
          </w:p>
        </w:tc>
        <w:tc>
          <w:tcPr>
            <w:tcW w:w="1420" w:type="dxa"/>
            <w:vAlign w:val="bottom"/>
          </w:tcPr>
          <w:p>
            <w:pPr>
              <w:jc w:val="right"/>
              <w:ind w:right="354"/>
              <w:spacing w:after="0"/>
              <w:rPr>
                <w:sz w:val="20"/>
                <w:szCs w:val="20"/>
                <w:color w:val="auto"/>
              </w:rPr>
            </w:pPr>
            <w:r>
              <w:rPr>
                <w:rFonts w:ascii="Times New Roman" w:cs="Times New Roman" w:eastAsia="Times New Roman" w:hAnsi="Times New Roman"/>
                <w:sz w:val="8"/>
                <w:szCs w:val="8"/>
                <w:b w:val="1"/>
                <w:bCs w:val="1"/>
                <w:color w:val="auto"/>
              </w:rPr>
              <w:t>shareholding (%)</w:t>
            </w:r>
          </w:p>
        </w:tc>
      </w:tr>
      <w:tr>
        <w:trPr>
          <w:trHeight w:val="106"/>
        </w:trPr>
        <w:tc>
          <w:tcPr>
            <w:tcW w:w="326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280" w:type="dxa"/>
            <w:vAlign w:val="bottom"/>
            <w:shd w:val="clear" w:color="auto" w:fill="CFF0FC"/>
          </w:tcPr>
          <w:p>
            <w:pPr>
              <w:spacing w:after="0"/>
              <w:rPr>
                <w:sz w:val="9"/>
                <w:szCs w:val="9"/>
                <w:color w:val="auto"/>
              </w:rPr>
            </w:pPr>
          </w:p>
        </w:tc>
        <w:tc>
          <w:tcPr>
            <w:tcW w:w="1540" w:type="dxa"/>
            <w:vAlign w:val="bottom"/>
            <w:shd w:val="clear" w:color="auto" w:fill="CFF0FC"/>
          </w:tcPr>
          <w:p>
            <w:pPr>
              <w:jc w:val="center"/>
              <w:ind w:left="33"/>
              <w:spacing w:after="0" w:line="106" w:lineRule="exact"/>
              <w:rPr>
                <w:sz w:val="20"/>
                <w:szCs w:val="20"/>
                <w:color w:val="auto"/>
              </w:rPr>
            </w:pPr>
            <w:r>
              <w:rPr>
                <w:rFonts w:ascii="Times New Roman" w:cs="Times New Roman" w:eastAsia="Times New Roman" w:hAnsi="Times New Roman"/>
                <w:sz w:val="10"/>
                <w:szCs w:val="10"/>
                <w:color w:val="auto"/>
                <w:w w:val="96"/>
              </w:rPr>
              <w:t>United States of</w:t>
            </w:r>
          </w:p>
        </w:tc>
        <w:tc>
          <w:tcPr>
            <w:tcW w:w="1420" w:type="dxa"/>
            <w:vAlign w:val="bottom"/>
            <w:shd w:val="clear" w:color="auto" w:fill="CFF0FC"/>
          </w:tcPr>
          <w:p>
            <w:pPr>
              <w:spacing w:after="0"/>
              <w:rPr>
                <w:sz w:val="9"/>
                <w:szCs w:val="9"/>
                <w:color w:val="auto"/>
              </w:rPr>
            </w:pPr>
          </w:p>
        </w:tc>
      </w:tr>
      <w:tr>
        <w:trPr>
          <w:trHeight w:val="119"/>
        </w:trPr>
        <w:tc>
          <w:tcPr>
            <w:tcW w:w="3260" w:type="dxa"/>
            <w:vAlign w:val="bottom"/>
            <w:shd w:val="clear" w:color="auto" w:fill="CFF0FC"/>
          </w:tcPr>
          <w:p>
            <w:pPr>
              <w:spacing w:after="0"/>
              <w:rPr>
                <w:sz w:val="10"/>
                <w:szCs w:val="10"/>
                <w:color w:val="auto"/>
              </w:rPr>
            </w:pPr>
          </w:p>
        </w:tc>
        <w:tc>
          <w:tcPr>
            <w:tcW w:w="2280" w:type="dxa"/>
            <w:vAlign w:val="bottom"/>
            <w:shd w:val="clear" w:color="auto" w:fill="CFF0FC"/>
          </w:tcPr>
          <w:p>
            <w:pPr>
              <w:jc w:val="center"/>
              <w:ind w:left="533"/>
              <w:spacing w:after="0"/>
              <w:rPr>
                <w:sz w:val="20"/>
                <w:szCs w:val="20"/>
                <w:color w:val="auto"/>
              </w:rPr>
            </w:pPr>
            <w:r>
              <w:rPr>
                <w:rFonts w:ascii="Times New Roman" w:cs="Times New Roman" w:eastAsia="Times New Roman" w:hAnsi="Times New Roman"/>
                <w:sz w:val="10"/>
                <w:szCs w:val="10"/>
                <w:color w:val="auto"/>
                <w:w w:val="98"/>
              </w:rPr>
              <w:t>April 20, 2016</w:t>
            </w:r>
          </w:p>
        </w:tc>
        <w:tc>
          <w:tcPr>
            <w:tcW w:w="1540" w:type="dxa"/>
            <w:vAlign w:val="bottom"/>
            <w:shd w:val="clear" w:color="auto" w:fill="CFF0FC"/>
          </w:tcPr>
          <w:p>
            <w:pPr>
              <w:jc w:val="center"/>
              <w:ind w:left="33"/>
              <w:spacing w:after="0"/>
              <w:rPr>
                <w:sz w:val="20"/>
                <w:szCs w:val="20"/>
                <w:color w:val="auto"/>
              </w:rPr>
            </w:pPr>
            <w:r>
              <w:rPr>
                <w:rFonts w:ascii="Times New Roman" w:cs="Times New Roman" w:eastAsia="Times New Roman" w:hAnsi="Times New Roman"/>
                <w:sz w:val="10"/>
                <w:szCs w:val="10"/>
                <w:color w:val="auto"/>
                <w:w w:val="98"/>
              </w:rPr>
              <w:t>America</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280" w:type="dxa"/>
            <w:vAlign w:val="bottom"/>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9"/>
              </w:rPr>
              <w:t>August 25, 2020</w:t>
            </w:r>
          </w:p>
        </w:tc>
        <w:tc>
          <w:tcPr>
            <w:tcW w:w="1540" w:type="dxa"/>
            <w:vAlign w:val="bottom"/>
          </w:tcPr>
          <w:p>
            <w:pPr>
              <w:jc w:val="center"/>
              <w:ind w:left="33"/>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280" w:type="dxa"/>
            <w:vAlign w:val="bottom"/>
            <w:shd w:val="clear" w:color="auto" w:fill="CFF0FC"/>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8"/>
              </w:rPr>
              <w:t>November 9, 2000</w:t>
            </w:r>
          </w:p>
        </w:tc>
        <w:tc>
          <w:tcPr>
            <w:tcW w:w="1540" w:type="dxa"/>
            <w:vAlign w:val="bottom"/>
            <w:shd w:val="clear" w:color="auto" w:fill="CFF0FC"/>
          </w:tcPr>
          <w:p>
            <w:pPr>
              <w:jc w:val="center"/>
              <w:ind w:left="33"/>
              <w:spacing w:after="0" w:line="113" w:lineRule="exact"/>
              <w:rPr>
                <w:sz w:val="20"/>
                <w:szCs w:val="20"/>
                <w:color w:val="auto"/>
              </w:rPr>
            </w:pPr>
            <w:r>
              <w:rPr>
                <w:rFonts w:ascii="Times New Roman" w:cs="Times New Roman" w:eastAsia="Times New Roman" w:hAnsi="Times New Roman"/>
                <w:sz w:val="10"/>
                <w:szCs w:val="10"/>
                <w:color w:val="auto"/>
                <w:w w:val="99"/>
              </w:rPr>
              <w:t>Taiwan</w:t>
            </w:r>
          </w:p>
        </w:tc>
        <w:tc>
          <w:tcPr>
            <w:tcW w:w="1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25"/>
        </w:trPr>
        <w:tc>
          <w:tcPr>
            <w:tcW w:w="3260" w:type="dxa"/>
            <w:vAlign w:val="bottom"/>
          </w:tcPr>
          <w:p>
            <w:pPr>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280" w:type="dxa"/>
            <w:vAlign w:val="bottom"/>
          </w:tcPr>
          <w:p>
            <w:pPr>
              <w:jc w:val="center"/>
              <w:ind w:left="533"/>
              <w:spacing w:after="0"/>
              <w:rPr>
                <w:sz w:val="20"/>
                <w:szCs w:val="20"/>
                <w:color w:val="auto"/>
              </w:rPr>
            </w:pPr>
            <w:r>
              <w:rPr>
                <w:rFonts w:ascii="Times New Roman" w:cs="Times New Roman" w:eastAsia="Times New Roman" w:hAnsi="Times New Roman"/>
                <w:sz w:val="10"/>
                <w:szCs w:val="10"/>
                <w:color w:val="auto"/>
                <w:w w:val="97"/>
              </w:rPr>
              <w:t>March 19, 2021</w:t>
            </w:r>
          </w:p>
        </w:tc>
        <w:tc>
          <w:tcPr>
            <w:tcW w:w="1540" w:type="dxa"/>
            <w:vAlign w:val="bottom"/>
          </w:tcPr>
          <w:p>
            <w:pPr>
              <w:jc w:val="center"/>
              <w:ind w:left="13"/>
              <w:spacing w:after="0"/>
              <w:rPr>
                <w:sz w:val="20"/>
                <w:szCs w:val="20"/>
                <w:color w:val="auto"/>
              </w:rPr>
            </w:pPr>
            <w:r>
              <w:rPr>
                <w:rFonts w:ascii="Times New Roman" w:cs="Times New Roman" w:eastAsia="Times New Roman" w:hAnsi="Times New Roman"/>
                <w:sz w:val="10"/>
                <w:szCs w:val="10"/>
                <w:color w:val="auto"/>
                <w:w w:val="97"/>
              </w:rPr>
              <w:t>India</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financial statements have been prepared using the United Stated Dollar ($) as its reporting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2.3.Emerging Growth Company</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2.4.Liquidity</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Pursuant to ASC 205-40, Presentation of Financial Statements—Going Concern (“ASC 205- 40”),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08"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ability to generate revenue from our technology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2.5.Use of estimates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 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2.6.Foreign currency translation and transactions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05" w:lineRule="exact"/>
        <w:rPr>
          <w:sz w:val="20"/>
          <w:szCs w:val="20"/>
          <w:color w:val="auto"/>
        </w:rPr>
      </w:pPr>
    </w:p>
    <w:p>
      <w:pPr>
        <w:ind w:right="200" w:firstLine="480"/>
        <w:spacing w:after="0" w:line="239" w:lineRule="auto"/>
        <w:rPr>
          <w:sz w:val="20"/>
          <w:szCs w:val="20"/>
          <w:color w:val="auto"/>
        </w:rPr>
      </w:pPr>
      <w:r>
        <w:rPr>
          <w:rFonts w:ascii="Times New Roman" w:cs="Times New Roman" w:eastAsia="Times New Roman" w:hAnsi="Times New Roman"/>
          <w:sz w:val="10"/>
          <w:szCs w:val="10"/>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Cash comprises cash on hand and in current accounts which are readily available. Our cash is held in creditworthy financial institutions and is insured up to GBP 85,000 in accordance with the regulations of the United Kingdom’s Financial Conduct Authority.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Company has not experienced any losses associated with cash held with financial institutions.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2.8.Accounts receivable, net</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2.9.Property and equipment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Property and equipment are stated at cost of acquisition less accumulated depreciation and accumulated impairment provisions, however, there have been no indicators identified during the reporting periods.</w:t>
      </w:r>
    </w:p>
    <w:p>
      <w:pPr>
        <w:spacing w:after="0" w:line="11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Depreciation on property and equipment is charged to expense on a systematic basis over the useful life of assets as estimated by the management. Depreciation is computed using the straight-line method. The useful lives estimated by the management are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follows:</w:t>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b w:val="1"/>
                <w:bCs w:val="1"/>
                <w:color w:val="auto"/>
              </w:rPr>
              <w:t>Useful life</w:t>
            </w:r>
          </w:p>
        </w:tc>
      </w:tr>
      <w:tr>
        <w:trPr>
          <w:trHeight w:val="9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Computers</w:t>
            </w:r>
          </w:p>
        </w:tc>
        <w:tc>
          <w:tcPr>
            <w:tcW w:w="346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8"/>
                <w:szCs w:val="8"/>
                <w:color w:val="auto"/>
              </w:rPr>
              <w:t>3 years</w:t>
            </w:r>
          </w:p>
        </w:tc>
      </w:t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color w:val="auto"/>
              </w:rPr>
              <w:t>Office equipment</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color w:val="auto"/>
              </w:rPr>
              <w:t>3 years</w:t>
            </w:r>
          </w:p>
        </w:tc>
      </w:tr>
    </w:tbl>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Repairs and maintenance of property and equipment are expensed as incurred; enhancements and improvements that extend the life of property and equipment are capitalized into their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2.10.Intangible assets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Intangible assets consist of computer software, customer lists and goodwill.</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Computer software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initial useful lives of computer software assets as estimated by management are summarized as follows:</w:t>
      </w:r>
    </w:p>
    <w:p>
      <w:pPr>
        <w:sectPr>
          <w:pgSz w:w="11900" w:h="16840" w:orient="portrait"/>
          <w:cols w:equalWidth="0" w:num="1">
            <w:col w:w="10620"/>
          </w:cols>
          <w:pgMar w:left="640" w:top="921" w:right="640" w:bottom="1440" w:gutter="0" w:footer="0" w:header="0"/>
        </w:sectPr>
      </w:pPr>
    </w:p>
    <w:p>
      <w:pPr>
        <w:spacing w:after="0" w:line="1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8"/>
          <w:szCs w:val="8"/>
          <w:b w:val="1"/>
          <w:bCs w:val="1"/>
          <w:color w:val="auto"/>
        </w:rPr>
        <w:t>Assets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b w:val="1"/>
          <w:bCs w:val="1"/>
          <w:color w:val="auto"/>
        </w:rPr>
        <w:t>Useful life</w:t>
      </w:r>
    </w:p>
    <w:p>
      <w:pPr>
        <w:spacing w:after="0" w:line="27"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8"/>
          <w:szCs w:val="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5 years</w:t>
      </w:r>
    </w:p>
    <w:p>
      <w:pPr>
        <w:spacing w:after="0" w:line="181"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9"/>
          <w:szCs w:val="9"/>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264160</wp:posOffset>
            </wp:positionV>
            <wp:extent cx="6778625"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Internal-use software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We capitalize internal and external costs directly associated with the development of internal-use software. Maintenance and training costs, as well as costs incurred during the preliminary stage of an internal-use software development project, are expensed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2.11.Impairment of assets</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08"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other indicators of impairment for any of the long-lived assets as of December 31, 2023 and December 31, 2022 and the years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2.12.Convertible Debt</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2.13.Deferred financing costs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2.14.Revenue recognition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Ticketing Commissions (Spain)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 is recognized in accordance with ASC 606 “Revenue from Contracts with Customers” at the point in time when a football ticket is sold on our platform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2.15.Cost of revenue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consists of expenses incurred directly in relation to the earning of revenues such as partner’s fees and inventory plus the impairment of current assets (see note 2.11).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2.16.Operating segments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2.17.Research and development credits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2.18.Share-based compensation</w:t>
      </w:r>
    </w:p>
    <w:p>
      <w:pPr>
        <w:spacing w:after="0" w:line="6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2.19.Shareholders’ deficit and reserves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Authorized and Outstanding Shares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and 2022, there were 932,969,424 and 927,806,159 common shares, and 28,039,517 Series A shares outstanding, respectively.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960" w:type="dxa"/>
            <w:vAlign w:val="bottom"/>
          </w:tcPr>
          <w:p>
            <w:pPr>
              <w:spacing w:after="0"/>
              <w:rPr>
                <w:sz w:val="8"/>
                <w:szCs w:val="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 Shares</w:t>
            </w: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Shares at</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Requiring Additional</w:t>
            </w: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Par Value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Paid in Capital</w:t>
            </w: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6"/>
        </w:trPr>
        <w:tc>
          <w:tcPr>
            <w:tcW w:w="49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0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£0.0001</w:t>
            </w:r>
          </w:p>
        </w:tc>
        <w:tc>
          <w:tcPr>
            <w:tcW w:w="1200" w:type="dxa"/>
            <w:vAlign w:val="bottom"/>
            <w:gridSpan w:val="2"/>
          </w:tcPr>
          <w:p>
            <w:pPr>
              <w:jc w:val="center"/>
              <w:ind w:left="114"/>
              <w:spacing w:after="0"/>
              <w:rPr>
                <w:sz w:val="20"/>
                <w:szCs w:val="20"/>
                <w:color w:val="auto"/>
              </w:rPr>
            </w:pPr>
            <w:r>
              <w:rPr>
                <w:rFonts w:ascii="Times New Roman" w:cs="Times New Roman" w:eastAsia="Times New Roman" w:hAnsi="Times New Roman"/>
                <w:sz w:val="8"/>
                <w:szCs w:val="8"/>
                <w:b w:val="1"/>
                <w:bCs w:val="1"/>
                <w:color w:val="auto"/>
              </w:rPr>
              <w:t>£0.016</w:t>
            </w:r>
          </w:p>
        </w:tc>
        <w:tc>
          <w:tcPr>
            <w:tcW w:w="1200" w:type="dxa"/>
            <w:vAlign w:val="bottom"/>
            <w:gridSpan w:val="2"/>
          </w:tcPr>
          <w:p>
            <w:pPr>
              <w:jc w:val="right"/>
              <w:ind w:right="431"/>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Balance as on January 1, 2022</w:t>
            </w:r>
          </w:p>
        </w:tc>
        <w:tc>
          <w:tcPr>
            <w:tcW w:w="10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shd w:val="clear" w:color="auto" w:fill="CFF0FC"/>
          </w:tcPr>
          <w:p>
            <w:pPr>
              <w:spacing w:after="0"/>
              <w:rPr>
                <w:sz w:val="9"/>
                <w:szCs w:val="9"/>
                <w:color w:val="auto"/>
              </w:rPr>
            </w:pP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2022</w:t>
            </w: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2022</w:t>
            </w:r>
          </w:p>
        </w:tc>
        <w:tc>
          <w:tcPr>
            <w:tcW w:w="10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As at December 31, 2022</w:t>
            </w: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2023</w:t>
            </w:r>
          </w:p>
        </w:tc>
        <w:tc>
          <w:tcPr>
            <w:tcW w:w="10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2023</w:t>
            </w: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96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December 31, 2023</w:t>
            </w:r>
          </w:p>
        </w:tc>
        <w:tc>
          <w:tcPr>
            <w:tcW w:w="10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58,315,800</w:t>
            </w:r>
          </w:p>
        </w:tc>
        <w:tc>
          <w:tcPr>
            <w:tcW w:w="16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10,700,000</w:t>
            </w:r>
          </w:p>
        </w:tc>
        <w:tc>
          <w:tcPr>
            <w:tcW w:w="16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215,448</w:t>
            </w:r>
          </w:p>
        </w:tc>
        <w:tc>
          <w:tcPr>
            <w:tcW w:w="8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2.20.Restatement of error in previously filed consolidated combined carve-out financial statements: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9"/>
          <w:szCs w:val="9"/>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12"/>
          <w:szCs w:val="12"/>
          <w:color w:val="auto"/>
          <w:vertAlign w:val="superscript"/>
        </w:rPr>
        <w:t>th</w:t>
      </w:r>
      <w:r>
        <w:rPr>
          <w:rFonts w:ascii="Times New Roman" w:cs="Times New Roman" w:eastAsia="Times New Roman" w:hAnsi="Times New Roman"/>
          <w:sz w:val="9"/>
          <w:szCs w:val="9"/>
          <w:color w:val="auto"/>
        </w:rPr>
        <w:t xml:space="preserve"> , 2022 at which point all of the outstanding shares of ANY were transferred from the Radio Group to the Company. On December 28, 2022 the legal ownership of ANY reverted back to the sellers of ANY, the consideration shares were reverted back</w:t>
      </w:r>
    </w:p>
    <w:p>
      <w:pPr>
        <w:spacing w:after="0" w:line="1"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0"/>
          <w:szCs w:val="10"/>
          <w:color w:val="auto"/>
        </w:rPr>
        <w:t>to Rezolve. On April 13</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investment in ANY of $14,600,000 plus loans to ANY of $222,022 was impaired as the Company abandoned its plans to complete the acquisition of ANY.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860" w:type="dxa"/>
            <w:vAlign w:val="bottom"/>
          </w:tcPr>
          <w:p>
            <w:pPr>
              <w:spacing w:after="0"/>
              <w:rPr>
                <w:sz w:val="8"/>
                <w:szCs w:val="8"/>
                <w:color w:val="auto"/>
              </w:rPr>
            </w:pPr>
          </w:p>
        </w:tc>
        <w:tc>
          <w:tcPr>
            <w:tcW w:w="1520" w:type="dxa"/>
            <w:vAlign w:val="bottom"/>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940" w:type="dxa"/>
            <w:vAlign w:val="bottom"/>
          </w:tcPr>
          <w:p>
            <w:pPr>
              <w:ind w:left="260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860" w:type="dxa"/>
            <w:vAlign w:val="bottom"/>
          </w:tcPr>
          <w:p>
            <w:pPr>
              <w:spacing w:after="0"/>
              <w:rPr>
                <w:sz w:val="9"/>
                <w:szCs w:val="9"/>
                <w:color w:val="auto"/>
              </w:rPr>
            </w:pPr>
          </w:p>
        </w:tc>
        <w:tc>
          <w:tcPr>
            <w:tcW w:w="152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9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41,709</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(2,329 )</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74,748</w:t>
            </w:r>
          </w:p>
        </w:tc>
        <w:tc>
          <w:tcPr>
            <w:tcW w:w="8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(65,893 )</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8,855</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Receivables from related party</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607,726</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(607,726 )</w:t>
            </w:r>
          </w:p>
        </w:tc>
        <w:tc>
          <w:tcPr>
            <w:tcW w:w="152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1,202,572</w:t>
            </w:r>
          </w:p>
        </w:tc>
        <w:tc>
          <w:tcPr>
            <w:tcW w:w="8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(163,312 )</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1,039,260</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1,926,755</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rPr>
              <w:t>(839,260 )</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9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139,560</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(28,562 )</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110,998</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Goodwill</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1,061,763</w:t>
            </w:r>
          </w:p>
        </w:tc>
        <w:tc>
          <w:tcPr>
            <w:tcW w:w="8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(1,061,763 )</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6,237,443</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(5,786,997 )</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450,446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7,438,766</w:t>
            </w:r>
          </w:p>
        </w:tc>
        <w:tc>
          <w:tcPr>
            <w:tcW w:w="8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rPr>
              <w:t>(6,877,322 )</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9,365,521</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rPr>
              <w:t>(7,716,582 )</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2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86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697,067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4,262,476</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(533,502 )</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3,728,974</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225,120</w:t>
            </w:r>
          </w:p>
        </w:tc>
        <w:tc>
          <w:tcPr>
            <w:tcW w:w="86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3,488,909</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(848,525 )</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2,640,384</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8,673,572</w:t>
            </w:r>
          </w:p>
        </w:tc>
        <w:tc>
          <w:tcPr>
            <w:tcW w:w="8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rPr>
              <w:t>(985,356 )</w:t>
            </w:r>
          </w:p>
        </w:tc>
        <w:tc>
          <w:tcPr>
            <w:tcW w:w="15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(7,688,216 )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86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25,302,709</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1,177,616</w:t>
            </w:r>
          </w:p>
        </w:tc>
        <w:tc>
          <w:tcPr>
            <w:tcW w:w="86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1,177,617</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tax liability</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1,526,622</w:t>
            </w:r>
          </w:p>
        </w:tc>
        <w:tc>
          <w:tcPr>
            <w:tcW w:w="8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(1,526,622 )</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28,006,947</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rPr>
              <w:t>(1,526,622 )</w:t>
            </w:r>
          </w:p>
        </w:tc>
        <w:tc>
          <w:tcPr>
            <w:tcW w:w="15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94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(36,680,519 )</w:t>
            </w:r>
          </w:p>
        </w:tc>
        <w:tc>
          <w:tcPr>
            <w:tcW w:w="8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rPr>
              <w:t>(2,511,978 )</w:t>
            </w:r>
          </w:p>
        </w:tc>
        <w:tc>
          <w:tcPr>
            <w:tcW w:w="15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126,677</w:t>
            </w:r>
          </w:p>
        </w:tc>
        <w:tc>
          <w:tcPr>
            <w:tcW w:w="86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126,677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294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86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3,868</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163,163,090</w:t>
            </w:r>
          </w:p>
        </w:tc>
        <w:tc>
          <w:tcPr>
            <w:tcW w:w="86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15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163,165,083</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294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86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(189,171,542 )</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(6,383,790 )</w:t>
            </w:r>
          </w:p>
        </w:tc>
        <w:tc>
          <w:tcPr>
            <w:tcW w:w="15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94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(1,260,364 )</w:t>
            </w:r>
          </w:p>
        </w:tc>
        <w:tc>
          <w:tcPr>
            <w:tcW w:w="86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1,179,185</w:t>
            </w:r>
          </w:p>
        </w:tc>
        <w:tc>
          <w:tcPr>
            <w:tcW w:w="15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94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(27,314,998 )</w:t>
            </w:r>
          </w:p>
        </w:tc>
        <w:tc>
          <w:tcPr>
            <w:tcW w:w="8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rPr>
              <w:t>(5,204,605 )</w:t>
            </w:r>
          </w:p>
        </w:tc>
        <w:tc>
          <w:tcPr>
            <w:tcW w:w="15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940" w:type="dxa"/>
            <w:vAlign w:val="bottom"/>
          </w:tcPr>
          <w:p>
            <w:pPr>
              <w:spacing w:after="0"/>
              <w:rPr>
                <w:sz w:val="11"/>
                <w:szCs w:val="11"/>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b w:val="1"/>
                <w:bCs w:val="1"/>
                <w:color w:val="auto"/>
              </w:rPr>
              <w:t>9,365,521</w:t>
            </w: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(7,716,583 )</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1,648,939</w:t>
            </w:r>
          </w:p>
        </w:tc>
      </w:tr>
      <w:tr>
        <w:trPr>
          <w:trHeight w:val="276"/>
        </w:trPr>
        <w:tc>
          <w:tcPr>
            <w:tcW w:w="3440" w:type="dxa"/>
            <w:vAlign w:val="bottom"/>
          </w:tcPr>
          <w:p>
            <w:pPr>
              <w:spacing w:after="0"/>
              <w:rPr>
                <w:sz w:val="24"/>
                <w:szCs w:val="24"/>
                <w:color w:val="auto"/>
              </w:rPr>
            </w:pPr>
          </w:p>
        </w:tc>
        <w:tc>
          <w:tcPr>
            <w:tcW w:w="2940" w:type="dxa"/>
            <w:vAlign w:val="bottom"/>
          </w:tcPr>
          <w:p>
            <w:pPr>
              <w:ind w:left="1780"/>
              <w:spacing w:after="0"/>
              <w:rPr>
                <w:sz w:val="20"/>
                <w:szCs w:val="20"/>
                <w:color w:val="auto"/>
              </w:rPr>
            </w:pPr>
            <w:r>
              <w:rPr>
                <w:rFonts w:ascii="Times New Roman" w:cs="Times New Roman" w:eastAsia="Times New Roman" w:hAnsi="Times New Roman"/>
                <w:sz w:val="10"/>
                <w:szCs w:val="10"/>
                <w:color w:val="auto"/>
              </w:rPr>
              <w:t>F-40</w:t>
            </w: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294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37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740" w:type="dxa"/>
            <w:vAlign w:val="bottom"/>
          </w:tcPr>
          <w:p>
            <w:pPr>
              <w:spacing w:after="0"/>
              <w:rPr>
                <w:sz w:val="9"/>
                <w:szCs w:val="9"/>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11,879,343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(11,764,184 )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5,604,129</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(4,859,089 )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6,827,211</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(2,488,654 )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4,338,557</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91,604,396</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(4,963,896 )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(506,316 )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112,531,103</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(5,369,797 )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(100,651,760 )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(6,394,387 )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(3,884,698 )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315,574</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(58,915 )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(3,569,124 )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(58,912 )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(104,220,884 )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(31,521,733 )</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115,447</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(104,105,437 )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(31,585,141 )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(0.11 )</w:t>
            </w:r>
          </w:p>
        </w:tc>
        <w:tc>
          <w:tcPr>
            <w:tcW w:w="1120" w:type="dxa"/>
            <w:vAlign w:val="bottom"/>
            <w:shd w:val="clear" w:color="auto" w:fill="CFF0FC"/>
          </w:tcPr>
          <w:p>
            <w:pPr>
              <w:jc w:val="right"/>
              <w:ind w:right="916"/>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(0.01 )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680" w:type="dxa"/>
            <w:vAlign w:val="bottom"/>
          </w:tcPr>
          <w:p>
            <w:pPr>
              <w:spacing w:after="0"/>
              <w:rPr>
                <w:sz w:val="10"/>
                <w:szCs w:val="1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913,109,577</w:t>
            </w: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r>
        <w:trPr>
          <w:trHeight w:val="278"/>
        </w:trPr>
        <w:tc>
          <w:tcPr>
            <w:tcW w:w="3700" w:type="dxa"/>
            <w:vAlign w:val="bottom"/>
          </w:tcPr>
          <w:p>
            <w:pPr>
              <w:spacing w:after="0"/>
              <w:rPr>
                <w:sz w:val="24"/>
                <w:szCs w:val="24"/>
                <w:color w:val="auto"/>
              </w:rPr>
            </w:pPr>
          </w:p>
        </w:tc>
        <w:tc>
          <w:tcPr>
            <w:tcW w:w="2680" w:type="dxa"/>
            <w:vAlign w:val="bottom"/>
          </w:tcPr>
          <w:p>
            <w:pPr>
              <w:jc w:val="right"/>
              <w:ind w:right="933"/>
              <w:spacing w:after="0"/>
              <w:rPr>
                <w:sz w:val="20"/>
                <w:szCs w:val="20"/>
                <w:color w:val="auto"/>
              </w:rPr>
            </w:pPr>
            <w:r>
              <w:rPr>
                <w:rFonts w:ascii="Times New Roman" w:cs="Times New Roman" w:eastAsia="Times New Roman" w:hAnsi="Times New Roman"/>
                <w:sz w:val="10"/>
                <w:szCs w:val="10"/>
                <w:color w:val="auto"/>
              </w:rPr>
              <w:t>F-41</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370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41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2260" w:type="dxa"/>
            <w:vAlign w:val="bottom"/>
          </w:tcPr>
          <w:p>
            <w:pPr>
              <w:ind w:left="192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(104,105,438 )</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(6,607,510 )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04"/>
        </w:trPr>
        <w:tc>
          <w:tcPr>
            <w:tcW w:w="41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(497,905 )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(277,838 )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06"/>
        </w:trPr>
        <w:tc>
          <w:tcPr>
            <w:tcW w:w="412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9"/>
        </w:trPr>
        <w:tc>
          <w:tcPr>
            <w:tcW w:w="41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 consultancy services</w:t>
            </w:r>
          </w:p>
        </w:tc>
        <w:tc>
          <w:tcPr>
            <w:tcW w:w="2260" w:type="dxa"/>
            <w:vAlign w:val="bottom"/>
          </w:tcPr>
          <w:p>
            <w:pPr>
              <w:spacing w:after="0"/>
              <w:rPr>
                <w:sz w:val="10"/>
                <w:szCs w:val="10"/>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39,501,701</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46,236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731,940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14,600,000</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Deferred tax benefit</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(243,835 )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243,835</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646,661</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65,893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(215,468 )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158,945</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(46,236 )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(245,266 )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414,020</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06"/>
        </w:trPr>
        <w:tc>
          <w:tcPr>
            <w:tcW w:w="41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Increase in accounts payable, accrued expenses and</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9"/>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other payables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4,766,607</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(1,426,068 )</w:t>
            </w: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(234,880 )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(26,762,923 )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(25,983 )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2,499,920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21,500,000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140,658</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36,639</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(2,648,318 )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(235 )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2,690,024</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(2,091 )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41,709</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(2,329 )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Management also reclassified amounts Due to related party, previously disclosed in the related party note disclosure as at December 31, 2022. The amounts were reclassified from Accounts payable.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940" w:type="dxa"/>
            <w:vAlign w:val="bottom"/>
          </w:tcPr>
          <w:p>
            <w:pPr>
              <w:ind w:left="13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760" w:type="dxa"/>
            <w:vAlign w:val="bottom"/>
          </w:tcPr>
          <w:p>
            <w:pPr>
              <w:spacing w:after="0"/>
              <w:rPr>
                <w:sz w:val="8"/>
                <w:szCs w:val="8"/>
                <w:color w:val="auto"/>
              </w:rPr>
            </w:pP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36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740" w:type="dxa"/>
            <w:vAlign w:val="bottom"/>
          </w:tcPr>
          <w:p>
            <w:pPr>
              <w:ind w:left="238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940" w:type="dxa"/>
            <w:vAlign w:val="bottom"/>
          </w:tcPr>
          <w:p>
            <w:pPr>
              <w:ind w:left="134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760" w:type="dxa"/>
            <w:vAlign w:val="bottom"/>
          </w:tcPr>
          <w:p>
            <w:pPr>
              <w:spacing w:after="0"/>
              <w:rPr>
                <w:sz w:val="9"/>
                <w:szCs w:val="9"/>
                <w:color w:val="auto"/>
              </w:rPr>
            </w:pPr>
          </w:p>
        </w:tc>
        <w:tc>
          <w:tcPr>
            <w:tcW w:w="1520" w:type="dxa"/>
            <w:vAlign w:val="bottom"/>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740" w:type="dxa"/>
            <w:vAlign w:val="bottom"/>
            <w:shd w:val="clear" w:color="auto" w:fill="CFF0FC"/>
          </w:tcPr>
          <w:p>
            <w:pPr>
              <w:spacing w:after="0"/>
              <w:rPr>
                <w:sz w:val="9"/>
                <w:szCs w:val="9"/>
                <w:color w:val="auto"/>
              </w:rPr>
            </w:pPr>
          </w:p>
        </w:tc>
        <w:tc>
          <w:tcPr>
            <w:tcW w:w="1940" w:type="dxa"/>
            <w:vAlign w:val="bottom"/>
            <w:shd w:val="clear" w:color="auto" w:fill="CFF0FC"/>
          </w:tcPr>
          <w:p>
            <w:pPr>
              <w:jc w:val="right"/>
              <w:ind w:right="1335"/>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366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740" w:type="dxa"/>
            <w:vAlign w:val="bottom"/>
          </w:tcPr>
          <w:p>
            <w:pPr>
              <w:spacing w:after="0"/>
              <w:rPr>
                <w:sz w:val="10"/>
                <w:szCs w:val="10"/>
                <w:color w:val="auto"/>
              </w:rPr>
            </w:pPr>
          </w:p>
        </w:tc>
        <w:tc>
          <w:tcPr>
            <w:tcW w:w="1940" w:type="dxa"/>
            <w:vAlign w:val="bottom"/>
          </w:tcPr>
          <w:p>
            <w:pPr>
              <w:jc w:val="right"/>
              <w:ind w:right="1335"/>
              <w:spacing w:after="0"/>
              <w:rPr>
                <w:sz w:val="20"/>
                <w:szCs w:val="20"/>
                <w:color w:val="auto"/>
              </w:rPr>
            </w:pPr>
            <w:r>
              <w:rPr>
                <w:rFonts w:ascii="Times New Roman" w:cs="Times New Roman" w:eastAsia="Times New Roman" w:hAnsi="Times New Roman"/>
                <w:sz w:val="10"/>
                <w:szCs w:val="10"/>
                <w:color w:val="auto"/>
              </w:rPr>
              <w:t>172,202,839</w:t>
            </w: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1,993</w:t>
            </w: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172,204,832</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balance sheet for December 31, 2023 was restated only to reflect the return of the deferred shares and the cancellation of the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amounts were restated in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4 – Prepayments and other current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6 – Property and equipment, net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7 – Intangible assets,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12 – Accrued expenses and other payables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13 – Expenses and other Non-operating (income) expense,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14 – Related party disclosures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16 –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2.21.Fair value measurement and concentration of 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2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20" w:type="dxa"/>
            <w:vAlign w:val="bottom"/>
          </w:tcPr>
          <w:p>
            <w:pPr>
              <w:ind w:left="19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1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40" w:type="dxa"/>
            <w:vAlign w:val="bottom"/>
          </w:tcPr>
          <w:p>
            <w:pPr>
              <w:spacing w:after="0"/>
              <w:rPr>
                <w:sz w:val="9"/>
                <w:szCs w:val="9"/>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13"/>
        </w:trPr>
        <w:tc>
          <w:tcPr>
            <w:tcW w:w="3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1,311,028</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25"/>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1,177,617</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 Please also refer to note 7.4.</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840" w:type="dxa"/>
            <w:vAlign w:val="bottom"/>
          </w:tcPr>
          <w:p>
            <w:pPr>
              <w:ind w:left="51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440" w:type="dxa"/>
            <w:vAlign w:val="bottom"/>
          </w:tcPr>
          <w:p>
            <w:pPr>
              <w:spacing w:after="0"/>
              <w:rPr>
                <w:sz w:val="9"/>
                <w:szCs w:val="9"/>
                <w:color w:val="auto"/>
              </w:rPr>
            </w:pPr>
          </w:p>
        </w:tc>
        <w:tc>
          <w:tcPr>
            <w:tcW w:w="118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3"/>
        </w:trPr>
        <w:tc>
          <w:tcPr>
            <w:tcW w:w="5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KPMG LLP</w:t>
            </w:r>
          </w:p>
        </w:tc>
        <w:tc>
          <w:tcPr>
            <w:tcW w:w="44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10 %</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3"/>
        </w:trPr>
        <w:tc>
          <w:tcPr>
            <w:tcW w:w="5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44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13 %</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17 %</w:t>
            </w:r>
          </w:p>
        </w:tc>
      </w:tr>
      <w:tr>
        <w:trPr>
          <w:trHeight w:val="113"/>
        </w:trPr>
        <w:tc>
          <w:tcPr>
            <w:tcW w:w="5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44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14 %</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15 %</w:t>
            </w:r>
          </w:p>
        </w:tc>
      </w:tr>
      <w:tr>
        <w:trPr>
          <w:trHeight w:val="125"/>
        </w:trPr>
        <w:tc>
          <w:tcPr>
            <w:tcW w:w="58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SThree Partnership LLP</w:t>
            </w:r>
          </w:p>
        </w:tc>
        <w:tc>
          <w:tcPr>
            <w:tcW w:w="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-292735</wp:posOffset>
            </wp:positionV>
            <wp:extent cx="4724400" cy="717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24400" cy="717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-149860</wp:posOffset>
            </wp:positionV>
            <wp:extent cx="4724400" cy="717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24400" cy="71755"/>
                    </a:xfrm>
                    <a:prstGeom prst="rect">
                      <a:avLst/>
                    </a:prstGeom>
                    <a:noFill/>
                  </pic:spPr>
                </pic:pic>
              </a:graphicData>
            </a:graphic>
          </wp:anchor>
        </w:drawing>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46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Revenue risk</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2.22.Income taxes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2.23.Loss and earnings per share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60" w:type="dxa"/>
            <w:vAlign w:val="bottom"/>
          </w:tcPr>
          <w:p>
            <w:pPr>
              <w:spacing w:after="0"/>
              <w:rPr>
                <w:sz w:val="8"/>
                <w:szCs w:val="8"/>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4840" w:type="dxa"/>
            <w:vAlign w:val="bottom"/>
          </w:tcPr>
          <w:p>
            <w:pPr>
              <w:spacing w:after="0"/>
              <w:rPr>
                <w:sz w:val="9"/>
                <w:szCs w:val="9"/>
                <w:color w:val="auto"/>
              </w:rPr>
            </w:pPr>
          </w:p>
        </w:tc>
        <w:tc>
          <w:tcPr>
            <w:tcW w:w="1200" w:type="dxa"/>
            <w:vAlign w:val="bottom"/>
          </w:tcPr>
          <w:p>
            <w:pPr>
              <w:jc w:val="right"/>
              <w:ind w:right="3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 w:type="dxa"/>
            <w:vAlign w:val="bottom"/>
          </w:tcPr>
          <w:p>
            <w:pPr>
              <w:spacing w:after="0"/>
              <w:rPr>
                <w:sz w:val="9"/>
                <w:szCs w:val="9"/>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(note 7.3)</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3,929,566</w:t>
            </w:r>
          </w:p>
        </w:tc>
        <w:tc>
          <w:tcPr>
            <w:tcW w:w="13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3,428,571</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 (note 7.4)</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3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Series A preferred shares</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3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(note 7.1)</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60" w:type="dxa"/>
            <w:vAlign w:val="bottom"/>
            <w:shd w:val="clear" w:color="auto" w:fill="CFF0FC"/>
          </w:tcPr>
          <w:p>
            <w:pPr>
              <w:spacing w:after="0"/>
              <w:rPr>
                <w:sz w:val="9"/>
                <w:szCs w:val="9"/>
                <w:color w:val="auto"/>
              </w:rPr>
            </w:pPr>
          </w:p>
        </w:tc>
        <w:tc>
          <w:tcPr>
            <w:tcW w:w="12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33,146,658</w:t>
            </w:r>
          </w:p>
        </w:tc>
        <w:tc>
          <w:tcPr>
            <w:tcW w:w="160" w:type="dxa"/>
            <w:vAlign w:val="bottom"/>
          </w:tcPr>
          <w:p>
            <w:pPr>
              <w:spacing w:after="0"/>
              <w:rPr>
                <w:sz w:val="10"/>
                <w:szCs w:val="10"/>
                <w:color w:val="auto"/>
              </w:rPr>
            </w:pPr>
          </w:p>
        </w:tc>
        <w:tc>
          <w:tcPr>
            <w:tcW w:w="11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36,808,088</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ASC 326 “Financial Instruments—Credit Losses”</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4.Prepayments and other current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1580" w:type="dxa"/>
            <w:vAlign w:val="bottom"/>
          </w:tcPr>
          <w:p>
            <w:pPr>
              <w:spacing w:after="0"/>
              <w:rPr>
                <w:sz w:val="9"/>
                <w:szCs w:val="9"/>
                <w:color w:val="auto"/>
              </w:rPr>
            </w:pPr>
          </w:p>
        </w:tc>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130,309</w:t>
            </w:r>
          </w:p>
        </w:tc>
        <w:tc>
          <w:tcPr>
            <w:tcW w:w="340" w:type="dxa"/>
            <w:vAlign w:val="bottom"/>
            <w:gridSpan w:val="2"/>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214,514</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4,155</w:t>
            </w:r>
          </w:p>
        </w:tc>
        <w:tc>
          <w:tcPr>
            <w:tcW w:w="6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w:t>
            </w: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219,421</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receivables</w:t>
            </w: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2,756</w:t>
            </w:r>
          </w:p>
        </w:tc>
        <w:tc>
          <w:tcPr>
            <w:tcW w:w="6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4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299,013</w:t>
            </w:r>
          </w:p>
        </w:tc>
        <w:tc>
          <w:tcPr>
            <w:tcW w:w="2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440,846</w:t>
            </w:r>
          </w:p>
        </w:tc>
        <w:tc>
          <w:tcPr>
            <w:tcW w:w="60" w:type="dxa"/>
            <w:vAlign w:val="bottom"/>
            <w:tcBorders>
              <w:bottom w:val="single" w:sz="8" w:color="CFF0FC"/>
            </w:tcBorders>
            <w:shd w:val="clear" w:color="auto" w:fill="CFF0FC"/>
          </w:tcPr>
          <w:p>
            <w:pPr>
              <w:spacing w:after="0"/>
              <w:rPr>
                <w:sz w:val="10"/>
                <w:szCs w:val="10"/>
                <w:color w:val="auto"/>
              </w:rPr>
            </w:pPr>
          </w:p>
        </w:tc>
      </w:tr>
      <w:tr>
        <w:trPr>
          <w:trHeight w:val="321"/>
        </w:trPr>
        <w:tc>
          <w:tcPr>
            <w:tcW w:w="6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5.Loans Receivable</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15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1580" w:type="dxa"/>
            <w:vAlign w:val="bottom"/>
          </w:tcPr>
          <w:p>
            <w:pPr>
              <w:spacing w:after="0"/>
              <w:rPr>
                <w:sz w:val="9"/>
                <w:szCs w:val="9"/>
                <w:color w:val="auto"/>
              </w:rPr>
            </w:pPr>
          </w:p>
        </w:tc>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Loans receivable</w:t>
            </w: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598,414</w:t>
            </w:r>
          </w:p>
        </w:tc>
        <w:tc>
          <w:tcPr>
            <w:tcW w:w="60" w:type="dxa"/>
            <w:vAlign w:val="bottom"/>
            <w:shd w:val="clear" w:color="auto" w:fill="CFF0FC"/>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Borders>
              <w:bottom w:val="single" w:sz="8" w:color="auto"/>
            </w:tcBorders>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0"/>
                <w:szCs w:val="10"/>
                <w:color w:val="auto"/>
              </w:rPr>
            </w:pPr>
          </w:p>
        </w:tc>
        <w:tc>
          <w:tcPr>
            <w:tcW w:w="140" w:type="dxa"/>
            <w:vAlign w:val="bottom"/>
            <w:tcBorders>
              <w:bottom w:val="single" w:sz="8" w:color="auto"/>
            </w:tcBorders>
          </w:tcPr>
          <w:p>
            <w:pPr>
              <w:jc w:val="right"/>
              <w:ind w:right="3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598,414</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loans receivable consists of:</w:t>
      </w:r>
    </w:p>
    <w:p>
      <w:pPr>
        <w:spacing w:after="0" w:line="5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0"/>
          <w:szCs w:val="10"/>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45" w:lineRule="exact"/>
        <w:rPr>
          <w:sz w:val="20"/>
          <w:szCs w:val="20"/>
          <w:color w:val="auto"/>
        </w:rPr>
      </w:pPr>
    </w:p>
    <w:p>
      <w:pPr>
        <w:ind w:left="480" w:right="100"/>
        <w:spacing w:after="0" w:line="241" w:lineRule="auto"/>
        <w:rPr>
          <w:sz w:val="20"/>
          <w:szCs w:val="20"/>
          <w:color w:val="auto"/>
        </w:rPr>
      </w:pPr>
      <w:r>
        <w:rPr>
          <w:rFonts w:ascii="Times New Roman" w:cs="Times New Roman" w:eastAsia="Times New Roman" w:hAnsi="Times New Roman"/>
          <w:sz w:val="10"/>
          <w:szCs w:val="10"/>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6.Property and equipment,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Computers</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195,140</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181,784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Office equipment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3"/>
              </w:rPr>
              <w:t>290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495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depreciation</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gridSpan w:val="4"/>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(115,837 )</w:t>
            </w:r>
          </w:p>
        </w:tc>
        <w:tc>
          <w:tcPr>
            <w:tcW w:w="80" w:type="dxa"/>
            <w:vAlign w:val="bottom"/>
            <w:shd w:val="clear" w:color="auto" w:fill="CFF0FC"/>
          </w:tcPr>
          <w:p>
            <w:pPr>
              <w:spacing w:after="0"/>
              <w:rPr>
                <w:sz w:val="9"/>
                <w:szCs w:val="9"/>
                <w:color w:val="auto"/>
              </w:rPr>
            </w:pPr>
          </w:p>
        </w:tc>
        <w:tc>
          <w:tcPr>
            <w:tcW w:w="1000" w:type="dxa"/>
            <w:vAlign w:val="bottom"/>
            <w:gridSpan w:val="3"/>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(71,281 )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Property and equipment, net</w:t>
            </w:r>
          </w:p>
        </w:tc>
        <w:tc>
          <w:tcPr>
            <w:tcW w:w="1300" w:type="dxa"/>
            <w:vAlign w:val="bottom"/>
            <w:gridSpan w:val="2"/>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79,593</w:t>
            </w:r>
          </w:p>
        </w:tc>
        <w:tc>
          <w:tcPr>
            <w:tcW w:w="200" w:type="dxa"/>
            <w:vAlign w:val="bottom"/>
          </w:tcPr>
          <w:p>
            <w:pPr>
              <w:spacing w:after="0"/>
              <w:rPr>
                <w:sz w:val="10"/>
                <w:szCs w:val="10"/>
                <w:color w:val="auto"/>
              </w:rPr>
            </w:pPr>
          </w:p>
        </w:tc>
        <w:tc>
          <w:tcPr>
            <w:tcW w:w="80" w:type="dxa"/>
            <w:vAlign w:val="bottom"/>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110,998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Depreciation expense for the years ended December 31, 2023 and 2022 was $44,556 and $37,917 respectively.</w:t>
            </w:r>
          </w:p>
        </w:tc>
        <w:tc>
          <w:tcPr>
            <w:tcW w:w="1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7.Intangible assets, net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Software</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1,009,272</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amortization</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4"/>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(736,834 )</w:t>
            </w:r>
          </w:p>
        </w:tc>
        <w:tc>
          <w:tcPr>
            <w:tcW w:w="80" w:type="dxa"/>
            <w:vAlign w:val="bottom"/>
          </w:tcPr>
          <w:p>
            <w:pPr>
              <w:spacing w:after="0"/>
              <w:rPr>
                <w:sz w:val="9"/>
                <w:szCs w:val="9"/>
                <w:color w:val="auto"/>
              </w:rPr>
            </w:pPr>
          </w:p>
        </w:tc>
        <w:tc>
          <w:tcPr>
            <w:tcW w:w="100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(538,954 )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tcBorders>
              <w:bottom w:val="single" w:sz="8" w:color="CFF0FC"/>
            </w:tcBorders>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bottom w:val="single" w:sz="8" w:color="auto"/>
            </w:tcBorders>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2,134,903</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tcBorders>
              <w:bottom w:val="single" w:sz="8" w:color="auto"/>
            </w:tcBorders>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450,446</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Amortization expense for each of the years ended December 31, 2023 and 2022 was $197,800.</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As of December 31, 2023, expected amortization expense over the remaining intangible asset lives is as follows: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120" w:type="dxa"/>
            <w:vAlign w:val="bottom"/>
            <w:gridSpan w:val="2"/>
            <w:vMerge w:val="restart"/>
          </w:tcPr>
          <w:p>
            <w:pPr>
              <w:spacing w:after="0"/>
              <w:rPr>
                <w:sz w:val="13"/>
                <w:szCs w:val="13"/>
                <w:color w:val="auto"/>
              </w:rPr>
            </w:pP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120" w:type="dxa"/>
            <w:vAlign w:val="bottom"/>
            <w:gridSpan w:val="2"/>
            <w:vMerge w:val="continue"/>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183,578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2025</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445,453</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2026</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2027</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2028</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Thereafter</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b w:val="1"/>
                <w:bCs w:val="1"/>
                <w:color w:val="auto"/>
                <w:w w:val="94"/>
              </w:rPr>
              <w:t>2,134,903</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8.Debt and other liabilities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40" w:type="dxa"/>
            <w:vAlign w:val="bottom"/>
            <w:gridSpan w:val="4"/>
          </w:tcPr>
          <w:p>
            <w:pPr>
              <w:jc w:val="right"/>
              <w:ind w:right="35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040" w:type="dxa"/>
            <w:vAlign w:val="bottom"/>
            <w:gridSpan w:val="4"/>
          </w:tcPr>
          <w:p>
            <w:pPr>
              <w:jc w:val="right"/>
              <w:ind w:right="471"/>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parties (8.1)</w:t>
            </w:r>
          </w:p>
        </w:tc>
        <w:tc>
          <w:tcPr>
            <w:tcW w:w="1180" w:type="dxa"/>
            <w:vAlign w:val="bottom"/>
          </w:tcPr>
          <w:p>
            <w:pPr>
              <w:jc w:val="right"/>
              <w:ind w:right="43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3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(8.4)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(8.2)</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(8.5)</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5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Non-current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(8.4)</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8.1.</w:t>
      </w:r>
      <w:r>
        <w:rPr>
          <w:rFonts w:ascii="Times New Roman" w:cs="Times New Roman" w:eastAsia="Times New Roman" w:hAnsi="Times New Roman"/>
          <w:sz w:val="10"/>
          <w:szCs w:val="10"/>
          <w:color w:val="auto"/>
        </w:rPr>
        <w:t>Unsecured interest free loan taken from related party (DBLP Sea Cow Ltd) of $447,067 is repayable on demand. During the year ended December 31, 2023, the Company repaid $250,000 to DBLP Sea Cow Ltd. Additionally, DBLP Sea Cow Ltd is owed $191,405 for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amounts to be re-imbursed for expenses incurred on behalf of Rezolve at December 31, 2023, nil for 2022.</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180" w:firstLine="480"/>
        <w:spacing w:after="0" w:line="272" w:lineRule="auto"/>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w:t>
      </w:r>
    </w:p>
    <w:p>
      <w:pPr>
        <w:spacing w:after="0" w:line="236" w:lineRule="auto"/>
        <w:rPr>
          <w:sz w:val="20"/>
          <w:szCs w:val="20"/>
          <w:color w:val="auto"/>
        </w:rPr>
      </w:pPr>
      <w:r>
        <w:rPr>
          <w:rFonts w:ascii="Times New Roman" w:cs="Times New Roman" w:eastAsia="Times New Roman" w:hAnsi="Times New Roman"/>
          <w:sz w:val="10"/>
          <w:szCs w:val="10"/>
          <w:color w:val="auto"/>
        </w:rPr>
        <w:t>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0"/>
          <w:szCs w:val="10"/>
          <w:b w:val="1"/>
          <w:bCs w:val="1"/>
          <w:color w:val="auto"/>
        </w:rPr>
        <w:t>8.2.</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 -organization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4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0"/>
          <w:szCs w:val="10"/>
          <w:b w:val="1"/>
          <w:bCs w:val="1"/>
          <w:color w:val="auto"/>
        </w:rPr>
        <w:t>8.3.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04"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 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significant debt issuance costs and has expensed them as incurred.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6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41" w:lineRule="exact"/>
        <w:rPr>
          <w:sz w:val="20"/>
          <w:szCs w:val="20"/>
          <w:color w:val="auto"/>
        </w:rPr>
      </w:pPr>
    </w:p>
    <w:p>
      <w:pPr>
        <w:ind w:left="700" w:right="32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May 23, 2023, and extension to the maturity date to at least December 31, 2024, the Company classified the Convertible debt as non-current as at December 31, 2022 under the guidance in ASC 470-10-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45-14.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98"/>
        </w:trPr>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6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6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Principal amount of notes</w:t>
            </w:r>
          </w:p>
        </w:tc>
        <w:tc>
          <w:tcPr>
            <w:tcW w:w="28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24,000,000</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Discount on convertible debt</w:t>
            </w:r>
          </w:p>
        </w:tc>
        <w:tc>
          <w:tcPr>
            <w:tcW w:w="280" w:type="dxa"/>
            <w:vAlign w:val="bottom"/>
          </w:tcPr>
          <w:p>
            <w:pPr>
              <w:spacing w:after="0"/>
              <w:rPr>
                <w:sz w:val="9"/>
                <w:szCs w:val="9"/>
                <w:color w:val="auto"/>
              </w:rPr>
            </w:pPr>
          </w:p>
        </w:tc>
        <w:tc>
          <w:tcPr>
            <w:tcW w:w="1220" w:type="dxa"/>
            <w:vAlign w:val="bottom"/>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1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(1,918,524 )</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under troubled debt restructuring</w:t>
            </w:r>
          </w:p>
        </w:tc>
        <w:tc>
          <w:tcPr>
            <w:tcW w:w="280" w:type="dxa"/>
            <w:vAlign w:val="bottom"/>
          </w:tcPr>
          <w:p>
            <w:pPr>
              <w:spacing w:after="0"/>
              <w:rPr>
                <w:sz w:val="9"/>
                <w:szCs w:val="9"/>
                <w:color w:val="auto"/>
              </w:rPr>
            </w:pPr>
          </w:p>
        </w:tc>
        <w:tc>
          <w:tcPr>
            <w:tcW w:w="1220" w:type="dxa"/>
            <w:vAlign w:val="bottom"/>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116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25,302,709</w:t>
            </w:r>
          </w:p>
        </w:tc>
      </w:tr>
      <w:tr>
        <w:trPr>
          <w:trHeight w:val="261"/>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3"/>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The following table sets forth the interest expense recognized related to the senior secured convertible notes and unsecured convertible loans: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1"/>
        </w:trPr>
        <w:tc>
          <w:tcPr>
            <w:tcW w:w="11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20"/>
                <w:szCs w:val="20"/>
                <w:color w:val="auto"/>
              </w:rPr>
            </w:pPr>
          </w:p>
        </w:tc>
        <w:tc>
          <w:tcPr>
            <w:tcW w:w="116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6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7,269</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Amortization of debt discount</w:t>
            </w: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163,976</w:t>
            </w:r>
          </w:p>
        </w:tc>
      </w:tr>
      <w:tr>
        <w:trPr>
          <w:trHeight w:val="127"/>
        </w:trPr>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rPr>
              <w:t>7,269</w:t>
            </w:r>
          </w:p>
        </w:tc>
        <w:tc>
          <w:tcPr>
            <w:tcW w:w="280" w:type="dxa"/>
            <w:vAlign w:val="bottom"/>
          </w:tcPr>
          <w:p>
            <w:pPr>
              <w:spacing w:after="0"/>
              <w:rPr>
                <w:sz w:val="11"/>
                <w:szCs w:val="1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0"/>
                <w:szCs w:val="10"/>
                <w:b w:val="1"/>
                <w:bCs w:val="1"/>
                <w:color w:val="auto"/>
              </w:rPr>
              <w:t>3,385,209</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8.4.</w:t>
      </w:r>
      <w:r>
        <w:rPr>
          <w:rFonts w:ascii="Times New Roman" w:cs="Times New Roman" w:eastAsia="Times New Roman" w:hAnsi="Times New Roman"/>
          <w:sz w:val="10"/>
          <w:szCs w:val="10"/>
          <w:color w:val="auto"/>
        </w:rPr>
        <w:t>A Short term convertible debt to a related party of $132,269 was also added to the Company’s senior secured convertible note. Including $125,000 of convertible debt and $7,269 of interest.</w:t>
      </w:r>
    </w:p>
    <w:p>
      <w:pPr>
        <w:spacing w:after="0" w:line="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0"/>
          <w:szCs w:val="10"/>
          <w:b w:val="1"/>
          <w:bCs w:val="1"/>
          <w:color w:val="auto"/>
        </w:rPr>
        <w:t>8.5.</w:t>
      </w:r>
      <w:r>
        <w:rPr>
          <w:rFonts w:ascii="Times New Roman" w:cs="Times New Roman" w:eastAsia="Times New Roman" w:hAnsi="Times New Roman"/>
          <w:sz w:val="10"/>
          <w:szCs w:val="10"/>
          <w:color w:val="auto"/>
        </w:rPr>
        <w:t>On October 7, 2021, the Group acquired Jaymax International Service Inc. (“Jaymax”) (later renamed to “Rezolve Taiwan Limited”). As part of the acquisition of Jaymax, the Company agreed to issue $1,400,000 in Rezolve ordinary share to Jaymax’s former owner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9.Warrants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 -Scholes Merton option pricing model and determined the fair value of the Warrants to be $ 1.20 per unit. The key inputs to the valuation model included an average volatility of 61.9% based on a group of similar companies, a risk- 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10.Ordinary shares issued at nominal value in lieu of services</w:t>
      </w:r>
    </w:p>
    <w:p>
      <w:pPr>
        <w:spacing w:after="0" w:line="60"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9"/>
          <w:szCs w:val="9"/>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92" w:lineRule="exact"/>
        <w:rPr>
          <w:sz w:val="20"/>
          <w:szCs w:val="20"/>
          <w:color w:val="auto"/>
        </w:rPr>
      </w:pPr>
    </w:p>
    <w:p>
      <w:pPr>
        <w:ind w:firstLine="480"/>
        <w:spacing w:after="0" w:line="272" w:lineRule="auto"/>
        <w:rPr>
          <w:sz w:val="20"/>
          <w:szCs w:val="20"/>
          <w:color w:val="auto"/>
        </w:rPr>
      </w:pPr>
      <w:r>
        <w:rPr>
          <w:rFonts w:ascii="Times New Roman" w:cs="Times New Roman" w:eastAsia="Times New Roman" w:hAnsi="Times New Roman"/>
          <w:sz w:val="9"/>
          <w:szCs w:val="9"/>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w:t>
      </w:r>
    </w:p>
    <w:p>
      <w:pPr>
        <w:spacing w:after="0" w:line="237" w:lineRule="auto"/>
        <w:rPr>
          <w:sz w:val="20"/>
          <w:szCs w:val="20"/>
          <w:color w:val="auto"/>
        </w:rPr>
      </w:pPr>
      <w:r>
        <w:rPr>
          <w:rFonts w:ascii="Times New Roman" w:cs="Times New Roman" w:eastAsia="Times New Roman" w:hAnsi="Times New Roman"/>
          <w:sz w:val="10"/>
          <w:szCs w:val="10"/>
          <w:color w:val="auto"/>
        </w:rPr>
        <w:t>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11.Share-based Compensation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11.1 2022 LTIP Plan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In November 2022, the Company’s Board approved the 2022 Long-Term Incentive Plan (the “2022 LTIP”) .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2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3260" w:type="dxa"/>
            <w:vAlign w:val="bottom"/>
          </w:tcPr>
          <w:p>
            <w:pPr>
              <w:spacing w:after="0"/>
              <w:rPr>
                <w:sz w:val="9"/>
                <w:szCs w:val="9"/>
                <w:color w:val="auto"/>
              </w:rPr>
            </w:pPr>
          </w:p>
        </w:tc>
        <w:tc>
          <w:tcPr>
            <w:tcW w:w="3120" w:type="dxa"/>
            <w:vAlign w:val="bottom"/>
          </w:tcPr>
          <w:p>
            <w:pPr>
              <w:jc w:val="right"/>
              <w:ind w:right="653"/>
              <w:spacing w:after="0"/>
              <w:rPr>
                <w:sz w:val="20"/>
                <w:szCs w:val="20"/>
                <w:color w:val="auto"/>
              </w:rPr>
            </w:pPr>
            <w:r>
              <w:rPr>
                <w:rFonts w:ascii="Times New Roman" w:cs="Times New Roman" w:eastAsia="Times New Roman" w:hAnsi="Times New Roman"/>
                <w:sz w:val="8"/>
                <w:szCs w:val="8"/>
                <w:b w:val="1"/>
                <w:bCs w:val="1"/>
                <w:color w:val="auto"/>
              </w:rPr>
              <w:t>2022</w:t>
            </w:r>
          </w:p>
        </w:tc>
        <w:tc>
          <w:tcPr>
            <w:tcW w:w="20" w:type="dxa"/>
            <w:vAlign w:val="bottom"/>
          </w:tcPr>
          <w:p>
            <w:pPr>
              <w:spacing w:after="0"/>
              <w:rPr>
                <w:sz w:val="9"/>
                <w:szCs w:val="9"/>
                <w:color w:val="auto"/>
              </w:rPr>
            </w:pPr>
          </w:p>
        </w:tc>
      </w:tr>
      <w:tr>
        <w:trPr>
          <w:trHeight w:val="113"/>
        </w:trPr>
        <w:tc>
          <w:tcPr>
            <w:tcW w:w="32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31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2.5 – 5.1</w:t>
            </w:r>
          </w:p>
        </w:tc>
        <w:tc>
          <w:tcPr>
            <w:tcW w:w="20" w:type="dxa"/>
            <w:vAlign w:val="bottom"/>
          </w:tcPr>
          <w:p>
            <w:pPr>
              <w:spacing w:after="0"/>
              <w:rPr>
                <w:sz w:val="9"/>
                <w:szCs w:val="9"/>
                <w:color w:val="auto"/>
              </w:rPr>
            </w:pPr>
          </w:p>
        </w:tc>
      </w:tr>
      <w:tr>
        <w:trPr>
          <w:trHeight w:val="113"/>
        </w:trPr>
        <w:tc>
          <w:tcPr>
            <w:tcW w:w="32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312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1.23</w:t>
            </w:r>
          </w:p>
        </w:tc>
        <w:tc>
          <w:tcPr>
            <w:tcW w:w="20" w:type="dxa"/>
            <w:vAlign w:val="bottom"/>
          </w:tcPr>
          <w:p>
            <w:pPr>
              <w:spacing w:after="0"/>
              <w:rPr>
                <w:sz w:val="9"/>
                <w:szCs w:val="9"/>
                <w:color w:val="auto"/>
              </w:rPr>
            </w:pPr>
          </w:p>
        </w:tc>
      </w:tr>
      <w:tr>
        <w:trPr>
          <w:trHeight w:val="113"/>
        </w:trPr>
        <w:tc>
          <w:tcPr>
            <w:tcW w:w="32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31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59.6% - 63.5%</w:t>
            </w:r>
          </w:p>
        </w:tc>
        <w:tc>
          <w:tcPr>
            <w:tcW w:w="20" w:type="dxa"/>
            <w:vAlign w:val="bottom"/>
          </w:tcPr>
          <w:p>
            <w:pPr>
              <w:spacing w:after="0"/>
              <w:rPr>
                <w:sz w:val="9"/>
                <w:szCs w:val="9"/>
                <w:color w:val="auto"/>
              </w:rPr>
            </w:pPr>
          </w:p>
        </w:tc>
      </w:tr>
      <w:tr>
        <w:trPr>
          <w:trHeight w:val="113"/>
        </w:trPr>
        <w:tc>
          <w:tcPr>
            <w:tcW w:w="32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312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3.8% - 4.2%</w:t>
            </w:r>
          </w:p>
        </w:tc>
        <w:tc>
          <w:tcPr>
            <w:tcW w:w="20" w:type="dxa"/>
            <w:vAlign w:val="bottom"/>
          </w:tcPr>
          <w:p>
            <w:pPr>
              <w:spacing w:after="0"/>
              <w:rPr>
                <w:sz w:val="9"/>
                <w:szCs w:val="9"/>
                <w:color w:val="auto"/>
              </w:rPr>
            </w:pPr>
          </w:p>
        </w:tc>
      </w:tr>
      <w:tr>
        <w:trPr>
          <w:trHeight w:val="113"/>
        </w:trPr>
        <w:tc>
          <w:tcPr>
            <w:tcW w:w="32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31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-71120</wp:posOffset>
            </wp:positionV>
            <wp:extent cx="4048125" cy="717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48125" cy="71755"/>
                    </a:xfrm>
                    <a:prstGeom prst="rect">
                      <a:avLst/>
                    </a:prstGeom>
                    <a:noFill/>
                  </pic:spPr>
                </pic:pic>
              </a:graphicData>
            </a:graphic>
          </wp:anchor>
        </w:drawing>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2022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4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20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4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20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Value (In</w:t>
            </w:r>
          </w:p>
        </w:tc>
      </w:tr>
      <w:tr>
        <w:trPr>
          <w:trHeight w:val="106"/>
        </w:trPr>
        <w:tc>
          <w:tcPr>
            <w:tcW w:w="484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6"/>
              </w:rPr>
              <w:t>options</w:t>
            </w:r>
          </w:p>
        </w:tc>
        <w:tc>
          <w:tcPr>
            <w:tcW w:w="20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2021</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20" w:type="dxa"/>
            <w:vAlign w:val="bottom"/>
            <w:gridSpan w:val="3"/>
            <w:shd w:val="clear" w:color="auto" w:fill="CFF0FC"/>
          </w:tcPr>
          <w:p>
            <w:pPr>
              <w:jc w:val="right"/>
              <w:ind w:right="95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w:t>
            </w:r>
          </w:p>
        </w:tc>
        <w:tc>
          <w:tcPr>
            <w:tcW w:w="96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20" w:type="dxa"/>
            <w:vAlign w:val="bottom"/>
            <w:gridSpan w:val="3"/>
            <w:shd w:val="clear" w:color="auto" w:fill="CFF0FC"/>
          </w:tcPr>
          <w:p>
            <w:pPr>
              <w:jc w:val="right"/>
              <w:ind w:right="95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gridSpan w:val="3"/>
          </w:tcPr>
          <w:p>
            <w:pPr>
              <w:jc w:val="right"/>
              <w:ind w:right="95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9"/>
                <w:szCs w:val="9"/>
                <w:color w:val="auto"/>
              </w:rPr>
            </w:pPr>
          </w:p>
        </w:tc>
      </w:tr>
      <w:tr>
        <w:trPr>
          <w:trHeight w:val="23"/>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5,700,000</w:t>
            </w:r>
          </w:p>
        </w:tc>
        <w:tc>
          <w:tcPr>
            <w:tcW w:w="200" w:type="dxa"/>
            <w:vAlign w:val="bottom"/>
          </w:tcPr>
          <w:p>
            <w:pPr>
              <w:spacing w:after="0"/>
              <w:rPr>
                <w:sz w:val="9"/>
                <w:szCs w:val="9"/>
                <w:color w:val="auto"/>
              </w:rPr>
            </w:pPr>
          </w:p>
        </w:tc>
        <w:tc>
          <w:tcPr>
            <w:tcW w:w="760" w:type="dxa"/>
            <w:vAlign w:val="bottom"/>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w:t>
            </w:r>
          </w:p>
        </w:tc>
        <w:tc>
          <w:tcPr>
            <w:tcW w:w="10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9"/>
                <w:szCs w:val="9"/>
                <w:color w:val="auto"/>
              </w:rPr>
            </w:pPr>
          </w:p>
        </w:tc>
      </w:tr>
      <w:tr>
        <w:trPr>
          <w:trHeight w:val="23"/>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2022 was $1.20. The total fair value of the options that vested during the year ended December 31, 2022 was $6,982,500.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the Company had $11.6 million of unrecognized share-based compensation expense related to share options. This cost is expected to be recognized over a weighted-average period of 15 months.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11.3 2023 LTIP Plan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2023 LTIP also amends the 2022 LTIP (issued in November 2022) to:</w:t>
      </w:r>
    </w:p>
    <w:p>
      <w:pPr>
        <w:spacing w:after="0" w:line="58" w:lineRule="exact"/>
        <w:rPr>
          <w:sz w:val="20"/>
          <w:szCs w:val="20"/>
          <w:color w:val="auto"/>
        </w:rPr>
      </w:pPr>
    </w:p>
    <w:p>
      <w:pPr>
        <w:ind w:left="5220" w:right="1920" w:hanging="4743"/>
        <w:spacing w:after="0" w:line="380" w:lineRule="auto"/>
        <w:rPr>
          <w:sz w:val="20"/>
          <w:szCs w:val="20"/>
          <w:color w:val="auto"/>
        </w:rPr>
      </w:pPr>
      <w:r>
        <w:rPr>
          <w:rFonts w:ascii="Times New Roman" w:cs="Times New Roman" w:eastAsia="Times New Roman" w:hAnsi="Times New Roman"/>
          <w:sz w:val="10"/>
          <w:szCs w:val="10"/>
          <w:color w:val="auto"/>
        </w:rPr>
        <w:t>•Amend any who grantees whose requisite service period completes in the year 2024 to complete in the month of September 2024, and therefore consolidate the end vesting date to the month of September, and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right="4660"/>
        <w:spacing w:after="0" w:line="380" w:lineRule="auto"/>
        <w:rPr>
          <w:sz w:val="20"/>
          <w:szCs w:val="20"/>
          <w:color w:val="auto"/>
        </w:rPr>
      </w:pPr>
      <w:r>
        <w:rPr>
          <w:rFonts w:ascii="Times New Roman" w:cs="Times New Roman" w:eastAsia="Times New Roman" w:hAnsi="Times New Roman"/>
          <w:sz w:val="10"/>
          <w:szCs w:val="10"/>
          <w:color w:val="auto"/>
        </w:rPr>
        <w:t>•Those whose share options whose requisite service period was meant to complete in 2025 and 2026, vest in September of those years, and •Amend the vesting profile from a cliff vesting to a graded vesting.</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2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37"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60" w:type="dxa"/>
            <w:vAlign w:val="bottom"/>
          </w:tcPr>
          <w:p>
            <w:pPr>
              <w:jc w:val="right"/>
              <w:ind w:right="653"/>
              <w:spacing w:after="0"/>
              <w:rPr>
                <w:sz w:val="20"/>
                <w:szCs w:val="20"/>
                <w:color w:val="auto"/>
              </w:rPr>
            </w:pPr>
            <w:r>
              <w:rPr>
                <w:rFonts w:ascii="Times New Roman" w:cs="Times New Roman" w:eastAsia="Times New Roman" w:hAnsi="Times New Roman"/>
                <w:sz w:val="8"/>
                <w:szCs w:val="8"/>
                <w:b w:val="1"/>
                <w:bCs w:val="1"/>
                <w:color w:val="auto"/>
              </w:rPr>
              <w:t>2023</w:t>
            </w:r>
          </w:p>
        </w:tc>
        <w:tc>
          <w:tcPr>
            <w:tcW w:w="20" w:type="dxa"/>
            <w:vAlign w:val="bottom"/>
          </w:tcPr>
          <w:p>
            <w:pPr>
              <w:spacing w:after="0"/>
              <w:rPr>
                <w:sz w:val="9"/>
                <w:szCs w:val="9"/>
                <w:color w:val="auto"/>
              </w:rPr>
            </w:pPr>
          </w:p>
        </w:tc>
      </w:tr>
      <w:tr>
        <w:trPr>
          <w:trHeight w:val="113"/>
        </w:trPr>
        <w:tc>
          <w:tcPr>
            <w:tcW w:w="29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228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 – 5.1</w:t>
            </w:r>
          </w:p>
        </w:tc>
        <w:tc>
          <w:tcPr>
            <w:tcW w:w="20" w:type="dxa"/>
            <w:vAlign w:val="bottom"/>
          </w:tcPr>
          <w:p>
            <w:pPr>
              <w:spacing w:after="0"/>
              <w:rPr>
                <w:sz w:val="9"/>
                <w:szCs w:val="9"/>
                <w:color w:val="auto"/>
              </w:rPr>
            </w:pPr>
          </w:p>
        </w:tc>
      </w:tr>
      <w:tr>
        <w:trPr>
          <w:trHeight w:val="113"/>
        </w:trPr>
        <w:tc>
          <w:tcPr>
            <w:tcW w:w="29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228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0.10</w:t>
            </w:r>
          </w:p>
        </w:tc>
        <w:tc>
          <w:tcPr>
            <w:tcW w:w="20" w:type="dxa"/>
            <w:vAlign w:val="bottom"/>
          </w:tcPr>
          <w:p>
            <w:pPr>
              <w:spacing w:after="0"/>
              <w:rPr>
                <w:sz w:val="9"/>
                <w:szCs w:val="9"/>
                <w:color w:val="auto"/>
              </w:rPr>
            </w:pPr>
          </w:p>
        </w:tc>
      </w:tr>
      <w:tr>
        <w:trPr>
          <w:trHeight w:val="113"/>
        </w:trPr>
        <w:tc>
          <w:tcPr>
            <w:tcW w:w="29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2280" w:type="dxa"/>
            <w:vAlign w:val="bottom"/>
            <w:shd w:val="clear" w:color="auto" w:fill="CFF0FC"/>
          </w:tcPr>
          <w:p>
            <w:pPr>
              <w:spacing w:after="0"/>
              <w:rPr>
                <w:sz w:val="9"/>
                <w:szCs w:val="9"/>
                <w:color w:val="auto"/>
              </w:rPr>
            </w:pPr>
          </w:p>
        </w:tc>
        <w:tc>
          <w:tcPr>
            <w:tcW w:w="11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59.6% - 63.5%</w:t>
            </w:r>
          </w:p>
        </w:tc>
        <w:tc>
          <w:tcPr>
            <w:tcW w:w="20" w:type="dxa"/>
            <w:vAlign w:val="bottom"/>
          </w:tcPr>
          <w:p>
            <w:pPr>
              <w:spacing w:after="0"/>
              <w:rPr>
                <w:sz w:val="9"/>
                <w:szCs w:val="9"/>
                <w:color w:val="auto"/>
              </w:rPr>
            </w:pPr>
          </w:p>
        </w:tc>
      </w:tr>
      <w:tr>
        <w:trPr>
          <w:trHeight w:val="113"/>
        </w:trPr>
        <w:tc>
          <w:tcPr>
            <w:tcW w:w="29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2280" w:type="dxa"/>
            <w:vAlign w:val="bottom"/>
          </w:tcPr>
          <w:p>
            <w:pPr>
              <w:spacing w:after="0"/>
              <w:rPr>
                <w:sz w:val="9"/>
                <w:szCs w:val="9"/>
                <w:color w:val="auto"/>
              </w:rPr>
            </w:pPr>
          </w:p>
        </w:tc>
        <w:tc>
          <w:tcPr>
            <w:tcW w:w="11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3.8% - 4.2%</w:t>
            </w:r>
          </w:p>
        </w:tc>
        <w:tc>
          <w:tcPr>
            <w:tcW w:w="20" w:type="dxa"/>
            <w:vAlign w:val="bottom"/>
          </w:tcPr>
          <w:p>
            <w:pPr>
              <w:spacing w:after="0"/>
              <w:rPr>
                <w:sz w:val="9"/>
                <w:szCs w:val="9"/>
                <w:color w:val="auto"/>
              </w:rPr>
            </w:pPr>
          </w:p>
        </w:tc>
      </w:tr>
      <w:tr>
        <w:trPr>
          <w:trHeight w:val="113"/>
        </w:trPr>
        <w:tc>
          <w:tcPr>
            <w:tcW w:w="29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2280" w:type="dxa"/>
            <w:vAlign w:val="bottom"/>
          </w:tcPr>
          <w:p>
            <w:pPr>
              <w:spacing w:after="0"/>
              <w:rPr>
                <w:sz w:val="9"/>
                <w:szCs w:val="9"/>
                <w:color w:val="auto"/>
              </w:rPr>
            </w:pPr>
          </w:p>
        </w:tc>
        <w:tc>
          <w:tcPr>
            <w:tcW w:w="11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1346200</wp:posOffset>
            </wp:positionH>
            <wp:positionV relativeFrom="paragraph">
              <wp:posOffset>-71120</wp:posOffset>
            </wp:positionV>
            <wp:extent cx="4048125" cy="717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48125" cy="71755"/>
                    </a:xfrm>
                    <a:prstGeom prst="rect">
                      <a:avLst/>
                    </a:prstGeom>
                    <a:noFill/>
                  </pic:spPr>
                </pic:pic>
              </a:graphicData>
            </a:graphic>
          </wp:anchor>
        </w:drawing>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2023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4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20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4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20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Value (In</w:t>
            </w:r>
          </w:p>
        </w:tc>
      </w:tr>
      <w:tr>
        <w:trPr>
          <w:trHeight w:val="106"/>
        </w:trPr>
        <w:tc>
          <w:tcPr>
            <w:tcW w:w="484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6"/>
              </w:rPr>
              <w:t>options</w:t>
            </w:r>
          </w:p>
        </w:tc>
        <w:tc>
          <w:tcPr>
            <w:tcW w:w="20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960" w:type="dxa"/>
            <w:vAlign w:val="bottom"/>
            <w:gridSpan w:val="2"/>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49,305,537</w:t>
            </w:r>
          </w:p>
        </w:tc>
        <w:tc>
          <w:tcPr>
            <w:tcW w:w="96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20" w:type="dxa"/>
            <w:vAlign w:val="bottom"/>
            <w:gridSpan w:val="3"/>
            <w:shd w:val="clear" w:color="auto" w:fill="CFF0FC"/>
          </w:tcPr>
          <w:p>
            <w:pPr>
              <w:jc w:val="right"/>
              <w:ind w:right="95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gridSpan w:val="3"/>
          </w:tcPr>
          <w:p>
            <w:pPr>
              <w:jc w:val="right"/>
              <w:ind w:right="95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2023</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shd w:val="clear" w:color="auto" w:fill="CFF0FC"/>
          </w:tcPr>
          <w:p>
            <w:pPr>
              <w:spacing w:after="0"/>
              <w:rPr>
                <w:sz w:val="9"/>
                <w:szCs w:val="9"/>
                <w:color w:val="auto"/>
              </w:rPr>
            </w:pPr>
          </w:p>
        </w:tc>
      </w:tr>
      <w:tr>
        <w:trPr>
          <w:trHeight w:val="23"/>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11,600,000</w:t>
            </w:r>
          </w:p>
        </w:tc>
        <w:tc>
          <w:tcPr>
            <w:tcW w:w="200" w:type="dxa"/>
            <w:vAlign w:val="bottom"/>
          </w:tcPr>
          <w:p>
            <w:pPr>
              <w:spacing w:after="0"/>
              <w:rPr>
                <w:sz w:val="9"/>
                <w:szCs w:val="9"/>
                <w:color w:val="auto"/>
              </w:rPr>
            </w:pPr>
          </w:p>
        </w:tc>
        <w:tc>
          <w:tcPr>
            <w:tcW w:w="760" w:type="dxa"/>
            <w:vAlign w:val="bottom"/>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13.9</w:t>
            </w:r>
          </w:p>
        </w:tc>
        <w:tc>
          <w:tcPr>
            <w:tcW w:w="10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2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shd w:val="clear" w:color="auto" w:fill="CFF0FC"/>
          </w:tcPr>
          <w:p>
            <w:pPr>
              <w:spacing w:after="0"/>
              <w:rPr>
                <w:sz w:val="9"/>
                <w:szCs w:val="9"/>
                <w:color w:val="auto"/>
              </w:rPr>
            </w:pPr>
          </w:p>
        </w:tc>
      </w:tr>
      <w:tr>
        <w:trPr>
          <w:trHeight w:val="23"/>
        </w:trPr>
        <w:tc>
          <w:tcPr>
            <w:tcW w:w="48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2023 was $.10. The total fair value of the options that vested during the year ended December 31, 2022 was $8,725,218.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2023.</w:t>
      </w:r>
    </w:p>
    <w:p>
      <w:pPr>
        <w:spacing w:after="0" w:line="118" w:lineRule="exact"/>
        <w:rPr>
          <w:sz w:val="20"/>
          <w:szCs w:val="20"/>
          <w:color w:val="auto"/>
        </w:rPr>
      </w:pPr>
    </w:p>
    <w:p>
      <w:pPr>
        <w:ind w:left="5220" w:right="1520" w:hanging="4743"/>
        <w:spacing w:after="0" w:line="380" w:lineRule="auto"/>
        <w:rPr>
          <w:sz w:val="20"/>
          <w:szCs w:val="20"/>
          <w:color w:val="auto"/>
        </w:rPr>
      </w:pPr>
      <w:r>
        <w:rPr>
          <w:rFonts w:ascii="Times New Roman" w:cs="Times New Roman" w:eastAsia="Times New Roman" w:hAnsi="Times New Roman"/>
          <w:sz w:val="10"/>
          <w:szCs w:val="10"/>
          <w:color w:val="auto"/>
        </w:rPr>
        <w:t>As of December 31, 2023, the Company had $7.0 million of unrecognized share-based compensation expense related to share options. This cost is expected to be recognized over a weighted-average period of 19 months.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12.Accrued expenses and other payables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8"/>
                <w:szCs w:val="8"/>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related payables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2,632,334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763,181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1,323,842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1,686,609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VAT, duty and tax liability</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188,766</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11,515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347,848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179,079</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4,492,790</w:t>
            </w:r>
          </w:p>
        </w:tc>
        <w:tc>
          <w:tcPr>
            <w:tcW w:w="1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2,640,384</w:t>
            </w:r>
          </w:p>
        </w:tc>
        <w:tc>
          <w:tcPr>
            <w:tcW w:w="1600" w:type="dxa"/>
            <w:vAlign w:val="bottom"/>
          </w:tcPr>
          <w:p>
            <w:pPr>
              <w:spacing w:after="0"/>
              <w:rPr>
                <w:sz w:val="10"/>
                <w:szCs w:val="10"/>
                <w:color w:val="auto"/>
              </w:rPr>
            </w:pPr>
          </w:p>
        </w:tc>
      </w:tr>
      <w:tr>
        <w:trPr>
          <w:trHeight w:val="321"/>
        </w:trPr>
        <w:tc>
          <w:tcPr>
            <w:tcW w:w="4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13.Expenses and other Non-operating (income) expense, net</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3"/>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Advertisement and publicity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144,584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635,166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1,371,468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1,788,941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1,602,332</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1,538,729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2,649,012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375,721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6,731,254</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4,338,557</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IT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1,135,355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1,066,708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Legal and professional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2,274,891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5,569,989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4,340,558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3,506,501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3,472,170</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8,223,297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2,543,621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1,739,294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for consultancy</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874,045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1,479,026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17,986,528</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86,640,500</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loss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194,524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(497,978 )</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(467,563 )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(2,686 )</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16,380</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125,366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(256,659 </w:t>
            </w:r>
            <w:r>
              <w:rPr>
                <w:rFonts w:ascii="Times New Roman" w:cs="Times New Roman" w:eastAsia="Times New Roman" w:hAnsi="Times New Roman"/>
                <w:sz w:val="10"/>
                <w:szCs w:val="10"/>
                <w:b w:val="1"/>
                <w:bCs w:val="1"/>
                <w:color w:val="auto"/>
                <w:vertAlign w:val="subscript"/>
              </w:rPr>
              <w:t>)</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Times New Roman" w:cs="Times New Roman" w:eastAsia="Times New Roman" w:hAnsi="Times New Roman"/>
                <w:sz w:val="10"/>
                <w:szCs w:val="10"/>
                <w:color w:val="auto"/>
              </w:rPr>
              <w:t>F-54</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14.Related party disclosures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318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Director and chief executive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w w:val="96"/>
              </w:rPr>
              <w:t>Chief executive officer, products, technology and digital services</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 (resigned May 19, 2023)</w:t>
            </w:r>
          </w:p>
        </w:tc>
      </w:tr>
      <w:tr>
        <w:trPr>
          <w:trHeight w:val="125"/>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Susan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Member</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2.1—Basis of presentation).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Transactions and outstanding balances of related parties were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year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2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DBLP Sea Cow (2) (number of ordinary shares issued</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9"/>
        </w:trPr>
        <w:tc>
          <w:tcPr>
            <w:tcW w:w="1580" w:type="dxa"/>
            <w:vAlign w:val="bottom"/>
          </w:tcPr>
          <w:p>
            <w:pPr>
              <w:spacing w:after="0"/>
              <w:rPr>
                <w:sz w:val="10"/>
                <w:szCs w:val="10"/>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 2–23 – Nil and 2–22 – 27,246,461)</w:t>
            </w:r>
          </w:p>
        </w:tc>
        <w:tc>
          <w:tcPr>
            <w:tcW w:w="18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3,225</w:t>
            </w:r>
          </w:p>
        </w:tc>
        <w:tc>
          <w:tcPr>
            <w:tcW w:w="160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296,067</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298,654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222,535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207,395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271,395</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273,761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789,997</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779,810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756,944</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33,374,018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1,326,703</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2,449,787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842,746</w:t>
            </w:r>
          </w:p>
        </w:tc>
        <w:tc>
          <w:tcPr>
            <w:tcW w:w="280" w:type="dxa"/>
            <w:vAlign w:val="bottom"/>
          </w:tcPr>
          <w:p>
            <w:pPr>
              <w:spacing w:after="0"/>
              <w:rPr>
                <w:sz w:val="9"/>
                <w:szCs w:val="9"/>
                <w:color w:val="auto"/>
              </w:rPr>
            </w:pPr>
          </w:p>
        </w:tc>
        <w:tc>
          <w:tcPr>
            <w:tcW w:w="118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3,677,896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290"/>
        </w:trPr>
        <w:tc>
          <w:tcPr>
            <w:tcW w:w="1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80" w:type="dxa"/>
            <w:vAlign w:val="bottom"/>
          </w:tcPr>
          <w:p>
            <w:pPr>
              <w:jc w:val="right"/>
              <w:ind w:right="891"/>
              <w:spacing w:after="0"/>
              <w:rPr>
                <w:sz w:val="20"/>
                <w:szCs w:val="20"/>
                <w:color w:val="auto"/>
              </w:rPr>
            </w:pPr>
            <w:r>
              <w:rPr>
                <w:rFonts w:ascii="Times New Roman" w:cs="Times New Roman" w:eastAsia="Times New Roman" w:hAnsi="Times New Roman"/>
                <w:sz w:val="10"/>
                <w:szCs w:val="10"/>
                <w:color w:val="auto"/>
              </w:rPr>
              <w:t>F-55</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88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100" w:type="dxa"/>
            <w:vAlign w:val="bottom"/>
          </w:tcPr>
          <w:p>
            <w:pPr>
              <w:spacing w:after="0"/>
              <w:rPr>
                <w:sz w:val="9"/>
                <w:szCs w:val="9"/>
                <w:color w:val="auto"/>
              </w:rPr>
            </w:pPr>
          </w:p>
        </w:tc>
        <w:tc>
          <w:tcPr>
            <w:tcW w:w="3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414,926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87,107</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380,084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376,428</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Management remuneration</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2,072,224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869,777</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3,831,291</w:t>
            </w:r>
          </w:p>
        </w:tc>
        <w:tc>
          <w:tcPr>
            <w:tcW w:w="130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41,231,704</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5,903,515</w:t>
            </w:r>
          </w:p>
        </w:tc>
        <w:tc>
          <w:tcPr>
            <w:tcW w:w="13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42,101,481</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China (3)</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(3)The Company has expensed all cash transferred to its subsidiary Rezolve China. Please refer to the basis of presentation discussed in note 2.1.</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debt to related party</w:t>
            </w:r>
          </w:p>
        </w:tc>
        <w:tc>
          <w:tcPr>
            <w:tcW w:w="36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spacing w:after="0"/>
              <w:rPr>
                <w:sz w:val="9"/>
                <w:szCs w:val="9"/>
                <w:color w:val="auto"/>
              </w:rPr>
            </w:pP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291"/>
        </w:trPr>
        <w:tc>
          <w:tcPr>
            <w:tcW w:w="1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40" w:type="dxa"/>
            <w:vAlign w:val="bottom"/>
          </w:tcPr>
          <w:p>
            <w:pPr>
              <w:jc w:val="right"/>
              <w:ind w:right="2274"/>
              <w:spacing w:after="0"/>
              <w:rPr>
                <w:sz w:val="20"/>
                <w:szCs w:val="20"/>
                <w:color w:val="auto"/>
              </w:rPr>
            </w:pPr>
            <w:r>
              <w:rPr>
                <w:rFonts w:ascii="Times New Roman" w:cs="Times New Roman" w:eastAsia="Times New Roman" w:hAnsi="Times New Roman"/>
                <w:sz w:val="10"/>
                <w:szCs w:val="10"/>
                <w:color w:val="auto"/>
              </w:rPr>
              <w:t>F-56</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06"/>
        </w:trPr>
        <w:tc>
          <w:tcPr>
            <w:tcW w:w="3100" w:type="dxa"/>
            <w:vAlign w:val="bottom"/>
          </w:tcPr>
          <w:p>
            <w:pPr>
              <w:spacing w:after="0"/>
              <w:rPr>
                <w:sz w:val="9"/>
                <w:szCs w:val="9"/>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Due to related party</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350,000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225,000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147,605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172,476</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535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61,945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51,414</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31,248</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42,906</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1,133</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58,320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127,325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129,460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convertible debt</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25"/>
        </w:trPr>
        <w:tc>
          <w:tcPr>
            <w:tcW w:w="3100" w:type="dxa"/>
            <w:vAlign w:val="bottom"/>
          </w:tcPr>
          <w:p>
            <w:pPr>
              <w:spacing w:after="0"/>
              <w:rPr>
                <w:sz w:val="10"/>
                <w:szCs w:val="10"/>
                <w:color w:val="auto"/>
              </w:rPr>
            </w:pP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119,844</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119,844</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15.Operating leases as lessee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16.Income taxes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components of our loss (income) before income taxes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8"/>
                <w:szCs w:val="8"/>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40" w:type="dxa"/>
            <w:vAlign w:val="bottom"/>
          </w:tcPr>
          <w:p>
            <w:pPr>
              <w:spacing w:after="0"/>
              <w:rPr>
                <w:sz w:val="9"/>
                <w:szCs w:val="9"/>
                <w:color w:val="auto"/>
              </w:rPr>
            </w:pPr>
          </w:p>
        </w:tc>
        <w:tc>
          <w:tcPr>
            <w:tcW w:w="10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w:t>
            </w:r>
          </w:p>
        </w:tc>
        <w:tc>
          <w:tcPr>
            <w:tcW w:w="2780" w:type="dxa"/>
            <w:vAlign w:val="bottom"/>
            <w:gridSpan w:val="3"/>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29,427,631</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107,945,740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994,933</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634,526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25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298,927</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381,321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(92,982 )</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(300,433 )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5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44,181</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2,051,794</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30,672,980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110,712,948</w:t>
            </w:r>
          </w:p>
        </w:tc>
        <w:tc>
          <w:tcPr>
            <w:tcW w:w="1600" w:type="dxa"/>
            <w:vAlign w:val="bottom"/>
          </w:tcPr>
          <w:p>
            <w:pPr>
              <w:spacing w:after="0"/>
              <w:rPr>
                <w:sz w:val="10"/>
                <w:szCs w:val="10"/>
                <w:color w:val="auto"/>
              </w:rPr>
            </w:pPr>
          </w:p>
        </w:tc>
      </w:tr>
      <w:tr>
        <w:trPr>
          <w:trHeight w:val="261"/>
        </w:trPr>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Current Income tax expense (benefit) consists of:</w:t>
            </w:r>
          </w:p>
        </w:tc>
        <w:tc>
          <w:tcPr>
            <w:tcW w:w="2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20"/>
                <w:szCs w:val="20"/>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40" w:type="dxa"/>
            <w:vAlign w:val="bottom"/>
          </w:tcPr>
          <w:p>
            <w:pPr>
              <w:spacing w:after="0"/>
              <w:rPr>
                <w:sz w:val="9"/>
                <w:szCs w:val="9"/>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5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gridSpan w:val="3"/>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0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10,639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28,126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8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63,408</w:t>
            </w:r>
          </w:p>
        </w:tc>
        <w:tc>
          <w:tcPr>
            <w:tcW w:w="1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080" w:type="dxa"/>
            <w:vAlign w:val="bottom"/>
            <w:tcBorders>
              <w:bottom w:val="single" w:sz="8" w:color="auto"/>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38,765</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80" w:type="dxa"/>
            <w:vAlign w:val="bottom"/>
            <w:gridSpan w:val="3"/>
          </w:tcPr>
          <w:p>
            <w:pPr>
              <w:jc w:val="right"/>
              <w:ind w:right="1180"/>
              <w:spacing w:after="0"/>
              <w:rPr>
                <w:sz w:val="20"/>
                <w:szCs w:val="20"/>
                <w:color w:val="auto"/>
              </w:rPr>
            </w:pPr>
            <w:r>
              <w:rPr>
                <w:rFonts w:ascii="Times New Roman" w:cs="Times New Roman" w:eastAsia="Times New Roman" w:hAnsi="Times New Roman"/>
                <w:sz w:val="10"/>
                <w:szCs w:val="10"/>
                <w:color w:val="auto"/>
              </w:rPr>
              <w:t>F-57</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25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Income tax benefit attributable to our loss before income taxes differs from the amounts computed using the applicable income tax rate as a result of the following factors: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income taxes</w:t>
            </w:r>
          </w:p>
        </w:tc>
        <w:tc>
          <w:tcPr>
            <w:tcW w:w="14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(30,672,690 )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Income tax benefit at statutory tax rates (a)</w:t>
            </w:r>
          </w:p>
        </w:tc>
        <w:tc>
          <w:tcPr>
            <w:tcW w:w="1440" w:type="dxa"/>
            <w:vAlign w:val="bottom"/>
          </w:tcPr>
          <w:p>
            <w:pPr>
              <w:spacing w:after="0"/>
              <w:rPr>
                <w:sz w:val="9"/>
                <w:szCs w:val="9"/>
                <w:color w:val="auto"/>
              </w:rPr>
            </w:pPr>
          </w:p>
        </w:tc>
        <w:tc>
          <w:tcPr>
            <w:tcW w:w="1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7,208,082</w:t>
            </w:r>
          </w:p>
        </w:tc>
        <w:tc>
          <w:tcPr>
            <w:tcW w:w="220" w:type="dxa"/>
            <w:vAlign w:val="bottom"/>
          </w:tcPr>
          <w:p>
            <w:pPr>
              <w:spacing w:after="0"/>
              <w:rPr>
                <w:sz w:val="9"/>
                <w:szCs w:val="9"/>
                <w:color w:val="auto"/>
              </w:rPr>
            </w:pP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21,035,460</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r>
      <w:tr>
        <w:trPr>
          <w:trHeight w:val="106"/>
        </w:trPr>
        <w:tc>
          <w:tcPr>
            <w:tcW w:w="356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Non-deductible or non-taxable foreign currency exchange</w:t>
            </w: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19"/>
        </w:trPr>
        <w:tc>
          <w:tcPr>
            <w:tcW w:w="35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results</w:t>
            </w:r>
          </w:p>
        </w:tc>
        <w:tc>
          <w:tcPr>
            <w:tcW w:w="1440" w:type="dxa"/>
            <w:vAlign w:val="bottom"/>
          </w:tcPr>
          <w:p>
            <w:pPr>
              <w:spacing w:after="0"/>
              <w:rPr>
                <w:sz w:val="10"/>
                <w:szCs w:val="1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(88,195 )</w:t>
            </w:r>
          </w:p>
        </w:tc>
        <w:tc>
          <w:tcPr>
            <w:tcW w:w="2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(214,299 )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International rate differences (b)</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(9,845 )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282,884</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Non-deductible expenses</w:t>
            </w:r>
          </w:p>
        </w:tc>
        <w:tc>
          <w:tcPr>
            <w:tcW w:w="1440" w:type="dxa"/>
            <w:vAlign w:val="bottom"/>
          </w:tcPr>
          <w:p>
            <w:pPr>
              <w:spacing w:after="0"/>
              <w:rPr>
                <w:sz w:val="9"/>
                <w:szCs w:val="9"/>
                <w:color w:val="auto"/>
              </w:rPr>
            </w:pPr>
          </w:p>
        </w:tc>
        <w:tc>
          <w:tcPr>
            <w:tcW w:w="11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(2,050,426 )</w:t>
            </w:r>
          </w:p>
        </w:tc>
        <w:tc>
          <w:tcPr>
            <w:tcW w:w="22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(14,818,455 )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(4,996,208 )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(6,246,825 )</w:t>
            </w:r>
          </w:p>
        </w:tc>
      </w:tr>
      <w:tr>
        <w:trPr>
          <w:trHeight w:val="125"/>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tax expense</w:t>
            </w:r>
          </w:p>
        </w:tc>
        <w:tc>
          <w:tcPr>
            <w:tcW w:w="1440" w:type="dxa"/>
            <w:vAlign w:val="bottom"/>
          </w:tcPr>
          <w:p>
            <w:pPr>
              <w:spacing w:after="0"/>
              <w:rPr>
                <w:sz w:val="10"/>
                <w:szCs w:val="10"/>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63,408</w:t>
            </w:r>
          </w:p>
        </w:tc>
        <w:tc>
          <w:tcPr>
            <w:tcW w:w="220" w:type="dxa"/>
            <w:vAlign w:val="bottom"/>
          </w:tcPr>
          <w:p>
            <w:pPr>
              <w:spacing w:after="0"/>
              <w:rPr>
                <w:sz w:val="10"/>
                <w:szCs w:val="1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38,765</w:t>
            </w:r>
          </w:p>
        </w:tc>
      </w:tr>
    </w:tbl>
    <w:p>
      <w:pPr>
        <w:spacing w:after="0" w:line="123"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(a)The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(b)Amounts reflect adjustments (either a benefit or expense) to the “expected” tax expense for statutory rates in jurisdictions in which we operate outside of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and its subsidiaries are liable to income taxes in their respective jurisdiction. The Company has unused tax losses as follows as at December 31, 2023:</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 in Jurisdiction</w:t>
            </w:r>
          </w:p>
        </w:tc>
        <w:tc>
          <w:tcPr>
            <w:tcW w:w="326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Tax loss carryforward</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Expiration date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 (1)</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191,771,010</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5,542,459</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844,411</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N/A</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2,359,658</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10 years</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(1)Tax losses carried forward in Rezolve Limited will not be transferred to Rezolve AI Limited in the Demerger. As a result, all tax losses previously created in the UK will be lost upon completion of the Demerger.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(2)The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changes in our unrecognized tax benefits for the indicated periods are summarized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6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2023</w:t>
            </w:r>
          </w:p>
        </w:tc>
        <w:tc>
          <w:tcPr>
            <w:tcW w:w="260" w:type="dxa"/>
            <w:vAlign w:val="bottom"/>
          </w:tcPr>
          <w:p>
            <w:pPr>
              <w:spacing w:after="0"/>
              <w:rPr>
                <w:sz w:val="8"/>
                <w:szCs w:val="8"/>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06"/>
        </w:trPr>
        <w:tc>
          <w:tcPr>
            <w:tcW w:w="3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60" w:type="dxa"/>
            <w:vAlign w:val="bottom"/>
          </w:tcPr>
          <w:p>
            <w:pPr>
              <w:spacing w:after="0"/>
              <w:rPr>
                <w:sz w:val="9"/>
                <w:szCs w:val="9"/>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January 1</w:t>
            </w:r>
          </w:p>
        </w:tc>
        <w:tc>
          <w:tcPr>
            <w:tcW w:w="1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24,388,433</w:t>
            </w:r>
          </w:p>
        </w:tc>
        <w:tc>
          <w:tcPr>
            <w:tcW w:w="2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11,811,695</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 rate changes</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Additions based on tax positions related to current year</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6,882,336</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13,857,760</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currency translation</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2,483,300</w:t>
            </w:r>
          </w:p>
        </w:tc>
        <w:tc>
          <w:tcPr>
            <w:tcW w:w="2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(1,281,022 )</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December 31</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assurance can be given that any of these tax benefits will be recognized or realized.</w:t>
      </w:r>
    </w:p>
    <w:p>
      <w:pPr>
        <w:spacing w:after="0" w:line="118" w:lineRule="exact"/>
        <w:rPr>
          <w:sz w:val="20"/>
          <w:szCs w:val="20"/>
          <w:color w:val="auto"/>
        </w:rPr>
      </w:pPr>
    </w:p>
    <w:p>
      <w:pPr>
        <w:jc w:val="center"/>
        <w:ind w:left="1120"/>
        <w:spacing w:after="0" w:line="380" w:lineRule="auto"/>
        <w:rPr>
          <w:sz w:val="20"/>
          <w:szCs w:val="20"/>
          <w:color w:val="auto"/>
        </w:rPr>
      </w:pPr>
      <w:r>
        <w:rPr>
          <w:rFonts w:ascii="Times New Roman" w:cs="Times New Roman" w:eastAsia="Times New Roman" w:hAnsi="Times New Roman"/>
          <w:sz w:val="10"/>
          <w:szCs w:val="10"/>
          <w:color w:val="auto"/>
        </w:rPr>
        <w:t>During 2024, we do not expect any material reductions to our unrecognized tax benefits related to tax positions taken as of December 31, 2023. No assurance can be given as to the nature or impact of any changes in our unrecognized tax positions during 2023. 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tax effects of temporary differences that give rise to the significant portions of our deferred tax assets and liabilities are presented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8"/>
                <w:szCs w:val="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00" w:type="dxa"/>
            <w:vAlign w:val="bottom"/>
          </w:tcPr>
          <w:p>
            <w:pPr>
              <w:spacing w:after="0"/>
              <w:rPr>
                <w:sz w:val="9"/>
                <w:szCs w:val="9"/>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operating loss and other carryforwards</w:t>
            </w:r>
          </w:p>
        </w:tc>
        <w:tc>
          <w:tcPr>
            <w:tcW w:w="1760" w:type="dxa"/>
            <w:vAlign w:val="bottom"/>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0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PP&amp;E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2,661</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1,556,454</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174,267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327,757</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294,404</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8,110,222</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6,325,677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43,748,501</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31,185,442</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1760" w:type="dxa"/>
            <w:vAlign w:val="bottom"/>
          </w:tcPr>
          <w:p>
            <w:pPr>
              <w:spacing w:after="0"/>
              <w:rPr>
                <w:sz w:val="9"/>
                <w:szCs w:val="9"/>
                <w:color w:val="auto"/>
              </w:rPr>
            </w:pPr>
          </w:p>
        </w:tc>
        <w:tc>
          <w:tcPr>
            <w:tcW w:w="10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(43,748,501 )</w:t>
            </w:r>
          </w:p>
        </w:tc>
        <w:tc>
          <w:tcPr>
            <w:tcW w:w="2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(31,185,442 )</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 net of valuation allowance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recognized any uncertain tax position for the year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17.Subsequent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financial statements as of December 31, 2023, we have evaluated subsequent events through April 28, 2024, which is the date such financial statements are available to be issued.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i w:val="1"/>
          <w:iCs w:val="1"/>
          <w:u w:val="single" w:color="auto"/>
          <w:color w:val="auto"/>
        </w:rPr>
        <w:t>Igor Loan amendment</w:t>
      </w:r>
    </w:p>
    <w:p>
      <w:pPr>
        <w:spacing w:after="0" w:line="60" w:lineRule="exact"/>
        <w:rPr>
          <w:sz w:val="20"/>
          <w:szCs w:val="20"/>
          <w:color w:val="auto"/>
        </w:rPr>
      </w:pPr>
    </w:p>
    <w:p>
      <w:pPr>
        <w:ind w:left="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8"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0"/>
          <w:szCs w:val="1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Yorkville Standby Equity Purchase Agreement (“SEPA”)</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Promissory note</w:t>
      </w:r>
    </w:p>
    <w:p>
      <w:pPr>
        <w:spacing w:after="0" w:line="68" w:lineRule="exact"/>
        <w:rPr>
          <w:sz w:val="20"/>
          <w:szCs w:val="20"/>
          <w:color w:val="auto"/>
        </w:rPr>
      </w:pPr>
    </w:p>
    <w:p>
      <w:pPr>
        <w:ind w:right="80" w:firstLine="480"/>
        <w:spacing w:after="0" w:line="217"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Add to subsequent events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u w:val="single" w:color="auto"/>
          <w:color w:val="auto"/>
        </w:rPr>
        <w:t>Close of business combination with Armada Acquisition Corp I. (“Armada”)</w:t>
      </w:r>
    </w:p>
    <w:p>
      <w:pPr>
        <w:spacing w:after="0" w:line="120"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June 30,</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13,242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41,788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55,030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16,126,337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6,035,757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46,000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agreements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3,056,726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10,938,608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$11.31 and $10.71 per share at June 30,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16,040,786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shares issued and outstanding (excluding 1,417,687 and 2,363,349 shares subject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to possible redemption) at June 30,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261,161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w w:val="99"/>
              </w:rPr>
              <w:t>(11,059,758 )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9"/>
              </w:rPr>
              <w:t>(10,798,027 )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gridSpan w:val="5"/>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40" w:type="dxa"/>
            <w:vAlign w:val="bottom"/>
            <w:shd w:val="clear" w:color="auto" w:fill="CFF0FC"/>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844,718</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775,911</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1,876,158</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1,960,998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7"/>
              </w:rPr>
              <w:t>(1,370,927 )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(910,274 )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(2,477,967 )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(2,151,287 )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 income</w:t>
            </w: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(220,050 )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(344,248 )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206,289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811,281</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(expense) income, net</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(13,761 )</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467,033</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before provision for income taxes</w:t>
            </w:r>
          </w:p>
        </w:tc>
        <w:tc>
          <w:tcPr>
            <w:tcW w:w="64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97"/>
              </w:rPr>
              <w:t>(1,384,688 )</w:t>
            </w:r>
          </w:p>
        </w:tc>
        <w:tc>
          <w:tcPr>
            <w:tcW w:w="640" w:type="dxa"/>
            <w:vAlign w:val="bottom"/>
          </w:tcPr>
          <w:p>
            <w:pPr>
              <w:spacing w:after="0"/>
              <w:rPr>
                <w:sz w:val="9"/>
                <w:szCs w:val="9"/>
                <w:color w:val="auto"/>
              </w:rPr>
            </w:pPr>
          </w:p>
        </w:tc>
        <w:tc>
          <w:tcPr>
            <w:tcW w:w="6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(477,208 )</w:t>
            </w: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(2,010,934 )</w:t>
            </w: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545,860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(38,407 )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(82,376 )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(153,321 )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(525,560 )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(1,423,095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(559,584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(2,164,255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20,300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1,417,687</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3,508,852</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1,893,969</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8,770,367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stock subject to possible redemption</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non-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redeemable common stock</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NINE MONTHS ENDED JUNE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(159,034 )</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(347,252 )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(9,636,663 )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(9,636,093 )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(293,340 )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(293,340 )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(1,423,095 )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(1,423,095 )</w:t>
            </w:r>
          </w:p>
        </w:tc>
      </w:tr>
      <w:tr>
        <w:trPr>
          <w:trHeight w:val="113"/>
        </w:trPr>
        <w:tc>
          <w:tcPr>
            <w:tcW w:w="406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7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261,161</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(11,059,758 </w:t>
            </w:r>
            <w:r>
              <w:rPr>
                <w:rFonts w:ascii="Times New Roman" w:cs="Times New Roman" w:eastAsia="Times New Roman" w:hAnsi="Times New Roman"/>
                <w:sz w:val="10"/>
                <w:szCs w:val="10"/>
                <w:b w:val="1"/>
                <w:bCs w:val="1"/>
                <w:color w:val="auto"/>
                <w:vertAlign w:val="subscript"/>
              </w:rPr>
              <w:t>)</w:t>
            </w: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(10,798,027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6760" w:type="dxa"/>
            <w:vAlign w:val="bottom"/>
            <w:gridSpan w:val="7"/>
          </w:tcPr>
          <w:p>
            <w:pPr>
              <w:ind w:left="3920"/>
              <w:spacing w:after="0"/>
              <w:rPr>
                <w:sz w:val="20"/>
                <w:szCs w:val="20"/>
                <w:color w:val="auto"/>
              </w:rPr>
            </w:pPr>
            <w:r>
              <w:rPr>
                <w:rFonts w:ascii="Times New Roman" w:cs="Times New Roman" w:eastAsia="Times New Roman" w:hAnsi="Times New Roman"/>
                <w:sz w:val="10"/>
                <w:szCs w:val="10"/>
                <w:b w:val="1"/>
                <w:bCs w:val="1"/>
                <w:color w:val="auto"/>
                <w:w w:val="99"/>
              </w:rPr>
              <w:t>FOR THE THREE AND NINE MONTHS ENDED JUNE 30, 2023</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(5,964,009)</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(4,993,680)</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(1,102,909 )</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(6,833,303 )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(6,832,733 )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(329,131 )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(329,131 )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(559,584 )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(559,584 )</w:t>
            </w:r>
          </w:p>
        </w:tc>
      </w:tr>
      <w:tr>
        <w:trPr>
          <w:trHeight w:val="113"/>
        </w:trPr>
        <w:tc>
          <w:tcPr>
            <w:tcW w:w="406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2023</w:t>
            </w:r>
          </w:p>
        </w:tc>
        <w:tc>
          <w:tcPr>
            <w:tcW w:w="740" w:type="dxa"/>
            <w:vAlign w:val="bottom"/>
          </w:tcPr>
          <w:p>
            <w:pPr>
              <w:spacing w:after="0"/>
              <w:rPr>
                <w:sz w:val="9"/>
                <w:szCs w:val="9"/>
                <w:color w:val="auto"/>
              </w:rPr>
            </w:pPr>
          </w:p>
        </w:tc>
        <w:tc>
          <w:tcPr>
            <w:tcW w:w="4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tcPr>
          <w:p>
            <w:pPr>
              <w:spacing w:after="0"/>
              <w:rPr>
                <w:sz w:val="9"/>
                <w:szCs w:val="9"/>
                <w:color w:val="auto"/>
              </w:rPr>
            </w:pPr>
          </w:p>
        </w:tc>
        <w:tc>
          <w:tcPr>
            <w:tcW w:w="280" w:type="dxa"/>
            <w:vAlign w:val="bottom"/>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134,363</w:t>
            </w:r>
          </w:p>
        </w:tc>
        <w:tc>
          <w:tcPr>
            <w:tcW w:w="20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(7,722,018 </w:t>
            </w:r>
            <w:r>
              <w:rPr>
                <w:rFonts w:ascii="Times New Roman" w:cs="Times New Roman" w:eastAsia="Times New Roman" w:hAnsi="Times New Roman"/>
                <w:sz w:val="10"/>
                <w:szCs w:val="10"/>
                <w:b w:val="1"/>
                <w:bCs w:val="1"/>
                <w:color w:val="auto"/>
                <w:vertAlign w:val="subscript"/>
              </w:rPr>
              <w:t>)</w:t>
            </w: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(7,587,085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16"/>
              <w:spacing w:after="0"/>
              <w:rPr>
                <w:sz w:val="20"/>
                <w:szCs w:val="20"/>
                <w:color w:val="auto"/>
              </w:rPr>
            </w:pPr>
            <w:r>
              <w:rPr>
                <w:rFonts w:ascii="Times New Roman" w:cs="Times New Roman" w:eastAsia="Times New Roman" w:hAnsi="Times New Roman"/>
                <w:sz w:val="8"/>
                <w:szCs w:val="8"/>
                <w:b w:val="1"/>
                <w:bCs w:val="1"/>
                <w:color w:val="auto"/>
              </w:rPr>
              <w:t>For the Nine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June 30,</w:t>
            </w:r>
          </w:p>
        </w:tc>
        <w:tc>
          <w:tcPr>
            <w:tcW w:w="480" w:type="dxa"/>
            <w:vAlign w:val="bottom"/>
          </w:tcPr>
          <w:p>
            <w:pPr>
              <w:spacing w:after="0"/>
              <w:rPr>
                <w:sz w:val="9"/>
                <w:szCs w:val="9"/>
                <w:color w:val="auto"/>
              </w:rPr>
            </w:pP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(2,164,255 )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20,300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(811,281 )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(2,697,147 )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344,248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(8,183 )</w:t>
            </w: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1,327,705</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979,793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39,243</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117,873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(28,000 )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(636,814 )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(1,391,186 )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to pay for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(531,697 )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10,008,973</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492,287</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473,008</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(9,419,201 )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(47,042 )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(137,114 )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13,242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40,464</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3,477,548</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114,078</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subscription agreements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462,751</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0" w:name="page201"/>
    <w:bookmarkEnd w:id="200"/>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JUNE 30,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01" w:name="page202"/>
    <w:bookmarkEnd w:id="201"/>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85" w:lineRule="auto"/>
        <w:rPr>
          <w:sz w:val="20"/>
          <w:szCs w:val="20"/>
          <w:color w:val="auto"/>
        </w:rPr>
      </w:pPr>
      <w:r>
        <w:rPr>
          <w:rFonts w:ascii="Times New Roman" w:cs="Times New Roman" w:eastAsia="Times New Roman" w:hAnsi="Times New Roman"/>
          <w:sz w:val="9"/>
          <w:szCs w:val="9"/>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2" w:name="page203"/>
    <w:bookmarkEnd w:id="202"/>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03" w:name="page204"/>
    <w:bookmarkEnd w:id="203"/>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June 30, 2024, the Company had $13,242 of cash in its bank operating account and a working capital deficiency of approximately $10.9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4" w:name="page205"/>
    <w:bookmarkEnd w:id="204"/>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05" w:name="page206"/>
    <w:bookmarkEnd w:id="205"/>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jc w:val="center"/>
        <w:ind w:right="40"/>
        <w:spacing w:after="0" w:line="380" w:lineRule="auto"/>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$13,242 and $60,284 in cash as of June 30, 2024 and September 30, 2023, respectively. 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0"/>
          <w:szCs w:val="10"/>
          <w:b w:val="1"/>
          <w:bCs w:val="1"/>
          <w:i w:val="1"/>
          <w:iCs w:val="1"/>
          <w:color w:val="auto"/>
        </w:rPr>
        <w:t>Cash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18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07" w:name="page208"/>
    <w:bookmarkEnd w:id="207"/>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72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June 30, 2024 and September 30, 2023, the common stock reflected in the balance sheets are reconciled in the following table:</w:t>
            </w: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2"/>
        </w:trPr>
        <w:tc>
          <w:tcPr>
            <w:tcW w:w="110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3"/>
        </w:trPr>
        <w:tc>
          <w:tcPr>
            <w:tcW w:w="1100" w:type="dxa"/>
            <w:vAlign w:val="bottom"/>
          </w:tcPr>
          <w:p>
            <w:pPr>
              <w:spacing w:after="0"/>
              <w:rPr>
                <w:sz w:val="9"/>
                <w:szCs w:val="9"/>
                <w:color w:val="auto"/>
              </w:rPr>
            </w:pPr>
          </w:p>
        </w:tc>
        <w:tc>
          <w:tcPr>
            <w:tcW w:w="61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40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40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100" w:type="dxa"/>
            <w:vAlign w:val="bottom"/>
          </w:tcPr>
          <w:p>
            <w:pPr>
              <w:spacing w:after="0"/>
              <w:rPr>
                <w:sz w:val="9"/>
                <w:szCs w:val="9"/>
                <w:color w:val="auto"/>
              </w:rPr>
            </w:pPr>
          </w:p>
        </w:tc>
        <w:tc>
          <w:tcPr>
            <w:tcW w:w="61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40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100" w:type="dxa"/>
            <w:vAlign w:val="bottom"/>
          </w:tcPr>
          <w:p>
            <w:pPr>
              <w:spacing w:after="0"/>
              <w:rPr>
                <w:sz w:val="9"/>
                <w:szCs w:val="9"/>
                <w:color w:val="auto"/>
              </w:rPr>
            </w:pPr>
          </w:p>
        </w:tc>
        <w:tc>
          <w:tcPr>
            <w:tcW w:w="61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40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r>
      <w:tr>
        <w:trPr>
          <w:trHeight w:val="106"/>
        </w:trPr>
        <w:tc>
          <w:tcPr>
            <w:tcW w:w="1100" w:type="dxa"/>
            <w:vAlign w:val="bottom"/>
          </w:tcPr>
          <w:p>
            <w:pPr>
              <w:spacing w:after="0"/>
              <w:rPr>
                <w:sz w:val="9"/>
                <w:szCs w:val="9"/>
                <w:color w:val="auto"/>
              </w:rPr>
            </w:pPr>
          </w:p>
        </w:tc>
        <w:tc>
          <w:tcPr>
            <w:tcW w:w="6120" w:type="dxa"/>
            <w:vAlign w:val="bottom"/>
            <w:shd w:val="clear" w:color="auto" w:fill="CFF0FC"/>
          </w:tcPr>
          <w:p>
            <w:pPr>
              <w:ind w:left="20"/>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 value –</w:t>
            </w:r>
          </w:p>
        </w:tc>
        <w:tc>
          <w:tcPr>
            <w:tcW w:w="4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2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Trust interest income (excluding the amount that can be withdrawn</w:t>
            </w:r>
          </w:p>
        </w:tc>
        <w:tc>
          <w:tcPr>
            <w:tcW w:w="4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9"/>
        </w:trPr>
        <w:tc>
          <w:tcPr>
            <w:tcW w:w="1100" w:type="dxa"/>
            <w:vAlign w:val="bottom"/>
          </w:tcPr>
          <w:p>
            <w:pPr>
              <w:spacing w:after="0"/>
              <w:rPr>
                <w:sz w:val="10"/>
                <w:szCs w:val="10"/>
                <w:color w:val="auto"/>
              </w:rPr>
            </w:pPr>
          </w:p>
        </w:tc>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from Trust Account for taxes)</w:t>
            </w:r>
          </w:p>
        </w:tc>
        <w:tc>
          <w:tcPr>
            <w:tcW w:w="4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r>
      <w:tr>
        <w:trPr>
          <w:trHeight w:val="113"/>
        </w:trPr>
        <w:tc>
          <w:tcPr>
            <w:tcW w:w="1100" w:type="dxa"/>
            <w:vAlign w:val="bottom"/>
          </w:tcPr>
          <w:p>
            <w:pPr>
              <w:spacing w:after="0"/>
              <w:rPr>
                <w:sz w:val="9"/>
                <w:szCs w:val="9"/>
                <w:color w:val="auto"/>
              </w:rPr>
            </w:pPr>
          </w:p>
        </w:tc>
        <w:tc>
          <w:tcPr>
            <w:tcW w:w="61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2022</w:t>
            </w:r>
          </w:p>
        </w:tc>
        <w:tc>
          <w:tcPr>
            <w:tcW w:w="40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40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100" w:type="dxa"/>
            <w:vAlign w:val="bottom"/>
          </w:tcPr>
          <w:p>
            <w:pPr>
              <w:spacing w:after="0"/>
              <w:rPr>
                <w:sz w:val="9"/>
                <w:szCs w:val="9"/>
                <w:color w:val="auto"/>
              </w:rPr>
            </w:pPr>
          </w:p>
        </w:tc>
        <w:tc>
          <w:tcPr>
            <w:tcW w:w="61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40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2023</w:t>
            </w:r>
          </w:p>
        </w:tc>
        <w:tc>
          <w:tcPr>
            <w:tcW w:w="40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40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r>
      <w:tr>
        <w:trPr>
          <w:trHeight w:val="113"/>
        </w:trPr>
        <w:tc>
          <w:tcPr>
            <w:tcW w:w="1100" w:type="dxa"/>
            <w:vAlign w:val="bottom"/>
          </w:tcPr>
          <w:p>
            <w:pPr>
              <w:spacing w:after="0"/>
              <w:rPr>
                <w:sz w:val="9"/>
                <w:szCs w:val="9"/>
                <w:color w:val="auto"/>
              </w:rPr>
            </w:pPr>
          </w:p>
        </w:tc>
        <w:tc>
          <w:tcPr>
            <w:tcW w:w="61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40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60" w:type="dxa"/>
            <w:vAlign w:val="bottom"/>
            <w:shd w:val="clear" w:color="auto" w:fill="CFF0FC"/>
          </w:tcPr>
          <w:p>
            <w:pPr>
              <w:spacing w:after="0"/>
              <w:rPr>
                <w:sz w:val="9"/>
                <w:szCs w:val="9"/>
                <w:color w:val="auto"/>
              </w:rPr>
            </w:pPr>
          </w:p>
        </w:tc>
      </w:tr>
      <w:tr>
        <w:trPr>
          <w:trHeight w:val="115"/>
        </w:trPr>
        <w:tc>
          <w:tcPr>
            <w:tcW w:w="1100" w:type="dxa"/>
            <w:vAlign w:val="bottom"/>
          </w:tcPr>
          <w:p>
            <w:pPr>
              <w:spacing w:after="0"/>
              <w:rPr>
                <w:sz w:val="10"/>
                <w:szCs w:val="10"/>
                <w:color w:val="auto"/>
              </w:rPr>
            </w:pPr>
          </w:p>
        </w:tc>
        <w:tc>
          <w:tcPr>
            <w:tcW w:w="61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June 30, 2024</w:t>
            </w:r>
          </w:p>
        </w:tc>
        <w:tc>
          <w:tcPr>
            <w:tcW w:w="400" w:type="dxa"/>
            <w:vAlign w:val="bottom"/>
            <w:tcBorders>
              <w:bottom w:val="single" w:sz="8" w:color="auto"/>
            </w:tcBorders>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16,040,786</w:t>
            </w:r>
          </w:p>
        </w:tc>
        <w:tc>
          <w:tcPr>
            <w:tcW w:w="60" w:type="dxa"/>
            <w:vAlign w:val="bottom"/>
          </w:tcPr>
          <w:p>
            <w:pPr>
              <w:spacing w:after="0"/>
              <w:rPr>
                <w:sz w:val="10"/>
                <w:szCs w:val="1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80" w:type="dxa"/>
            <w:vAlign w:val="bottom"/>
            <w:gridSpan w:val="3"/>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80" w:type="dxa"/>
            <w:vAlign w:val="bottom"/>
            <w:gridSpan w:val="3"/>
          </w:tcPr>
          <w:p>
            <w:pPr>
              <w:jc w:val="right"/>
              <w:ind w:right="199"/>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rPr>
              <w:t>2023</w:t>
            </w:r>
          </w:p>
        </w:tc>
        <w:tc>
          <w:tcPr>
            <w:tcW w:w="80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stock</w:t>
            </w: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40" w:type="dxa"/>
            <w:vAlign w:val="bottom"/>
          </w:tcPr>
          <w:p>
            <w:pPr>
              <w:spacing w:after="0"/>
              <w:rPr>
                <w:sz w:val="8"/>
                <w:szCs w:val="8"/>
                <w:color w:val="auto"/>
              </w:rPr>
            </w:pPr>
          </w:p>
        </w:tc>
        <w:tc>
          <w:tcPr>
            <w:tcW w:w="80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r>
      <w:tr>
        <w:trPr>
          <w:trHeight w:val="106"/>
        </w:trPr>
        <w:tc>
          <w:tcPr>
            <w:tcW w:w="1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800" w:type="dxa"/>
            <w:vAlign w:val="bottom"/>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40" w:type="dxa"/>
            <w:vAlign w:val="bottom"/>
          </w:tcPr>
          <w:p>
            <w:pPr>
              <w:spacing w:after="0"/>
              <w:rPr>
                <w:sz w:val="9"/>
                <w:szCs w:val="9"/>
                <w:color w:val="auto"/>
              </w:rPr>
            </w:pPr>
          </w:p>
        </w:tc>
        <w:tc>
          <w:tcPr>
            <w:tcW w:w="80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89"/>
        </w:trPr>
        <w:tc>
          <w:tcPr>
            <w:tcW w:w="190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8"/>
                <w:szCs w:val="8"/>
                <w:i w:val="1"/>
                <w:iCs w:val="1"/>
                <w:color w:val="auto"/>
              </w:rPr>
              <w:t>Basic and diluted net (loss) income</w:t>
            </w:r>
          </w:p>
        </w:tc>
        <w:tc>
          <w:tcPr>
            <w:tcW w:w="8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r>
      <w:tr>
        <w:trPr>
          <w:trHeight w:val="106"/>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i w:val="1"/>
                <w:iCs w:val="1"/>
                <w:color w:val="auto"/>
              </w:rPr>
              <w:t>per share</w:t>
            </w:r>
          </w:p>
        </w:tc>
        <w:tc>
          <w:tcPr>
            <w:tcW w:w="8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Numerator: Allocation of net (loss)</w:t>
            </w: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income, as adjusted</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(283,071 )</w:t>
            </w:r>
          </w:p>
        </w:tc>
        <w:tc>
          <w:tcPr>
            <w:tcW w:w="14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(1,140,024 )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(212,999 )</w:t>
            </w:r>
          </w:p>
        </w:tc>
        <w:tc>
          <w:tcPr>
            <w:tcW w:w="14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(346,585 )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(539,100 )</w:t>
            </w:r>
          </w:p>
        </w:tc>
        <w:tc>
          <w:tcPr>
            <w:tcW w:w="14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(1,625,155 )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12,296</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8,004</w:t>
            </w:r>
          </w:p>
        </w:tc>
      </w:tr>
      <w:tr>
        <w:trPr>
          <w:trHeight w:val="98"/>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Denominator:</w:t>
            </w:r>
          </w:p>
        </w:tc>
        <w:tc>
          <w:tcPr>
            <w:tcW w:w="86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Basic and diluted weighted average</w:t>
            </w: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shares outstanding</w:t>
            </w:r>
          </w:p>
        </w:tc>
        <w:tc>
          <w:tcPr>
            <w:tcW w:w="86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1,417,687</w:t>
            </w:r>
          </w:p>
        </w:tc>
        <w:tc>
          <w:tcPr>
            <w:tcW w:w="140" w:type="dxa"/>
            <w:vAlign w:val="bottom"/>
          </w:tcPr>
          <w:p>
            <w:pPr>
              <w:spacing w:after="0"/>
              <w:rPr>
                <w:sz w:val="9"/>
                <w:szCs w:val="9"/>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3,508,852</w:t>
            </w:r>
          </w:p>
        </w:tc>
        <w:tc>
          <w:tcPr>
            <w:tcW w:w="14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1,893,969</w:t>
            </w:r>
          </w:p>
        </w:tc>
        <w:tc>
          <w:tcPr>
            <w:tcW w:w="14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340" w:type="dxa"/>
            <w:vAlign w:val="bottom"/>
          </w:tcPr>
          <w:p>
            <w:pPr>
              <w:spacing w:after="0"/>
              <w:rPr>
                <w:sz w:val="9"/>
                <w:szCs w:val="9"/>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5,709,500</w:t>
            </w:r>
          </w:p>
        </w:tc>
      </w:tr>
      <w:tr>
        <w:trPr>
          <w:trHeight w:val="91"/>
        </w:trPr>
        <w:tc>
          <w:tcPr>
            <w:tcW w:w="190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Basic and diluted net (loss) income</w:t>
            </w:r>
          </w:p>
        </w:tc>
        <w:tc>
          <w:tcPr>
            <w:tcW w:w="8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r>
      <w:tr>
        <w:trPr>
          <w:trHeight w:val="104"/>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per share</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(0.20 )</w:t>
            </w:r>
          </w:p>
        </w:tc>
        <w:tc>
          <w:tcPr>
            <w:tcW w:w="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(0.20 )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(0.06 )</w:t>
            </w:r>
          </w:p>
        </w:tc>
        <w:tc>
          <w:tcPr>
            <w:tcW w:w="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(0.06 )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(0.28 )</w:t>
            </w:r>
          </w:p>
        </w:tc>
        <w:tc>
          <w:tcPr>
            <w:tcW w:w="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(0.28 )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0.00</w:t>
            </w:r>
          </w:p>
        </w:tc>
        <w:tc>
          <w:tcPr>
            <w:tcW w:w="3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0"/>
          <w:szCs w:val="10"/>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18"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89" w:lineRule="exact"/>
        <w:rPr>
          <w:sz w:val="20"/>
          <w:szCs w:val="20"/>
          <w:color w:val="auto"/>
        </w:rPr>
      </w:pPr>
    </w:p>
    <w:p>
      <w:pPr>
        <w:ind w:right="2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08" w:lineRule="exact"/>
        <w:rPr>
          <w:sz w:val="20"/>
          <w:szCs w:val="20"/>
          <w:color w:val="auto"/>
        </w:rPr>
      </w:pPr>
    </w:p>
    <w:p>
      <w:pPr>
        <w:jc w:val="both"/>
        <w:ind w:right="160" w:firstLine="480"/>
        <w:spacing w:after="0" w:line="245" w:lineRule="auto"/>
        <w:rPr>
          <w:sz w:val="20"/>
          <w:szCs w:val="20"/>
          <w:color w:val="auto"/>
        </w:rPr>
      </w:pPr>
      <w:r>
        <w:rPr>
          <w:rFonts w:ascii="Times New Roman" w:cs="Times New Roman" w:eastAsia="Times New Roman" w:hAnsi="Times New Roman"/>
          <w:sz w:val="10"/>
          <w:szCs w:val="10"/>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05"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740 -270-25-3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09" w:name="page210"/>
    <w:bookmarkEnd w:id="209"/>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Founder Shares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Representative Common Stock</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10" w:name="page211"/>
    <w:bookmarkEnd w:id="210"/>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05" w:lineRule="exact"/>
        <w:rPr>
          <w:sz w:val="20"/>
          <w:szCs w:val="20"/>
          <w:color w:val="auto"/>
        </w:rPr>
      </w:pPr>
    </w:p>
    <w:p>
      <w:pPr>
        <w:jc w:val="center"/>
        <w:ind w:left="980" w:right="140"/>
        <w:spacing w:after="0" w:line="380"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778625"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11" w:name="page212"/>
    <w:bookmarkEnd w:id="211"/>
    <w:p>
      <w:pPr>
        <w:jc w:val="both"/>
        <w:ind w:right="200"/>
        <w:spacing w:after="0" w:line="255" w:lineRule="auto"/>
        <w:rPr>
          <w:sz w:val="20"/>
          <w:szCs w:val="20"/>
          <w:color w:val="auto"/>
        </w:rPr>
      </w:pPr>
      <w:r>
        <w:rPr>
          <w:rFonts w:ascii="Times New Roman" w:cs="Times New Roman" w:eastAsia="Times New Roman" w:hAnsi="Times New Roman"/>
          <w:sz w:val="10"/>
          <w:szCs w:val="10"/>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05"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jc w:val="center"/>
        <w:ind w:left="1020" w:right="100"/>
        <w:spacing w:after="0" w:line="380"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2" w:name="page213"/>
    <w:bookmarkEnd w:id="212"/>
    <w:p>
      <w:pPr>
        <w:ind w:right="320"/>
        <w:spacing w:after="0" w:line="255" w:lineRule="auto"/>
        <w:rPr>
          <w:sz w:val="20"/>
          <w:szCs w:val="20"/>
          <w:color w:val="auto"/>
        </w:rPr>
      </w:pPr>
      <w:r>
        <w:rPr>
          <w:rFonts w:ascii="Times New Roman" w:cs="Times New Roman" w:eastAsia="Times New Roman" w:hAnsi="Times New Roman"/>
          <w:sz w:val="10"/>
          <w:szCs w:val="10"/>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15, 2024, the Company borrowed $49,619 under the Second Extension Note and deposited the funds into the Trust Account thereby extending the Termination Date to June 17, 2024.</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June 15, 2024, the Company borrowed $49,619 under the Second Extension Note and deposited the funds into the Trust Account thereby extending the Termination Date to July 17, 2024.</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0"/>
          <w:szCs w:val="10"/>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Agreements Liability</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15" w:name="page216"/>
    <w:bookmarkEnd w:id="215"/>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20" w:type="dxa"/>
            <w:vAlign w:val="bottom"/>
          </w:tcPr>
          <w:p>
            <w:pPr>
              <w:spacing w:after="0"/>
              <w:rPr>
                <w:sz w:val="8"/>
                <w:szCs w:val="8"/>
                <w:color w:val="auto"/>
              </w:rPr>
            </w:pPr>
          </w:p>
        </w:tc>
        <w:tc>
          <w:tcPr>
            <w:tcW w:w="74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40" w:type="dxa"/>
            <w:vAlign w:val="bottom"/>
          </w:tcPr>
          <w:p>
            <w:pPr>
              <w:spacing w:after="0"/>
              <w:rPr>
                <w:sz w:val="8"/>
                <w:szCs w:val="8"/>
                <w:color w:val="auto"/>
              </w:rPr>
            </w:pPr>
          </w:p>
        </w:tc>
        <w:tc>
          <w:tcPr>
            <w:tcW w:w="1400" w:type="dxa"/>
            <w:vAlign w:val="bottom"/>
            <w:gridSpan w:val="2"/>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September 30, 2023</w:t>
            </w:r>
          </w:p>
        </w:tc>
        <w:tc>
          <w:tcPr>
            <w:tcW w:w="780" w:type="dxa"/>
            <w:vAlign w:val="bottom"/>
          </w:tcPr>
          <w:p>
            <w:pPr>
              <w:spacing w:after="0"/>
              <w:rPr>
                <w:sz w:val="8"/>
                <w:szCs w:val="8"/>
                <w:color w:val="auto"/>
              </w:rPr>
            </w:pPr>
          </w:p>
        </w:tc>
      </w:tr>
      <w:tr>
        <w:trPr>
          <w:trHeight w:val="106"/>
        </w:trPr>
        <w:tc>
          <w:tcPr>
            <w:tcW w:w="5620" w:type="dxa"/>
            <w:vAlign w:val="bottom"/>
          </w:tcPr>
          <w:p>
            <w:pPr>
              <w:ind w:left="5300"/>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8"/>
                <w:szCs w:val="8"/>
                <w:b w:val="1"/>
                <w:bCs w:val="1"/>
                <w:color w:val="auto"/>
              </w:rPr>
              <w:t>Level</w:t>
            </w:r>
          </w:p>
        </w:tc>
        <w:tc>
          <w:tcPr>
            <w:tcW w:w="380" w:type="dxa"/>
            <w:vAlign w:val="bottom"/>
          </w:tcPr>
          <w:p>
            <w:pPr>
              <w:spacing w:after="0"/>
              <w:rPr>
                <w:sz w:val="9"/>
                <w:szCs w:val="9"/>
                <w:color w:val="auto"/>
              </w:rPr>
            </w:pPr>
          </w:p>
        </w:tc>
        <w:tc>
          <w:tcPr>
            <w:tcW w:w="780" w:type="dxa"/>
            <w:vAlign w:val="bottom"/>
          </w:tcPr>
          <w:p>
            <w:pPr>
              <w:jc w:val="right"/>
              <w:ind w:right="39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r>
      <w:tr>
        <w:trPr>
          <w:trHeight w:val="125"/>
        </w:trPr>
        <w:tc>
          <w:tcPr>
            <w:tcW w:w="5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275"/>
              <w:spacing w:after="0"/>
              <w:rPr>
                <w:sz w:val="20"/>
                <w:szCs w:val="20"/>
                <w:color w:val="auto"/>
              </w:rPr>
            </w:pPr>
            <w:r>
              <w:rPr>
                <w:rFonts w:ascii="Times New Roman" w:cs="Times New Roman" w:eastAsia="Times New Roman" w:hAnsi="Times New Roman"/>
                <w:sz w:val="10"/>
                <w:szCs w:val="10"/>
                <w:color w:val="auto"/>
              </w:rPr>
              <w:t>16,126,337</w:t>
            </w: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auto"/>
              </w:rPr>
              <w:t>1</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17" w:name="page218"/>
    <w:bookmarkEnd w:id="217"/>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0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July 17, 2024, the Company borrowed $49,619 under the Second Extension Note and deposited the funds into the Trust Account thereby extending the Termination Date to August 17, 2024.</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18" w:name="page219"/>
    <w:bookmarkEnd w:id="218"/>
    <w:p>
      <w:pPr>
        <w:ind w:left="490"/>
        <w:spacing w:after="0"/>
        <w:rPr>
          <w:sz w:val="20"/>
          <w:szCs w:val="20"/>
          <w:color w:val="auto"/>
        </w:rPr>
      </w:pPr>
      <w:r>
        <w:rPr>
          <w:rFonts w:ascii="Times New Roman" w:cs="Times New Roman" w:eastAsia="Times New Roman" w:hAnsi="Times New Roman"/>
          <w:sz w:val="9"/>
          <w:szCs w:val="9"/>
          <w:color w:val="auto"/>
        </w:rPr>
        <w:t>On August 1, 2024, the Company held a special meeting of stockholders (the “Special Meeting”) virtually to approve, among other things, the Company’s initial business combination, as more fully described in the Definitive Proxy Statement filed with the U.S.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Securities and Exchange Commission on July 10, 2024.</w:t>
      </w:r>
    </w:p>
    <w:p>
      <w:pPr>
        <w:spacing w:after="0" w:line="108" w:lineRule="exact"/>
        <w:rPr>
          <w:sz w:val="20"/>
          <w:szCs w:val="20"/>
          <w:color w:val="auto"/>
        </w:rPr>
      </w:pPr>
    </w:p>
    <w:p>
      <w:pPr>
        <w:ind w:left="10" w:right="1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01" w:lineRule="exact"/>
        <w:rPr>
          <w:sz w:val="20"/>
          <w:szCs w:val="20"/>
          <w:color w:val="auto"/>
        </w:rPr>
      </w:pPr>
    </w:p>
    <w:p>
      <w:pPr>
        <w:jc w:val="both"/>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05" w:lineRule="exact"/>
        <w:rPr>
          <w:sz w:val="20"/>
          <w:szCs w:val="20"/>
          <w:color w:val="auto"/>
        </w:rPr>
      </w:pPr>
    </w:p>
    <w:p>
      <w:pPr>
        <w:ind w:left="10" w:right="520" w:firstLine="480"/>
        <w:spacing w:after="0" w:line="255" w:lineRule="auto"/>
        <w:rPr>
          <w:sz w:val="20"/>
          <w:szCs w:val="20"/>
          <w:color w:val="auto"/>
        </w:rPr>
      </w:pPr>
      <w:r>
        <w:rPr>
          <w:rFonts w:ascii="Times New Roman" w:cs="Times New Roman" w:eastAsia="Times New Roman" w:hAnsi="Times New Roman"/>
          <w:sz w:val="10"/>
          <w:szCs w:val="10"/>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01"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Upon consummation of the Business Combination, on August 15, 2024, (i) Rezolve AI effected a re-classification of its share capital whereby Rezolve AI series A shares were reclassified as ordinary shares of same class as existing ordinary shares on issue in Rezolve AI, with nominal value £0.0001 per share (the “Rezolve Ordinary Shares”), and (ii) the Company merged with and into Rezolve Merger Sub, with the Company surviving as a wholly owned subsidiary of Rezolve AI, with shareholders of the Company received Rezolve Ordinary Shares in exchange for their existing common stock of the Company and the Company warrant holders having their warrants automatically exchanged for warrants of Rezolve.</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In contemplation of closing of the Business combination the Company has entered into the following agreements with their vendors which were not paid in cash at the closing of the Business Combination:</w:t>
      </w:r>
    </w:p>
    <w:p>
      <w:pPr>
        <w:spacing w:after="0" w:line="118" w:lineRule="exact"/>
        <w:rPr>
          <w:sz w:val="20"/>
          <w:szCs w:val="20"/>
          <w:color w:val="auto"/>
        </w:rPr>
      </w:pPr>
    </w:p>
    <w:p>
      <w:pPr>
        <w:ind w:left="10" w:right="40" w:firstLine="480"/>
        <w:spacing w:after="0" w:line="272" w:lineRule="auto"/>
        <w:rPr>
          <w:sz w:val="20"/>
          <w:szCs w:val="20"/>
          <w:color w:val="auto"/>
        </w:rPr>
      </w:pPr>
      <w:r>
        <w:rPr>
          <w:rFonts w:ascii="Times New Roman" w:cs="Times New Roman" w:eastAsia="Times New Roman" w:hAnsi="Times New Roman"/>
          <w:sz w:val="9"/>
          <w:szCs w:val="9"/>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w:t>
      </w:r>
    </w:p>
    <w:p>
      <w:pPr>
        <w:ind w:left="10" w:right="40" w:hanging="10"/>
        <w:spacing w:after="0" w:line="235" w:lineRule="auto"/>
        <w:tabs>
          <w:tab w:leader="none" w:pos="143"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09" w:lineRule="exact"/>
        <w:rPr>
          <w:sz w:val="20"/>
          <w:szCs w:val="20"/>
          <w:color w:val="auto"/>
        </w:rPr>
      </w:pPr>
    </w:p>
    <w:p>
      <w:pPr>
        <w:ind w:left="10" w:right="40" w:firstLine="480"/>
        <w:spacing w:after="0" w:line="239" w:lineRule="auto"/>
        <w:rPr>
          <w:sz w:val="20"/>
          <w:szCs w:val="20"/>
          <w:color w:val="auto"/>
        </w:rPr>
      </w:pPr>
      <w:r>
        <w:rPr>
          <w:rFonts w:ascii="Times New Roman" w:cs="Times New Roman" w:eastAsia="Times New Roman" w:hAnsi="Times New Roman"/>
          <w:sz w:val="10"/>
          <w:szCs w:val="10"/>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10" w:lineRule="exact"/>
        <w:rPr>
          <w:sz w:val="20"/>
          <w:szCs w:val="20"/>
          <w:color w:val="auto"/>
        </w:rPr>
      </w:pPr>
    </w:p>
    <w:p>
      <w:pPr>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155" w:right="620" w:bottom="1440" w:gutter="0" w:footer="0" w:header="0"/>
        </w:sectPr>
      </w:pPr>
    </w:p>
    <w:bookmarkStart w:id="219" w:name="page220"/>
    <w:bookmarkEnd w:id="219"/>
    <w:p>
      <w:pPr>
        <w:spacing w:after="0" w:line="239" w:lineRule="auto"/>
        <w:rPr>
          <w:sz w:val="20"/>
          <w:szCs w:val="20"/>
          <w:color w:val="auto"/>
        </w:rPr>
      </w:pPr>
      <w:r>
        <w:rPr>
          <w:rFonts w:ascii="Times New Roman" w:cs="Times New Roman" w:eastAsia="Times New Roman" w:hAnsi="Times New Roman"/>
          <w:sz w:val="10"/>
          <w:szCs w:val="10"/>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94"/>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107,722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3,781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15,771,190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5,392,262</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54,544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129,738</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9,771,340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 at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redemption value of approximately $11.11 and $10.71 per share at March 31,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15,747,446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1,417,687 and 2,363,349 shares subject to</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March 31,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(9,636,663 )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(9,636,093 )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291"/>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6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459,911</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790,735</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1,031,440</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1,185,087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(485,111 )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(818,698 )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(1,107,040 )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(1,241,013 )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(118,811 )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(124,198 )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270,156</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604,992</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 net</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151,345</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480,794</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Income before provision for income taxes</w:t>
            </w:r>
          </w:p>
        </w:tc>
        <w:tc>
          <w:tcPr>
            <w:tcW w:w="660" w:type="dxa"/>
            <w:vAlign w:val="bottom"/>
          </w:tcPr>
          <w:p>
            <w:pPr>
              <w:spacing w:after="0"/>
              <w:rPr>
                <w:sz w:val="9"/>
                <w:szCs w:val="9"/>
                <w:color w:val="auto"/>
              </w:rPr>
            </w:pPr>
          </w:p>
        </w:tc>
        <w:tc>
          <w:tcPr>
            <w:tcW w:w="6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(333,766 )</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155,710</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(626,246 )</w:t>
            </w: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1,023,068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(47,080 )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(182,853 )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(114,914 )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(443,184 )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(380,846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(27,143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(741,160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579,884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1,895,714</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7,722,273</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2,130,809</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11,401,124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common stock subject to possible redemption</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non-redeemable common stock</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SIX MONTHS ENDED 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60" w:type="dxa"/>
            <w:vAlign w:val="bottom"/>
          </w:tcPr>
          <w:p>
            <w:pPr>
              <w:spacing w:after="0"/>
              <w:rPr>
                <w:sz w:val="8"/>
                <w:szCs w:val="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6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(159,034 )</w:t>
            </w:r>
          </w:p>
        </w:tc>
        <w:tc>
          <w:tcPr>
            <w:tcW w:w="16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160" w:type="dxa"/>
            <w:vAlign w:val="bottom"/>
          </w:tcPr>
          <w:p>
            <w:pPr>
              <w:spacing w:after="0"/>
              <w:rPr>
                <w:sz w:val="10"/>
                <w:szCs w:val="1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(347,252 )</w:t>
            </w: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16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160" w:type="dxa"/>
            <w:vAlign w:val="bottom"/>
          </w:tcPr>
          <w:p>
            <w:pPr>
              <w:spacing w:after="0"/>
              <w:rPr>
                <w:sz w:val="9"/>
                <w:szCs w:val="9"/>
                <w:color w:val="auto"/>
              </w:rPr>
            </w:pPr>
          </w:p>
        </w:tc>
        <w:tc>
          <w:tcPr>
            <w:tcW w:w="9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16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660" w:type="dxa"/>
            <w:vAlign w:val="bottom"/>
          </w:tcPr>
          <w:p>
            <w:pPr>
              <w:spacing w:after="0"/>
              <w:rPr>
                <w:sz w:val="9"/>
                <w:szCs w:val="9"/>
                <w:color w:val="auto"/>
              </w:rPr>
            </w:pPr>
          </w:p>
        </w:tc>
        <w:tc>
          <w:tcPr>
            <w:tcW w:w="4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0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9"/>
                <w:szCs w:val="9"/>
                <w:color w:val="auto"/>
              </w:rPr>
            </w:pP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(9,636,663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(9,636,093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840" w:type="dxa"/>
            <w:vAlign w:val="bottom"/>
            <w:gridSpan w:val="6"/>
          </w:tcPr>
          <w:p>
            <w:pPr>
              <w:ind w:left="3900"/>
              <w:spacing w:after="0"/>
              <w:rPr>
                <w:sz w:val="20"/>
                <w:szCs w:val="20"/>
                <w:color w:val="auto"/>
              </w:rPr>
            </w:pPr>
            <w:r>
              <w:rPr>
                <w:rFonts w:ascii="Times New Roman" w:cs="Times New Roman" w:eastAsia="Times New Roman" w:hAnsi="Times New Roman"/>
                <w:sz w:val="10"/>
                <w:szCs w:val="10"/>
                <w:b w:val="1"/>
                <w:bCs w:val="1"/>
                <w:color w:val="auto"/>
              </w:rPr>
              <w:t>FOR THE THREE AND SIX MONTHS ENDED MARCH 31, 2023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60" w:type="dxa"/>
            <w:vAlign w:val="bottom"/>
          </w:tcPr>
          <w:p>
            <w:pPr>
              <w:spacing w:after="0"/>
              <w:rPr>
                <w:sz w:val="8"/>
                <w:szCs w:val="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6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(5,964,009 )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(4,993,680 )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 the</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shareholder non-redemption agreements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shareholder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6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16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16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160" w:type="dxa"/>
            <w:vAlign w:val="bottom"/>
          </w:tcPr>
          <w:p>
            <w:pPr>
              <w:spacing w:after="0"/>
              <w:rPr>
                <w:sz w:val="9"/>
                <w:szCs w:val="9"/>
                <w:color w:val="auto"/>
              </w:rPr>
            </w:pPr>
          </w:p>
        </w:tc>
        <w:tc>
          <w:tcPr>
            <w:tcW w:w="9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16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660" w:type="dxa"/>
            <w:vAlign w:val="bottom"/>
          </w:tcPr>
          <w:p>
            <w:pPr>
              <w:spacing w:after="0"/>
              <w:rPr>
                <w:sz w:val="9"/>
                <w:szCs w:val="9"/>
                <w:color w:val="auto"/>
              </w:rPr>
            </w:pPr>
          </w:p>
        </w:tc>
        <w:tc>
          <w:tcPr>
            <w:tcW w:w="4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0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9"/>
                <w:szCs w:val="9"/>
                <w:color w:val="auto"/>
              </w:rPr>
            </w:pP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(6,833,303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(6,832,733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56"/>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1340" w:type="dxa"/>
            <w:vAlign w:val="bottom"/>
            <w:gridSpan w:val="3"/>
          </w:tcPr>
          <w:p>
            <w:pPr>
              <w:jc w:val="right"/>
              <w:ind w:right="436"/>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(741,160 )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579,884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(604,992 )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(2,264,081 )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124,198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29,824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684,212</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43,761</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35,497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(68,800 )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(378,057 )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(1,195,701 )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income and franchise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(382,840 )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10,157,830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440,000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class A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(9,732,335 )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47,438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58,371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107,722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235,949</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 and taxes paid:</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815,136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3,148,417</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434,460</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71,153</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4" w:name="page225"/>
    <w:bookmarkEnd w:id="224"/>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MARCH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25" w:name="page226"/>
    <w:bookmarkEnd w:id="225"/>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6" w:name="page227"/>
    <w:bookmarkEnd w:id="226"/>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7" w:name="page228"/>
    <w:bookmarkEnd w:id="227"/>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March 31, 2024, the Company had $107,722 of cash in its bank operating account and a working capital deficiency of approximately $9.7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8" w:name="page229"/>
    <w:bookmarkEnd w:id="228"/>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31" w:name="page232"/>
    <w:bookmarkEnd w:id="231"/>
    <w:tbl>
      <w:tblPr>
        <w:tblLayout w:type="fixed"/>
        <w:tblInd w:w="480" w:type="dxa"/>
        <w:tblCellMar>
          <w:top w:w="0" w:type="dxa"/>
          <w:left w:w="0" w:type="dxa"/>
          <w:bottom w:w="0" w:type="dxa"/>
          <w:right w:w="0" w:type="dxa"/>
        </w:tblCellMar>
      </w:tblPr>
      <w:tr>
        <w:trPr>
          <w:trHeight w:val="125"/>
        </w:trPr>
        <w:tc>
          <w:tcPr>
            <w:tcW w:w="68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March 31, 2024 and September 30, 2023, the common stock reflected in the balance sheets are reconciled in the following table: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00" w:type="dxa"/>
            <w:vAlign w:val="bottom"/>
            <w:shd w:val="clear" w:color="auto" w:fill="CFF0FC"/>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9"/>
                <w:szCs w:val="9"/>
                <w:color w:val="auto"/>
              </w:rPr>
            </w:pPr>
          </w:p>
        </w:tc>
        <w:tc>
          <w:tcPr>
            <w:tcW w:w="5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25,784,690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347,252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15,747,446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8"/>
                <w:szCs w:val="8"/>
                <w:color w:val="auto"/>
              </w:rPr>
            </w:pPr>
          </w:p>
        </w:tc>
        <w:tc>
          <w:tcPr>
            <w:tcW w:w="524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March 31, 2024</w:t>
            </w:r>
          </w:p>
        </w:tc>
        <w:tc>
          <w:tcPr>
            <w:tcW w:w="30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60" w:type="dxa"/>
            <w:vAlign w:val="bottom"/>
            <w:gridSpan w:val="3"/>
          </w:tcPr>
          <w:p>
            <w:pPr>
              <w:jc w:val="right"/>
              <w:ind w:right="536"/>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20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520" w:type="dxa"/>
            <w:vAlign w:val="bottom"/>
          </w:tcPr>
          <w:p>
            <w:pPr>
              <w:spacing w:after="0"/>
              <w:rPr>
                <w:sz w:val="8"/>
                <w:szCs w:val="8"/>
                <w:color w:val="auto"/>
              </w:rPr>
            </w:pPr>
          </w:p>
        </w:tc>
      </w:tr>
      <w:tr>
        <w:trPr>
          <w:trHeight w:val="106"/>
        </w:trPr>
        <w:tc>
          <w:tcPr>
            <w:tcW w:w="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0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86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(94,932 )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(285,914 )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(15,605 )</w:t>
            </w:r>
          </w:p>
        </w:tc>
        <w:tc>
          <w:tcPr>
            <w:tcW w:w="20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(11,538 )</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1,895,714</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7,722,273</w:t>
            </w: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520" w:type="dxa"/>
            <w:vAlign w:val="bottom"/>
          </w:tcPr>
          <w:p>
            <w:pPr>
              <w:spacing w:after="0"/>
              <w:rPr>
                <w:sz w:val="9"/>
                <w:szCs w:val="9"/>
                <w:color w:val="auto"/>
              </w:rPr>
            </w:pPr>
          </w:p>
        </w:tc>
      </w:tr>
      <w:tr>
        <w:trPr>
          <w:trHeight w:val="125"/>
        </w:trPr>
        <w:tc>
          <w:tcPr>
            <w:tcW w:w="520" w:type="dxa"/>
            <w:vAlign w:val="bottom"/>
          </w:tcPr>
          <w:p>
            <w:pPr>
              <w:spacing w:after="0"/>
              <w:rPr>
                <w:sz w:val="10"/>
                <w:szCs w:val="1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0"/>
                <w:szCs w:val="10"/>
                <w:color w:val="auto"/>
              </w:rPr>
              <w:t>(0.00 )</w:t>
            </w:r>
          </w:p>
        </w:tc>
        <w:tc>
          <w:tcPr>
            <w:tcW w:w="2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(0.00 )</w:t>
            </w:r>
          </w:p>
        </w:tc>
        <w:tc>
          <w:tcPr>
            <w:tcW w:w="520" w:type="dxa"/>
            <w:vAlign w:val="bottom"/>
          </w:tcPr>
          <w:p>
            <w:pPr>
              <w:spacing w:after="0"/>
              <w:rPr>
                <w:sz w:val="10"/>
                <w:szCs w:val="10"/>
                <w:color w:val="auto"/>
              </w:rPr>
            </w:pPr>
          </w:p>
        </w:tc>
      </w:tr>
      <w:tr>
        <w:trPr>
          <w:trHeight w:val="278"/>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F-96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2"/>
        </w:trPr>
        <w:tc>
          <w:tcPr>
            <w:tcW w:w="52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2" w:name="page233"/>
    <w:bookmarkEnd w:id="232"/>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9"/>
                <w:szCs w:val="9"/>
                <w:color w:val="auto"/>
              </w:rPr>
            </w:pPr>
          </w:p>
        </w:tc>
        <w:tc>
          <w:tcPr>
            <w:tcW w:w="1980" w:type="dxa"/>
            <w:vAlign w:val="bottom"/>
            <w:gridSpan w:val="3"/>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For the Six Months Ended March 31,</w:t>
            </w:r>
          </w:p>
        </w:tc>
        <w:tc>
          <w:tcPr>
            <w:tcW w:w="380" w:type="dxa"/>
            <w:vAlign w:val="bottom"/>
            <w:vMerge w:val="restart"/>
          </w:tcPr>
          <w:p>
            <w:pPr>
              <w:jc w:val="right"/>
              <w:ind w:right="154"/>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8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8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(201,430 )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(539,730 )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386,387</w:t>
            </w:r>
          </w:p>
        </w:tc>
        <w:tc>
          <w:tcPr>
            <w:tcW w:w="38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193,497</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2,130,809</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11,401,124</w:t>
            </w: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91" w:right="620" w:bottom="1440" w:gutter="0" w:footer="0" w:header="0"/>
        </w:sectPr>
      </w:pPr>
    </w:p>
    <w:bookmarkStart w:id="233" w:name="page234"/>
    <w:bookmarkEnd w:id="233"/>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4" w:name="page235"/>
    <w:bookmarkEnd w:id="234"/>
    <w:p>
      <w:pPr>
        <w:ind w:left="10"/>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left="10"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0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15" w:right="640" w:bottom="1440" w:gutter="0" w:footer="0" w:header="0"/>
        </w:sectPr>
      </w:pPr>
    </w:p>
    <w:bookmarkStart w:id="235" w:name="page236"/>
    <w:bookmarkEnd w:id="235"/>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05"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36" w:name="page237"/>
    <w:bookmarkEnd w:id="236"/>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13"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7" w:name="page238"/>
    <w:bookmarkEnd w:id="237"/>
    <w:p>
      <w:pPr>
        <w:ind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20" w:type="dxa"/>
            <w:vAlign w:val="bottom"/>
          </w:tcPr>
          <w:p>
            <w:pPr>
              <w:spacing w:after="0"/>
              <w:rPr>
                <w:sz w:val="8"/>
                <w:szCs w:val="8"/>
                <w:color w:val="auto"/>
              </w:rPr>
            </w:pPr>
          </w:p>
        </w:tc>
        <w:tc>
          <w:tcPr>
            <w:tcW w:w="7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March 31, 2024</w:t>
            </w:r>
          </w:p>
        </w:tc>
        <w:tc>
          <w:tcPr>
            <w:tcW w:w="1020" w:type="dxa"/>
            <w:vAlign w:val="bottom"/>
          </w:tcPr>
          <w:p>
            <w:pPr>
              <w:spacing w:after="0"/>
              <w:rPr>
                <w:sz w:val="8"/>
                <w:szCs w:val="8"/>
                <w:color w:val="auto"/>
              </w:rPr>
            </w:pPr>
          </w:p>
        </w:tc>
        <w:tc>
          <w:tcPr>
            <w:tcW w:w="1380" w:type="dxa"/>
            <w:vAlign w:val="bottom"/>
            <w:gridSpan w:val="2"/>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800" w:type="dxa"/>
            <w:vAlign w:val="bottom"/>
          </w:tcPr>
          <w:p>
            <w:pPr>
              <w:spacing w:after="0"/>
              <w:rPr>
                <w:sz w:val="8"/>
                <w:szCs w:val="8"/>
                <w:color w:val="auto"/>
              </w:rPr>
            </w:pPr>
          </w:p>
        </w:tc>
      </w:tr>
      <w:tr>
        <w:trPr>
          <w:trHeight w:val="106"/>
        </w:trPr>
        <w:tc>
          <w:tcPr>
            <w:tcW w:w="5620" w:type="dxa"/>
            <w:vAlign w:val="bottom"/>
          </w:tcPr>
          <w:p>
            <w:pPr>
              <w:ind w:left="5300"/>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8"/>
                <w:szCs w:val="8"/>
                <w:b w:val="1"/>
                <w:bCs w:val="1"/>
                <w:color w:val="auto"/>
              </w:rPr>
              <w:t>Level</w:t>
            </w:r>
          </w:p>
        </w:tc>
        <w:tc>
          <w:tcPr>
            <w:tcW w:w="360" w:type="dxa"/>
            <w:vAlign w:val="bottom"/>
          </w:tcPr>
          <w:p>
            <w:pPr>
              <w:spacing w:after="0"/>
              <w:rPr>
                <w:sz w:val="9"/>
                <w:szCs w:val="9"/>
                <w:color w:val="auto"/>
              </w:rPr>
            </w:pPr>
          </w:p>
        </w:tc>
        <w:tc>
          <w:tcPr>
            <w:tcW w:w="800" w:type="dxa"/>
            <w:vAlign w:val="bottom"/>
          </w:tcPr>
          <w:p>
            <w:pPr>
              <w:jc w:val="right"/>
              <w:ind w:right="39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275"/>
              <w:spacing w:after="0"/>
              <w:rPr>
                <w:sz w:val="20"/>
                <w:szCs w:val="20"/>
                <w:color w:val="auto"/>
              </w:rPr>
            </w:pPr>
            <w:r>
              <w:rPr>
                <w:rFonts w:ascii="Times New Roman" w:cs="Times New Roman" w:eastAsia="Times New Roman" w:hAnsi="Times New Roman"/>
                <w:sz w:val="10"/>
                <w:szCs w:val="10"/>
                <w:color w:val="auto"/>
              </w:rPr>
              <w:t>15,771,190</w:t>
            </w: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auto"/>
              </w:rPr>
              <w:t>1</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40" w:name="page241"/>
    <w:bookmarkEnd w:id="240"/>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1020" w:type="dxa"/>
            <w:vAlign w:val="bottom"/>
          </w:tcPr>
          <w:p>
            <w:pPr>
              <w:jc w:val="center"/>
              <w:ind w:left="45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w w:val="97"/>
              </w:rPr>
              <w:t>unaudited</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20" w:type="dxa"/>
            <w:vAlign w:val="bottom"/>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54,405</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13,534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67,939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25,871,565</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20" w:type="dxa"/>
            <w:vAlign w:val="bottom"/>
            <w:tcBorders>
              <w:bottom w:val="single" w:sz="8" w:color="auto"/>
            </w:tcBorders>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FF0FC"/>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5,132,351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78,617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6,752</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9,309,990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shares at redemption</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of approximately $10.91 and $10.71 per share at December 31, 2023 and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September 30, 2023, respectively</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25,784,690</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10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2,363,349 shares subject to</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December 31, 2023 and September 30, 2023, respectively</w:t>
            </w:r>
          </w:p>
        </w:tc>
        <w:tc>
          <w:tcPr>
            <w:tcW w:w="10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159,034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20" w:type="dxa"/>
            <w:vAlign w:val="bottom"/>
          </w:tcPr>
          <w:p>
            <w:pPr>
              <w:spacing w:after="0"/>
              <w:rPr>
                <w:sz w:val="9"/>
                <w:szCs w:val="9"/>
                <w:color w:val="auto"/>
              </w:rPr>
            </w:pPr>
          </w:p>
        </w:tc>
        <w:tc>
          <w:tcPr>
            <w:tcW w:w="7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(9,314,780 )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(9,155,176 )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20" w:type="dxa"/>
            <w:vAlign w:val="bottom"/>
            <w:vMerge w:val="restart"/>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2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6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1040" w:type="dxa"/>
            <w:vAlign w:val="bottom"/>
            <w:shd w:val="clear" w:color="auto" w:fill="CFF0FC"/>
          </w:tcPr>
          <w:p>
            <w:pPr>
              <w:jc w:val="right"/>
              <w:ind w:right="9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571,529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(621,929 )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(422,315 )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334,836</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(5,387 )</w:t>
            </w: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329,449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before provision for income taxes</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(292,480 )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867,358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(67,834 )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(260,331 )</w:t>
            </w: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(360,314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607,027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10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2,363,349</w:t>
            </w:r>
          </w:p>
        </w:tc>
        <w:tc>
          <w:tcPr>
            <w:tcW w:w="28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2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10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8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spacing w:after="0"/>
              <w:rPr>
                <w:sz w:val="8"/>
                <w:szCs w:val="8"/>
                <w:color w:val="auto"/>
              </w:rPr>
            </w:pPr>
          </w:p>
        </w:tc>
        <w:tc>
          <w:tcPr>
            <w:tcW w:w="104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1040" w:type="dxa"/>
            <w:vAlign w:val="bottom"/>
            <w:tcBorders>
              <w:top w:val="single" w:sz="8" w:color="auto"/>
              <w:bottom w:val="single" w:sz="8" w:color="auto"/>
            </w:tcBorders>
            <w:shd w:val="clear" w:color="auto" w:fill="CFF0FC"/>
          </w:tcPr>
          <w:p>
            <w:pPr>
              <w:spacing w:after="0"/>
              <w:rPr>
                <w:sz w:val="10"/>
                <w:szCs w:val="10"/>
                <w:color w:val="auto"/>
              </w:rPr>
            </w:pPr>
          </w:p>
        </w:tc>
        <w:tc>
          <w:tcPr>
            <w:tcW w:w="46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auto"/>
            </w:tcBorders>
            <w:shd w:val="clear" w:color="auto" w:fill="CFF0FC"/>
          </w:tcPr>
          <w:p>
            <w:pPr>
              <w:spacing w:after="0"/>
              <w:rPr>
                <w:sz w:val="10"/>
                <w:szCs w:val="10"/>
                <w:color w:val="auto"/>
              </w:rPr>
            </w:pPr>
          </w:p>
        </w:tc>
        <w:tc>
          <w:tcPr>
            <w:tcW w:w="104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Paid-in</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(467,884 )</w:t>
            </w:r>
          </w:p>
        </w:tc>
        <w:tc>
          <w:tcPr>
            <w:tcW w:w="160" w:type="dxa"/>
            <w:vAlign w:val="bottom"/>
          </w:tcPr>
          <w:p>
            <w:pPr>
              <w:spacing w:after="0"/>
              <w:rPr>
                <w:sz w:val="10"/>
                <w:szCs w:val="1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660" w:type="dxa"/>
            <w:vAlign w:val="bottom"/>
          </w:tcPr>
          <w:p>
            <w:pPr>
              <w:spacing w:after="0"/>
              <w:rPr>
                <w:sz w:val="9"/>
                <w:szCs w:val="9"/>
                <w:color w:val="auto"/>
              </w:rPr>
            </w:pPr>
          </w:p>
        </w:tc>
        <w:tc>
          <w:tcPr>
            <w:tcW w:w="4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840" w:type="dxa"/>
            <w:vAlign w:val="bottom"/>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0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159,036</w:t>
            </w:r>
          </w:p>
        </w:tc>
        <w:tc>
          <w:tcPr>
            <w:tcW w:w="220" w:type="dxa"/>
            <w:vAlign w:val="bottom"/>
          </w:tcPr>
          <w:p>
            <w:pPr>
              <w:spacing w:after="0"/>
              <w:rPr>
                <w:sz w:val="9"/>
                <w:szCs w:val="9"/>
                <w:color w:val="auto"/>
              </w:rPr>
            </w:pP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(9,314,780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(9,155,176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640" w:type="dxa"/>
            <w:vAlign w:val="bottom"/>
            <w:gridSpan w:val="5"/>
          </w:tcPr>
          <w:p>
            <w:pPr>
              <w:ind w:left="4020"/>
              <w:spacing w:after="0"/>
              <w:rPr>
                <w:sz w:val="20"/>
                <w:szCs w:val="20"/>
                <w:color w:val="auto"/>
              </w:rPr>
            </w:pPr>
            <w:r>
              <w:rPr>
                <w:rFonts w:ascii="Times New Roman" w:cs="Times New Roman" w:eastAsia="Times New Roman" w:hAnsi="Times New Roman"/>
                <w:sz w:val="10"/>
                <w:szCs w:val="10"/>
                <w:b w:val="1"/>
                <w:bCs w:val="1"/>
                <w:color w:val="auto"/>
                <w:w w:val="98"/>
              </w:rPr>
              <w:t>FOR THE THREE MONTHS ENDED DECEMBER 31, 2022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Paid-in</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 (audited)</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38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5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66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(5,964,009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(4,993,680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6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4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1060" w:type="dxa"/>
            <w:vAlign w:val="bottom"/>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investments held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(334,836 )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(1,289,673 )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5,387</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20,071</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55,678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424,300</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24,344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67,834</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260,331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11,819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(115,339 )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(264,331 )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(212,701 )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10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(212,701 )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(1,500,000 )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(5,879 )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185,669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beginning of the period</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54,405</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363,247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2,479,343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1060" w:type="dxa"/>
            <w:vAlign w:val="bottom"/>
            <w:tcBorders>
              <w:bottom w:val="single" w:sz="8" w:color="auto"/>
            </w:tcBorders>
            <w:shd w:val="clear" w:color="auto" w:fill="CFF0FC"/>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108,634</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spacing w:after="0"/>
        <w:rPr>
          <w:sz w:val="20"/>
          <w:szCs w:val="20"/>
          <w:color w:val="auto"/>
        </w:rPr>
      </w:pPr>
      <w:r>
        <w:rPr>
          <w:rFonts w:ascii="Times New Roman" w:cs="Times New Roman" w:eastAsia="Times New Roman" w:hAnsi="Times New Roman"/>
          <w:sz w:val="10"/>
          <w:szCs w:val="10"/>
          <w:b w:val="1"/>
          <w:bCs w:val="1"/>
          <w:color w:val="auto"/>
        </w:rPr>
        <w:t>DECEMBER 31,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08"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6" w:name="page247"/>
    <w:bookmarkEnd w:id="246"/>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7" w:name="page248"/>
    <w:bookmarkEnd w:id="247"/>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8" w:name="page249"/>
    <w:bookmarkEnd w:id="248"/>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the Company had approximately $54,000 of cash in its bank operating account and a working capital deficiency of approximately $9.1 million (excluding income tax payable and franchise tax payable).</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9" w:name="page250"/>
    <w:bookmarkEnd w:id="249"/>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89"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Form10-K, as filed with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260" w:firstLine="480"/>
        <w:spacing w:after="0" w:line="245" w:lineRule="auto"/>
        <w:rPr>
          <w:sz w:val="20"/>
          <w:szCs w:val="20"/>
          <w:color w:val="auto"/>
        </w:rPr>
      </w:pPr>
      <w:r>
        <w:rPr>
          <w:rFonts w:ascii="Times New Roman" w:cs="Times New Roman" w:eastAsia="Times New Roman" w:hAnsi="Times New Roman"/>
          <w:sz w:val="10"/>
          <w:szCs w:val="10"/>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2" w:name="page253"/>
    <w:bookmarkEnd w:id="252"/>
    <w:tbl>
      <w:tblPr>
        <w:tblLayout w:type="fixed"/>
        <w:tblInd w:w="480" w:type="dxa"/>
        <w:tblCellMar>
          <w:top w:w="0" w:type="dxa"/>
          <w:left w:w="0" w:type="dxa"/>
          <w:bottom w:w="0" w:type="dxa"/>
          <w:right w:w="0" w:type="dxa"/>
        </w:tblCellMar>
      </w:tblPr>
      <w:tr>
        <w:trPr>
          <w:trHeight w:val="125"/>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December 31, 2023 and September 30, 2023, the common stock reflected in the balance sheets are reconciled in the following table:</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1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3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1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3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120" w:type="dxa"/>
            <w:vAlign w:val="bottom"/>
          </w:tcPr>
          <w:p>
            <w:pPr>
              <w:spacing w:after="0"/>
              <w:rPr>
                <w:sz w:val="10"/>
                <w:szCs w:val="1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467,884</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25,784,690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Pr>
          <w:p>
            <w:pPr>
              <w:spacing w:after="0"/>
              <w:rPr>
                <w:sz w:val="9"/>
                <w:szCs w:val="9"/>
                <w:color w:val="auto"/>
              </w:rPr>
            </w:pPr>
          </w:p>
        </w:tc>
        <w:tc>
          <w:tcPr>
            <w:tcW w:w="2060" w:type="dxa"/>
            <w:vAlign w:val="bottom"/>
            <w:gridSpan w:val="3"/>
          </w:tcPr>
          <w:p>
            <w:pPr>
              <w:jc w:val="right"/>
              <w:ind w:right="296"/>
              <w:spacing w:after="0"/>
              <w:rPr>
                <w:sz w:val="20"/>
                <w:szCs w:val="20"/>
                <w:color w:val="auto"/>
              </w:rPr>
            </w:pPr>
            <w:r>
              <w:rPr>
                <w:rFonts w:ascii="Times New Roman" w:cs="Times New Roman" w:eastAsia="Times New Roman" w:hAnsi="Times New Roman"/>
                <w:sz w:val="8"/>
                <w:szCs w:val="8"/>
                <w:b w:val="1"/>
                <w:bCs w:val="1"/>
                <w:color w:val="auto"/>
              </w:rPr>
              <w:t>For the Three Months Ended December 31,</w:t>
            </w:r>
          </w:p>
        </w:tc>
        <w:tc>
          <w:tcPr>
            <w:tcW w:w="320" w:type="dxa"/>
            <w:vAlign w:val="bottom"/>
            <w:vMerge w:val="restart"/>
          </w:tcPr>
          <w:p>
            <w:pPr>
              <w:jc w:val="right"/>
              <w:ind w:right="94"/>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Common</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Stock</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8"/>
              </w:rPr>
              <w:t>Subject to</w:t>
            </w:r>
          </w:p>
        </w:tc>
        <w:tc>
          <w:tcPr>
            <w:tcW w:w="140" w:type="dxa"/>
            <w:vAlign w:val="bottom"/>
          </w:tcPr>
          <w:p>
            <w:pPr>
              <w:spacing w:after="0"/>
              <w:rPr>
                <w:sz w:val="8"/>
                <w:szCs w:val="8"/>
                <w:color w:val="auto"/>
              </w:rPr>
            </w:pPr>
          </w:p>
        </w:tc>
        <w:tc>
          <w:tcPr>
            <w:tcW w:w="1000" w:type="dxa"/>
            <w:vAlign w:val="bottom"/>
          </w:tcPr>
          <w:p>
            <w:pPr>
              <w:jc w:val="center"/>
              <w:ind w:right="236"/>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240" w:type="dxa"/>
            <w:vAlign w:val="bottom"/>
          </w:tcPr>
          <w:p>
            <w:pPr>
              <w:spacing w:after="0"/>
              <w:rPr>
                <w:sz w:val="9"/>
                <w:szCs w:val="9"/>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20" w:type="dxa"/>
            <w:vAlign w:val="bottom"/>
          </w:tcPr>
          <w:p>
            <w:pPr>
              <w:spacing w:after="0"/>
              <w:rPr>
                <w:sz w:val="9"/>
                <w:szCs w:val="9"/>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(105,483 )</w:t>
            </w:r>
          </w:p>
        </w:tc>
        <w:tc>
          <w:tcPr>
            <w:tcW w:w="140" w:type="dxa"/>
            <w:vAlign w:val="bottom"/>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FF0FC"/>
          </w:tcPr>
          <w:p>
            <w:pPr>
              <w:jc w:val="right"/>
              <w:ind w:right="56"/>
              <w:spacing w:after="0" w:line="113" w:lineRule="exact"/>
              <w:rPr>
                <w:sz w:val="20"/>
                <w:szCs w:val="20"/>
                <w:color w:val="auto"/>
              </w:rPr>
            </w:pPr>
            <w:r>
              <w:rPr>
                <w:rFonts w:ascii="Times New Roman" w:cs="Times New Roman" w:eastAsia="Times New Roman" w:hAnsi="Times New Roman"/>
                <w:sz w:val="10"/>
                <w:szCs w:val="10"/>
                <w:color w:val="auto"/>
              </w:rPr>
              <w:t>(254,831 )</w:t>
            </w:r>
          </w:p>
        </w:tc>
        <w:tc>
          <w:tcPr>
            <w:tcW w:w="2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439,673</w:t>
            </w:r>
          </w:p>
        </w:tc>
        <w:tc>
          <w:tcPr>
            <w:tcW w:w="32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167,354</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2,363,349</w:t>
            </w: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(0.04 )</w:t>
            </w: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(0.04 )</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53" w:name="page254"/>
    <w:bookmarkEnd w:id="253"/>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$50,400 and $27,963 of stock-based compensation for the three-month periods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340" w:firstLine="488"/>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5" w:name="page256"/>
    <w:bookmarkEnd w:id="255"/>
    <w:p>
      <w:pPr>
        <w:ind w:left="10"/>
        <w:spacing w:after="0"/>
        <w:rPr>
          <w:sz w:val="20"/>
          <w:szCs w:val="20"/>
          <w:color w:val="auto"/>
        </w:rPr>
      </w:pPr>
      <w:r>
        <w:rPr>
          <w:rFonts w:ascii="Times New Roman" w:cs="Times New Roman" w:eastAsia="Times New Roman" w:hAnsi="Times New Roman"/>
          <w:sz w:val="10"/>
          <w:szCs w:val="10"/>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05" w:lineRule="exact"/>
        <w:rPr>
          <w:sz w:val="20"/>
          <w:szCs w:val="20"/>
          <w:color w:val="auto"/>
        </w:rPr>
      </w:pPr>
    </w:p>
    <w:p>
      <w:pPr>
        <w:jc w:val="both"/>
        <w:ind w:left="10" w:right="20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05"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05" w:lineRule="exact"/>
        <w:rPr>
          <w:sz w:val="20"/>
          <w:szCs w:val="20"/>
          <w:color w:val="auto"/>
        </w:rPr>
      </w:pPr>
    </w:p>
    <w:p>
      <w:pPr>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56" w:name="page257"/>
    <w:bookmarkEnd w:id="256"/>
    <w:p>
      <w:pPr>
        <w:ind w:right="48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Effective December 12, 2023, the Company and the Sponsor, entered into a subscription agreement (the “Subscription Agreement”) with Polar Multi-Strategy Master Fund (“Polar”), an unaffiliated third party of the Company, pursuant to which Polar agreed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make certain capital contributions (the “Investor Capital Contribution”) from time to time, at the request of the Sponsor, subject to the terms and conditions of the Subscription Agreement, to the Sponsor to meet the Sponsor’s commitment to fund the Company’s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capital needs and extension payments. In exchange for the commitment of Polar to provide the Investor Capital Contribution, (i) the Sponsor will transfer shares of common stock, par value $0.0001 per share, to Polar at the closing of its initial business combination,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further described below; and (ii) the Company and the Sponsor have agreed jointly and severally to return the Investor Capital Contribution to the Investor at the closing of an initial business combination. The maximum aggregate Investor Capital Contribution is $440,000,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with an initial Investor Capital Contribution of $110,000 available for drawdown within five (5) business days of the Subscription Agreement and the remaining amount to be available for drawdown in three equal tranches of $110,000 during January, February and March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2024. The initial Investor Capital Contribution of $110,000 has been funded to the Sponsor, on January 16, 2024, the second Investor Capital Contribution of $110,000 was funded to the Sponsor, and on February 13, 2024, the third Investor Capital Contribution of</w:t>
      </w:r>
    </w:p>
    <w:p>
      <w:pPr>
        <w:spacing w:after="0"/>
        <w:rPr>
          <w:sz w:val="20"/>
          <w:szCs w:val="20"/>
          <w:color w:val="auto"/>
        </w:rPr>
      </w:pPr>
      <w:r>
        <w:rPr>
          <w:rFonts w:ascii="Times New Roman" w:cs="Times New Roman" w:eastAsia="Times New Roman" w:hAnsi="Times New Roman"/>
          <w:sz w:val="9"/>
          <w:szCs w:val="9"/>
          <w:color w:val="auto"/>
        </w:rPr>
        <w:t>$110,000 was funded to the Sponsor. In exchange for the foregoing commitment of Polar to make the Investor Capital Contributions to the Sponsor, the Company agrees to, or cause the surviving entity following the closing of the Company’s initial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to, issue 880,000 shares of Company common stock currently held by the Sponsor in consideration for the amount that has been funded by Polar as of or prior to the closing of an initial business combination (the “Subscription Shares”). The Company or the surviving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of the business combination shall promptly file a registration statement for resale to register the Subscription Shares after the closing of an initial business combination, but no later than 45 calendar days after the closing of business combination, and cause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statement to be declared effective by 150 calendar days after the closing of an initial business combination. The Subscription Shares shall be free from the lockup provisions currently applicable to these shares (for a period of 180 days following the closing of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58" w:name="page259"/>
    <w:bookmarkEnd w:id="258"/>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0"/>
          <w:szCs w:val="10"/>
          <w:b w:val="1"/>
          <w:bCs w:val="1"/>
          <w:color w:val="auto"/>
        </w:rPr>
        <w:t>Note 6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5180" w:right="1040" w:hanging="4717"/>
        <w:spacing w:after="0" w:line="380"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60" w:name="page261"/>
    <w:bookmarkEnd w:id="260"/>
    <w:p>
      <w:pPr>
        <w:ind w:left="480" w:right="4040"/>
        <w:spacing w:after="0" w:line="380" w:lineRule="auto"/>
        <w:rPr>
          <w:sz w:val="20"/>
          <w:szCs w:val="20"/>
          <w:color w:val="auto"/>
        </w:rPr>
      </w:pPr>
      <w:r>
        <w:rPr>
          <w:rFonts w:ascii="Times New Roman" w:cs="Times New Roman" w:eastAsia="Times New Roman" w:hAnsi="Times New Roman"/>
          <w:sz w:val="10"/>
          <w:szCs w:val="10"/>
          <w:color w:val="auto"/>
        </w:rPr>
        <w:t>commencing at any time after the warrants become exercisable and ending on the third business day prior to the notice of redemption to warrant holders; and •if, and only if, there is a current registration statement in effect with respect to the shares of common stock underlying such warrants.</w:t>
      </w:r>
    </w:p>
    <w:p>
      <w:pPr>
        <w:spacing w:after="0" w:line="4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61" w:name="page262"/>
    <w:bookmarkEnd w:id="261"/>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Stockholders and Board of Directors of Armada Acquisition Corp.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0"/>
          <w:szCs w:val="10"/>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Explanatory Paragraph – Going Concern</w:t>
      </w:r>
    </w:p>
    <w:p>
      <w:pPr>
        <w:spacing w:after="0" w:line="6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0"/>
          <w:szCs w:val="10"/>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9"/>
          <w:szCs w:val="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East Hanover, NJ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December 4, 2023</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20" w:type="dxa"/>
            <w:vAlign w:val="bottom"/>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61,942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239,520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25,324,028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20" w:type="dxa"/>
            <w:vAlign w:val="bottom"/>
            <w:tcBorders>
              <w:bottom w:val="single" w:sz="8" w:color="auto"/>
            </w:tcBorders>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25,417,917</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151,084,445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FF0FC"/>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3,137,535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251,754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3,684,910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4)</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and 15,000,000 shares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$10.71 and $10.04 per share at</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September 30, 2023 and 2022, respectively</w:t>
            </w:r>
          </w:p>
        </w:tc>
        <w:tc>
          <w:tcPr>
            <w:tcW w:w="10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25,316,806</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1020" w:type="dxa"/>
            <w:vAlign w:val="bottom"/>
          </w:tcPr>
          <w:p>
            <w:pPr>
              <w:spacing w:after="0"/>
              <w:rPr>
                <w:sz w:val="10"/>
                <w:szCs w:val="1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15,000,000 shares subject to</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 at September 30, 2023 and 2022, respectively</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20" w:type="dxa"/>
            <w:vAlign w:val="bottom"/>
          </w:tcPr>
          <w:p>
            <w:pPr>
              <w:spacing w:after="0"/>
              <w:rPr>
                <w:sz w:val="9"/>
                <w:szCs w:val="9"/>
                <w:color w:val="auto"/>
              </w:rPr>
            </w:pPr>
          </w:p>
        </w:tc>
        <w:tc>
          <w:tcPr>
            <w:tcW w:w="76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941,796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(4,091,693 )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20" w:type="dxa"/>
            <w:vAlign w:val="bottom"/>
          </w:tcPr>
          <w:p>
            <w:pPr>
              <w:spacing w:after="0"/>
              <w:rPr>
                <w:sz w:val="9"/>
                <w:szCs w:val="9"/>
                <w:color w:val="auto"/>
              </w:rPr>
            </w:pPr>
          </w:p>
        </w:tc>
        <w:tc>
          <w:tcPr>
            <w:tcW w:w="7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(3,149,327 )</w:t>
            </w: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20" w:type="dxa"/>
            <w:vAlign w:val="bottom"/>
            <w:vMerge w:val="restart"/>
            <w:shd w:val="clear" w:color="auto" w:fill="CFF0FC"/>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25,417,917</w:t>
            </w:r>
          </w:p>
        </w:tc>
        <w:tc>
          <w:tcPr>
            <w:tcW w:w="280" w:type="dxa"/>
            <w:vAlign w:val="bottom"/>
            <w:shd w:val="clear" w:color="auto" w:fill="CFF0FC"/>
          </w:tcPr>
          <w:p>
            <w:pPr>
              <w:spacing w:after="0"/>
              <w:rPr>
                <w:sz w:val="9"/>
                <w:szCs w:val="9"/>
                <w:color w:val="auto"/>
              </w:rPr>
            </w:pPr>
          </w:p>
        </w:tc>
        <w:tc>
          <w:tcPr>
            <w:tcW w:w="260" w:type="dxa"/>
            <w:vAlign w:val="bottom"/>
            <w:vMerge w:val="restart"/>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151,084,445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280" w:type="dxa"/>
            <w:vAlign w:val="bottom"/>
            <w:tcBorders>
              <w:bottom w:val="single" w:sz="8" w:color="CFF0FC"/>
            </w:tcBorders>
            <w:shd w:val="clear" w:color="auto" w:fill="CFF0FC"/>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20" w:type="dxa"/>
            <w:vAlign w:val="bottom"/>
            <w:tcBorders>
              <w:bottom w:val="single" w:sz="8" w:color="auto"/>
            </w:tcBorders>
            <w:vMerge w:val="continue"/>
            <w:shd w:val="clear" w:color="auto" w:fill="CFF0FC"/>
          </w:tcPr>
          <w:p>
            <w:pPr>
              <w:spacing w:after="0"/>
              <w:rPr>
                <w:sz w:val="8"/>
                <w:szCs w:val="8"/>
                <w:color w:val="auto"/>
              </w:rPr>
            </w:pPr>
          </w:p>
        </w:tc>
        <w:tc>
          <w:tcPr>
            <w:tcW w:w="480" w:type="dxa"/>
            <w:vAlign w:val="bottom"/>
            <w:tcBorders>
              <w:bottom w:val="single" w:sz="8" w:color="auto"/>
            </w:tcBorders>
            <w:vMerge w:val="continue"/>
            <w:shd w:val="clear" w:color="auto" w:fill="CFF0FC"/>
          </w:tcPr>
          <w:p>
            <w:pPr>
              <w:spacing w:after="0"/>
              <w:rPr>
                <w:sz w:val="8"/>
                <w:szCs w:val="8"/>
                <w:color w:val="auto"/>
              </w:rPr>
            </w:pPr>
          </w:p>
        </w:tc>
        <w:tc>
          <w:tcPr>
            <w:tcW w:w="28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vMerge w:val="continue"/>
            <w:shd w:val="clear" w:color="auto" w:fill="CFF0FC"/>
          </w:tcPr>
          <w:p>
            <w:pPr>
              <w:spacing w:after="0"/>
              <w:rPr>
                <w:sz w:val="8"/>
                <w:szCs w:val="8"/>
                <w:color w:val="auto"/>
              </w:rPr>
            </w:pPr>
          </w:p>
        </w:tc>
        <w:tc>
          <w:tcPr>
            <w:tcW w:w="120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4" w:name="page265"/>
    <w:bookmarkEnd w:id="264"/>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2023</w:t>
            </w:r>
          </w:p>
        </w:tc>
        <w:tc>
          <w:tcPr>
            <w:tcW w:w="140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20" w:type="dxa"/>
            <w:vAlign w:val="bottom"/>
            <w:vMerge w:val="restart"/>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920" w:type="dxa"/>
            <w:vAlign w:val="bottom"/>
            <w:shd w:val="clear" w:color="auto" w:fill="CFF0FC"/>
          </w:tcPr>
          <w:p>
            <w:pPr>
              <w:jc w:val="right"/>
              <w:ind w:right="81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2,570,872</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4,391,263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03"/>
              <w:spacing w:after="0" w:line="113" w:lineRule="exact"/>
              <w:rPr>
                <w:sz w:val="20"/>
                <w:szCs w:val="20"/>
                <w:color w:val="auto"/>
              </w:rPr>
            </w:pPr>
            <w:r>
              <w:rPr>
                <w:rFonts w:ascii="Times New Roman" w:cs="Times New Roman" w:eastAsia="Times New Roman" w:hAnsi="Times New Roman"/>
                <w:sz w:val="10"/>
                <w:szCs w:val="10"/>
                <w:color w:val="auto"/>
              </w:rPr>
              <w:t>(2,789,126 )</w:t>
            </w:r>
          </w:p>
        </w:tc>
        <w:tc>
          <w:tcPr>
            <w:tcW w:w="54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(4,503,115 )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income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Income (loss) before income tax provision</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295,134</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(3,477,173 )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provision</w:t>
            </w:r>
          </w:p>
        </w:tc>
        <w:tc>
          <w:tcPr>
            <w:tcW w:w="920" w:type="dxa"/>
            <w:vAlign w:val="bottom"/>
          </w:tcPr>
          <w:p>
            <w:pPr>
              <w:spacing w:after="0"/>
              <w:rPr>
                <w:sz w:val="9"/>
                <w:szCs w:val="9"/>
                <w:color w:val="auto"/>
              </w:rPr>
            </w:pPr>
          </w:p>
        </w:tc>
        <w:tc>
          <w:tcPr>
            <w:tcW w:w="860" w:type="dxa"/>
            <w:vAlign w:val="bottom"/>
            <w:gridSpan w:val="2"/>
          </w:tcPr>
          <w:p>
            <w:pPr>
              <w:jc w:val="right"/>
              <w:ind w:right="203"/>
              <w:spacing w:after="0" w:line="113" w:lineRule="exact"/>
              <w:rPr>
                <w:sz w:val="20"/>
                <w:szCs w:val="20"/>
                <w:color w:val="auto"/>
              </w:rPr>
            </w:pPr>
            <w:r>
              <w:rPr>
                <w:rFonts w:ascii="Times New Roman" w:cs="Times New Roman" w:eastAsia="Times New Roman" w:hAnsi="Times New Roman"/>
                <w:sz w:val="10"/>
                <w:szCs w:val="10"/>
                <w:color w:val="auto"/>
              </w:rPr>
              <w:t>(615,284 )</w:t>
            </w:r>
          </w:p>
        </w:tc>
        <w:tc>
          <w:tcPr>
            <w:tcW w:w="540" w:type="dxa"/>
            <w:vAlign w:val="bottom"/>
          </w:tcPr>
          <w:p>
            <w:pPr>
              <w:spacing w:after="0"/>
              <w:rPr>
                <w:sz w:val="9"/>
                <w:szCs w:val="9"/>
                <w:color w:val="auto"/>
              </w:rPr>
            </w:pPr>
          </w:p>
        </w:tc>
        <w:tc>
          <w:tcPr>
            <w:tcW w:w="1020" w:type="dxa"/>
            <w:vAlign w:val="bottom"/>
            <w:gridSpan w:val="2"/>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(145,621 )</w:t>
            </w:r>
          </w:p>
        </w:tc>
        <w:tc>
          <w:tcPr>
            <w:tcW w:w="0" w:type="dxa"/>
            <w:vAlign w:val="bottom"/>
          </w:tcPr>
          <w:p>
            <w:pPr>
              <w:spacing w:after="0"/>
              <w:rPr>
                <w:sz w:val="1"/>
                <w:szCs w:val="1"/>
                <w:color w:val="auto"/>
              </w:rPr>
            </w:pPr>
          </w:p>
        </w:tc>
      </w:tr>
      <w:tr>
        <w:trPr>
          <w:trHeight w:val="115"/>
        </w:trPr>
        <w:tc>
          <w:tcPr>
            <w:tcW w:w="728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920" w:type="dxa"/>
            <w:vAlign w:val="bottom"/>
            <w:shd w:val="clear" w:color="auto" w:fill="CFF0FC"/>
          </w:tcPr>
          <w:p>
            <w:pPr>
              <w:jc w:val="right"/>
              <w:ind w:right="813"/>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FF0FC"/>
          </w:tcPr>
          <w:p>
            <w:pPr>
              <w:jc w:val="right"/>
              <w:ind w:right="203"/>
              <w:spacing w:after="0" w:line="93" w:lineRule="exact"/>
              <w:rPr>
                <w:sz w:val="20"/>
                <w:szCs w:val="20"/>
                <w:color w:val="auto"/>
              </w:rPr>
            </w:pPr>
            <w:r>
              <w:rPr>
                <w:rFonts w:ascii="Times New Roman" w:cs="Times New Roman" w:eastAsia="Times New Roman" w:hAnsi="Times New Roman"/>
                <w:sz w:val="6"/>
                <w:szCs w:val="6"/>
                <w:color w:val="auto"/>
              </w:rPr>
              <w:t xml:space="preserve">(320,150 </w:t>
            </w:r>
            <w:r>
              <w:rPr>
                <w:rFonts w:ascii="Times New Roman" w:cs="Times New Roman" w:eastAsia="Times New Roman" w:hAnsi="Times New Roman"/>
                <w:sz w:val="10"/>
                <w:szCs w:val="10"/>
                <w:color w:val="auto"/>
                <w:vertAlign w:val="subscript"/>
              </w:rPr>
              <w:t>)</w:t>
            </w:r>
          </w:p>
        </w:tc>
        <w:tc>
          <w:tcPr>
            <w:tcW w:w="54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shd w:val="clear" w:color="auto" w:fill="CFF0FC"/>
          </w:tcPr>
          <w:p>
            <w:pPr>
              <w:jc w:val="right"/>
              <w:ind w:right="23"/>
              <w:spacing w:after="0" w:line="93" w:lineRule="exact"/>
              <w:rPr>
                <w:sz w:val="20"/>
                <w:szCs w:val="20"/>
                <w:color w:val="auto"/>
              </w:rPr>
            </w:pPr>
            <w:r>
              <w:rPr>
                <w:rFonts w:ascii="Times New Roman" w:cs="Times New Roman" w:eastAsia="Times New Roman" w:hAnsi="Times New Roman"/>
                <w:sz w:val="6"/>
                <w:szCs w:val="6"/>
                <w:color w:val="auto"/>
              </w:rPr>
              <w:t xml:space="preserve">(3,622,794 </w:t>
            </w:r>
            <w:r>
              <w:rPr>
                <w:rFonts w:ascii="Times New Roman" w:cs="Times New Roman" w:eastAsia="Times New Roman" w:hAnsi="Times New Roman"/>
                <w:sz w:val="10"/>
                <w:szCs w:val="10"/>
                <w:color w:val="auto"/>
                <w:vertAlign w:val="subscript"/>
              </w:rPr>
              <w:t>)</w:t>
            </w:r>
          </w:p>
        </w:tc>
        <w:tc>
          <w:tcPr>
            <w:tcW w:w="0" w:type="dxa"/>
            <w:vAlign w:val="bottom"/>
          </w:tcPr>
          <w:p>
            <w:pPr>
              <w:spacing w:after="0"/>
              <w:rPr>
                <w:sz w:val="1"/>
                <w:szCs w:val="1"/>
                <w:color w:val="auto"/>
              </w:rPr>
            </w:pPr>
          </w:p>
        </w:tc>
      </w:tr>
      <w:tr>
        <w:trPr>
          <w:trHeight w:val="106"/>
        </w:trPr>
        <w:tc>
          <w:tcPr>
            <w:tcW w:w="728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9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7,259,013</w:t>
            </w:r>
          </w:p>
        </w:tc>
        <w:tc>
          <w:tcPr>
            <w:tcW w:w="28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280" w:type="dxa"/>
            <w:vAlign w:val="bottom"/>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20" w:type="dxa"/>
            <w:vAlign w:val="bottom"/>
            <w:tcBorders>
              <w:bottom w:val="single" w:sz="8" w:color="auto"/>
            </w:tcBorders>
            <w:shd w:val="clear" w:color="auto" w:fill="CFF0FC"/>
          </w:tcPr>
          <w:p>
            <w:pPr>
              <w:jc w:val="right"/>
              <w:ind w:right="81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80" w:type="dxa"/>
            <w:vAlign w:val="bottom"/>
            <w:tcBorders>
              <w:bottom w:val="single" w:sz="8" w:color="CFF0FC"/>
            </w:tcBorders>
            <w:shd w:val="clear" w:color="auto" w:fill="CFF0FC"/>
          </w:tcPr>
          <w:p>
            <w:pPr>
              <w:jc w:val="right"/>
              <w:ind w:right="20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2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9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20" w:type="dxa"/>
            <w:vAlign w:val="bottom"/>
            <w:tcBorders>
              <w:bottom w:val="single" w:sz="8" w:color="auto"/>
            </w:tcBorders>
            <w:shd w:val="clear" w:color="auto" w:fill="CFF0FC"/>
          </w:tcPr>
          <w:p>
            <w:pPr>
              <w:jc w:val="right"/>
              <w:ind w:right="81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80" w:type="dxa"/>
            <w:vAlign w:val="bottom"/>
            <w:tcBorders>
              <w:bottom w:val="single" w:sz="8" w:color="CFF0FC"/>
            </w:tcBorders>
            <w:shd w:val="clear" w:color="auto" w:fill="CFF0FC"/>
          </w:tcPr>
          <w:p>
            <w:pPr>
              <w:jc w:val="right"/>
              <w:ind w:right="20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2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STATEMENTS OF CHANGES IN STOCKHOLDERS’ EQUITY (DEFICIT)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440" w:type="dxa"/>
            <w:vAlign w:val="bottom"/>
          </w:tcPr>
          <w:p>
            <w:pPr>
              <w:spacing w:after="0"/>
              <w:rPr>
                <w:sz w:val="8"/>
                <w:szCs w:val="8"/>
                <w:color w:val="auto"/>
              </w:rPr>
            </w:pPr>
          </w:p>
        </w:tc>
        <w:tc>
          <w:tcPr>
            <w:tcW w:w="154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60" w:type="dxa"/>
            <w:vAlign w:val="bottom"/>
          </w:tcPr>
          <w:p>
            <w:pPr>
              <w:spacing w:after="0"/>
              <w:rPr>
                <w:sz w:val="8"/>
                <w:szCs w:val="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440" w:type="dxa"/>
            <w:vAlign w:val="bottom"/>
          </w:tcPr>
          <w:p>
            <w:pPr>
              <w:spacing w:after="0"/>
              <w:rPr>
                <w:sz w:val="9"/>
                <w:szCs w:val="9"/>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40" w:type="dxa"/>
            <w:vAlign w:val="bottom"/>
          </w:tcPr>
          <w:p>
            <w:pPr>
              <w:spacing w:after="0"/>
              <w:rPr>
                <w:sz w:val="9"/>
                <w:szCs w:val="9"/>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60" w:type="dxa"/>
            <w:vAlign w:val="bottom"/>
          </w:tcPr>
          <w:p>
            <w:pPr>
              <w:spacing w:after="0"/>
              <w:rPr>
                <w:sz w:val="9"/>
                <w:szCs w:val="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Equity (Deficit)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2021</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6,834,500</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1,378,693</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(468,899 )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910,477</w:t>
            </w:r>
          </w:p>
        </w:tc>
        <w:tc>
          <w:tcPr>
            <w:tcW w:w="100" w:type="dxa"/>
            <w:vAlign w:val="bottom"/>
            <w:shd w:val="clear" w:color="auto" w:fill="CFF0FC"/>
          </w:tcPr>
          <w:p>
            <w:pPr>
              <w:spacing w:after="0"/>
              <w:rPr>
                <w:sz w:val="9"/>
                <w:szCs w:val="9"/>
                <w:color w:val="auto"/>
              </w:rPr>
            </w:pP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Forfeiture of founder shares</w:t>
            </w:r>
          </w:p>
        </w:tc>
        <w:tc>
          <w:tcPr>
            <w:tcW w:w="130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(1,125,000 )</w:t>
            </w:r>
          </w:p>
        </w:tc>
        <w:tc>
          <w:tcPr>
            <w:tcW w:w="240" w:type="dxa"/>
            <w:vAlign w:val="bottom"/>
          </w:tcPr>
          <w:p>
            <w:pPr>
              <w:spacing w:after="0"/>
              <w:rPr>
                <w:sz w:val="9"/>
                <w:szCs w:val="9"/>
                <w:color w:val="auto"/>
              </w:rPr>
            </w:pPr>
          </w:p>
        </w:tc>
        <w:tc>
          <w:tcPr>
            <w:tcW w:w="100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(113 )</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3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(548,862 )</w:t>
            </w:r>
          </w:p>
        </w:tc>
        <w:tc>
          <w:tcPr>
            <w:tcW w:w="16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(548,862 )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3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16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10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tcPr>
          <w:p>
            <w:pPr>
              <w:spacing w:after="0"/>
              <w:rPr>
                <w:sz w:val="9"/>
                <w:szCs w:val="9"/>
                <w:color w:val="auto"/>
              </w:rPr>
            </w:pPr>
          </w:p>
        </w:tc>
        <w:tc>
          <w:tcPr>
            <w:tcW w:w="2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20" w:type="dxa"/>
            <w:vAlign w:val="bottom"/>
          </w:tcPr>
          <w:p>
            <w:pPr>
              <w:spacing w:after="0"/>
              <w:rPr>
                <w:sz w:val="9"/>
                <w:szCs w:val="9"/>
                <w:color w:val="auto"/>
              </w:rPr>
            </w:pP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100" w:type="dxa"/>
            <w:vAlign w:val="bottom"/>
            <w:shd w:val="clear" w:color="auto" w:fill="CFF0FC"/>
          </w:tcPr>
          <w:p>
            <w:pPr>
              <w:spacing w:after="0"/>
              <w:rPr>
                <w:sz w:val="10"/>
                <w:szCs w:val="10"/>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0"/>
                <w:szCs w:val="1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6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(1,102,909 )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13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(1,160,050 )</w:t>
            </w:r>
          </w:p>
        </w:tc>
        <w:tc>
          <w:tcPr>
            <w:tcW w:w="1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(131,701 )</w:t>
            </w:r>
          </w:p>
        </w:tc>
        <w:tc>
          <w:tcPr>
            <w:tcW w:w="16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(1,291,751 )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3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10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100" w:type="dxa"/>
            <w:vAlign w:val="bottom"/>
          </w:tcPr>
          <w:p>
            <w:pPr>
              <w:spacing w:after="0"/>
              <w:rPr>
                <w:sz w:val="9"/>
                <w:szCs w:val="9"/>
                <w:color w:val="auto"/>
              </w:rPr>
            </w:pP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(3,943,038 )</w:t>
            </w:r>
          </w:p>
        </w:tc>
        <w:tc>
          <w:tcPr>
            <w:tcW w:w="1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(3,943,038 )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3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10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160" w:type="dxa"/>
            <w:vAlign w:val="bottom"/>
          </w:tcPr>
          <w:p>
            <w:pPr>
              <w:spacing w:after="0"/>
              <w:rPr>
                <w:sz w:val="9"/>
                <w:szCs w:val="9"/>
                <w:color w:val="auto"/>
              </w:rPr>
            </w:pPr>
          </w:p>
        </w:tc>
        <w:tc>
          <w:tcPr>
            <w:tcW w:w="10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(320,150 )</w:t>
            </w:r>
          </w:p>
        </w:tc>
      </w:tr>
      <w:tr>
        <w:trPr>
          <w:trHeight w:val="113"/>
        </w:trPr>
        <w:tc>
          <w:tcPr>
            <w:tcW w:w="444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10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13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(8,486,582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(8,486,012 </w:t>
            </w:r>
            <w:r>
              <w:rPr>
                <w:rFonts w:ascii="Times New Roman" w:cs="Times New Roman" w:eastAsia="Times New Roman" w:hAnsi="Times New Roman"/>
                <w:sz w:val="10"/>
                <w:szCs w:val="10"/>
                <w:b w:val="1"/>
                <w:bCs w:val="1"/>
                <w:color w:val="auto"/>
                <w:vertAlign w:val="subscript"/>
              </w:rPr>
              <w:t>)</w:t>
            </w:r>
          </w:p>
        </w:tc>
      </w:tr>
      <w:tr>
        <w:trPr>
          <w:trHeight w:val="23"/>
        </w:trPr>
        <w:tc>
          <w:tcPr>
            <w:tcW w:w="44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6" w:name="page267"/>
    <w:bookmarkEnd w:id="266"/>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90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42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2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900" w:type="dxa"/>
            <w:vAlign w:val="bottom"/>
          </w:tcPr>
          <w:p>
            <w:pPr>
              <w:jc w:val="right"/>
              <w:ind w:right="79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540" w:type="dxa"/>
            <w:vAlign w:val="bottom"/>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9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00" w:type="dxa"/>
            <w:vAlign w:val="bottom"/>
          </w:tcPr>
          <w:p>
            <w:pPr>
              <w:spacing w:after="0"/>
              <w:rPr>
                <w:sz w:val="9"/>
                <w:szCs w:val="9"/>
                <w:color w:val="auto"/>
              </w:rPr>
            </w:pPr>
          </w:p>
        </w:tc>
        <w:tc>
          <w:tcPr>
            <w:tcW w:w="8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(3,084,260 )</w:t>
            </w:r>
          </w:p>
        </w:tc>
        <w:tc>
          <w:tcPr>
            <w:tcW w:w="540" w:type="dxa"/>
            <w:vAlign w:val="bottom"/>
          </w:tcPr>
          <w:p>
            <w:pPr>
              <w:spacing w:after="0"/>
              <w:rPr>
                <w:sz w:val="9"/>
                <w:szCs w:val="9"/>
                <w:color w:val="auto"/>
              </w:rPr>
            </w:pPr>
          </w:p>
        </w:tc>
        <w:tc>
          <w:tcPr>
            <w:tcW w:w="10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(1,025,942 )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0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28,337</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398,920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0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1,570,515</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2,954,179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(137,900 )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124,329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00" w:type="dxa"/>
            <w:vAlign w:val="bottom"/>
          </w:tcPr>
          <w:p>
            <w:pPr>
              <w:spacing w:after="0"/>
              <w:rPr>
                <w:sz w:val="9"/>
                <w:szCs w:val="9"/>
                <w:color w:val="auto"/>
              </w:rPr>
            </w:pPr>
          </w:p>
        </w:tc>
        <w:tc>
          <w:tcPr>
            <w:tcW w:w="8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(134,838 )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(1,860,042 )</w:t>
            </w:r>
          </w:p>
        </w:tc>
        <w:tc>
          <w:tcPr>
            <w:tcW w:w="54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(913,835 )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 of common stock</w:t>
            </w:r>
          </w:p>
        </w:tc>
        <w:tc>
          <w:tcPr>
            <w:tcW w:w="90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taxes</w:t>
            </w:r>
          </w:p>
        </w:tc>
        <w:tc>
          <w:tcPr>
            <w:tcW w:w="90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1,071,864</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Extension deposits in Trust Account</w:t>
            </w:r>
          </w:p>
        </w:tc>
        <w:tc>
          <w:tcPr>
            <w:tcW w:w="9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(1,641,801 )</w:t>
            </w:r>
          </w:p>
        </w:tc>
        <w:tc>
          <w:tcPr>
            <w:tcW w:w="54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0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128,605,157</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9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90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2,316,985</w:t>
            </w: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483,034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Promissory Notes to Related Party</w:t>
            </w:r>
          </w:p>
        </w:tc>
        <w:tc>
          <w:tcPr>
            <w:tcW w:w="9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(4,300 )</w:t>
            </w:r>
          </w:p>
        </w:tc>
        <w:tc>
          <w:tcPr>
            <w:tcW w:w="540" w:type="dxa"/>
            <w:vAlign w:val="bottom"/>
            <w:shd w:val="clear" w:color="auto" w:fill="CFF0FC"/>
          </w:tcPr>
          <w:p>
            <w:pPr>
              <w:spacing w:after="0"/>
              <w:rPr>
                <w:sz w:val="9"/>
                <w:szCs w:val="9"/>
                <w:color w:val="auto"/>
              </w:rPr>
            </w:pPr>
          </w:p>
        </w:tc>
        <w:tc>
          <w:tcPr>
            <w:tcW w:w="10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(231,280 )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 of common stock</w:t>
            </w:r>
          </w:p>
        </w:tc>
        <w:tc>
          <w:tcPr>
            <w:tcW w:w="900" w:type="dxa"/>
            <w:vAlign w:val="bottom"/>
          </w:tcPr>
          <w:p>
            <w:pPr>
              <w:spacing w:after="0"/>
              <w:rPr>
                <w:sz w:val="9"/>
                <w:szCs w:val="9"/>
                <w:color w:val="auto"/>
              </w:rPr>
            </w:pPr>
          </w:p>
        </w:tc>
        <w:tc>
          <w:tcPr>
            <w:tcW w:w="8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540" w:type="dxa"/>
            <w:vAlign w:val="bottom"/>
          </w:tcPr>
          <w:p>
            <w:pPr>
              <w:spacing w:after="0"/>
              <w:rPr>
                <w:sz w:val="9"/>
                <w:szCs w:val="9"/>
                <w:color w:val="auto"/>
              </w:rPr>
            </w:pPr>
          </w:p>
        </w:tc>
        <w:tc>
          <w:tcPr>
            <w:tcW w:w="10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900" w:type="dxa"/>
            <w:vAlign w:val="bottom"/>
            <w:shd w:val="clear" w:color="auto" w:fill="CFF0FC"/>
          </w:tcPr>
          <w:p>
            <w:pPr>
              <w:spacing w:after="0"/>
              <w:rPr>
                <w:sz w:val="9"/>
                <w:szCs w:val="9"/>
                <w:color w:val="auto"/>
              </w:rPr>
            </w:pPr>
          </w:p>
        </w:tc>
        <w:tc>
          <w:tcPr>
            <w:tcW w:w="8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(126,862,409 )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251,754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00" w:type="dxa"/>
            <w:vAlign w:val="bottom"/>
          </w:tcPr>
          <w:p>
            <w:pPr>
              <w:spacing w:after="0"/>
              <w:rPr>
                <w:sz w:val="9"/>
                <w:szCs w:val="9"/>
                <w:color w:val="auto"/>
              </w:rPr>
            </w:pPr>
          </w:p>
        </w:tc>
        <w:tc>
          <w:tcPr>
            <w:tcW w:w="8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(117,294 )</w:t>
            </w:r>
          </w:p>
        </w:tc>
        <w:tc>
          <w:tcPr>
            <w:tcW w:w="540" w:type="dxa"/>
            <w:vAlign w:val="bottom"/>
          </w:tcPr>
          <w:p>
            <w:pPr>
              <w:spacing w:after="0"/>
              <w:rPr>
                <w:sz w:val="9"/>
                <w:szCs w:val="9"/>
                <w:color w:val="auto"/>
              </w:rPr>
            </w:pPr>
          </w:p>
        </w:tc>
        <w:tc>
          <w:tcPr>
            <w:tcW w:w="10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(480,012 )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0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657,590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00" w:type="dxa"/>
            <w:vAlign w:val="bottom"/>
            <w:tcBorders>
              <w:bottom w:val="single" w:sz="8" w:color="auto"/>
            </w:tcBorders>
          </w:tcPr>
          <w:p>
            <w:pPr>
              <w:jc w:val="right"/>
              <w:ind w:right="793"/>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60,284</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177,578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Supplemental disclosure of noncash investing and financing activities</w:t>
            </w:r>
          </w:p>
        </w:tc>
        <w:tc>
          <w:tcPr>
            <w:tcW w:w="9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900" w:type="dxa"/>
            <w:vAlign w:val="bottom"/>
            <w:tcBorders>
              <w:bottom w:val="single" w:sz="8" w:color="auto"/>
            </w:tcBorders>
          </w:tcPr>
          <w:p>
            <w:pPr>
              <w:jc w:val="right"/>
              <w:ind w:right="79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900" w:type="dxa"/>
            <w:vAlign w:val="bottom"/>
            <w:tcBorders>
              <w:bottom w:val="single" w:sz="8" w:color="auto"/>
            </w:tcBorders>
            <w:shd w:val="clear" w:color="auto" w:fill="CFF0FC"/>
          </w:tcPr>
          <w:p>
            <w:pPr>
              <w:jc w:val="right"/>
              <w:ind w:right="79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8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8" w:name="page269"/>
    <w:bookmarkEnd w:id="268"/>
    <w:p>
      <w:pPr>
        <w:spacing w:after="0" w:line="245" w:lineRule="auto"/>
        <w:rPr>
          <w:sz w:val="20"/>
          <w:szCs w:val="20"/>
          <w:color w:val="auto"/>
        </w:rPr>
      </w:pPr>
      <w:r>
        <w:rPr>
          <w:rFonts w:ascii="Times New Roman" w:cs="Times New Roman" w:eastAsia="Times New Roman" w:hAnsi="Times New Roman"/>
          <w:sz w:val="10"/>
          <w:szCs w:val="10"/>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1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9" w:name="page270"/>
    <w:bookmarkEnd w:id="269"/>
    <w:p>
      <w:pPr>
        <w:ind w:right="320"/>
        <w:spacing w:after="0" w:line="255" w:lineRule="auto"/>
        <w:rPr>
          <w:sz w:val="20"/>
          <w:szCs w:val="20"/>
          <w:color w:val="auto"/>
        </w:rPr>
      </w:pPr>
      <w:r>
        <w:rPr>
          <w:rFonts w:ascii="Times New Roman" w:cs="Times New Roman" w:eastAsia="Times New Roman" w:hAnsi="Times New Roman"/>
          <w:sz w:val="10"/>
          <w:szCs w:val="10"/>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0"/>
          <w:szCs w:val="10"/>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18"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2023, the Company had approximately $60,000 of cash in its bank operating account and a working capital deficiency of approximately $8.5 million (excluding income tax payable and franchise tax payable).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1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71" w:name="page272"/>
    <w:bookmarkEnd w:id="271"/>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2022, the assets held in the Trust Account were held in U.S. Treasury Bills with a maturity of 185 days or less.</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 decline in the market value of held-to- 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0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6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0"/>
          <w:szCs w:val="10"/>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5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September 30, 2023 and 2022, the common stock reflected in the balance sheets are reconciled in the following table:</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380" w:type="dxa"/>
            <w:vAlign w:val="bottom"/>
            <w:shd w:val="clear" w:color="auto" w:fill="CFF0FC"/>
          </w:tcPr>
          <w:p>
            <w:pPr>
              <w:jc w:val="right"/>
              <w:ind w:right="3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3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0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that can be withdrawn from Trust Account for taxes)</w:t>
            </w:r>
          </w:p>
        </w:tc>
        <w:tc>
          <w:tcPr>
            <w:tcW w:w="13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0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380" w:type="dxa"/>
            <w:vAlign w:val="bottom"/>
          </w:tcPr>
          <w:p>
            <w:pPr>
              <w:spacing w:after="0"/>
              <w:rPr>
                <w:sz w:val="10"/>
                <w:szCs w:val="1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0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38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Per Common Stock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complies with accounting and disclosure requirements of FASB ASC Topic 260, “Earnings Per Share”. Net loss per common stock is computed by dividing net loss by the weighted average number of common stock outstanding for the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Remeasurement adjustments associated with the redeemable shares of common stock are excluded from earnings per share as the redemption value approximates fair value.</w:t>
      </w:r>
    </w:p>
    <w:p>
      <w:pPr>
        <w:spacing w:after="0" w:line="10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74" w:name="page275"/>
    <w:bookmarkEnd w:id="274"/>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3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40" w:type="dxa"/>
            <w:vAlign w:val="bottom"/>
            <w:gridSpan w:val="3"/>
          </w:tcPr>
          <w:p>
            <w:pPr>
              <w:jc w:val="right"/>
              <w:ind w:right="75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8"/>
                <w:szCs w:val="8"/>
                <w:b w:val="1"/>
                <w:bCs w:val="1"/>
                <w:color w:val="auto"/>
              </w:rPr>
              <w:t>2022</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98"/>
        </w:trPr>
        <w:tc>
          <w:tcPr>
            <w:tcW w:w="30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110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06"/>
        </w:trPr>
        <w:tc>
          <w:tcPr>
            <w:tcW w:w="30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1000" w:type="dxa"/>
            <w:vAlign w:val="bottom"/>
          </w:tcPr>
          <w:p>
            <w:pPr>
              <w:jc w:val="right"/>
              <w:ind w:right="535"/>
              <w:spacing w:after="0"/>
              <w:rPr>
                <w:sz w:val="20"/>
                <w:szCs w:val="20"/>
                <w:color w:val="auto"/>
              </w:rPr>
            </w:pPr>
            <w:r>
              <w:rPr>
                <w:rFonts w:ascii="Times New Roman" w:cs="Times New Roman" w:eastAsia="Times New Roman" w:hAnsi="Times New Roman"/>
                <w:sz w:val="8"/>
                <w:szCs w:val="8"/>
                <w:b w:val="1"/>
                <w:bCs w:val="1"/>
                <w:color w:val="auto"/>
              </w:rPr>
              <w:t>stock</w:t>
            </w:r>
          </w:p>
        </w:tc>
        <w:tc>
          <w:tcPr>
            <w:tcW w:w="240" w:type="dxa"/>
            <w:vAlign w:val="bottom"/>
          </w:tcPr>
          <w:p>
            <w:pPr>
              <w:spacing w:after="0"/>
              <w:rPr>
                <w:sz w:val="9"/>
                <w:szCs w:val="9"/>
                <w:color w:val="auto"/>
              </w:rPr>
            </w:pPr>
          </w:p>
        </w:tc>
        <w:tc>
          <w:tcPr>
            <w:tcW w:w="110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92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Common stock</w:t>
            </w:r>
          </w:p>
        </w:tc>
      </w:tr>
      <w:tr>
        <w:trPr>
          <w:trHeight w:val="113"/>
        </w:trPr>
        <w:tc>
          <w:tcPr>
            <w:tcW w:w="30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3"/>
        </w:trPr>
        <w:tc>
          <w:tcPr>
            <w:tcW w:w="30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13"/>
        </w:trPr>
        <w:tc>
          <w:tcPr>
            <w:tcW w:w="30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w:t>
            </w:r>
          </w:p>
        </w:tc>
        <w:tc>
          <w:tcPr>
            <w:tcW w:w="17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(179,201 )</w:t>
            </w:r>
          </w:p>
        </w:tc>
        <w:tc>
          <w:tcPr>
            <w:tcW w:w="2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(140,949 )</w:t>
            </w:r>
          </w:p>
        </w:tc>
        <w:tc>
          <w:tcPr>
            <w:tcW w:w="2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(2,624,009 )</w:t>
            </w:r>
          </w:p>
        </w:tc>
        <w:tc>
          <w:tcPr>
            <w:tcW w:w="16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(998,785 )</w:t>
            </w:r>
          </w:p>
        </w:tc>
      </w:tr>
      <w:tr>
        <w:trPr>
          <w:trHeight w:val="113"/>
        </w:trPr>
        <w:tc>
          <w:tcPr>
            <w:tcW w:w="30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13"/>
        </w:trPr>
        <w:tc>
          <w:tcPr>
            <w:tcW w:w="30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60" w:type="dxa"/>
            <w:vAlign w:val="bottom"/>
            <w:shd w:val="clear" w:color="auto" w:fill="CFF0FC"/>
          </w:tcPr>
          <w:p>
            <w:pPr>
              <w:spacing w:after="0"/>
              <w:rPr>
                <w:sz w:val="9"/>
                <w:szCs w:val="9"/>
                <w:color w:val="auto"/>
              </w:rPr>
            </w:pPr>
          </w:p>
        </w:tc>
        <w:tc>
          <w:tcPr>
            <w:tcW w:w="11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7,259,013</w:t>
            </w:r>
          </w:p>
        </w:tc>
        <w:tc>
          <w:tcPr>
            <w:tcW w:w="220" w:type="dxa"/>
            <w:vAlign w:val="bottom"/>
            <w:shd w:val="clear" w:color="auto" w:fill="CFF0FC"/>
          </w:tcPr>
          <w:p>
            <w:pPr>
              <w:spacing w:after="0"/>
              <w:rPr>
                <w:sz w:val="9"/>
                <w:szCs w:val="9"/>
                <w:color w:val="auto"/>
              </w:rPr>
            </w:pPr>
          </w:p>
        </w:tc>
        <w:tc>
          <w:tcPr>
            <w:tcW w:w="100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1100" w:type="dxa"/>
            <w:vAlign w:val="bottom"/>
            <w:shd w:val="clear" w:color="auto" w:fill="CFF0FC"/>
          </w:tcPr>
          <w:p>
            <w:pPr>
              <w:jc w:val="right"/>
              <w:ind w:right="136"/>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5,709,500</w:t>
            </w:r>
          </w:p>
        </w:tc>
      </w:tr>
      <w:tr>
        <w:trPr>
          <w:trHeight w:val="125"/>
        </w:trPr>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(0.02 )</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(0.02 )</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0"/>
                <w:szCs w:val="10"/>
                <w:color w:val="auto"/>
              </w:rPr>
              <w:t>(0.17 )</w:t>
            </w:r>
          </w:p>
        </w:tc>
        <w:tc>
          <w:tcPr>
            <w:tcW w:w="1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(0.17 )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0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$218,254 and $111,852 of stock-based compensation for the fiscal years ended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4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5" w:name="page276"/>
    <w:bookmarkEnd w:id="275"/>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76" w:name="page277"/>
    <w:bookmarkEnd w:id="276"/>
    <w:p>
      <w:pPr>
        <w:ind w:left="10"/>
        <w:spacing w:after="0"/>
        <w:rPr>
          <w:sz w:val="20"/>
          <w:szCs w:val="20"/>
          <w:color w:val="auto"/>
        </w:rPr>
      </w:pPr>
      <w:r>
        <w:rPr>
          <w:rFonts w:ascii="Times New Roman" w:cs="Times New Roman" w:eastAsia="Times New Roman" w:hAnsi="Times New Roman"/>
          <w:sz w:val="10"/>
          <w:szCs w:val="10"/>
          <w:color w:val="auto"/>
        </w:rPr>
        <w:t>Sponsor under the remaining promissory note. As of September 30, 2023 and 2022, the net amount outstanding under the promissory note was $247,454 and $251,754, respectively.</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400" w:hanging="10"/>
        <w:spacing w:after="0" w:line="237" w:lineRule="auto"/>
        <w:tabs>
          <w:tab w:leader="none" w:pos="153"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jc w:val="both"/>
        <w:ind w:left="10" w:hanging="10"/>
        <w:spacing w:after="0" w:line="236" w:lineRule="auto"/>
        <w:tabs>
          <w:tab w:leader="none" w:pos="153"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08" w:lineRule="exact"/>
        <w:rPr>
          <w:sz w:val="20"/>
          <w:szCs w:val="20"/>
          <w:color w:val="auto"/>
        </w:rPr>
      </w:pPr>
    </w:p>
    <w:p>
      <w:pPr>
        <w:ind w:left="10" w:right="140" w:firstLine="480"/>
        <w:spacing w:after="0" w:line="255" w:lineRule="auto"/>
        <w:rPr>
          <w:sz w:val="20"/>
          <w:szCs w:val="20"/>
          <w:color w:val="auto"/>
        </w:rPr>
      </w:pPr>
      <w:r>
        <w:rPr>
          <w:rFonts w:ascii="Times New Roman" w:cs="Times New Roman" w:eastAsia="Times New Roman" w:hAnsi="Times New Roman"/>
          <w:sz w:val="10"/>
          <w:szCs w:val="10"/>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01" w:lineRule="exact"/>
        <w:rPr>
          <w:sz w:val="20"/>
          <w:szCs w:val="20"/>
          <w:color w:val="auto"/>
        </w:rPr>
      </w:pPr>
    </w:p>
    <w:p>
      <w:pPr>
        <w:ind w:left="10" w:right="28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Note 4 — Commitments and Contingencies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left="10"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95" w:right="640" w:bottom="1440" w:gutter="0" w:footer="0" w:header="0"/>
        </w:sectPr>
      </w:pPr>
    </w:p>
    <w:bookmarkStart w:id="277" w:name="page278"/>
    <w:bookmarkEnd w:id="277"/>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78" w:name="page279"/>
    <w:bookmarkEnd w:id="278"/>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Fair Value</w:t>
            </w:r>
          </w:p>
        </w:tc>
      </w:tr>
      <w:tr>
        <w:trPr>
          <w:trHeight w:val="98"/>
        </w:trPr>
        <w:tc>
          <w:tcPr>
            <w:tcW w:w="4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20" w:type="dxa"/>
            <w:vAlign w:val="bottom"/>
          </w:tcPr>
          <w:p>
            <w:pPr>
              <w:spacing w:after="0"/>
              <w:rPr>
                <w:sz w:val="8"/>
                <w:szCs w:val="8"/>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20" w:type="dxa"/>
            <w:vAlign w:val="bottom"/>
          </w:tcPr>
          <w:p>
            <w:pPr>
              <w:spacing w:after="0"/>
              <w:rPr>
                <w:sz w:val="8"/>
                <w:szCs w:val="8"/>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left="19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99"/>
        </w:trPr>
        <w:tc>
          <w:tcPr>
            <w:tcW w:w="4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220" w:type="dxa"/>
            <w:vAlign w:val="bottom"/>
          </w:tcPr>
          <w:p>
            <w:pPr>
              <w:spacing w:after="0"/>
              <w:rPr>
                <w:sz w:val="8"/>
                <w:szCs w:val="8"/>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left="177"/>
              <w:spacing w:after="0"/>
              <w:rPr>
                <w:sz w:val="20"/>
                <w:szCs w:val="20"/>
                <w:color w:val="auto"/>
              </w:rPr>
            </w:pPr>
            <w:r>
              <w:rPr>
                <w:rFonts w:ascii="Times New Roman" w:cs="Times New Roman" w:eastAsia="Times New Roman" w:hAnsi="Times New Roman"/>
                <w:sz w:val="8"/>
                <w:szCs w:val="8"/>
                <w:b w:val="1"/>
                <w:bCs w:val="1"/>
                <w:color w:val="auto"/>
              </w:rPr>
              <w:t>Losses</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w w:val="99"/>
              </w:rPr>
              <w:t>2023</w:t>
            </w:r>
          </w:p>
        </w:tc>
      </w:tr>
      <w:tr>
        <w:trPr>
          <w:trHeight w:val="119"/>
        </w:trPr>
        <w:tc>
          <w:tcPr>
            <w:tcW w:w="4500" w:type="dxa"/>
            <w:vAlign w:val="bottom"/>
          </w:tcPr>
          <w:p>
            <w:pPr>
              <w:spacing w:after="0"/>
              <w:rPr>
                <w:sz w:val="20"/>
                <w:szCs w:val="20"/>
                <w:color w:val="auto"/>
              </w:rPr>
            </w:pPr>
            <w:r>
              <w:rPr>
                <w:rFonts w:ascii="Times New Roman" w:cs="Times New Roman" w:eastAsia="Times New Roman" w:hAnsi="Times New Roman"/>
                <w:sz w:val="10"/>
                <w:szCs w:val="10"/>
                <w:color w:val="auto"/>
              </w:rPr>
              <w:t>Interest bearing demand deposit account</w:t>
            </w:r>
          </w:p>
        </w:tc>
        <w:tc>
          <w:tcPr>
            <w:tcW w:w="160" w:type="dxa"/>
            <w:vAlign w:val="bottom"/>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220" w:type="dxa"/>
            <w:vAlign w:val="bottom"/>
          </w:tcPr>
          <w:p>
            <w:pPr>
              <w:spacing w:after="0"/>
              <w:rPr>
                <w:sz w:val="10"/>
                <w:szCs w:val="10"/>
                <w:color w:val="auto"/>
              </w:rPr>
            </w:pPr>
          </w:p>
        </w:tc>
        <w:tc>
          <w:tcPr>
            <w:tcW w:w="860" w:type="dxa"/>
            <w:vAlign w:val="bottom"/>
          </w:tcPr>
          <w:p>
            <w:pPr>
              <w:jc w:val="right"/>
              <w:ind w:right="757"/>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Pr>
          <w:p>
            <w:pPr>
              <w:spacing w:after="0"/>
              <w:rPr>
                <w:sz w:val="10"/>
                <w:szCs w:val="10"/>
                <w:color w:val="auto"/>
              </w:rPr>
            </w:pPr>
          </w:p>
        </w:tc>
        <w:tc>
          <w:tcPr>
            <w:tcW w:w="860" w:type="dxa"/>
            <w:vAlign w:val="bottom"/>
          </w:tcPr>
          <w:p>
            <w:pPr>
              <w:jc w:val="right"/>
              <w:ind w:right="757"/>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25,324,028</w:t>
            </w:r>
          </w:p>
        </w:tc>
      </w:tr>
      <w:tr>
        <w:trPr>
          <w:trHeight w:val="23"/>
        </w:trPr>
        <w:tc>
          <w:tcPr>
            <w:tcW w:w="4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9" w:name="page280"/>
    <w:bookmarkEnd w:id="279"/>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invested in U.S. Treasury securities as of September 30, 2022, and classified as held-to-maturity and Level 1 in the hierarchy of fair value measurements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Fair Value</w:t>
            </w:r>
          </w:p>
        </w:tc>
      </w:tr>
      <w:tr>
        <w:trPr>
          <w:trHeight w:val="98"/>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106"/>
        </w:trPr>
        <w:tc>
          <w:tcPr>
            <w:tcW w:w="4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Losses</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100" w:type="dxa"/>
            <w:vAlign w:val="bottom"/>
          </w:tcPr>
          <w:p>
            <w:pPr>
              <w:spacing w:after="0"/>
              <w:rPr>
                <w:sz w:val="9"/>
                <w:szCs w:val="9"/>
                <w:color w:val="auto"/>
              </w:rPr>
            </w:pPr>
          </w:p>
        </w:tc>
      </w:tr>
      <w:tr>
        <w:trPr>
          <w:trHeight w:val="113"/>
        </w:trPr>
        <w:tc>
          <w:tcPr>
            <w:tcW w:w="45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42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100" w:type="dxa"/>
            <w:vAlign w:val="bottom"/>
            <w:shd w:val="clear" w:color="auto" w:fill="CFF0FC"/>
          </w:tcPr>
          <w:p>
            <w:pPr>
              <w:spacing w:after="0"/>
              <w:rPr>
                <w:sz w:val="9"/>
                <w:szCs w:val="9"/>
                <w:color w:val="auto"/>
              </w:rPr>
            </w:pPr>
          </w:p>
        </w:tc>
      </w:tr>
      <w:tr>
        <w:trPr>
          <w:trHeight w:val="125"/>
        </w:trPr>
        <w:tc>
          <w:tcPr>
            <w:tcW w:w="45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 Treasury Bills</w:t>
            </w:r>
          </w:p>
        </w:tc>
        <w:tc>
          <w:tcPr>
            <w:tcW w:w="16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150,844,605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ind w:left="780"/>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150,863,847</w:t>
            </w:r>
          </w:p>
        </w:tc>
        <w:tc>
          <w:tcPr>
            <w:tcW w:w="100" w:type="dxa"/>
            <w:vAlign w:val="bottom"/>
          </w:tcPr>
          <w:p>
            <w:pPr>
              <w:spacing w:after="0"/>
              <w:rPr>
                <w:sz w:val="10"/>
                <w:szCs w:val="10"/>
                <w:color w:val="auto"/>
              </w:rPr>
            </w:pPr>
          </w:p>
        </w:tc>
      </w:tr>
      <w:tr>
        <w:trPr>
          <w:trHeight w:val="100"/>
        </w:trPr>
        <w:tc>
          <w:tcPr>
            <w:tcW w:w="4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3"/>
        </w:trPr>
        <w:tc>
          <w:tcPr>
            <w:tcW w:w="4520" w:type="dxa"/>
            <w:vAlign w:val="bottom"/>
            <w:shd w:val="clear" w:color="auto" w:fill="CFF0FC"/>
          </w:tcPr>
          <w:p>
            <w:pPr>
              <w:spacing w:after="0"/>
              <w:rPr>
                <w:sz w:val="9"/>
                <w:szCs w:val="9"/>
                <w:color w:val="auto"/>
              </w:rPr>
            </w:pPr>
          </w:p>
        </w:tc>
        <w:tc>
          <w:tcPr>
            <w:tcW w:w="1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19,242</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150,864,167</w:t>
            </w:r>
          </w:p>
        </w:tc>
        <w:tc>
          <w:tcPr>
            <w:tcW w:w="100" w:type="dxa"/>
            <w:vAlign w:val="bottom"/>
            <w:shd w:val="clear" w:color="auto" w:fill="CFF0FC"/>
          </w:tcPr>
          <w:p>
            <w:pPr>
              <w:spacing w:after="0"/>
              <w:rPr>
                <w:sz w:val="9"/>
                <w:szCs w:val="9"/>
                <w:color w:val="auto"/>
              </w:rPr>
            </w:pPr>
          </w:p>
        </w:tc>
      </w:tr>
      <w:tr>
        <w:trPr>
          <w:trHeight w:val="23"/>
        </w:trPr>
        <w:tc>
          <w:tcPr>
            <w:tcW w:w="4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transfers between Levels 1, 2 or 3 during the years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6 — Stockholders’ Equity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5" w:right="66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0"/>
          <w:szCs w:val="10"/>
          <w:color w:val="auto"/>
        </w:rPr>
        <w:t>day prior to the date of exercise. The warrants will expire on the fifth anniversary of the completion of an initial Business Combination, at 5:00 p.m., New York City time, or earlier upon redemption or liquidation.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Income Tax</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net deferred tax assets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8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3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w:t>
            </w:r>
          </w:p>
        </w:tc>
        <w:tc>
          <w:tcPr>
            <w:tcW w:w="3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Organizational costs/Startup expenses</w:t>
            </w:r>
          </w:p>
        </w:tc>
        <w:tc>
          <w:tcPr>
            <w:tcW w:w="320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504,667</w:t>
            </w:r>
          </w:p>
        </w:tc>
        <w:tc>
          <w:tcPr>
            <w:tcW w:w="36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351,592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3200" w:type="dxa"/>
            <w:vAlign w:val="bottom"/>
            <w:shd w:val="clear" w:color="auto" w:fill="CFF0FC"/>
          </w:tcPr>
          <w:p>
            <w:pPr>
              <w:spacing w:after="0"/>
              <w:rPr>
                <w:sz w:val="9"/>
                <w:szCs w:val="9"/>
                <w:color w:val="auto"/>
              </w:rPr>
            </w:pPr>
          </w:p>
        </w:tc>
        <w:tc>
          <w:tcPr>
            <w:tcW w:w="5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129,350</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83,517</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deferred tax asset</w:t>
            </w:r>
          </w:p>
        </w:tc>
        <w:tc>
          <w:tcPr>
            <w:tcW w:w="3200" w:type="dxa"/>
            <w:vAlign w:val="bottom"/>
          </w:tcPr>
          <w:p>
            <w:pPr>
              <w:spacing w:after="0"/>
              <w:rPr>
                <w:sz w:val="9"/>
                <w:szCs w:val="9"/>
                <w:color w:val="auto"/>
              </w:rPr>
            </w:pPr>
          </w:p>
        </w:tc>
        <w:tc>
          <w:tcPr>
            <w:tcW w:w="5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634,017</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435,209</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3200" w:type="dxa"/>
            <w:vAlign w:val="bottom"/>
            <w:shd w:val="clear" w:color="auto" w:fill="CFF0FC"/>
          </w:tcPr>
          <w:p>
            <w:pPr>
              <w:spacing w:after="0"/>
              <w:rPr>
                <w:sz w:val="9"/>
                <w:szCs w:val="9"/>
                <w:color w:val="auto"/>
              </w:rPr>
            </w:pPr>
          </w:p>
        </w:tc>
        <w:tc>
          <w:tcPr>
            <w:tcW w:w="5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(634,017 )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(435,209 )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Deferred tax asset, net of allowance</w:t>
            </w:r>
          </w:p>
        </w:tc>
        <w:tc>
          <w:tcPr>
            <w:tcW w:w="320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14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The income tax provision consists of the following:</w:t>
            </w:r>
          </w:p>
        </w:tc>
        <w:tc>
          <w:tcPr>
            <w:tcW w:w="3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5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8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3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Federal</w:t>
            </w:r>
          </w:p>
        </w:tc>
        <w:tc>
          <w:tcPr>
            <w:tcW w:w="3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0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00" w:type="dxa"/>
            <w:vAlign w:val="bottom"/>
            <w:shd w:val="clear" w:color="auto" w:fill="CFF0FC"/>
          </w:tcPr>
          <w:p>
            <w:pPr>
              <w:spacing w:after="0"/>
              <w:rPr>
                <w:sz w:val="9"/>
                <w:szCs w:val="9"/>
                <w:color w:val="auto"/>
              </w:rPr>
            </w:pPr>
          </w:p>
        </w:tc>
        <w:tc>
          <w:tcPr>
            <w:tcW w:w="5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(198,808 )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(336,741 )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w:t>
            </w:r>
          </w:p>
        </w:tc>
        <w:tc>
          <w:tcPr>
            <w:tcW w:w="3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00" w:type="dxa"/>
            <w:vAlign w:val="bottom"/>
            <w:shd w:val="clear" w:color="auto" w:fill="CFF0FC"/>
          </w:tcPr>
          <w:p>
            <w:pPr>
              <w:spacing w:after="0"/>
              <w:rPr>
                <w:sz w:val="9"/>
                <w:szCs w:val="9"/>
                <w:color w:val="auto"/>
              </w:rPr>
            </w:pPr>
          </w:p>
        </w:tc>
        <w:tc>
          <w:tcPr>
            <w:tcW w:w="52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00" w:type="dxa"/>
            <w:vAlign w:val="bottom"/>
          </w:tcPr>
          <w:p>
            <w:pPr>
              <w:spacing w:after="0"/>
              <w:rPr>
                <w:sz w:val="9"/>
                <w:szCs w:val="9"/>
                <w:color w:val="auto"/>
              </w:rPr>
            </w:pPr>
          </w:p>
        </w:tc>
        <w:tc>
          <w:tcPr>
            <w:tcW w:w="52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3200" w:type="dxa"/>
            <w:vAlign w:val="bottom"/>
            <w:shd w:val="clear" w:color="auto" w:fill="CFF0FC"/>
          </w:tcPr>
          <w:p>
            <w:pPr>
              <w:spacing w:after="0"/>
              <w:rPr>
                <w:sz w:val="9"/>
                <w:szCs w:val="9"/>
                <w:color w:val="auto"/>
              </w:rPr>
            </w:pPr>
          </w:p>
        </w:tc>
        <w:tc>
          <w:tcPr>
            <w:tcW w:w="5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198,808</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336,741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320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0" w:type="dxa"/>
            <w:vAlign w:val="bottom"/>
          </w:tcPr>
          <w:p>
            <w:pPr>
              <w:jc w:val="right"/>
              <w:ind w:right="1873"/>
              <w:spacing w:after="0"/>
              <w:rPr>
                <w:sz w:val="20"/>
                <w:szCs w:val="20"/>
                <w:color w:val="auto"/>
              </w:rPr>
            </w:pPr>
            <w:r>
              <w:rPr>
                <w:rFonts w:ascii="Times New Roman" w:cs="Times New Roman" w:eastAsia="Times New Roman" w:hAnsi="Times New Roman"/>
                <w:sz w:val="10"/>
                <w:szCs w:val="10"/>
                <w:color w:val="auto"/>
              </w:rPr>
              <w:t>F-145</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32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81" w:name="page282"/>
    <w:bookmarkEnd w:id="281"/>
    <w:p>
      <w:pPr>
        <w:ind w:left="480"/>
        <w:spacing w:after="0"/>
        <w:rPr>
          <w:sz w:val="20"/>
          <w:szCs w:val="20"/>
          <w:color w:val="auto"/>
        </w:rPr>
      </w:pPr>
      <w:r>
        <w:rPr>
          <w:rFonts w:ascii="Times New Roman" w:cs="Times New Roman" w:eastAsia="Times New Roman" w:hAnsi="Times New Roman"/>
          <w:sz w:val="10"/>
          <w:szCs w:val="10"/>
          <w:color w:val="auto"/>
        </w:rPr>
        <w:t>As of September 30, 2023 and 2022, the Company had $0 of U.S. federal net operating loss carryovers, which do not expire, and no state net operating loss carryovers available to offset future taxable income.</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reconciliation of the federal income tax rate to the Company’s effective tax rate at September 30, 2023 and 2022 are as follows: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5800" w:type="dxa"/>
            <w:vAlign w:val="bottom"/>
            <w:vMerge w:val="restart"/>
          </w:tcPr>
          <w:p>
            <w:pPr>
              <w:ind w:left="5540"/>
              <w:spacing w:after="0"/>
              <w:rPr>
                <w:sz w:val="20"/>
                <w:szCs w:val="20"/>
                <w:color w:val="auto"/>
              </w:rPr>
            </w:pPr>
            <w:r>
              <w:rPr>
                <w:rFonts w:ascii="Times New Roman" w:cs="Times New Roman" w:eastAsia="Times New Roman" w:hAnsi="Times New Roman"/>
                <w:sz w:val="8"/>
                <w:szCs w:val="8"/>
                <w:b w:val="1"/>
                <w:bCs w:val="1"/>
                <w:color w:val="auto"/>
              </w:rPr>
              <w:t>2023</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2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80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8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Statutory federal income tax rate</w:t>
            </w:r>
          </w:p>
        </w:tc>
        <w:tc>
          <w:tcPr>
            <w:tcW w:w="82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88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0" w:type="dxa"/>
            <w:vAlign w:val="bottom"/>
          </w:tcPr>
          <w:p>
            <w:pPr>
              <w:spacing w:after="0"/>
              <w:rPr>
                <w:sz w:val="1"/>
                <w:szCs w:val="1"/>
                <w:color w:val="auto"/>
              </w:rPr>
            </w:pPr>
          </w:p>
        </w:tc>
      </w:tr>
      <w:tr>
        <w:trPr>
          <w:trHeight w:val="113"/>
        </w:trPr>
        <w:tc>
          <w:tcPr>
            <w:tcW w:w="58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 taxes, net of federal tax benefit</w:t>
            </w:r>
          </w:p>
        </w:tc>
        <w:tc>
          <w:tcPr>
            <w:tcW w:w="82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880" w:type="dxa"/>
            <w:vAlign w:val="bottom"/>
            <w:gridSpan w:val="2"/>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0" w:type="dxa"/>
            <w:vAlign w:val="bottom"/>
          </w:tcPr>
          <w:p>
            <w:pPr>
              <w:spacing w:after="0"/>
              <w:rPr>
                <w:sz w:val="1"/>
                <w:szCs w:val="1"/>
                <w:color w:val="auto"/>
              </w:rPr>
            </w:pP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Prior year true up</w:t>
            </w:r>
          </w:p>
        </w:tc>
        <w:tc>
          <w:tcPr>
            <w:tcW w:w="82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0.99 %</w:t>
            </w:r>
          </w:p>
        </w:tc>
        <w:tc>
          <w:tcPr>
            <w:tcW w:w="8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8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combination expenses</w:t>
            </w:r>
          </w:p>
        </w:tc>
        <w:tc>
          <w:tcPr>
            <w:tcW w:w="82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119.13 %</w:t>
            </w:r>
          </w:p>
        </w:tc>
        <w:tc>
          <w:tcPr>
            <w:tcW w:w="8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(15.50 )%</w:t>
            </w:r>
          </w:p>
        </w:tc>
        <w:tc>
          <w:tcPr>
            <w:tcW w:w="0" w:type="dxa"/>
            <w:vAlign w:val="bottom"/>
          </w:tcPr>
          <w:p>
            <w:pPr>
              <w:spacing w:after="0"/>
              <w:rPr>
                <w:sz w:val="1"/>
                <w:szCs w:val="1"/>
                <w:color w:val="auto"/>
              </w:rPr>
            </w:pPr>
          </w:p>
        </w:tc>
      </w:tr>
      <w:tr>
        <w:trPr>
          <w:trHeight w:val="113"/>
        </w:trPr>
        <w:tc>
          <w:tcPr>
            <w:tcW w:w="58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82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67.40 %</w:t>
            </w:r>
          </w:p>
        </w:tc>
        <w:tc>
          <w:tcPr>
            <w:tcW w:w="8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(9.70 )%</w:t>
            </w:r>
          </w:p>
        </w:tc>
        <w:tc>
          <w:tcPr>
            <w:tcW w:w="0" w:type="dxa"/>
            <w:vAlign w:val="bottom"/>
          </w:tcPr>
          <w:p>
            <w:pPr>
              <w:spacing w:after="0"/>
              <w:rPr>
                <w:sz w:val="1"/>
                <w:szCs w:val="1"/>
                <w:color w:val="auto"/>
              </w:rPr>
            </w:pPr>
          </w:p>
        </w:tc>
      </w:tr>
      <w:tr>
        <w:trPr>
          <w:trHeight w:val="127"/>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207.49 %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-436880</wp:posOffset>
            </wp:positionV>
            <wp:extent cx="4724400" cy="717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724400" cy="717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-151130</wp:posOffset>
            </wp:positionV>
            <wp:extent cx="4724400" cy="717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24400" cy="71755"/>
                    </a:xfrm>
                    <a:prstGeom prst="rect">
                      <a:avLst/>
                    </a:prstGeom>
                    <a:noFill/>
                  </pic:spPr>
                </pic:pic>
              </a:graphicData>
            </a:graphic>
          </wp:anchor>
        </w:drawing>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files income tax returns in the U.S. federal jurisdiction in various state and local jurisdictions and is subject to examination by the various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 Subsequent Events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October 11, 2023, the Company borrowed $70,900 under the Extension Note and deposited the funds into the Trust Account thereby extending the Termination Date to November 17,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November 9, 2023, the Company borrowed $70,900 under the Extension Note and deposited the funds into the Trust Account thereby extending the Termination Date to December 17, 2023.</w:t>
      </w:r>
    </w:p>
    <w:p>
      <w:pPr>
        <w:spacing w:after="0" w:line="11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78" w:right="660"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0"/>
          <w:szCs w:val="10"/>
          <w:b w:val="1"/>
          <w:bCs w:val="1"/>
          <w:color w:val="auto"/>
        </w:rPr>
        <w:t>PART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INFORMATION NOT REQUIRED IN PROSPECTUS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6. Indemnification of Directors and Officers.</w:t>
      </w:r>
    </w:p>
    <w:p>
      <w:pPr>
        <w:spacing w:after="0" w:line="60"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7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7. Recent Sales of Unregistered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10"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9"/>
          <w:szCs w:val="9"/>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8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0"/>
          <w:szCs w:val="10"/>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8. Exhibits and Financial Statements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460" w:type="dxa"/>
            <w:vAlign w:val="bottom"/>
          </w:tcPr>
          <w:p>
            <w:pPr>
              <w:ind w:left="480"/>
              <w:spacing w:after="0"/>
              <w:rPr>
                <w:sz w:val="20"/>
                <w:szCs w:val="20"/>
                <w:color w:val="auto"/>
              </w:rPr>
            </w:pPr>
            <w:r>
              <w:rPr>
                <w:rFonts w:ascii="Times New Roman" w:cs="Times New Roman" w:eastAsia="Times New Roman" w:hAnsi="Times New Roman"/>
                <w:sz w:val="10"/>
                <w:szCs w:val="10"/>
                <w:i w:val="1"/>
                <w:iCs w:val="1"/>
                <w:color w:val="auto"/>
              </w:rPr>
              <w:t>(a)Exhibits</w:t>
            </w:r>
          </w:p>
        </w:tc>
        <w:tc>
          <w:tcPr>
            <w:tcW w:w="3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9160" w:type="dxa"/>
            <w:vAlign w:val="bottom"/>
            <w:gridSpan w:val="9"/>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52"/>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2.1</w:t>
            </w:r>
          </w:p>
        </w:tc>
        <w:tc>
          <w:tcPr>
            <w:tcW w:w="894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15">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2.2</w:t>
            </w:r>
          </w:p>
        </w:tc>
        <w:tc>
          <w:tcPr>
            <w:tcW w:w="404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7"/>
              </w:rPr>
            </w:pPr>
            <w:hyperlink r:id="rId315">
              <w:r>
                <w:rPr>
                  <w:rFonts w:ascii="Times New Roman" w:cs="Times New Roman" w:eastAsia="Times New Roman" w:hAnsi="Times New Roman"/>
                  <w:sz w:val="10"/>
                  <w:szCs w:val="10"/>
                  <w:color w:val="0000FF"/>
                  <w:w w:val="97"/>
                </w:rPr>
                <w:t>Rezolve AI Limited’s Registration Statement on Form F-1/A, filed with the SEC on October 28, 2024).</w:t>
              </w:r>
            </w:hyperlink>
          </w:p>
        </w:tc>
        <w:tc>
          <w:tcPr>
            <w:tcW w:w="5120" w:type="dxa"/>
            <w:vAlign w:val="bottom"/>
            <w:gridSpan w:val="7"/>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898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7"/>
              </w:rPr>
            </w:pPr>
            <w:hyperlink r:id="rId316">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3.1</w:t>
            </w:r>
          </w:p>
        </w:tc>
        <w:tc>
          <w:tcPr>
            <w:tcW w:w="316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6"/>
              </w:rPr>
            </w:pPr>
            <w:hyperlink r:id="rId316">
              <w:r>
                <w:rPr>
                  <w:rFonts w:ascii="Times New Roman" w:cs="Times New Roman" w:eastAsia="Times New Roman" w:hAnsi="Times New Roman"/>
                  <w:sz w:val="10"/>
                  <w:szCs w:val="10"/>
                  <w:color w:val="0000FF"/>
                  <w:w w:val="96"/>
                </w:rPr>
                <w:t>Registration Statement on Form F-1/A, filed with the SEC on October 28, 2024).</w:t>
              </w:r>
            </w:hyperlink>
          </w:p>
        </w:tc>
        <w:tc>
          <w:tcPr>
            <w:tcW w:w="600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8800" w:type="dxa"/>
            <w:vAlign w:val="bottom"/>
            <w:tcBorders>
              <w:bottom w:val="single" w:sz="8" w:color="0000FF"/>
            </w:tcBorders>
            <w:gridSpan w:val="5"/>
          </w:tcPr>
          <w:p>
            <w:pPr>
              <w:spacing w:after="0" w:line="93" w:lineRule="exact"/>
              <w:rPr>
                <w:sz w:val="20"/>
                <w:szCs w:val="20"/>
                <w:color w:val="auto"/>
              </w:rPr>
            </w:pPr>
            <w:r>
              <w:rPr>
                <w:rFonts w:ascii="Times New Roman" w:cs="Times New Roman" w:eastAsia="Times New Roman" w:hAnsi="Times New Roman"/>
                <w:sz w:val="10"/>
                <w:szCs w:val="10"/>
                <w:color w:val="0000FF"/>
                <w:w w:val="97"/>
              </w:rPr>
              <w:t>Amended and Restated Memorandum and Articles of Association of Rezolve (incorporated by reference to Exhibit 3.1 of Rezolve AI Limited’s Registration Statement on Form F-1/A, filed with the SEC on October 28, 2024).</w:t>
            </w:r>
          </w:p>
        </w:tc>
        <w:tc>
          <w:tcPr>
            <w:tcW w:w="36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4.1</w:t>
            </w:r>
          </w:p>
        </w:tc>
        <w:tc>
          <w:tcPr>
            <w:tcW w:w="9160" w:type="dxa"/>
            <w:vAlign w:val="bottom"/>
            <w:gridSpan w:val="9"/>
          </w:tcPr>
          <w:p>
            <w:pPr>
              <w:spacing w:after="0"/>
              <w:rPr>
                <w:sz w:val="20"/>
                <w:szCs w:val="20"/>
                <w:color w:val="auto"/>
              </w:rPr>
            </w:pPr>
            <w:r>
              <w:rPr>
                <w:rFonts w:ascii="Times New Roman" w:cs="Times New Roman" w:eastAsia="Times New Roman" w:hAnsi="Times New Roman"/>
                <w:sz w:val="10"/>
                <w:szCs w:val="10"/>
                <w:color w:val="0000FF"/>
              </w:rPr>
              <w:t>Specimen of Ordinary Share Certificate (incorporated by reference to Exhibit 4.1 of Rezolve AI Limited’s Registration Statement on Form F-1/A, filed with the SEC on October 28, 2024).</w:t>
            </w: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4.2</w:t>
            </w:r>
          </w:p>
        </w:tc>
        <w:tc>
          <w:tcPr>
            <w:tcW w:w="7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0"/>
                <w:szCs w:val="10"/>
                <w:color w:val="0000FF"/>
                <w:w w:val="97"/>
              </w:rPr>
              <w:t>Specimen Rezolve Warrant Certificate (incorporated by reference to Exhibit 4.2 of Rezolve AI Limited’s Registration Statement on Form F-1/A, filed with the SEC on October 28, 2024).</w:t>
            </w:r>
          </w:p>
        </w:tc>
        <w:tc>
          <w:tcPr>
            <w:tcW w:w="18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4.3**</w:t>
            </w:r>
          </w:p>
        </w:tc>
        <w:tc>
          <w:tcPr>
            <w:tcW w:w="7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0"/>
                <w:szCs w:val="10"/>
                <w:color w:val="auto"/>
              </w:rPr>
              <w:t>Form of Rezolve Warrant to be offered in this offering.</w:t>
            </w:r>
          </w:p>
        </w:tc>
        <w:tc>
          <w:tcPr>
            <w:tcW w:w="18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4.4**</w:t>
            </w:r>
          </w:p>
        </w:tc>
        <w:tc>
          <w:tcPr>
            <w:tcW w:w="9160" w:type="dxa"/>
            <w:vAlign w:val="bottom"/>
            <w:gridSpan w:val="9"/>
          </w:tcPr>
          <w:p>
            <w:pPr>
              <w:spacing w:after="0"/>
              <w:rPr>
                <w:sz w:val="20"/>
                <w:szCs w:val="20"/>
                <w:color w:val="auto"/>
              </w:rPr>
            </w:pPr>
            <w:r>
              <w:rPr>
                <w:rFonts w:ascii="Times New Roman" w:cs="Times New Roman" w:eastAsia="Times New Roman" w:hAnsi="Times New Roman"/>
                <w:sz w:val="10"/>
                <w:szCs w:val="10"/>
                <w:color w:val="auto"/>
              </w:rPr>
              <w:t>Form of Pre-Funded Warrant to be offered in this offering.</w:t>
            </w:r>
          </w:p>
        </w:tc>
        <w:tc>
          <w:tcPr>
            <w:tcW w:w="0" w:type="dxa"/>
            <w:vAlign w:val="bottom"/>
          </w:tcPr>
          <w:p>
            <w:pPr>
              <w:spacing w:after="0"/>
              <w:rPr>
                <w:sz w:val="1"/>
                <w:szCs w:val="1"/>
                <w:color w:val="auto"/>
              </w:rPr>
            </w:pPr>
          </w:p>
        </w:tc>
      </w:tr>
      <w:tr>
        <w:trPr>
          <w:trHeight w:val="152"/>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4.5</w:t>
            </w:r>
          </w:p>
        </w:tc>
        <w:tc>
          <w:tcPr>
            <w:tcW w:w="8820" w:type="dxa"/>
            <w:vAlign w:val="bottom"/>
            <w:tcBorders>
              <w:bottom w:val="single" w:sz="8" w:color="0000FF"/>
            </w:tcBorders>
            <w:gridSpan w:val="6"/>
          </w:tcPr>
          <w:p>
            <w:pPr>
              <w:spacing w:after="0"/>
              <w:rPr>
                <w:rFonts w:ascii="Times New Roman" w:cs="Times New Roman" w:eastAsia="Times New Roman" w:hAnsi="Times New Roman"/>
                <w:sz w:val="10"/>
                <w:szCs w:val="10"/>
                <w:color w:val="0000FF"/>
                <w:w w:val="97"/>
              </w:rPr>
            </w:pPr>
            <w:hyperlink r:id="rId317">
              <w:r>
                <w:rPr>
                  <w:rFonts w:ascii="Times New Roman" w:cs="Times New Roman" w:eastAsia="Times New Roman" w:hAnsi="Times New Roman"/>
                  <w:sz w:val="10"/>
                  <w:szCs w:val="10"/>
                  <w:color w:val="0000FF"/>
                  <w:w w:val="97"/>
                </w:rPr>
                <w:t>Warrant Agreement, dated August 15, 2024, by and among Rezolve AI Limited and Computershare Inc. and its affiliate, Computershare Trust Company, N.A. (incorporated by reference to Exhibit 4.5 of Rezolve AI Limited’s</w:t>
              </w:r>
            </w:hyperlink>
          </w:p>
        </w:tc>
        <w:tc>
          <w:tcPr>
            <w:tcW w:w="3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316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6"/>
              </w:rPr>
            </w:pPr>
            <w:hyperlink r:id="rId317">
              <w:r>
                <w:rPr>
                  <w:rFonts w:ascii="Times New Roman" w:cs="Times New Roman" w:eastAsia="Times New Roman" w:hAnsi="Times New Roman"/>
                  <w:sz w:val="10"/>
                  <w:szCs w:val="10"/>
                  <w:color w:val="0000FF"/>
                  <w:w w:val="96"/>
                </w:rPr>
                <w:t>Registration Statement on Form F-1/A, filed with the SEC on October 28, 2024).</w:t>
              </w:r>
            </w:hyperlink>
          </w:p>
        </w:tc>
        <w:tc>
          <w:tcPr>
            <w:tcW w:w="600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4.6</w:t>
            </w:r>
          </w:p>
        </w:tc>
        <w:tc>
          <w:tcPr>
            <w:tcW w:w="8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0"/>
                <w:szCs w:val="10"/>
                <w:color w:val="0000FF"/>
                <w:w w:val="97"/>
              </w:rPr>
              <w:t>Warrant Assignment, Assumption and Amendment Agreement, dated August 15, 2024, by and among Rezolve AI Limited and Computershare Inc. and its affiliate, Computershare Trust Company, N.A. (incorporated by reference</w:t>
            </w: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4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000" w:type="dxa"/>
            <w:vAlign w:val="bottom"/>
            <w:gridSpan w:val="8"/>
          </w:tcPr>
          <w:p>
            <w:pPr>
              <w:ind w:left="620"/>
              <w:spacing w:after="0"/>
              <w:rPr>
                <w:sz w:val="20"/>
                <w:szCs w:val="20"/>
                <w:color w:val="auto"/>
              </w:rPr>
            </w:pPr>
            <w:r>
              <w:rPr>
                <w:rFonts w:ascii="Times New Roman" w:cs="Times New Roman" w:eastAsia="Times New Roman" w:hAnsi="Times New Roman"/>
                <w:sz w:val="10"/>
                <w:szCs w:val="10"/>
                <w:color w:val="auto"/>
              </w:rPr>
              <w:t>II-1</w:t>
            </w:r>
          </w:p>
        </w:tc>
        <w:tc>
          <w:tcPr>
            <w:tcW w:w="0" w:type="dxa"/>
            <w:vAlign w:val="bottom"/>
          </w:tcPr>
          <w:p>
            <w:pPr>
              <w:spacing w:after="0"/>
              <w:rPr>
                <w:sz w:val="1"/>
                <w:szCs w:val="1"/>
                <w:color w:val="auto"/>
              </w:rPr>
            </w:pPr>
          </w:p>
        </w:tc>
      </w:tr>
      <w:tr>
        <w:trPr>
          <w:trHeight w:val="422"/>
        </w:trPr>
        <w:tc>
          <w:tcPr>
            <w:tcW w:w="1460" w:type="dxa"/>
            <w:vAlign w:val="bottom"/>
            <w:tcBorders>
              <w:bottom w:val="single" w:sz="8" w:color="EEEEEE"/>
            </w:tcBorders>
          </w:tcPr>
          <w:p>
            <w:pPr>
              <w:spacing w:after="0"/>
              <w:rPr>
                <w:sz w:val="24"/>
                <w:szCs w:val="24"/>
                <w:color w:val="auto"/>
              </w:rPr>
            </w:pPr>
          </w:p>
        </w:tc>
        <w:tc>
          <w:tcPr>
            <w:tcW w:w="31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15"/>
        </w:trPr>
        <w:tc>
          <w:tcPr>
            <w:tcW w:w="1460" w:type="dxa"/>
            <w:vAlign w:val="bottom"/>
          </w:tcPr>
          <w:p>
            <w:pPr>
              <w:spacing w:after="0"/>
              <w:rPr>
                <w:sz w:val="10"/>
                <w:szCs w:val="10"/>
                <w:color w:val="auto"/>
              </w:rPr>
            </w:pPr>
          </w:p>
        </w:tc>
        <w:tc>
          <w:tcPr>
            <w:tcW w:w="4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0"/>
                <w:szCs w:val="10"/>
                <w:color w:val="0000FF"/>
                <w:w w:val="97"/>
              </w:rPr>
              <w:t>to Exhibit 4.6 of Rezolve AI Limited’s Registration Statement on Form F-1/A, filed with the SEC on October 28, 2024).</w:t>
            </w:r>
          </w:p>
        </w:tc>
        <w:tc>
          <w:tcPr>
            <w:tcW w:w="44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4.7</w:t>
            </w:r>
          </w:p>
        </w:tc>
        <w:tc>
          <w:tcPr>
            <w:tcW w:w="9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0"/>
                <w:szCs w:val="10"/>
                <w:color w:val="0000FF"/>
                <w:w w:val="97"/>
              </w:rPr>
              <w:t>Investor Rights Agreement, dated August 15, 2024, by and among Rezolve AI Limited and the holders party thereto (incorporated by reference to Exhibit 4.7 of Rezolve AI Limited’s Registration Statement on Form F-1/A, filed with</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160" w:type="dxa"/>
            <w:vAlign w:val="bottom"/>
            <w:gridSpan w:val="21"/>
          </w:tcPr>
          <w:p>
            <w:pPr>
              <w:spacing w:after="0" w:line="93" w:lineRule="exact"/>
              <w:rPr>
                <w:sz w:val="20"/>
                <w:szCs w:val="20"/>
                <w:color w:val="auto"/>
              </w:rPr>
            </w:pPr>
            <w:r>
              <w:rPr>
                <w:rFonts w:ascii="Times New Roman" w:cs="Times New Roman" w:eastAsia="Times New Roman" w:hAnsi="Times New Roman"/>
                <w:sz w:val="10"/>
                <w:szCs w:val="10"/>
                <w:color w:val="0000FF"/>
              </w:rPr>
              <w:t>the SEC on October 28, 2024).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4.8</w:t>
            </w:r>
          </w:p>
        </w:tc>
        <w:tc>
          <w:tcPr>
            <w:tcW w:w="9160" w:type="dxa"/>
            <w:vAlign w:val="bottom"/>
            <w:gridSpan w:val="21"/>
          </w:tcPr>
          <w:p>
            <w:pPr>
              <w:spacing w:after="0"/>
              <w:rPr>
                <w:sz w:val="20"/>
                <w:szCs w:val="20"/>
                <w:color w:val="auto"/>
              </w:rPr>
            </w:pPr>
            <w:r>
              <w:rPr>
                <w:rFonts w:ascii="Times New Roman" w:cs="Times New Roman" w:eastAsia="Times New Roman" w:hAnsi="Times New Roman"/>
                <w:sz w:val="10"/>
                <w:szCs w:val="10"/>
                <w:color w:val="auto"/>
                <w:w w:val="97"/>
              </w:rPr>
              <w:t>Form of Lock-In Agreement, dated August 15, 2024, by and among Rezolve AI Limited and the holders party thereto (incorporated by reference to Exhibit 4.8 of Rezolve AI Limited’s Registration Statement on Form F-1/A, filed with</w:t>
            </w:r>
          </w:p>
        </w:tc>
        <w:tc>
          <w:tcPr>
            <w:tcW w:w="0" w:type="dxa"/>
            <w:vAlign w:val="bottom"/>
          </w:tcPr>
          <w:p>
            <w:pPr>
              <w:spacing w:after="0"/>
              <w:rPr>
                <w:sz w:val="1"/>
                <w:szCs w:val="1"/>
                <w:color w:val="auto"/>
              </w:rPr>
            </w:pPr>
          </w:p>
        </w:tc>
      </w:tr>
      <w:tr>
        <w:trPr>
          <w:trHeight w:val="125"/>
        </w:trPr>
        <w:tc>
          <w:tcPr>
            <w:tcW w:w="1460" w:type="dxa"/>
            <w:vAlign w:val="bottom"/>
          </w:tcPr>
          <w:p>
            <w:pPr>
              <w:spacing w:after="0"/>
              <w:rPr>
                <w:sz w:val="10"/>
                <w:szCs w:val="10"/>
                <w:color w:val="auto"/>
              </w:rPr>
            </w:pPr>
          </w:p>
        </w:tc>
        <w:tc>
          <w:tcPr>
            <w:tcW w:w="9160" w:type="dxa"/>
            <w:vAlign w:val="bottom"/>
            <w:gridSpan w:val="21"/>
          </w:tcPr>
          <w:p>
            <w:pPr>
              <w:spacing w:after="0"/>
              <w:rPr>
                <w:sz w:val="20"/>
                <w:szCs w:val="20"/>
                <w:color w:val="auto"/>
              </w:rPr>
            </w:pPr>
            <w:r>
              <w:rPr>
                <w:rFonts w:ascii="Times New Roman" w:cs="Times New Roman" w:eastAsia="Times New Roman" w:hAnsi="Times New Roman"/>
                <w:sz w:val="10"/>
                <w:szCs w:val="10"/>
                <w:color w:val="auto"/>
              </w:rPr>
              <w:t>the SEC on October 28, 2024).</w:t>
            </w:r>
          </w:p>
        </w:tc>
        <w:tc>
          <w:tcPr>
            <w:tcW w:w="0" w:type="dxa"/>
            <w:vAlign w:val="bottom"/>
          </w:tcPr>
          <w:p>
            <w:pPr>
              <w:spacing w:after="0"/>
              <w:rPr>
                <w:sz w:val="1"/>
                <w:szCs w:val="1"/>
                <w:color w:val="auto"/>
              </w:rPr>
            </w:pPr>
          </w:p>
        </w:tc>
      </w:tr>
      <w:tr>
        <w:trPr>
          <w:trHeight w:val="152"/>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5.1**</w:t>
            </w: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0"/>
                <w:szCs w:val="10"/>
                <w:color w:val="0000FF"/>
                <w:w w:val="96"/>
              </w:rPr>
              <w:t>Opinion of Taylor Wessing LLP.</w:t>
            </w:r>
          </w:p>
        </w:tc>
        <w:tc>
          <w:tcPr>
            <w:tcW w:w="786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w:t>
            </w:r>
          </w:p>
        </w:tc>
        <w:tc>
          <w:tcPr>
            <w:tcW w:w="91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0"/>
                <w:szCs w:val="10"/>
                <w:color w:val="0000FF"/>
                <w:w w:val="97"/>
              </w:rPr>
              <w:t>Loan Note Instrument dated December 16, 2021, as amended and restated on November 21, 2022, and as further amended and restated on May 23, 2023 (incorporated by reference to Exhibit 10.1 of Rezolve AI Limited’s Registration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2660" w:type="dxa"/>
            <w:vAlign w:val="bottom"/>
            <w:tcBorders>
              <w:bottom w:val="single" w:sz="8" w:color="0000FF"/>
            </w:tcBorders>
            <w:gridSpan w:val="9"/>
          </w:tcPr>
          <w:p>
            <w:pPr>
              <w:spacing w:after="0" w:line="93" w:lineRule="exact"/>
              <w:rPr>
                <w:sz w:val="20"/>
                <w:szCs w:val="20"/>
                <w:color w:val="auto"/>
              </w:rPr>
            </w:pPr>
            <w:r>
              <w:rPr>
                <w:rFonts w:ascii="Times New Roman" w:cs="Times New Roman" w:eastAsia="Times New Roman" w:hAnsi="Times New Roman"/>
                <w:sz w:val="10"/>
                <w:szCs w:val="10"/>
                <w:color w:val="0000FF"/>
                <w:w w:val="96"/>
              </w:rPr>
              <w:t>Statement on Form F-1/A, filed with the SEC on October 28, 2024).</w:t>
            </w:r>
          </w:p>
        </w:tc>
        <w:tc>
          <w:tcPr>
            <w:tcW w:w="6500" w:type="dxa"/>
            <w:vAlign w:val="bottom"/>
            <w:gridSpan w:val="12"/>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10.2</w:t>
            </w:r>
          </w:p>
        </w:tc>
        <w:tc>
          <w:tcPr>
            <w:tcW w:w="9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0"/>
                <w:szCs w:val="10"/>
                <w:color w:val="0000FF"/>
                <w:w w:val="97"/>
              </w:rPr>
              <w:t>Binding Term Sheet, dated August 30, 2021, by and among Rezolve, Radio Group and the other parties thereto (incorporated by reference to Exhibit 10.2 of Rezolve AI Limited’s Registration Statement on Form F-1/A, filed with the</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160" w:type="dxa"/>
            <w:vAlign w:val="bottom"/>
            <w:gridSpan w:val="21"/>
          </w:tcPr>
          <w:p>
            <w:pPr>
              <w:spacing w:after="0" w:line="93" w:lineRule="exact"/>
              <w:rPr>
                <w:sz w:val="20"/>
                <w:szCs w:val="20"/>
                <w:color w:val="auto"/>
              </w:rPr>
            </w:pPr>
            <w:r>
              <w:rPr>
                <w:rFonts w:ascii="Times New Roman" w:cs="Times New Roman" w:eastAsia="Times New Roman" w:hAnsi="Times New Roman"/>
                <w:sz w:val="10"/>
                <w:szCs w:val="10"/>
                <w:color w:val="0000FF"/>
              </w:rPr>
              <w:t>SEC on October 28, 2024).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10.3</w:t>
            </w:r>
          </w:p>
        </w:tc>
        <w:tc>
          <w:tcPr>
            <w:tcW w:w="9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0"/>
                <w:szCs w:val="10"/>
                <w:color w:val="0000FF"/>
                <w:w w:val="97"/>
              </w:rPr>
              <w:t>Amendment to Binding Term Sheet, dated May 24, 2023, by and among Rezolve, Radio Group and the other parties thereto (incorporated by reference to Exhibit 10.3 of Rezolve AI Limited’s Registration Statement on Form F-1/A,</w:t>
            </w: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160" w:type="dxa"/>
            <w:vAlign w:val="bottom"/>
            <w:gridSpan w:val="21"/>
          </w:tcPr>
          <w:p>
            <w:pPr>
              <w:spacing w:after="0" w:line="93" w:lineRule="exact"/>
              <w:rPr>
                <w:sz w:val="20"/>
                <w:szCs w:val="20"/>
                <w:color w:val="auto"/>
              </w:rPr>
            </w:pPr>
            <w:r>
              <w:rPr>
                <w:rFonts w:ascii="Times New Roman" w:cs="Times New Roman" w:eastAsia="Times New Roman" w:hAnsi="Times New Roman"/>
                <w:sz w:val="10"/>
                <w:szCs w:val="10"/>
                <w:color w:val="0000FF"/>
              </w:rPr>
              <w:t>filed with the SEC on October 28, 2024).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10.4</w:t>
            </w:r>
          </w:p>
        </w:tc>
        <w:tc>
          <w:tcPr>
            <w:tcW w:w="90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0"/>
                <w:szCs w:val="10"/>
                <w:color w:val="0000FF"/>
                <w:w w:val="97"/>
              </w:rPr>
              <w:t>Agreement in Context of the Binding Term Sheet, dated May 24, 2023, by and among Rezolve, Radio Group and the other parties thereto (incorporated by reference to Exhibit 10.4 of Rezolve AI Limited’s Registration Statement on</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10.5</w:t>
            </w:r>
          </w:p>
        </w:tc>
        <w:tc>
          <w:tcPr>
            <w:tcW w:w="9160" w:type="dxa"/>
            <w:vAlign w:val="bottom"/>
            <w:gridSpan w:val="21"/>
          </w:tcPr>
          <w:p>
            <w:pPr>
              <w:spacing w:after="0" w:line="93" w:lineRule="exact"/>
              <w:rPr>
                <w:sz w:val="20"/>
                <w:szCs w:val="20"/>
                <w:color w:val="auto"/>
              </w:rPr>
            </w:pPr>
            <w:r>
              <w:rPr>
                <w:rFonts w:ascii="Times New Roman" w:cs="Times New Roman" w:eastAsia="Times New Roman" w:hAnsi="Times New Roman"/>
                <w:sz w:val="10"/>
                <w:szCs w:val="10"/>
                <w:color w:val="0000FF"/>
              </w:rPr>
              <w:t>Form F-1/A, filed with the SEC on October 28, 2024).</w:t>
            </w:r>
          </w:p>
        </w:tc>
        <w:tc>
          <w:tcPr>
            <w:tcW w:w="0" w:type="dxa"/>
            <w:vAlign w:val="bottom"/>
          </w:tcPr>
          <w:p>
            <w:pPr>
              <w:spacing w:after="0"/>
              <w:rPr>
                <w:sz w:val="1"/>
                <w:szCs w:val="1"/>
                <w:color w:val="auto"/>
              </w:rPr>
            </w:pPr>
          </w:p>
        </w:tc>
      </w:tr>
      <w:tr>
        <w:trPr>
          <w:trHeight w:val="20"/>
        </w:trPr>
        <w:tc>
          <w:tcPr>
            <w:tcW w:w="1460" w:type="dxa"/>
            <w:vAlign w:val="bottom"/>
            <w:vMerge w:val="continue"/>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460" w:type="dxa"/>
            <w:vAlign w:val="bottom"/>
            <w:vMerge w:val="continue"/>
          </w:tcPr>
          <w:p>
            <w:pPr>
              <w:spacing w:after="0"/>
              <w:rPr>
                <w:sz w:val="8"/>
                <w:szCs w:val="8"/>
                <w:color w:val="auto"/>
              </w:rPr>
            </w:pPr>
          </w:p>
        </w:tc>
        <w:tc>
          <w:tcPr>
            <w:tcW w:w="9100" w:type="dxa"/>
            <w:vAlign w:val="bottom"/>
            <w:tcBorders>
              <w:bottom w:val="single" w:sz="8" w:color="0000FF"/>
            </w:tcBorders>
            <w:gridSpan w:val="18"/>
          </w:tcPr>
          <w:p>
            <w:pPr>
              <w:spacing w:after="0" w:line="93" w:lineRule="exact"/>
              <w:rPr>
                <w:rFonts w:ascii="Times New Roman" w:cs="Times New Roman" w:eastAsia="Times New Roman" w:hAnsi="Times New Roman"/>
                <w:sz w:val="10"/>
                <w:szCs w:val="10"/>
                <w:color w:val="0000FF"/>
                <w:w w:val="97"/>
              </w:rPr>
            </w:pPr>
            <w:hyperlink r:id="rId319">
              <w:r>
                <w:rPr>
                  <w:rFonts w:ascii="Times New Roman" w:cs="Times New Roman" w:eastAsia="Times New Roman" w:hAnsi="Times New Roman"/>
                  <w:sz w:val="10"/>
                  <w:szCs w:val="10"/>
                  <w:color w:val="0000FF"/>
                  <w:w w:val="97"/>
                </w:rPr>
                <w:t>Contractual Agreement, dated August 30, 2021, by and among Rezolve, Radio Group and the other parties thereto (incorporated by reference to Exhibit 10.5 of Rezolve AI Limited’s Registration Statement on Form F-1/A, filed with</w:t>
              </w:r>
            </w:hyperlink>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160" w:type="dxa"/>
            <w:vAlign w:val="bottom"/>
            <w:gridSpan w:val="21"/>
          </w:tcPr>
          <w:p>
            <w:pPr>
              <w:spacing w:after="0" w:line="93" w:lineRule="exact"/>
              <w:rPr>
                <w:rFonts w:ascii="Times New Roman" w:cs="Times New Roman" w:eastAsia="Times New Roman" w:hAnsi="Times New Roman"/>
                <w:sz w:val="10"/>
                <w:szCs w:val="10"/>
                <w:color w:val="0000FF"/>
              </w:rPr>
            </w:pPr>
            <w:hyperlink r:id="rId319">
              <w:r>
                <w:rPr>
                  <w:rFonts w:ascii="Times New Roman" w:cs="Times New Roman" w:eastAsia="Times New Roman" w:hAnsi="Times New Roman"/>
                  <w:sz w:val="10"/>
                  <w:szCs w:val="10"/>
                  <w:color w:val="0000FF"/>
                </w:rPr>
                <w:t>the SEC on October 28, 2024).</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10.6</w:t>
            </w:r>
          </w:p>
        </w:tc>
        <w:tc>
          <w:tcPr>
            <w:tcW w:w="7660" w:type="dxa"/>
            <w:vAlign w:val="bottom"/>
            <w:tcBorders>
              <w:bottom w:val="single" w:sz="8" w:color="0000FF"/>
            </w:tcBorders>
            <w:gridSpan w:val="14"/>
          </w:tcPr>
          <w:p>
            <w:pPr>
              <w:spacing w:after="0"/>
              <w:rPr>
                <w:rFonts w:ascii="Times New Roman" w:cs="Times New Roman" w:eastAsia="Times New Roman" w:hAnsi="Times New Roman"/>
                <w:sz w:val="10"/>
                <w:szCs w:val="10"/>
                <w:color w:val="0000FF"/>
                <w:w w:val="97"/>
              </w:rPr>
            </w:pPr>
            <w:hyperlink r:id="rId320">
              <w:r>
                <w:rPr>
                  <w:rFonts w:ascii="Times New Roman" w:cs="Times New Roman" w:eastAsia="Times New Roman" w:hAnsi="Times New Roman"/>
                  <w:sz w:val="10"/>
                  <w:szCs w:val="10"/>
                  <w:color w:val="0000FF"/>
                  <w:w w:val="97"/>
                </w:rPr>
                <w:t>Contractual Relationship, dated April 30, 2023 (incorporated by reference to Exhibit 10.6 of Rezolve AI Limited’s Registration Statement on Form F-1/A, filed with the SEC on October 28, 2024).</w:t>
              </w:r>
            </w:hyperlink>
          </w:p>
        </w:tc>
        <w:tc>
          <w:tcPr>
            <w:tcW w:w="15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10.7</w:t>
            </w:r>
          </w:p>
        </w:tc>
        <w:tc>
          <w:tcPr>
            <w:tcW w:w="9140" w:type="dxa"/>
            <w:vAlign w:val="bottom"/>
            <w:tcBorders>
              <w:bottom w:val="single" w:sz="8" w:color="0000FF"/>
            </w:tcBorders>
            <w:gridSpan w:val="20"/>
          </w:tcPr>
          <w:p>
            <w:pPr>
              <w:spacing w:after="0"/>
              <w:rPr>
                <w:rFonts w:ascii="Times New Roman" w:cs="Times New Roman" w:eastAsia="Times New Roman" w:hAnsi="Times New Roman"/>
                <w:sz w:val="10"/>
                <w:szCs w:val="10"/>
                <w:color w:val="0000FF"/>
                <w:w w:val="97"/>
              </w:rPr>
            </w:pPr>
            <w:hyperlink r:id="rId321">
              <w:r>
                <w:rPr>
                  <w:rFonts w:ascii="Times New Roman" w:cs="Times New Roman" w:eastAsia="Times New Roman" w:hAnsi="Times New Roman"/>
                  <w:sz w:val="10"/>
                  <w:szCs w:val="10"/>
                  <w:color w:val="0000FF"/>
                  <w:w w:val="97"/>
                </w:rPr>
                <w:t>Power of Disposal over ANY Lifestyle Marketing GmbH, dated November 17, 2023 (incorporated by reference to Exhibit 10.7 of Rezolve AI Limited’s Registration Statement on Form F-1/A, filed with the SEC on October 28, 2024).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10.8</w:t>
            </w:r>
          </w:p>
        </w:tc>
        <w:tc>
          <w:tcPr>
            <w:tcW w:w="9100" w:type="dxa"/>
            <w:vAlign w:val="bottom"/>
            <w:tcBorders>
              <w:bottom w:val="single" w:sz="8" w:color="0000FF"/>
            </w:tcBorders>
            <w:gridSpan w:val="18"/>
          </w:tcPr>
          <w:p>
            <w:pPr>
              <w:spacing w:after="0"/>
              <w:rPr>
                <w:rFonts w:ascii="Times New Roman" w:cs="Times New Roman" w:eastAsia="Times New Roman" w:hAnsi="Times New Roman"/>
                <w:sz w:val="10"/>
                <w:szCs w:val="10"/>
                <w:color w:val="0000FF"/>
                <w:w w:val="97"/>
              </w:rPr>
            </w:pPr>
            <w:hyperlink r:id="rId322">
              <w:r>
                <w:rPr>
                  <w:rFonts w:ascii="Times New Roman" w:cs="Times New Roman" w:eastAsia="Times New Roman" w:hAnsi="Times New Roman"/>
                  <w:sz w:val="10"/>
                  <w:szCs w:val="10"/>
                  <w:color w:val="0000FF"/>
                  <w:w w:val="97"/>
                </w:rPr>
                <w:t>Loan Agreement, dated September 28, 2023, by and among Rezolve, Radio Group and the other parties thereto (incorporated by reference to Exhibit 10.8 of Rezolve AI Limited’s Registration Statement on Form F-1/A, filed with the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9160" w:type="dxa"/>
            <w:vAlign w:val="bottom"/>
            <w:gridSpan w:val="21"/>
          </w:tcPr>
          <w:p>
            <w:pPr>
              <w:spacing w:after="0" w:line="93" w:lineRule="exact"/>
              <w:rPr>
                <w:rFonts w:ascii="Times New Roman" w:cs="Times New Roman" w:eastAsia="Times New Roman" w:hAnsi="Times New Roman"/>
                <w:sz w:val="10"/>
                <w:szCs w:val="10"/>
                <w:color w:val="0000FF"/>
              </w:rPr>
            </w:pPr>
            <w:hyperlink r:id="rId322">
              <w:r>
                <w:rPr>
                  <w:rFonts w:ascii="Times New Roman" w:cs="Times New Roman" w:eastAsia="Times New Roman" w:hAnsi="Times New Roman"/>
                  <w:sz w:val="10"/>
                  <w:szCs w:val="10"/>
                  <w:color w:val="0000FF"/>
                </w:rPr>
                <w:t>SEC on October 28, 2024).</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10.9</w:t>
            </w:r>
          </w:p>
        </w:tc>
        <w:tc>
          <w:tcPr>
            <w:tcW w:w="912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23">
              <w:r>
                <w:rPr>
                  <w:rFonts w:ascii="Times New Roman" w:cs="Times New Roman" w:eastAsia="Times New Roman" w:hAnsi="Times New Roman"/>
                  <w:sz w:val="10"/>
                  <w:szCs w:val="10"/>
                  <w:color w:val="0000FF"/>
                  <w:w w:val="97"/>
                </w:rPr>
                <w:t>Amended and Restated Standby Equity Purchase Agreement, dated as of February 2, 2024, by and between YA II PN, Ltd., Armada Acquisition Corp. I, Rezolve Limited and Rezolve AI Limited (incorporated by reference to Exhibit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4340" w:type="dxa"/>
            <w:vAlign w:val="bottom"/>
            <w:tcBorders>
              <w:bottom w:val="single" w:sz="8" w:color="0000FF"/>
            </w:tcBorders>
            <w:gridSpan w:val="12"/>
          </w:tcPr>
          <w:p>
            <w:pPr>
              <w:spacing w:after="0" w:line="93" w:lineRule="exact"/>
              <w:rPr>
                <w:rFonts w:ascii="Times New Roman" w:cs="Times New Roman" w:eastAsia="Times New Roman" w:hAnsi="Times New Roman"/>
                <w:sz w:val="10"/>
                <w:szCs w:val="10"/>
                <w:color w:val="0000FF"/>
                <w:w w:val="97"/>
              </w:rPr>
            </w:pPr>
            <w:hyperlink r:id="rId323">
              <w:r>
                <w:rPr>
                  <w:rFonts w:ascii="Times New Roman" w:cs="Times New Roman" w:eastAsia="Times New Roman" w:hAnsi="Times New Roman"/>
                  <w:sz w:val="10"/>
                  <w:szCs w:val="10"/>
                  <w:color w:val="0000FF"/>
                  <w:w w:val="97"/>
                </w:rPr>
                <w:t>10.</w:t>
              </w:r>
              <w:r>
                <w:rPr>
                  <w:rFonts w:ascii="Times New Roman" w:cs="Times New Roman" w:eastAsia="Times New Roman" w:hAnsi="Times New Roman"/>
                  <w:sz w:val="10"/>
                  <w:szCs w:val="10"/>
                  <w:u w:val="single" w:color="auto"/>
                  <w:color w:val="0000FF"/>
                  <w:w w:val="97"/>
                </w:rPr>
                <w:t>9</w:t>
              </w:r>
              <w:r>
                <w:rPr>
                  <w:rFonts w:ascii="Times New Roman" w:cs="Times New Roman" w:eastAsia="Times New Roman" w:hAnsi="Times New Roman"/>
                  <w:sz w:val="10"/>
                  <w:szCs w:val="10"/>
                  <w:color w:val="0000FF"/>
                  <w:w w:val="97"/>
                </w:rPr>
                <w:t xml:space="preserve"> of Rezolve AI Limited’s Registration Statement on Form F-1/A, filed with the SEC on October 28, 2024).</w:t>
              </w:r>
            </w:hyperlink>
          </w:p>
        </w:tc>
        <w:tc>
          <w:tcPr>
            <w:tcW w:w="4820" w:type="dxa"/>
            <w:vAlign w:val="bottom"/>
            <w:gridSpan w:val="9"/>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10.10</w:t>
            </w:r>
          </w:p>
        </w:tc>
        <w:tc>
          <w:tcPr>
            <w:tcW w:w="88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0"/>
                <w:szCs w:val="10"/>
                <w:color w:val="0000FF"/>
                <w:w w:val="97"/>
              </w:rPr>
              <w:t>Second Amended and Restated Standby Equity Purchase Agreement, dated as of September 6, 2024, by and between YA II PN, Ltd. and Rezolve AI Limited (incorporated by reference to Exhibit 10.10 of Rezolve AI Limited’s</w:t>
            </w:r>
          </w:p>
        </w:tc>
        <w:tc>
          <w:tcPr>
            <w:tcW w:w="3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3160" w:type="dxa"/>
            <w:vAlign w:val="bottom"/>
            <w:tcBorders>
              <w:bottom w:val="single" w:sz="8" w:color="0000FF"/>
            </w:tcBorders>
            <w:gridSpan w:val="10"/>
          </w:tcPr>
          <w:p>
            <w:pPr>
              <w:spacing w:after="0" w:line="93" w:lineRule="exact"/>
              <w:rPr>
                <w:sz w:val="20"/>
                <w:szCs w:val="20"/>
                <w:color w:val="auto"/>
              </w:rPr>
            </w:pPr>
            <w:r>
              <w:rPr>
                <w:rFonts w:ascii="Times New Roman" w:cs="Times New Roman" w:eastAsia="Times New Roman" w:hAnsi="Times New Roman"/>
                <w:sz w:val="10"/>
                <w:szCs w:val="10"/>
                <w:color w:val="0000FF"/>
                <w:w w:val="96"/>
              </w:rPr>
              <w:t>Registration Statement on Form F-1/A, filed with the SEC on October 28, 2024).</w:t>
            </w:r>
          </w:p>
        </w:tc>
        <w:tc>
          <w:tcPr>
            <w:tcW w:w="6000" w:type="dxa"/>
            <w:vAlign w:val="bottom"/>
            <w:gridSpan w:val="11"/>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10.11</w:t>
            </w:r>
          </w:p>
        </w:tc>
        <w:tc>
          <w:tcPr>
            <w:tcW w:w="9080" w:type="dxa"/>
            <w:vAlign w:val="bottom"/>
            <w:tcBorders>
              <w:bottom w:val="single" w:sz="8" w:color="0000FF"/>
            </w:tcBorders>
            <w:gridSpan w:val="17"/>
          </w:tcPr>
          <w:p>
            <w:pPr>
              <w:spacing w:after="0"/>
              <w:rPr>
                <w:rFonts w:ascii="Times New Roman" w:cs="Times New Roman" w:eastAsia="Times New Roman" w:hAnsi="Times New Roman"/>
                <w:sz w:val="10"/>
                <w:szCs w:val="10"/>
                <w:color w:val="0000FF"/>
                <w:w w:val="97"/>
              </w:rPr>
            </w:pPr>
            <w:hyperlink r:id="rId324">
              <w:r>
                <w:rPr>
                  <w:rFonts w:ascii="Times New Roman" w:cs="Times New Roman" w:eastAsia="Times New Roman" w:hAnsi="Times New Roman"/>
                  <w:sz w:val="10"/>
                  <w:szCs w:val="10"/>
                  <w:color w:val="0000FF"/>
                  <w:w w:val="97"/>
                </w:rPr>
                <w:t>Promissory Note, dated as of September 9, 2024, by and among YA II PN, Ltd. and Rezolve AI Limited (incorporated by reference to Exhibit 10.11 of Rezolve AI Limited’s Registration Statement on Form F-1/A, filed with the SEC</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86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5"/>
              </w:rPr>
            </w:pPr>
            <w:hyperlink r:id="rId324">
              <w:r>
                <w:rPr>
                  <w:rFonts w:ascii="Times New Roman" w:cs="Times New Roman" w:eastAsia="Times New Roman" w:hAnsi="Times New Roman"/>
                  <w:sz w:val="10"/>
                  <w:szCs w:val="10"/>
                  <w:color w:val="0000FF"/>
                  <w:w w:val="95"/>
                </w:rPr>
                <w:t>on October 28, 2024).</w:t>
              </w:r>
            </w:hyperlink>
          </w:p>
        </w:tc>
        <w:tc>
          <w:tcPr>
            <w:tcW w:w="8300" w:type="dxa"/>
            <w:vAlign w:val="bottom"/>
            <w:gridSpan w:val="20"/>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10.12**</w:t>
            </w:r>
          </w:p>
        </w:tc>
        <w:tc>
          <w:tcPr>
            <w:tcW w:w="9160" w:type="dxa"/>
            <w:vAlign w:val="bottom"/>
            <w:gridSpan w:val="21"/>
          </w:tcPr>
          <w:p>
            <w:pPr>
              <w:spacing w:after="0"/>
              <w:rPr>
                <w:sz w:val="20"/>
                <w:szCs w:val="20"/>
                <w:color w:val="auto"/>
              </w:rPr>
            </w:pPr>
            <w:r>
              <w:rPr>
                <w:rFonts w:ascii="Times New Roman" w:cs="Times New Roman" w:eastAsia="Times New Roman" w:hAnsi="Times New Roman"/>
                <w:sz w:val="10"/>
                <w:szCs w:val="10"/>
                <w:color w:val="auto"/>
              </w:rPr>
              <w:t>Form of Securities Purchase Agreement</w:t>
            </w:r>
          </w:p>
        </w:tc>
        <w:tc>
          <w:tcPr>
            <w:tcW w:w="0" w:type="dxa"/>
            <w:vAlign w:val="bottom"/>
          </w:tcPr>
          <w:p>
            <w:pPr>
              <w:spacing w:after="0"/>
              <w:rPr>
                <w:sz w:val="1"/>
                <w:szCs w:val="1"/>
                <w:color w:val="auto"/>
              </w:rPr>
            </w:pPr>
          </w:p>
        </w:tc>
      </w:tr>
      <w:tr>
        <w:trPr>
          <w:trHeight w:val="152"/>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23.1</w:t>
            </w:r>
          </w:p>
        </w:tc>
        <w:tc>
          <w:tcPr>
            <w:tcW w:w="1440" w:type="dxa"/>
            <w:vAlign w:val="bottom"/>
            <w:tcBorders>
              <w:bottom w:val="single" w:sz="8" w:color="0000FF"/>
            </w:tcBorders>
            <w:gridSpan w:val="5"/>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Consent of Grassi &amp; Co., CPAs, PC.</w:t>
              </w:r>
            </w:hyperlink>
          </w:p>
        </w:tc>
        <w:tc>
          <w:tcPr>
            <w:tcW w:w="77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23.2</w:t>
            </w:r>
          </w:p>
        </w:tc>
        <w:tc>
          <w:tcPr>
            <w:tcW w:w="3840" w:type="dxa"/>
            <w:vAlign w:val="bottom"/>
            <w:tcBorders>
              <w:bottom w:val="single" w:sz="8" w:color="0000FF"/>
            </w:tcBorders>
            <w:gridSpan w:val="11"/>
          </w:tcPr>
          <w:p>
            <w:pPr>
              <w:spacing w:after="0"/>
              <w:rPr>
                <w:rFonts w:ascii="Times New Roman" w:cs="Times New Roman" w:eastAsia="Times New Roman" w:hAnsi="Times New Roman"/>
                <w:sz w:val="10"/>
                <w:szCs w:val="10"/>
                <w:color w:val="0000FF"/>
                <w:w w:val="97"/>
              </w:rPr>
            </w:pPr>
            <w:hyperlink w:anchor="page1">
              <w:r>
                <w:rPr>
                  <w:rFonts w:ascii="Times New Roman" w:cs="Times New Roman" w:eastAsia="Times New Roman" w:hAnsi="Times New Roman"/>
                  <w:sz w:val="10"/>
                  <w:szCs w:val="10"/>
                  <w:color w:val="0000FF"/>
                  <w:w w:val="97"/>
                </w:rPr>
                <w:t>Consent of Marcum LLP, independent registered accounting firm for Armada Acquisition Corp. I.</w:t>
              </w:r>
            </w:hyperlink>
          </w:p>
        </w:tc>
        <w:tc>
          <w:tcPr>
            <w:tcW w:w="53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23.3</w:t>
            </w:r>
          </w:p>
        </w:tc>
        <w:tc>
          <w:tcPr>
            <w:tcW w:w="2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0"/>
                <w:szCs w:val="10"/>
                <w:color w:val="0000FF"/>
                <w:w w:val="96"/>
              </w:rPr>
              <w:t>Consent of Taylor Wessing LLP (included in Exhibit 5.1).</w:t>
            </w:r>
          </w:p>
        </w:tc>
        <w:tc>
          <w:tcPr>
            <w:tcW w:w="68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101.INS</w:t>
            </w:r>
          </w:p>
        </w:tc>
        <w:tc>
          <w:tcPr>
            <w:tcW w:w="9160" w:type="dxa"/>
            <w:vAlign w:val="bottom"/>
            <w:gridSpan w:val="21"/>
          </w:tcPr>
          <w:p>
            <w:pPr>
              <w:spacing w:after="0"/>
              <w:rPr>
                <w:sz w:val="20"/>
                <w:szCs w:val="20"/>
                <w:color w:val="auto"/>
              </w:rPr>
            </w:pPr>
            <w:r>
              <w:rPr>
                <w:rFonts w:ascii="Times New Roman" w:cs="Times New Roman" w:eastAsia="Times New Roman" w:hAnsi="Times New Roman"/>
                <w:sz w:val="10"/>
                <w:szCs w:val="10"/>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33"/>
        </w:trPr>
        <w:tc>
          <w:tcPr>
            <w:tcW w:w="1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0" w:type="dxa"/>
            <w:vAlign w:val="bottom"/>
            <w:gridSpan w:val="11"/>
          </w:tcPr>
          <w:p>
            <w:pPr>
              <w:ind w:left="620"/>
              <w:spacing w:after="0"/>
              <w:rPr>
                <w:sz w:val="20"/>
                <w:szCs w:val="20"/>
                <w:color w:val="auto"/>
              </w:rPr>
            </w:pPr>
            <w:r>
              <w:rPr>
                <w:rFonts w:ascii="Times New Roman" w:cs="Times New Roman" w:eastAsia="Times New Roman" w:hAnsi="Times New Roman"/>
                <w:sz w:val="10"/>
                <w:szCs w:val="10"/>
                <w:color w:val="auto"/>
              </w:rPr>
              <w:t>II-2</w:t>
            </w:r>
          </w:p>
        </w:tc>
        <w:tc>
          <w:tcPr>
            <w:tcW w:w="0" w:type="dxa"/>
            <w:vAlign w:val="bottom"/>
          </w:tcPr>
          <w:p>
            <w:pPr>
              <w:spacing w:after="0"/>
              <w:rPr>
                <w:sz w:val="1"/>
                <w:szCs w:val="1"/>
                <w:color w:val="auto"/>
              </w:rPr>
            </w:pPr>
          </w:p>
        </w:tc>
      </w:tr>
      <w:tr>
        <w:trPr>
          <w:trHeight w:val="422"/>
        </w:trPr>
        <w:tc>
          <w:tcPr>
            <w:tcW w:w="14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96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40" w:right="640" w:bottom="1440" w:gutter="0" w:footer="0" w:header="0"/>
        </w:sectPr>
      </w:pPr>
    </w:p>
    <w:bookmarkStart w:id="284" w:name="page285"/>
    <w:bookmarkEnd w:id="284"/>
    <w:tbl>
      <w:tblPr>
        <w:tblLayout w:type="fixed"/>
        <w:tblInd w:w="400" w:type="dxa"/>
        <w:tblCellMar>
          <w:top w:w="0" w:type="dxa"/>
          <w:left w:w="0" w:type="dxa"/>
          <w:bottom w:w="0" w:type="dxa"/>
          <w:right w:w="0" w:type="dxa"/>
        </w:tblCellMar>
      </w:tblPr>
      <w:tr>
        <w:trPr>
          <w:trHeight w:val="125"/>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101.SCH</w:t>
            </w:r>
          </w:p>
        </w:tc>
        <w:tc>
          <w:tcPr>
            <w:tcW w:w="3600" w:type="dxa"/>
            <w:vAlign w:val="bottom"/>
          </w:tcPr>
          <w:p>
            <w:pPr>
              <w:ind w:left="360"/>
              <w:spacing w:after="0"/>
              <w:rPr>
                <w:sz w:val="20"/>
                <w:szCs w:val="20"/>
                <w:color w:val="auto"/>
              </w:rPr>
            </w:pPr>
            <w:r>
              <w:rPr>
                <w:rFonts w:ascii="Times New Roman" w:cs="Times New Roman" w:eastAsia="Times New Roman" w:hAnsi="Times New Roman"/>
                <w:sz w:val="10"/>
                <w:szCs w:val="10"/>
                <w:color w:val="auto"/>
                <w:w w:val="96"/>
              </w:rPr>
              <w:t>Inline XBRL Taxonomy Extension Schema With Embedded Linkbase Documents.</w:t>
            </w:r>
          </w:p>
        </w:tc>
      </w:tr>
      <w:tr>
        <w:trPr>
          <w:trHeight w:val="173"/>
        </w:trPr>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360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Cover Page Interactive Data File.</w:t>
            </w:r>
          </w:p>
        </w:tc>
      </w:tr>
    </w:tbl>
    <w:p>
      <w:pPr>
        <w:spacing w:after="0" w:line="48" w:lineRule="exact"/>
        <w:rPr>
          <w:sz w:val="20"/>
          <w:szCs w:val="20"/>
          <w:color w:val="auto"/>
        </w:rPr>
      </w:pPr>
    </w:p>
    <w:p>
      <w:pPr>
        <w:ind w:left="700" w:right="8180" w:hanging="305"/>
        <w:spacing w:after="0" w:line="542" w:lineRule="auto"/>
        <w:tabs>
          <w:tab w:leader="none" w:pos="1465" w:val="left"/>
        </w:tabs>
        <w:numPr>
          <w:ilvl w:val="0"/>
          <w:numId w:val="23"/>
        </w:numPr>
        <w:rPr>
          <w:rFonts w:ascii="Times New Roman" w:cs="Times New Roman" w:eastAsia="Times New Roman" w:hAnsi="Times New Roman"/>
          <w:sz w:val="10"/>
          <w:szCs w:val="10"/>
          <w:u w:val="single" w:color="auto"/>
          <w:color w:val="0000FF"/>
        </w:rPr>
      </w:pPr>
      <w:hyperlink w:anchor="page1">
        <w:r>
          <w:rPr>
            <w:rFonts w:ascii="Times New Roman" w:cs="Times New Roman" w:eastAsia="Times New Roman" w:hAnsi="Times New Roman"/>
            <w:sz w:val="10"/>
            <w:szCs w:val="10"/>
            <w:u w:val="single" w:color="auto"/>
            <w:color w:val="0000FF"/>
          </w:rPr>
          <w:t>Calculation of Fee Table.</w:t>
        </w:r>
      </w:hyperlink>
      <w:r>
        <w:rPr>
          <w:rFonts w:ascii="Times New Roman" w:cs="Times New Roman" w:eastAsia="Times New Roman" w:hAnsi="Times New Roman"/>
          <w:sz w:val="10"/>
          <w:szCs w:val="10"/>
          <w:u w:val="single" w:color="auto"/>
          <w:color w:val="0000FF"/>
        </w:rPr>
        <w:t xml:space="preserve"> </w:t>
      </w:r>
      <w:r>
        <w:rPr>
          <w:rFonts w:ascii="Times New Roman" w:cs="Times New Roman" w:eastAsia="Times New Roman" w:hAnsi="Times New Roman"/>
          <w:sz w:val="10"/>
          <w:szCs w:val="10"/>
          <w:color w:val="000000"/>
        </w:rPr>
        <w:t>* As previously filed</w:t>
      </w:r>
    </w:p>
    <w:p>
      <w:pPr>
        <w:ind w:left="820" w:hanging="125"/>
        <w:spacing w:after="0"/>
        <w:tabs>
          <w:tab w:leader="none" w:pos="820" w:val="left"/>
        </w:tabs>
        <w:numPr>
          <w:ilvl w:val="1"/>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 be filed by amendment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9. Undertakings.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undersigned registrant, hereby undertakes: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(1)To file, during any period in which offers or sales are being made, a post-effective amendment to this registration statement:</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(i)To include any prospectus required by Section 10(a)(3) of the Securities Act of 1933, as amended;</w:t>
      </w:r>
    </w:p>
    <w:p>
      <w:pPr>
        <w:spacing w:after="0" w:line="58" w:lineRule="exact"/>
        <w:rPr>
          <w:sz w:val="20"/>
          <w:szCs w:val="20"/>
          <w:color w:val="auto"/>
        </w:rPr>
      </w:pPr>
    </w:p>
    <w:p>
      <w:pPr>
        <w:ind w:left="1020" w:right="20"/>
        <w:spacing w:after="0" w:line="241" w:lineRule="auto"/>
        <w:rPr>
          <w:sz w:val="20"/>
          <w:szCs w:val="20"/>
          <w:color w:val="auto"/>
        </w:rPr>
      </w:pPr>
      <w:r>
        <w:rPr>
          <w:rFonts w:ascii="Times New Roman" w:cs="Times New Roman" w:eastAsia="Times New Roman" w:hAnsi="Times New Roman"/>
          <w:sz w:val="10"/>
          <w:szCs w:val="10"/>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(iii)To include any material information with respect to the plan of distribution not previously disclosed in the registration statement or any material change to such information in the registration statement.</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(3)To remove from registration by means of a post-effective amendment any of the securities being registered which remain unsold at the termination of the offering.</w:t>
      </w:r>
    </w:p>
    <w:p>
      <w:pPr>
        <w:spacing w:after="0" w:line="58" w:lineRule="exact"/>
        <w:rPr>
          <w:sz w:val="20"/>
          <w:szCs w:val="20"/>
          <w:color w:val="auto"/>
        </w:rPr>
      </w:pPr>
    </w:p>
    <w:p>
      <w:pPr>
        <w:ind w:left="480" w:right="60"/>
        <w:spacing w:after="0" w:line="241" w:lineRule="auto"/>
        <w:rPr>
          <w:sz w:val="20"/>
          <w:szCs w:val="20"/>
          <w:color w:val="auto"/>
        </w:rPr>
      </w:pPr>
      <w:r>
        <w:rPr>
          <w:rFonts w:ascii="Times New Roman" w:cs="Times New Roman" w:eastAsia="Times New Roman" w:hAnsi="Times New Roman"/>
          <w:sz w:val="10"/>
          <w:szCs w:val="10"/>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48" w:lineRule="exact"/>
        <w:rPr>
          <w:sz w:val="20"/>
          <w:szCs w:val="20"/>
          <w:color w:val="auto"/>
        </w:rPr>
      </w:pPr>
    </w:p>
    <w:p>
      <w:pPr>
        <w:jc w:val="both"/>
        <w:ind w:left="480" w:right="120"/>
        <w:spacing w:after="0" w:line="245" w:lineRule="auto"/>
        <w:rPr>
          <w:sz w:val="20"/>
          <w:szCs w:val="20"/>
          <w:color w:val="auto"/>
        </w:rPr>
      </w:pPr>
      <w:r>
        <w:rPr>
          <w:rFonts w:ascii="Times New Roman" w:cs="Times New Roman" w:eastAsia="Times New Roman" w:hAnsi="Times New Roman"/>
          <w:sz w:val="10"/>
          <w:szCs w:val="10"/>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45" w:lineRule="exact"/>
        <w:rPr>
          <w:sz w:val="20"/>
          <w:szCs w:val="20"/>
          <w:color w:val="auto"/>
        </w:rPr>
      </w:pPr>
    </w:p>
    <w:p>
      <w:pPr>
        <w:ind w:left="480" w:right="20"/>
        <w:spacing w:after="0" w:line="245" w:lineRule="auto"/>
        <w:rPr>
          <w:sz w:val="20"/>
          <w:szCs w:val="20"/>
          <w:color w:val="auto"/>
        </w:rPr>
      </w:pPr>
      <w:r>
        <w:rPr>
          <w:rFonts w:ascii="Times New Roman" w:cs="Times New Roman" w:eastAsia="Times New Roman" w:hAnsi="Times New Roman"/>
          <w:sz w:val="10"/>
          <w:szCs w:val="10"/>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(i)Any preliminary prospectus or prospectus of the undersigned registrant relating to the offering required to be filed pursuant to Rule 424;</w:t>
      </w:r>
    </w:p>
    <w:p>
      <w:pPr>
        <w:spacing w:after="0" w:line="58" w:lineRule="exact"/>
        <w:rPr>
          <w:sz w:val="20"/>
          <w:szCs w:val="20"/>
          <w:color w:val="auto"/>
        </w:rPr>
      </w:pPr>
    </w:p>
    <w:p>
      <w:pPr>
        <w:ind w:left="5240" w:right="3360" w:hanging="4214"/>
        <w:spacing w:after="0" w:line="380" w:lineRule="auto"/>
        <w:rPr>
          <w:sz w:val="20"/>
          <w:szCs w:val="20"/>
          <w:color w:val="auto"/>
        </w:rPr>
      </w:pPr>
      <w:r>
        <w:rPr>
          <w:rFonts w:ascii="Times New Roman" w:cs="Times New Roman" w:eastAsia="Times New Roman" w:hAnsi="Times New Roman"/>
          <w:sz w:val="10"/>
          <w:szCs w:val="10"/>
          <w:color w:val="auto"/>
        </w:rPr>
        <w:t>(ii)Any free writing prospectus relating to the offering prepared by or on behalf of the undersigned registrant or used or referred to by the undersigned registrant;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50" w:right="620" w:bottom="1440" w:gutter="0" w:footer="0" w:header="0"/>
        </w:sectPr>
      </w:pPr>
    </w:p>
    <w:bookmarkStart w:id="285" w:name="page286"/>
    <w:bookmarkEnd w:id="285"/>
    <w:p>
      <w:pPr>
        <w:ind w:left="1020" w:right="1220"/>
        <w:spacing w:after="0" w:line="380" w:lineRule="auto"/>
        <w:rPr>
          <w:sz w:val="20"/>
          <w:szCs w:val="20"/>
          <w:color w:val="auto"/>
        </w:rPr>
      </w:pPr>
      <w:r>
        <w:rPr>
          <w:rFonts w:ascii="Times New Roman" w:cs="Times New Roman" w:eastAsia="Times New Roman" w:hAnsi="Times New Roman"/>
          <w:sz w:val="10"/>
          <w:szCs w:val="10"/>
          <w:color w:val="auto"/>
        </w:rPr>
        <w:t>(iii)The portion of any other free writing prospectus relating to the offering containing material information about the undersigned registrant or its securities provided by or on behalf of the undersigned registrant; and (iv)Any other communication that is an offer in the offering made by the undersigned registrant to the purchaser.</w:t>
      </w:r>
    </w:p>
    <w:p>
      <w:pPr>
        <w:spacing w:after="0" w:line="4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86" w:name="page287"/>
    <w:bookmarkEnd w:id="286"/>
    <w:p>
      <w:pPr>
        <w:jc w:val="center"/>
        <w:spacing w:after="0"/>
        <w:rPr>
          <w:sz w:val="20"/>
          <w:szCs w:val="20"/>
          <w:color w:val="auto"/>
        </w:rPr>
      </w:pPr>
      <w:r>
        <w:rPr>
          <w:rFonts w:ascii="Times New Roman" w:cs="Times New Roman" w:eastAsia="Times New Roman" w:hAnsi="Times New Roman"/>
          <w:sz w:val="10"/>
          <w:szCs w:val="10"/>
          <w:b w:val="1"/>
          <w:bCs w:val="1"/>
          <w:color w:val="auto"/>
        </w:rPr>
        <w:t>SIGNATURES</w:t>
      </w:r>
    </w:p>
    <w:p>
      <w:pPr>
        <w:spacing w:after="0" w:line="97"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London, United Kingdom, on the 4th day of December, 2024.</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20" w:lineRule="exact"/>
        <w:rPr>
          <w:sz w:val="20"/>
          <w:szCs w:val="20"/>
          <w:color w:val="auto"/>
        </w:rPr>
      </w:pPr>
    </w:p>
    <w:tbl>
      <w:tblPr>
        <w:tblLayout w:type="fixed"/>
        <w:tblInd w:w="6380" w:type="dxa"/>
        <w:tblCellMar>
          <w:top w:w="0" w:type="dxa"/>
          <w:left w:w="0" w:type="dxa"/>
          <w:bottom w:w="0" w:type="dxa"/>
          <w:right w:w="0" w:type="dxa"/>
        </w:tblCellMar>
      </w:tblPr>
      <w:tr>
        <w:trPr>
          <w:trHeight w:val="119"/>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/s/ Daniel Wagner</w:t>
            </w:r>
          </w:p>
        </w:tc>
      </w:tr>
      <w:tr>
        <w:trPr>
          <w:trHeight w:val="93"/>
        </w:trPr>
        <w:tc>
          <w:tcPr>
            <w:tcW w:w="400" w:type="dxa"/>
            <w:vAlign w:val="bottom"/>
          </w:tcPr>
          <w:p>
            <w:pPr>
              <w:spacing w:after="0"/>
              <w:rPr>
                <w:sz w:val="8"/>
                <w:szCs w:val="8"/>
                <w:color w:val="auto"/>
              </w:rPr>
            </w:pPr>
          </w:p>
        </w:tc>
        <w:tc>
          <w:tcPr>
            <w:tcW w:w="3840" w:type="dxa"/>
            <w:vAlign w:val="bottom"/>
          </w:tcPr>
          <w:p>
            <w:pPr>
              <w:spacing w:after="0" w:line="93" w:lineRule="exact"/>
              <w:rPr>
                <w:sz w:val="20"/>
                <w:szCs w:val="20"/>
                <w:color w:val="auto"/>
              </w:rPr>
            </w:pPr>
            <w:r>
              <w:rPr>
                <w:rFonts w:ascii="Times New Roman" w:cs="Times New Roman" w:eastAsia="Times New Roman" w:hAnsi="Times New Roman"/>
                <w:sz w:val="10"/>
                <w:szCs w:val="10"/>
                <w:color w:val="auto"/>
              </w:rPr>
              <w:t>Daniel Wagner</w:t>
            </w:r>
          </w:p>
        </w:tc>
      </w:tr>
      <w:tr>
        <w:trPr>
          <w:trHeight w:val="125"/>
        </w:trPr>
        <w:tc>
          <w:tcPr>
            <w:tcW w:w="400" w:type="dxa"/>
            <w:vAlign w:val="bottom"/>
          </w:tcPr>
          <w:p>
            <w:pPr>
              <w:spacing w:after="0"/>
              <w:rPr>
                <w:sz w:val="10"/>
                <w:szCs w:val="1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0"/>
                <w:szCs w:val="10"/>
                <w:color w:val="auto"/>
              </w:rPr>
              <w:t>Chief Executive Officer</w:t>
            </w: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Pursuant to the requirements of the Securities Act of 1933, this Registration Statement has been signed by the following persons in the capacities and on the dates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48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w:t>
            </w:r>
          </w:p>
        </w:tc>
        <w:tc>
          <w:tcPr>
            <w:tcW w:w="80" w:type="dxa"/>
            <w:vAlign w:val="bottom"/>
          </w:tcPr>
          <w:p>
            <w:pPr>
              <w:spacing w:after="0"/>
              <w:rPr>
                <w:sz w:val="9"/>
                <w:szCs w:val="9"/>
                <w:color w:val="auto"/>
              </w:rPr>
            </w:pPr>
          </w:p>
        </w:tc>
        <w:tc>
          <w:tcPr>
            <w:tcW w:w="37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8"/>
                <w:szCs w:val="8"/>
                <w:b w:val="1"/>
                <w:bCs w:val="1"/>
                <w:color w:val="auto"/>
              </w:rPr>
              <w:t>Title</w:t>
            </w:r>
          </w:p>
        </w:tc>
        <w:tc>
          <w:tcPr>
            <w:tcW w:w="220" w:type="dxa"/>
            <w:vAlign w:val="bottom"/>
          </w:tcPr>
          <w:p>
            <w:pPr>
              <w:spacing w:after="0"/>
              <w:rPr>
                <w:sz w:val="9"/>
                <w:szCs w:val="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0" w:type="dxa"/>
            <w:vAlign w:val="bottom"/>
          </w:tcPr>
          <w:p>
            <w:pPr>
              <w:spacing w:after="0"/>
              <w:rPr>
                <w:sz w:val="1"/>
                <w:szCs w:val="1"/>
                <w:color w:val="auto"/>
              </w:rPr>
            </w:pPr>
          </w:p>
        </w:tc>
      </w:tr>
      <w:tr>
        <w:trPr>
          <w:trHeight w:val="223"/>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Daniel Wagner</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Executive Officer and Director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Daniel Wagner</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Executive Officer)</w:t>
            </w: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8"/>
              </w:rPr>
              <w:t>/s/ Richard Burchill</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Financial Officer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Richard Burchill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Financial and Accounting Officer)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11"/>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color w:val="auto"/>
                <w:w w:val="96"/>
              </w:rPr>
              <w:t>/s/ Anthony Sharp</w:t>
            </w: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Anthony Sharp</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color w:val="auto"/>
                <w:w w:val="98"/>
              </w:rPr>
              <w:t>/s/ Sir David Wright</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Sir David Wright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Stephen Perry</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Stephen Perry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78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14"/>
        </w:trPr>
        <w:tc>
          <w:tcPr>
            <w:tcW w:w="4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John Wagner</w:t>
            </w: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/s/ Derek Smith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06"/>
        </w:trPr>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Derek Smith</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8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 Stephen Herbert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December 4, 2024</w:t>
            </w:r>
          </w:p>
        </w:tc>
        <w:tc>
          <w:tcPr>
            <w:tcW w:w="0" w:type="dxa"/>
            <w:vAlign w:val="bottom"/>
          </w:tcPr>
          <w:p>
            <w:pPr>
              <w:spacing w:after="0"/>
              <w:rPr>
                <w:sz w:val="1"/>
                <w:szCs w:val="1"/>
                <w:color w:val="auto"/>
              </w:rPr>
            </w:pPr>
          </w:p>
        </w:tc>
      </w:tr>
      <w:tr>
        <w:trPr>
          <w:trHeight w:val="106"/>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Stephen Herbert</w:t>
            </w: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0"/>
        </w:trPr>
        <w:tc>
          <w:tcPr>
            <w:tcW w:w="47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87" w:name="page288"/>
    <w:bookmarkEnd w:id="287"/>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SIGNATURE OF AUTHORIZED U.S. REPRESENTATIVE OF THE REGISTRANT</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New York, New York, on the 4th day of December, 2024.</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127" w:lineRule="exact"/>
        <w:rPr>
          <w:sz w:val="20"/>
          <w:szCs w:val="20"/>
          <w:color w:val="auto"/>
        </w:rPr>
      </w:pPr>
    </w:p>
    <w:p>
      <w:pPr>
        <w:ind w:left="6380"/>
        <w:spacing w:after="0"/>
        <w:tabs>
          <w:tab w:leader="none" w:pos="6760" w:val="left"/>
        </w:tabs>
        <w:rPr>
          <w:sz w:val="20"/>
          <w:szCs w:val="20"/>
          <w:color w:val="auto"/>
        </w:rPr>
      </w:pPr>
      <w:r>
        <w:rPr>
          <w:rFonts w:ascii="Times New Roman" w:cs="Times New Roman" w:eastAsia="Times New Roman" w:hAnsi="Times New Roman"/>
          <w:sz w:val="10"/>
          <w:szCs w:val="10"/>
          <w:color w:val="auto"/>
        </w:rPr>
        <w:t>By:</w:t>
      </w:r>
      <w:r>
        <w:rPr>
          <w:sz w:val="20"/>
          <w:szCs w:val="20"/>
          <w:color w:val="auto"/>
        </w:rPr>
        <w:tab/>
      </w:r>
      <w:r>
        <w:rPr>
          <w:rFonts w:ascii="Times New Roman" w:cs="Times New Roman" w:eastAsia="Times New Roman" w:hAnsi="Times New Roman"/>
          <w:sz w:val="10"/>
          <w:szCs w:val="10"/>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2540</wp:posOffset>
            </wp:positionV>
            <wp:extent cx="2443480" cy="50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2443480" cy="508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0"/>
          <w:szCs w:val="10"/>
          <w:color w:val="auto"/>
        </w:rPr>
        <w:t>Colleen A. DeVries</w:t>
      </w:r>
    </w:p>
    <w:p>
      <w:pPr>
        <w:ind w:left="6780"/>
        <w:spacing w:after="0"/>
        <w:rPr>
          <w:sz w:val="20"/>
          <w:szCs w:val="20"/>
          <w:color w:val="auto"/>
        </w:rPr>
      </w:pPr>
      <w:r>
        <w:rPr>
          <w:rFonts w:ascii="Times New Roman" w:cs="Times New Roman" w:eastAsia="Times New Roman" w:hAnsi="Times New Roman"/>
          <w:sz w:val="10"/>
          <w:szCs w:val="10"/>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439420</wp:posOffset>
            </wp:positionV>
            <wp:extent cx="6778625"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20"/>
          </w:cols>
          <w:pgMar w:left="640" w:top="1033" w:right="740" w:bottom="1440" w:gutter="0" w:footer="0" w:header="0"/>
        </w:sectPr>
      </w:pPr>
    </w:p>
    <w:bookmarkStart w:id="288" w:name="page289"/>
    <w:bookmarkEnd w:id="288"/>
    <w:p>
      <w:pPr>
        <w:spacing w:after="0" w:line="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Exhibit 23.1</w:t>
      </w:r>
    </w:p>
    <w:p>
      <w:pPr>
        <w:spacing w:after="0" w:line="200" w:lineRule="exact"/>
        <w:rPr>
          <w:sz w:val="20"/>
          <w:szCs w:val="20"/>
          <w:color w:val="auto"/>
        </w:rPr>
      </w:pPr>
    </w:p>
    <w:p>
      <w:pPr>
        <w:spacing w:after="0" w:line="371" w:lineRule="exact"/>
        <w:rPr>
          <w:sz w:val="20"/>
          <w:szCs w:val="20"/>
          <w:color w:val="auto"/>
        </w:rPr>
      </w:pPr>
    </w:p>
    <w:p>
      <w:pPr>
        <w:ind w:left="1080"/>
        <w:spacing w:after="0"/>
        <w:rPr>
          <w:sz w:val="20"/>
          <w:szCs w:val="20"/>
          <w:color w:val="auto"/>
        </w:rPr>
      </w:pPr>
      <w:r>
        <w:rPr>
          <w:rFonts w:ascii="Arial" w:cs="Arial" w:eastAsia="Arial" w:hAnsi="Arial"/>
          <w:sz w:val="11"/>
          <w:szCs w:val="11"/>
          <w:u w:val="single" w:color="auto"/>
          <w:color w:val="auto"/>
        </w:rPr>
        <w:t>INDEPENDENT REGISTERED PUBLIC ACCOUNTING FIRM’S CONSENT</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We hereby consent to the inclusion in this Registration Statement on Form F-1 of our report dated</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May 20, 2024, except for Notes 2.20, 13 and 14, as to which the date is June 11, 2024, except</w:t>
      </w:r>
    </w:p>
    <w:p>
      <w:pPr>
        <w:spacing w:after="0" w:line="234" w:lineRule="auto"/>
        <w:rPr>
          <w:sz w:val="20"/>
          <w:szCs w:val="20"/>
          <w:color w:val="auto"/>
        </w:rPr>
      </w:pPr>
      <w:r>
        <w:rPr>
          <w:rFonts w:ascii="Arial" w:cs="Arial" w:eastAsia="Arial" w:hAnsi="Arial"/>
          <w:sz w:val="10"/>
          <w:szCs w:val="10"/>
          <w:color w:val="auto"/>
        </w:rPr>
        <w:t>Note 17 as to which the date is October 28, 2024, which includes an explanatory paragraph as to</w:t>
      </w:r>
    </w:p>
    <w:p>
      <w:pPr>
        <w:spacing w:after="0" w:line="235" w:lineRule="auto"/>
        <w:rPr>
          <w:sz w:val="20"/>
          <w:szCs w:val="20"/>
          <w:color w:val="auto"/>
        </w:rPr>
      </w:pPr>
      <w:r>
        <w:rPr>
          <w:rFonts w:ascii="Arial" w:cs="Arial" w:eastAsia="Arial" w:hAnsi="Arial"/>
          <w:sz w:val="10"/>
          <w:szCs w:val="10"/>
          <w:color w:val="auto"/>
        </w:rPr>
        <w:t>the Company’s ability to continue as a going concern and an emphasis-of-matter for the</w:t>
      </w:r>
    </w:p>
    <w:p>
      <w:pPr>
        <w:spacing w:after="0" w:line="235" w:lineRule="auto"/>
        <w:rPr>
          <w:sz w:val="20"/>
          <w:szCs w:val="20"/>
          <w:color w:val="auto"/>
        </w:rPr>
      </w:pPr>
      <w:r>
        <w:rPr>
          <w:rFonts w:ascii="Arial" w:cs="Arial" w:eastAsia="Arial" w:hAnsi="Arial"/>
          <w:sz w:val="10"/>
          <w:szCs w:val="10"/>
          <w:color w:val="auto"/>
        </w:rPr>
        <w:t>Restatement of the 2023 and 2022 Financial Statements, relating to the carve-out consolidated</w:t>
      </w:r>
    </w:p>
    <w:p>
      <w:pPr>
        <w:spacing w:after="0" w:line="235" w:lineRule="auto"/>
        <w:rPr>
          <w:sz w:val="20"/>
          <w:szCs w:val="20"/>
          <w:color w:val="auto"/>
        </w:rPr>
      </w:pPr>
      <w:r>
        <w:rPr>
          <w:rFonts w:ascii="Arial" w:cs="Arial" w:eastAsia="Arial" w:hAnsi="Arial"/>
          <w:sz w:val="10"/>
          <w:szCs w:val="10"/>
          <w:color w:val="auto"/>
        </w:rPr>
        <w:t>financial statements of Rezolve AI Limited and Subsidiaries as of and for the years ended</w:t>
      </w:r>
    </w:p>
    <w:p>
      <w:pPr>
        <w:spacing w:after="0" w:line="234" w:lineRule="auto"/>
        <w:rPr>
          <w:sz w:val="20"/>
          <w:szCs w:val="20"/>
          <w:color w:val="auto"/>
        </w:rPr>
      </w:pPr>
      <w:r>
        <w:rPr>
          <w:rFonts w:ascii="Arial" w:cs="Arial" w:eastAsia="Arial" w:hAnsi="Arial"/>
          <w:sz w:val="10"/>
          <w:szCs w:val="10"/>
          <w:color w:val="auto"/>
        </w:rPr>
        <w:t>December 31, 2023 (restated) and 2022 (restated). We also consent to the reference to our firm</w:t>
      </w:r>
    </w:p>
    <w:p>
      <w:pPr>
        <w:spacing w:after="0"/>
        <w:rPr>
          <w:sz w:val="20"/>
          <w:szCs w:val="20"/>
          <w:color w:val="auto"/>
        </w:rPr>
      </w:pPr>
      <w:r>
        <w:rPr>
          <w:rFonts w:ascii="Arial" w:cs="Arial" w:eastAsia="Arial" w:hAnsi="Arial"/>
          <w:sz w:val="10"/>
          <w:szCs w:val="10"/>
          <w:color w:val="auto"/>
        </w:rPr>
        <w:t>under the heading “Experts” appearing therein.</w:t>
      </w: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/s/ Grassi &amp; Co., CPAs, P.C.</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Grassi &amp; Co., CPAs, P.C. Jericho,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114300</wp:posOffset>
            </wp:positionV>
            <wp:extent cx="6778625"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1"/>
          <w:szCs w:val="11"/>
          <w:b w:val="1"/>
          <w:bCs w:val="1"/>
          <w:color w:val="auto"/>
        </w:rPr>
        <w:t>Exhibit 23.2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INDEPENDENT REGISTERED PUBLIC ACCOUNTING FIRM’S CONSENT</w:t>
      </w:r>
    </w:p>
    <w:p>
      <w:pPr>
        <w:spacing w:after="0" w:line="1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We consent to the inclusion in this Registration Statement of Rezolve AI Limited on Form F-1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which report appears in this Prospectus, which is part of this Registration Statement. We were dismissed as auditors on August 21, 2024 and, accordingly, we have not performed any audit or review procedures with respect to any financial statements appearing in such Registration Statement for the periods after the date of our dismissal. We also consent to the reference to our Firm under the heading “Experts” in such Registration Statement.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Marcum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Marcum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East Hanover, NJ</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643890</wp:posOffset>
            </wp:positionV>
            <wp:extent cx="6778625" cy="34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3" w:right="640" w:bottom="1440" w:gutter="0" w:footer="0" w:header="0"/>
        </w:sectPr>
      </w:pPr>
    </w:p>
    <w:bookmarkStart w:id="290" w:name="page291"/>
    <w:bookmarkEnd w:id="290"/>
    <w:tbl>
      <w:tblPr>
        <w:tblLayout w:type="fixed"/>
        <w:tblInd w:w="2" w:type="dxa"/>
        <w:tblCellMar>
          <w:top w:w="0" w:type="dxa"/>
          <w:left w:w="0" w:type="dxa"/>
          <w:bottom w:w="0" w:type="dxa"/>
          <w:right w:w="0" w:type="dxa"/>
        </w:tblCellMar>
      </w:tblPr>
      <w:tr>
        <w:trPr>
          <w:trHeight w:val="127"/>
        </w:trPr>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0"/>
                <w:szCs w:val="10"/>
                <w:b w:val="1"/>
                <w:bCs w:val="1"/>
                <w:color w:val="auto"/>
                <w:w w:val="93"/>
              </w:rPr>
              <w:t>Exhibit 107</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Calculation of Filing Fee Tables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w w:val="99"/>
              </w:rPr>
              <w:t>Form F-1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w w:val="97"/>
              </w:rPr>
              <w:t>(Form Type)</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0"/>
                <w:szCs w:val="10"/>
                <w:color w:val="auto"/>
                <w:w w:val="97"/>
              </w:rPr>
              <w:t>Rezolve AI Limited</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20" w:type="dxa"/>
            <w:vAlign w:val="bottom"/>
            <w:gridSpan w:val="9"/>
          </w:tcPr>
          <w:p>
            <w:pPr>
              <w:jc w:val="center"/>
              <w:ind w:right="700"/>
              <w:spacing w:after="0"/>
              <w:rPr>
                <w:sz w:val="20"/>
                <w:szCs w:val="20"/>
                <w:color w:val="auto"/>
              </w:rPr>
            </w:pPr>
            <w:r>
              <w:rPr>
                <w:rFonts w:ascii="Times New Roman" w:cs="Times New Roman" w:eastAsia="Times New Roman" w:hAnsi="Times New Roman"/>
                <w:sz w:val="10"/>
                <w:szCs w:val="10"/>
                <w:color w:val="auto"/>
                <w:w w:val="97"/>
              </w:rPr>
              <w:t>(Exact Name of Registrant as Specified in its Charter)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0"/>
                <w:szCs w:val="10"/>
                <w:color w:val="auto"/>
                <w:w w:val="97"/>
              </w:rPr>
              <w:t>Table 1: Newly Registered and Carry Forward Securities</w:t>
            </w:r>
          </w:p>
        </w:tc>
        <w:tc>
          <w:tcPr>
            <w:tcW w:w="70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440"/>
              <w:spacing w:after="0"/>
              <w:rPr>
                <w:sz w:val="20"/>
                <w:szCs w:val="20"/>
                <w:color w:val="auto"/>
              </w:rPr>
            </w:pPr>
            <w:r>
              <w:rPr>
                <w:rFonts w:ascii="Times New Roman" w:cs="Times New Roman" w:eastAsia="Times New Roman" w:hAnsi="Times New Roman"/>
                <w:sz w:val="10"/>
                <w:szCs w:val="10"/>
                <w:b w:val="1"/>
                <w:bCs w:val="1"/>
                <w:color w:val="auto"/>
              </w:rPr>
              <w:t>Fee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4"/>
          </w:tcPr>
          <w:p>
            <w:pPr>
              <w:jc w:val="center"/>
              <w:ind w:right="620"/>
              <w:spacing w:after="0"/>
              <w:rPr>
                <w:sz w:val="20"/>
                <w:szCs w:val="20"/>
                <w:color w:val="auto"/>
              </w:rPr>
            </w:pPr>
            <w:r>
              <w:rPr>
                <w:rFonts w:ascii="Times New Roman" w:cs="Times New Roman" w:eastAsia="Times New Roman" w:hAnsi="Times New Roman"/>
                <w:sz w:val="10"/>
                <w:szCs w:val="10"/>
                <w:b w:val="1"/>
                <w:bCs w:val="1"/>
                <w:color w:val="auto"/>
                <w:w w:val="94"/>
              </w:rPr>
              <w:t>Proposed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jc w:val="center"/>
              <w:ind w:left="91"/>
              <w:spacing w:after="0" w:line="113" w:lineRule="exact"/>
              <w:rPr>
                <w:sz w:val="20"/>
                <w:szCs w:val="20"/>
                <w:color w:val="auto"/>
              </w:rPr>
            </w:pPr>
            <w:r>
              <w:rPr>
                <w:rFonts w:ascii="Times New Roman" w:cs="Times New Roman" w:eastAsia="Times New Roman" w:hAnsi="Times New Roman"/>
                <w:sz w:val="10"/>
                <w:szCs w:val="10"/>
                <w:b w:val="1"/>
                <w:bCs w:val="1"/>
                <w:color w:val="auto"/>
                <w:w w:val="96"/>
              </w:rPr>
              <w:t>Calculation</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tcPr>
          <w:p>
            <w:pPr>
              <w:jc w:val="center"/>
              <w:ind w:right="620"/>
              <w:spacing w:after="0" w:line="113" w:lineRule="exact"/>
              <w:rPr>
                <w:sz w:val="20"/>
                <w:szCs w:val="20"/>
                <w:color w:val="auto"/>
              </w:rPr>
            </w:pPr>
            <w:r>
              <w:rPr>
                <w:rFonts w:ascii="Times New Roman" w:cs="Times New Roman" w:eastAsia="Times New Roman" w:hAnsi="Times New Roman"/>
                <w:sz w:val="10"/>
                <w:szCs w:val="10"/>
                <w:b w:val="1"/>
                <w:bCs w:val="1"/>
                <w:color w:val="auto"/>
                <w:w w:val="94"/>
              </w:rPr>
              <w:t>Maximum</w:t>
            </w:r>
          </w:p>
        </w:tc>
        <w:tc>
          <w:tcPr>
            <w:tcW w:w="880" w:type="dxa"/>
            <w:vAlign w:val="bottom"/>
          </w:tcPr>
          <w:p>
            <w:pPr>
              <w:jc w:val="center"/>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5"/>
              </w:rPr>
              <w:t>Security</w:t>
            </w:r>
          </w:p>
        </w:tc>
        <w:tc>
          <w:tcPr>
            <w:tcW w:w="120" w:type="dxa"/>
            <w:vAlign w:val="bottom"/>
          </w:tcPr>
          <w:p>
            <w:pPr>
              <w:spacing w:after="0"/>
              <w:rPr>
                <w:sz w:val="9"/>
                <w:szCs w:val="9"/>
                <w:color w:val="auto"/>
              </w:rPr>
            </w:pPr>
          </w:p>
        </w:tc>
        <w:tc>
          <w:tcPr>
            <w:tcW w:w="900" w:type="dxa"/>
            <w:vAlign w:val="bottom"/>
          </w:tcPr>
          <w:p>
            <w:pPr>
              <w:jc w:val="center"/>
              <w:ind w:left="71"/>
              <w:spacing w:after="0" w:line="113" w:lineRule="exact"/>
              <w:rPr>
                <w:sz w:val="20"/>
                <w:szCs w:val="20"/>
                <w:color w:val="auto"/>
              </w:rPr>
            </w:pPr>
            <w:r>
              <w:rPr>
                <w:rFonts w:ascii="Times New Roman" w:cs="Times New Roman" w:eastAsia="Times New Roman" w:hAnsi="Times New Roman"/>
                <w:sz w:val="10"/>
                <w:szCs w:val="10"/>
                <w:b w:val="1"/>
                <w:bCs w:val="1"/>
                <w:color w:val="auto"/>
                <w:w w:val="99"/>
              </w:rPr>
              <w:t>or Carry</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tcPr>
          <w:p>
            <w:pPr>
              <w:jc w:val="center"/>
              <w:ind w:right="620"/>
              <w:spacing w:after="0" w:line="113" w:lineRule="exact"/>
              <w:rPr>
                <w:sz w:val="20"/>
                <w:szCs w:val="20"/>
                <w:color w:val="auto"/>
              </w:rPr>
            </w:pPr>
            <w:r>
              <w:rPr>
                <w:rFonts w:ascii="Times New Roman" w:cs="Times New Roman" w:eastAsia="Times New Roman" w:hAnsi="Times New Roman"/>
                <w:sz w:val="10"/>
                <w:szCs w:val="10"/>
                <w:b w:val="1"/>
                <w:bCs w:val="1"/>
                <w:color w:val="auto"/>
                <w:w w:val="92"/>
              </w:rPr>
              <w:t>Offering</w:t>
            </w:r>
          </w:p>
        </w:tc>
        <w:tc>
          <w:tcPr>
            <w:tcW w:w="880" w:type="dxa"/>
            <w:vAlign w:val="bottom"/>
          </w:tcPr>
          <w:p>
            <w:pPr>
              <w:jc w:val="center"/>
              <w:ind w:right="1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Aggregate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5"/>
              </w:rPr>
              <w:t>Amount of</w:t>
            </w: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5"/>
              </w:rPr>
              <w:t>Security</w:t>
            </w:r>
          </w:p>
        </w:tc>
        <w:tc>
          <w:tcPr>
            <w:tcW w:w="100" w:type="dxa"/>
            <w:vAlign w:val="bottom"/>
          </w:tcPr>
          <w:p>
            <w:pPr>
              <w:spacing w:after="0"/>
              <w:rPr>
                <w:sz w:val="9"/>
                <w:szCs w:val="9"/>
                <w:color w:val="auto"/>
              </w:rPr>
            </w:pPr>
          </w:p>
        </w:tc>
        <w:tc>
          <w:tcPr>
            <w:tcW w:w="1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6"/>
              </w:rPr>
              <w:t>Class</w:t>
            </w:r>
          </w:p>
        </w:tc>
        <w:tc>
          <w:tcPr>
            <w:tcW w:w="120" w:type="dxa"/>
            <w:vAlign w:val="bottom"/>
          </w:tcPr>
          <w:p>
            <w:pPr>
              <w:spacing w:after="0"/>
              <w:rPr>
                <w:sz w:val="9"/>
                <w:szCs w:val="9"/>
                <w:color w:val="auto"/>
              </w:rPr>
            </w:pPr>
          </w:p>
        </w:tc>
        <w:tc>
          <w:tcPr>
            <w:tcW w:w="900" w:type="dxa"/>
            <w:vAlign w:val="bottom"/>
          </w:tcPr>
          <w:p>
            <w:pPr>
              <w:jc w:val="center"/>
              <w:ind w:left="71"/>
              <w:spacing w:after="0" w:line="113" w:lineRule="exact"/>
              <w:rPr>
                <w:sz w:val="20"/>
                <w:szCs w:val="20"/>
                <w:color w:val="auto"/>
              </w:rPr>
            </w:pPr>
            <w:r>
              <w:rPr>
                <w:rFonts w:ascii="Times New Roman" w:cs="Times New Roman" w:eastAsia="Times New Roman" w:hAnsi="Times New Roman"/>
                <w:sz w:val="10"/>
                <w:szCs w:val="10"/>
                <w:b w:val="1"/>
                <w:bCs w:val="1"/>
                <w:color w:val="auto"/>
              </w:rPr>
              <w:t>Forward</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3"/>
          </w:tcPr>
          <w:p>
            <w:pPr>
              <w:jc w:val="center"/>
              <w:ind w:right="440"/>
              <w:spacing w:after="0" w:line="113"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120" w:type="dxa"/>
            <w:vAlign w:val="bottom"/>
            <w:gridSpan w:val="4"/>
          </w:tcPr>
          <w:p>
            <w:pPr>
              <w:jc w:val="center"/>
              <w:ind w:right="620"/>
              <w:spacing w:after="0" w:line="113" w:lineRule="exact"/>
              <w:rPr>
                <w:sz w:val="20"/>
                <w:szCs w:val="20"/>
                <w:color w:val="auto"/>
              </w:rPr>
            </w:pPr>
            <w:r>
              <w:rPr>
                <w:rFonts w:ascii="Times New Roman" w:cs="Times New Roman" w:eastAsia="Times New Roman" w:hAnsi="Times New Roman"/>
                <w:sz w:val="10"/>
                <w:szCs w:val="10"/>
                <w:b w:val="1"/>
                <w:bCs w:val="1"/>
                <w:color w:val="auto"/>
                <w:w w:val="95"/>
              </w:rPr>
              <w:t>Price Per</w:t>
            </w:r>
          </w:p>
        </w:tc>
        <w:tc>
          <w:tcPr>
            <w:tcW w:w="880" w:type="dxa"/>
            <w:vAlign w:val="bottom"/>
          </w:tcPr>
          <w:p>
            <w:pPr>
              <w:jc w:val="center"/>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center"/>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8"/>
              </w:rPr>
              <w:t>Registration</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Type</w:t>
            </w: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Title</w:t>
            </w:r>
          </w:p>
        </w:tc>
        <w:tc>
          <w:tcPr>
            <w:tcW w:w="120" w:type="dxa"/>
            <w:vAlign w:val="bottom"/>
          </w:tcPr>
          <w:p>
            <w:pPr>
              <w:spacing w:after="0"/>
              <w:rPr>
                <w:sz w:val="10"/>
                <w:szCs w:val="10"/>
                <w:color w:val="auto"/>
              </w:rPr>
            </w:pPr>
          </w:p>
        </w:tc>
        <w:tc>
          <w:tcPr>
            <w:tcW w:w="900" w:type="dxa"/>
            <w:vAlign w:val="bottom"/>
          </w:tcPr>
          <w:p>
            <w:pPr>
              <w:jc w:val="center"/>
              <w:ind w:left="91"/>
              <w:spacing w:after="0"/>
              <w:rPr>
                <w:sz w:val="20"/>
                <w:szCs w:val="20"/>
                <w:color w:val="auto"/>
              </w:rPr>
            </w:pPr>
            <w:r>
              <w:rPr>
                <w:rFonts w:ascii="Times New Roman" w:cs="Times New Roman" w:eastAsia="Times New Roman" w:hAnsi="Times New Roman"/>
                <w:sz w:val="10"/>
                <w:szCs w:val="10"/>
                <w:b w:val="1"/>
                <w:bCs w:val="1"/>
                <w:color w:val="auto"/>
                <w:w w:val="99"/>
              </w:rPr>
              <w:t>Rule</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3"/>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7"/>
              </w:rPr>
              <w:t>Registered (a)</w:t>
            </w:r>
          </w:p>
        </w:tc>
        <w:tc>
          <w:tcPr>
            <w:tcW w:w="1120" w:type="dxa"/>
            <w:vAlign w:val="bottom"/>
            <w:gridSpan w:val="4"/>
          </w:tcPr>
          <w:p>
            <w:pPr>
              <w:jc w:val="center"/>
              <w:ind w:right="620"/>
              <w:spacing w:after="0"/>
              <w:rPr>
                <w:sz w:val="20"/>
                <w:szCs w:val="20"/>
                <w:color w:val="auto"/>
              </w:rPr>
            </w:pPr>
            <w:r>
              <w:rPr>
                <w:rFonts w:ascii="Times New Roman" w:cs="Times New Roman" w:eastAsia="Times New Roman" w:hAnsi="Times New Roman"/>
                <w:sz w:val="10"/>
                <w:szCs w:val="10"/>
                <w:b w:val="1"/>
                <w:bCs w:val="1"/>
                <w:color w:val="auto"/>
                <w:w w:val="95"/>
              </w:rPr>
              <w:t>Unit</w:t>
            </w:r>
          </w:p>
        </w:tc>
        <w:tc>
          <w:tcPr>
            <w:tcW w:w="880" w:type="dxa"/>
            <w:vAlign w:val="bottom"/>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7"/>
              </w:rPr>
              <w:t>Price (b)</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Fee Rate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Fee</w:t>
            </w:r>
          </w:p>
        </w:tc>
        <w:tc>
          <w:tcPr>
            <w:tcW w:w="0" w:type="dxa"/>
            <w:vAlign w:val="bottom"/>
          </w:tcPr>
          <w:p>
            <w:pPr>
              <w:spacing w:after="0"/>
              <w:rPr>
                <w:sz w:val="1"/>
                <w:szCs w:val="1"/>
                <w:color w:val="auto"/>
              </w:rPr>
            </w:pPr>
          </w:p>
        </w:tc>
      </w:tr>
      <w:tr>
        <w:trPr>
          <w:trHeight w:val="101"/>
        </w:trPr>
        <w:tc>
          <w:tcPr>
            <w:tcW w:w="1220" w:type="dxa"/>
            <w:vAlign w:val="bottom"/>
            <w:shd w:val="clear" w:color="auto" w:fill="CCEEFF"/>
          </w:tcPr>
          <w:p>
            <w:pPr>
              <w:jc w:val="center"/>
              <w:ind w:right="11"/>
              <w:spacing w:after="0" w:line="101" w:lineRule="exact"/>
              <w:rPr>
                <w:sz w:val="20"/>
                <w:szCs w:val="20"/>
                <w:color w:val="auto"/>
              </w:rPr>
            </w:pPr>
            <w:r>
              <w:rPr>
                <w:rFonts w:ascii="Times New Roman" w:cs="Times New Roman" w:eastAsia="Times New Roman" w:hAnsi="Times New Roman"/>
                <w:sz w:val="10"/>
                <w:szCs w:val="10"/>
                <w:color w:val="auto"/>
                <w:w w:val="94"/>
              </w:rPr>
              <w:t>Fees to Be</w:t>
            </w:r>
          </w:p>
        </w:tc>
        <w:tc>
          <w:tcPr>
            <w:tcW w:w="78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7"/>
              </w:rPr>
              <w:t>Ordinary Shares</w:t>
            </w:r>
          </w:p>
        </w:tc>
        <w:tc>
          <w:tcPr>
            <w:tcW w:w="120" w:type="dxa"/>
            <w:vAlign w:val="bottom"/>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jc w:val="center"/>
              <w:ind w:left="111"/>
              <w:spacing w:after="0" w:line="101" w:lineRule="exact"/>
              <w:rPr>
                <w:sz w:val="20"/>
                <w:szCs w:val="20"/>
                <w:color w:val="auto"/>
              </w:rPr>
            </w:pPr>
            <w:r>
              <w:rPr>
                <w:rFonts w:ascii="Times New Roman" w:cs="Times New Roman" w:eastAsia="Times New Roman" w:hAnsi="Times New Roman"/>
                <w:sz w:val="10"/>
                <w:szCs w:val="10"/>
                <w:color w:val="auto"/>
                <w:w w:val="97"/>
              </w:rPr>
              <w:t>457(o)</w:t>
            </w:r>
          </w:p>
        </w:tc>
        <w:tc>
          <w:tcPr>
            <w:tcW w:w="16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Paid</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w w:val="95"/>
              </w:rPr>
              <w:t>153.10 per $1,000,000</w:t>
            </w:r>
          </w:p>
        </w:tc>
        <w:tc>
          <w:tcPr>
            <w:tcW w:w="32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2,296.50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220" w:type="dxa"/>
            <w:vAlign w:val="bottom"/>
          </w:tcPr>
          <w:p>
            <w:pPr>
              <w:spacing w:after="0"/>
              <w:rPr>
                <w:sz w:val="9"/>
                <w:szCs w:val="9"/>
                <w:color w:val="auto"/>
              </w:rPr>
            </w:pPr>
          </w:p>
        </w:tc>
        <w:tc>
          <w:tcPr>
            <w:tcW w:w="7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tcPr>
          <w:p>
            <w:pPr>
              <w:spacing w:after="0"/>
              <w:rPr>
                <w:sz w:val="9"/>
                <w:szCs w:val="9"/>
                <w:color w:val="auto"/>
              </w:rPr>
            </w:pPr>
          </w:p>
        </w:tc>
        <w:tc>
          <w:tcPr>
            <w:tcW w:w="1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8"/>
              </w:rPr>
              <w:t>Warrants</w:t>
            </w:r>
          </w:p>
        </w:tc>
        <w:tc>
          <w:tcPr>
            <w:tcW w:w="120" w:type="dxa"/>
            <w:vAlign w:val="bottom"/>
          </w:tcPr>
          <w:p>
            <w:pPr>
              <w:spacing w:after="0"/>
              <w:rPr>
                <w:sz w:val="9"/>
                <w:szCs w:val="9"/>
                <w:color w:val="auto"/>
              </w:rPr>
            </w:pPr>
          </w:p>
        </w:tc>
        <w:tc>
          <w:tcPr>
            <w:tcW w:w="900" w:type="dxa"/>
            <w:vAlign w:val="bottom"/>
          </w:tcPr>
          <w:p>
            <w:pPr>
              <w:jc w:val="center"/>
              <w:ind w:left="111"/>
              <w:spacing w:after="0" w:line="113" w:lineRule="exact"/>
              <w:rPr>
                <w:sz w:val="20"/>
                <w:szCs w:val="20"/>
                <w:color w:val="auto"/>
              </w:rPr>
            </w:pPr>
            <w:r>
              <w:rPr>
                <w:rFonts w:ascii="Times New Roman" w:cs="Times New Roman" w:eastAsia="Times New Roman" w:hAnsi="Times New Roman"/>
                <w:sz w:val="10"/>
                <w:szCs w:val="10"/>
                <w:color w:val="auto"/>
                <w:w w:val="89"/>
              </w:rPr>
              <w:t>(c)</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shd w:val="clear" w:color="auto" w:fill="CCECFF"/>
          </w:tcPr>
          <w:p>
            <w:pPr>
              <w:spacing w:after="0"/>
              <w:rPr>
                <w:sz w:val="9"/>
                <w:szCs w:val="9"/>
                <w:color w:val="auto"/>
              </w:rPr>
            </w:pPr>
          </w:p>
        </w:tc>
        <w:tc>
          <w:tcPr>
            <w:tcW w:w="780" w:type="dxa"/>
            <w:vAlign w:val="bottom"/>
            <w:shd w:val="clear" w:color="auto" w:fill="CCEC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shd w:val="clear" w:color="auto" w:fill="CCECFF"/>
          </w:tcPr>
          <w:p>
            <w:pPr>
              <w:spacing w:after="0"/>
              <w:rPr>
                <w:sz w:val="9"/>
                <w:szCs w:val="9"/>
                <w:color w:val="auto"/>
              </w:rPr>
            </w:pPr>
          </w:p>
        </w:tc>
        <w:tc>
          <w:tcPr>
            <w:tcW w:w="1080" w:type="dxa"/>
            <w:vAlign w:val="bottom"/>
            <w:shd w:val="clear" w:color="auto" w:fill="CCEC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Pre-Funded Warrants</w:t>
            </w:r>
          </w:p>
        </w:tc>
        <w:tc>
          <w:tcPr>
            <w:tcW w:w="120" w:type="dxa"/>
            <w:vAlign w:val="bottom"/>
            <w:shd w:val="clear" w:color="auto" w:fill="CCECFF"/>
          </w:tcPr>
          <w:p>
            <w:pPr>
              <w:spacing w:after="0"/>
              <w:rPr>
                <w:sz w:val="9"/>
                <w:szCs w:val="9"/>
                <w:color w:val="auto"/>
              </w:rPr>
            </w:pPr>
          </w:p>
        </w:tc>
        <w:tc>
          <w:tcPr>
            <w:tcW w:w="900" w:type="dxa"/>
            <w:vAlign w:val="bottom"/>
            <w:shd w:val="clear" w:color="auto" w:fill="CCECFF"/>
          </w:tcPr>
          <w:p>
            <w:pPr>
              <w:jc w:val="center"/>
              <w:ind w:left="111"/>
              <w:spacing w:after="0" w:line="113" w:lineRule="exact"/>
              <w:rPr>
                <w:sz w:val="20"/>
                <w:szCs w:val="20"/>
                <w:color w:val="auto"/>
              </w:rPr>
            </w:pPr>
            <w:r>
              <w:rPr>
                <w:rFonts w:ascii="Times New Roman" w:cs="Times New Roman" w:eastAsia="Times New Roman" w:hAnsi="Times New Roman"/>
                <w:sz w:val="10"/>
                <w:szCs w:val="10"/>
                <w:color w:val="auto"/>
                <w:w w:val="96"/>
              </w:rPr>
              <w:t>(c)(d)</w:t>
            </w:r>
          </w:p>
        </w:tc>
        <w:tc>
          <w:tcPr>
            <w:tcW w:w="1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42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9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7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Ordinary Shares</w:t>
            </w:r>
          </w:p>
        </w:tc>
        <w:tc>
          <w:tcPr>
            <w:tcW w:w="120" w:type="dxa"/>
            <w:vAlign w:val="bottom"/>
          </w:tcPr>
          <w:p>
            <w:pPr>
              <w:spacing w:after="0"/>
              <w:rPr>
                <w:sz w:val="9"/>
                <w:szCs w:val="9"/>
                <w:color w:val="auto"/>
              </w:rPr>
            </w:pPr>
          </w:p>
        </w:tc>
        <w:tc>
          <w:tcPr>
            <w:tcW w:w="900" w:type="dxa"/>
            <w:vAlign w:val="bottom"/>
          </w:tcPr>
          <w:p>
            <w:pPr>
              <w:jc w:val="center"/>
              <w:ind w:left="111"/>
              <w:spacing w:after="0" w:line="106" w:lineRule="exact"/>
              <w:rPr>
                <w:sz w:val="20"/>
                <w:szCs w:val="20"/>
                <w:color w:val="auto"/>
              </w:rPr>
            </w:pPr>
            <w:r>
              <w:rPr>
                <w:rFonts w:ascii="Times New Roman" w:cs="Times New Roman" w:eastAsia="Times New Roman" w:hAnsi="Times New Roman"/>
                <w:sz w:val="10"/>
                <w:szCs w:val="10"/>
                <w:color w:val="auto"/>
                <w:w w:val="97"/>
              </w:rPr>
              <w:t>457(o)</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underlying Warrants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ind w:left="100"/>
              <w:spacing w:after="0"/>
              <w:rPr>
                <w:sz w:val="20"/>
                <w:szCs w:val="20"/>
                <w:color w:val="auto"/>
              </w:rPr>
            </w:pPr>
            <w:r>
              <w:rPr>
                <w:rFonts w:ascii="Times New Roman" w:cs="Times New Roman" w:eastAsia="Times New Roman" w:hAnsi="Times New Roman"/>
                <w:sz w:val="10"/>
                <w:szCs w:val="10"/>
                <w:color w:val="auto"/>
                <w:w w:val="95"/>
              </w:rPr>
              <w:t>153.10 per $1,000,000</w:t>
            </w:r>
          </w:p>
        </w:tc>
        <w:tc>
          <w:tcPr>
            <w:tcW w:w="320" w:type="dxa"/>
            <w:vAlign w:val="bottom"/>
            <w:gridSpan w:val="2"/>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2,296.50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220" w:type="dxa"/>
            <w:vAlign w:val="bottom"/>
            <w:shd w:val="clear" w:color="auto" w:fill="CCEEFF"/>
          </w:tcPr>
          <w:p>
            <w:pPr>
              <w:spacing w:after="0"/>
              <w:rPr>
                <w:sz w:val="9"/>
                <w:szCs w:val="9"/>
                <w:color w:val="auto"/>
              </w:rPr>
            </w:pPr>
          </w:p>
        </w:tc>
        <w:tc>
          <w:tcPr>
            <w:tcW w:w="78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Equity</w:t>
            </w: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Ordinary Shares</w:t>
            </w: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jc w:val="center"/>
              <w:ind w:left="91"/>
              <w:spacing w:after="0" w:line="106" w:lineRule="exact"/>
              <w:rPr>
                <w:sz w:val="20"/>
                <w:szCs w:val="20"/>
                <w:color w:val="auto"/>
              </w:rPr>
            </w:pPr>
            <w:r>
              <w:rPr>
                <w:rFonts w:ascii="Times New Roman" w:cs="Times New Roman" w:eastAsia="Times New Roman" w:hAnsi="Times New Roman"/>
                <w:sz w:val="10"/>
                <w:szCs w:val="10"/>
                <w:color w:val="auto"/>
              </w:rPr>
              <w:t>(d)</w:t>
            </w: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underlying Pre-Funded</w:t>
            </w: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Warrants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spacing w:after="0"/>
              <w:rPr>
                <w:sz w:val="10"/>
                <w:szCs w:val="10"/>
                <w:color w:val="auto"/>
              </w:rPr>
            </w:pPr>
          </w:p>
        </w:tc>
        <w:tc>
          <w:tcPr>
            <w:tcW w:w="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122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Fees</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tcPr>
          <w:p>
            <w:pPr>
              <w:spacing w:after="0"/>
              <w:rPr>
                <w:sz w:val="9"/>
                <w:szCs w:val="9"/>
                <w:color w:val="auto"/>
              </w:rPr>
            </w:pPr>
          </w:p>
        </w:tc>
        <w:tc>
          <w:tcPr>
            <w:tcW w:w="900" w:type="dxa"/>
            <w:vAlign w:val="bottom"/>
          </w:tcPr>
          <w:p>
            <w:pPr>
              <w:jc w:val="center"/>
              <w:ind w:left="111"/>
              <w:spacing w:after="0" w:line="106" w:lineRule="exact"/>
              <w:rPr>
                <w:sz w:val="20"/>
                <w:szCs w:val="20"/>
                <w:color w:val="auto"/>
              </w:rPr>
            </w:pPr>
            <w:r>
              <w:rPr>
                <w:rFonts w:ascii="Times New Roman" w:cs="Times New Roman" w:eastAsia="Times New Roman" w:hAnsi="Times New Roman"/>
                <w:sz w:val="10"/>
                <w:szCs w:val="10"/>
                <w:color w:val="auto"/>
                <w:w w:val="99"/>
              </w:rPr>
              <w:t>—</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tcPr>
          <w:p>
            <w:pPr>
              <w:jc w:val="center"/>
              <w:ind w:right="11"/>
              <w:spacing w:after="0" w:line="113" w:lineRule="exact"/>
              <w:rPr>
                <w:sz w:val="20"/>
                <w:szCs w:val="20"/>
                <w:color w:val="auto"/>
              </w:rPr>
            </w:pPr>
            <w:r>
              <w:rPr>
                <w:rFonts w:ascii="Times New Roman" w:cs="Times New Roman" w:eastAsia="Times New Roman" w:hAnsi="Times New Roman"/>
                <w:sz w:val="10"/>
                <w:szCs w:val="10"/>
                <w:color w:val="auto"/>
                <w:w w:val="93"/>
              </w:rPr>
              <w:t>Previously</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122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color w:val="auto"/>
              </w:rPr>
              <w:t>Paid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gridSpan w:val="3"/>
          </w:tcPr>
          <w:p>
            <w:pPr>
              <w:ind w:left="880"/>
              <w:spacing w:after="0" w:line="104"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9"/>
                <w:szCs w:val="9"/>
                <w:color w:val="auto"/>
              </w:rPr>
            </w:pPr>
          </w:p>
        </w:tc>
        <w:tc>
          <w:tcPr>
            <w:tcW w:w="700" w:type="dxa"/>
            <w:vAlign w:val="bottom"/>
            <w:gridSpan w:val="3"/>
          </w:tcPr>
          <w:p>
            <w:pPr>
              <w:jc w:val="right"/>
              <w:ind w:right="400"/>
              <w:spacing w:after="0" w:line="104"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ind w:left="420"/>
              <w:spacing w:after="0" w:line="10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shd w:val="clear" w:color="auto" w:fill="CCEEFF"/>
          </w:tcPr>
          <w:p>
            <w:pPr>
              <w:jc w:val="center"/>
              <w:ind w:right="11"/>
              <w:spacing w:after="0" w:line="108" w:lineRule="exact"/>
              <w:rPr>
                <w:sz w:val="20"/>
                <w:szCs w:val="20"/>
                <w:color w:val="auto"/>
              </w:rPr>
            </w:pPr>
            <w:r>
              <w:rPr>
                <w:rFonts w:ascii="Times New Roman" w:cs="Times New Roman" w:eastAsia="Times New Roman" w:hAnsi="Times New Roman"/>
                <w:sz w:val="10"/>
                <w:szCs w:val="10"/>
                <w:b w:val="1"/>
                <w:bCs w:val="1"/>
                <w:color w:val="auto"/>
                <w:w w:val="96"/>
              </w:rPr>
              <w:t>Total Offering Amounts</w:t>
            </w: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gridSpan w:val="4"/>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30,000,000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ind w:right="111"/>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4,593.00</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2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w w:val="98"/>
              </w:rPr>
              <w:t>Total Fees Previously Paid</w:t>
            </w: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gridSpan w:val="2"/>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220" w:type="dxa"/>
            <w:vAlign w:val="bottom"/>
            <w:tcBorders>
              <w:bottom w:val="single" w:sz="8" w:color="CCEEFF"/>
            </w:tcBorders>
            <w:shd w:val="clear" w:color="auto" w:fill="CCEEFF"/>
          </w:tcPr>
          <w:p>
            <w:pPr>
              <w:ind w:left="80"/>
              <w:spacing w:after="0" w:line="113" w:lineRule="exact"/>
              <w:rPr>
                <w:sz w:val="20"/>
                <w:szCs w:val="20"/>
                <w:color w:val="auto"/>
              </w:rPr>
            </w:pPr>
            <w:r>
              <w:rPr>
                <w:rFonts w:ascii="Times New Roman" w:cs="Times New Roman" w:eastAsia="Times New Roman" w:hAnsi="Times New Roman"/>
                <w:sz w:val="10"/>
                <w:szCs w:val="10"/>
                <w:b w:val="1"/>
                <w:bCs w:val="1"/>
                <w:color w:val="auto"/>
              </w:rPr>
              <w:t>Total Fee Offsets</w:t>
            </w:r>
          </w:p>
        </w:tc>
        <w:tc>
          <w:tcPr>
            <w:tcW w:w="7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22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b w:val="1"/>
                <w:bCs w:val="1"/>
                <w:color w:val="auto"/>
              </w:rPr>
              <w:t>Net Fee Due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jc w:val="right"/>
              <w:ind w:right="111"/>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4593.00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2" w:right="200" w:hanging="262"/>
        <w:spacing w:after="0" w:line="255" w:lineRule="auto"/>
        <w:tabs>
          <w:tab w:leader="none" w:pos="262"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accordance with Rule 416 under the Securities Act of 1933, as amended (the “Securities Act”), this registration statement shall be deemed to cover an indeterminate number of additional shares of ordinary shares to be offered or issued from stock splits, stock dividends or similar transactions.</w:t>
      </w:r>
    </w:p>
    <w:p>
      <w:pPr>
        <w:spacing w:after="0" w:line="108" w:lineRule="exact"/>
        <w:rPr>
          <w:rFonts w:ascii="Times New Roman" w:cs="Times New Roman" w:eastAsia="Times New Roman" w:hAnsi="Times New Roman"/>
          <w:sz w:val="10"/>
          <w:szCs w:val="10"/>
          <w:color w:val="auto"/>
        </w:rPr>
      </w:pPr>
    </w:p>
    <w:p>
      <w:pPr>
        <w:ind w:left="262" w:hanging="262"/>
        <w:spacing w:after="0"/>
        <w:tabs>
          <w:tab w:leader="none" w:pos="262"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proposed maximum aggregate offering price has been estimated solely to calculate the registration fee in accordance with Rule 457(o) under the Securities Act.</w:t>
      </w:r>
    </w:p>
    <w:p>
      <w:pPr>
        <w:spacing w:after="0" w:line="125" w:lineRule="exact"/>
        <w:rPr>
          <w:rFonts w:ascii="Times New Roman" w:cs="Times New Roman" w:eastAsia="Times New Roman" w:hAnsi="Times New Roman"/>
          <w:sz w:val="10"/>
          <w:szCs w:val="10"/>
          <w:color w:val="auto"/>
        </w:rPr>
      </w:pPr>
    </w:p>
    <w:p>
      <w:pPr>
        <w:ind w:left="462" w:hanging="462"/>
        <w:spacing w:after="0"/>
        <w:tabs>
          <w:tab w:leader="none" w:pos="462"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 separate registration fee required pursuant to Rule 457(g).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556895</wp:posOffset>
            </wp:positionV>
            <wp:extent cx="6778625" cy="34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2"/>
          </w:cols>
          <w:pgMar w:left="638" w:top="1281" w:right="640" w:bottom="1440" w:gutter="0" w:footer="0" w:header="0"/>
        </w:sectPr>
      </w:pPr>
    </w:p>
    <w:bookmarkStart w:id="291" w:name="page292"/>
    <w:bookmarkEnd w:id="291"/>
    <w:p>
      <w:pPr>
        <w:ind w:left="262" w:hanging="262"/>
        <w:spacing w:after="0"/>
        <w:tabs>
          <w:tab w:leader="none" w:pos="262"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registrant may issue pre-funded warrants to purchase shares of ordinary shares in the offering. The purchase price of each pre-funded warrant will equal the price per share at which shares of common shares are being sold to the public in this offering, minus</w:t>
      </w:r>
    </w:p>
    <w:p>
      <w:pPr>
        <w:spacing w:after="0" w:line="19" w:lineRule="exact"/>
        <w:rPr>
          <w:rFonts w:ascii="Times New Roman" w:cs="Times New Roman" w:eastAsia="Times New Roman" w:hAnsi="Times New Roman"/>
          <w:sz w:val="9"/>
          <w:szCs w:val="9"/>
          <w:color w:val="auto"/>
        </w:rPr>
      </w:pPr>
    </w:p>
    <w:p>
      <w:pPr>
        <w:ind w:left="262"/>
        <w:spacing w:after="0" w:line="236" w:lineRule="auto"/>
        <w:rPr>
          <w:rFonts w:ascii="Times New Roman" w:cs="Times New Roman" w:eastAsia="Times New Roman" w:hAnsi="Times New Roman"/>
          <w:sz w:val="9"/>
          <w:szCs w:val="9"/>
          <w:color w:val="auto"/>
        </w:rPr>
      </w:pPr>
      <w:r>
        <w:rPr>
          <w:rFonts w:ascii="Times New Roman" w:cs="Times New Roman" w:eastAsia="Times New Roman" w:hAnsi="Times New Roman"/>
          <w:sz w:val="10"/>
          <w:szCs w:val="10"/>
          <w:color w:val="auto"/>
        </w:rPr>
        <w:t>$0.0001, which constitutes the pre-funded portion of the exercise price, and the remaining unpaid exercise price of the pre-funded warrant will equal $0.0001 per share (subject to adjustment as provided for therein). The proposed maximum aggregate offering price of the ordinary shares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ordinary shares issued in the offering. Accordingly, the proposed maximum aggregate offering price of the ordinary shares and pre-funded warrants (including the ordinary shares issuable upon exercise of the pre-funded warrants), if any, is $7,500,000.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550545</wp:posOffset>
            </wp:positionV>
            <wp:extent cx="6778625"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2"/>
          </w:cols>
          <w:pgMar w:left="638" w:top="1298" w:right="680" w:bottom="1440" w:gutter="0" w:footer="0" w:header="0"/>
        </w:sectPr>
      </w:pPr>
    </w:p>
    <w:bookmarkStart w:id="292" w:name="page293"/>
    <w:bookmarkEnd w:id="292"/>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40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1)"/>
      <w:numFmt w:val="lowerLetter"/>
      <w:start w:val="27"/>
    </w:lvl>
  </w:abstractNum>
  <w:abstractNum w:abstractNumId="4">
    <w:nsid w:val="41A7C4C9"/>
    <w:multiLevelType w:val="hybridMultilevel"/>
    <w:lvl w:ilvl="0">
      <w:lvlJc w:val="left"/>
      <w:lvlText w:val="2"/>
      <w:numFmt w:val="bullet"/>
      <w:start w:val="1"/>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2"/>
      <w:numFmt w:val="bullet"/>
      <w:start w:val="1"/>
    </w:lvl>
  </w:abstractNum>
  <w:abstractNum w:abstractNumId="7">
    <w:nsid w:val="25E45D32"/>
    <w:multiLevelType w:val="hybridMultilevel"/>
    <w:lvl w:ilvl="0">
      <w:lvlJc w:val="left"/>
      <w:lvlText w:val="3"/>
      <w:numFmt w:val="bullet"/>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lowerRoman"/>
      <w:start w:val="2"/>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Roman"/>
      <w:start w:val="2"/>
    </w:lvl>
  </w:abstractNum>
  <w:abstractNum w:abstractNumId="17">
    <w:nsid w:val="721DA317"/>
    <w:multiLevelType w:val="hybridMultilevel"/>
    <w:lvl w:ilvl="0">
      <w:lvlJc w:val="left"/>
      <w:lvlText w:val="(%1)"/>
      <w:numFmt w:val="lowerRoman"/>
      <w:start w:val="2"/>
    </w:lvl>
  </w:abstractNum>
  <w:abstractNum w:abstractNumId="18">
    <w:nsid w:val="2443A858"/>
    <w:multiLevelType w:val="hybridMultilevel"/>
    <w:lvl w:ilvl="0">
      <w:lvlJc w:val="left"/>
      <w:lvlText w:val="(%1)"/>
      <w:numFmt w:val="lowerRoman"/>
      <w:start w:val="2"/>
    </w:lvl>
  </w:abstractNum>
  <w:abstractNum w:abstractNumId="19">
    <w:nsid w:val="2D1D5AE9"/>
    <w:multiLevelType w:val="hybridMultilevel"/>
    <w:lvl w:ilvl="0">
      <w:lvlJc w:val="left"/>
      <w:lvlText w:val="(%1)"/>
      <w:numFmt w:val="lowerRoman"/>
      <w:start w:val="2"/>
    </w:lvl>
  </w:abstractNum>
  <w:abstractNum w:abstractNumId="20">
    <w:nsid w:val="6763845E"/>
    <w:multiLevelType w:val="hybridMultilevel"/>
    <w:lvl w:ilvl="0">
      <w:lvlJc w:val="left"/>
      <w:lvlText w:val="(%1)"/>
      <w:numFmt w:val="lowerRoman"/>
      <w:start w:val="2"/>
    </w:lvl>
  </w:abstractNum>
  <w:abstractNum w:abstractNumId="21">
    <w:nsid w:val="75A2A8D4"/>
    <w:multiLevelType w:val="hybridMultilevel"/>
    <w:lvl w:ilvl="0">
      <w:lvlJc w:val="left"/>
      <w:lvlText w:val="(%1)"/>
      <w:numFmt w:val="lowerRoman"/>
      <w:start w:val="2"/>
    </w:lvl>
  </w:abstractNum>
  <w:abstractNum w:abstractNumId="22">
    <w:nsid w:val="8EDBDAB"/>
    <w:multiLevelType w:val="hybridMultilevel"/>
    <w:lvl w:ilvl="0">
      <w:lvlJc w:val="left"/>
      <w:lvlText w:val="%1"/>
      <w:numFmt w:val="decimal"/>
      <w:start w:val="107"/>
    </w:lvl>
    <w:lvl w:ilvl="1">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
      <w:numFmt w:val="bullet"/>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8"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15" Type="http://schemas.openxmlformats.org/officeDocument/2006/relationships/hyperlink" Target="https://www.sec.gov/Archives/edgar/data/1920294/000119312523240685/d309194df4a.htm#anxacov" TargetMode="External"/><Relationship Id="rId316" Type="http://schemas.openxmlformats.org/officeDocument/2006/relationships/hyperlink" Target="https://www.sec.gov/Archives/edgar/data/1920294/000119312523240685/d309194df4a.htm#anxaa" TargetMode="External"/><Relationship Id="rId317" Type="http://schemas.openxmlformats.org/officeDocument/2006/relationships/hyperlink" Target="https://www.sec.gov/Archives/edgar/data/1920294/000119312524204510/d885107dex43.htm" TargetMode="External"/><Relationship Id="rId319" Type="http://schemas.openxmlformats.org/officeDocument/2006/relationships/hyperlink" Target="https://www.sec.gov/Archives/edgar/data/1920294/000119312524143103/d309194dex1021.htm" TargetMode="External"/><Relationship Id="rId320" Type="http://schemas.openxmlformats.org/officeDocument/2006/relationships/hyperlink" Target="https://www.sec.gov/Archives/edgar/data/1920294/000119312524143103/d309194dex1022.htm" TargetMode="External"/><Relationship Id="rId321" Type="http://schemas.openxmlformats.org/officeDocument/2006/relationships/hyperlink" Target="https://www.sec.gov/Archives/edgar/data/1920294/000119312524143103/d309194dex1023.htm" TargetMode="External"/><Relationship Id="rId322" Type="http://schemas.openxmlformats.org/officeDocument/2006/relationships/hyperlink" Target="https://www.sec.gov/Archives/edgar/data/1920294/000119312524143103/d309194dex1024.htm" TargetMode="External"/><Relationship Id="rId323" Type="http://schemas.openxmlformats.org/officeDocument/2006/relationships/hyperlink" Target="https://www.sec.gov/Archives/edgar/data/1844817/000119312524028592/d701134dex21.htm" TargetMode="External"/><Relationship Id="rId324" Type="http://schemas.openxmlformats.org/officeDocument/2006/relationships/hyperlink" Target="https://www.sec.gov/Archives/edgar/data/1920294/000095017024106474/rzlv-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2024-12-05T09:37:23Z</dcterms:created>
  <dcterms:modified xsi:type="dcterms:W3CDTF">2024-12-05T09:37:23Z</dcterms:modified>
</cp:coreProperties>
</file>