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17, 2025.</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Statement No. 333-290639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STATES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Washington, D.C. 20549</w:t>
            </w:r>
          </w:p>
        </w:tc>
      </w:tr>
      <w:tr>
        <w:trPr>
          <w:trHeight w:val="355"/>
        </w:trPr>
        <w:tc>
          <w:tcPr>
            <w:tcW w:w="3160" w:type="dxa"/>
            <w:vAlign w:val="bottom"/>
          </w:tcPr>
          <w:p>
            <w:pPr>
              <w:spacing w:after="0"/>
              <w:rPr>
                <w:sz w:val="24"/>
                <w:szCs w:val="24"/>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AMENDMENT NO. 1</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w w:val="99"/>
              </w:rPr>
              <w:t>FORM F-3</w:t>
            </w:r>
          </w:p>
        </w:tc>
      </w:tr>
      <w:tr>
        <w:trPr>
          <w:trHeight w:val="201"/>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REGISTRATION STATEMENT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w w:val="99"/>
              </w:rPr>
              <w:t>UNDER</w:t>
            </w:r>
          </w:p>
        </w:tc>
      </w:tr>
      <w:tr>
        <w:trPr>
          <w:trHeight w:val="214"/>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119"/>
              <w:spacing w:after="0"/>
              <w:rPr>
                <w:sz w:val="20"/>
                <w:szCs w:val="20"/>
                <w:color w:val="auto"/>
              </w:rPr>
            </w:pPr>
            <w:r>
              <w:rPr>
                <w:rFonts w:ascii="Times New Roman" w:cs="Times New Roman" w:eastAsia="Times New Roman" w:hAnsi="Times New Roman"/>
                <w:sz w:val="16"/>
                <w:szCs w:val="16"/>
                <w:b w:val="1"/>
                <w:bCs w:val="1"/>
                <w:color w:val="auto"/>
              </w:rPr>
              <w:t>Rezolve AI plc</w:t>
            </w:r>
          </w:p>
        </w:tc>
      </w:tr>
      <w:tr>
        <w:trPr>
          <w:trHeight w:val="212"/>
        </w:trPr>
        <w:tc>
          <w:tcPr>
            <w:tcW w:w="3160" w:type="dxa"/>
            <w:vAlign w:val="bottom"/>
          </w:tcPr>
          <w:p>
            <w:pPr>
              <w:spacing w:after="0"/>
              <w:rPr>
                <w:sz w:val="18"/>
                <w:szCs w:val="18"/>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83"/>
        </w:trPr>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06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88"/>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506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0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74"/>
        </w:trPr>
        <w:tc>
          <w:tcPr>
            <w:tcW w:w="3160" w:type="dxa"/>
            <w:vAlign w:val="bottom"/>
          </w:tcPr>
          <w:p>
            <w:pPr>
              <w:spacing w:after="0"/>
              <w:rPr>
                <w:sz w:val="23"/>
                <w:szCs w:val="23"/>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21 Sackville Street</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London, W1S 3DN</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United Kingdom</w:t>
            </w:r>
          </w:p>
        </w:tc>
      </w:tr>
      <w:tr>
        <w:trPr>
          <w:trHeight w:val="204"/>
        </w:trPr>
        <w:tc>
          <w:tcPr>
            <w:tcW w:w="3160" w:type="dxa"/>
            <w:vAlign w:val="bottom"/>
          </w:tcPr>
          <w:p>
            <w:pPr>
              <w:spacing w:after="0"/>
              <w:rPr>
                <w:sz w:val="17"/>
                <w:szCs w:val="17"/>
                <w:color w:val="auto"/>
              </w:rPr>
            </w:pPr>
          </w:p>
        </w:tc>
        <w:tc>
          <w:tcPr>
            <w:tcW w:w="5060" w:type="dxa"/>
            <w:vAlign w:val="bottom"/>
          </w:tcPr>
          <w:p>
            <w:pPr>
              <w:jc w:val="right"/>
              <w:ind w:right="1859"/>
              <w:spacing w:after="0"/>
              <w:rPr>
                <w:sz w:val="20"/>
                <w:szCs w:val="20"/>
                <w:color w:val="auto"/>
              </w:rPr>
            </w:pPr>
            <w:r>
              <w:rPr>
                <w:rFonts w:ascii="Times New Roman" w:cs="Times New Roman" w:eastAsia="Times New Roman" w:hAnsi="Times New Roman"/>
                <w:sz w:val="16"/>
                <w:szCs w:val="16"/>
                <w:b w:val="1"/>
                <w:bCs w:val="1"/>
                <w:color w:val="auto"/>
              </w:rPr>
              <w:t>(+44 204 625 9700)</w:t>
            </w:r>
          </w:p>
        </w:tc>
        <w:tc>
          <w:tcPr>
            <w:tcW w:w="302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(Address and telephone number of Registrant’s principal executive offices)</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Cogency Global Inc.</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122 East 42nd Street, 18th Floor</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New York, N.Y. 10016</w:t>
            </w:r>
          </w:p>
        </w:tc>
      </w:tr>
      <w:tr>
        <w:trPr>
          <w:trHeight w:val="204"/>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Tel: +1 (212) 947-7200</w:t>
            </w:r>
          </w:p>
        </w:tc>
      </w:tr>
      <w:tr>
        <w:trPr>
          <w:trHeight w:val="210"/>
        </w:trPr>
        <w:tc>
          <w:tcPr>
            <w:tcW w:w="3160" w:type="dxa"/>
            <w:vAlign w:val="bottom"/>
          </w:tcPr>
          <w:p>
            <w:pPr>
              <w:spacing w:after="0"/>
              <w:rPr>
                <w:sz w:val="18"/>
                <w:szCs w:val="18"/>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color w:val="auto"/>
              </w:rPr>
              <w:t>(Name, address, and telephone number of agent for service)</w:t>
            </w:r>
          </w:p>
        </w:tc>
      </w:tr>
      <w:tr>
        <w:trPr>
          <w:trHeight w:val="284"/>
        </w:trPr>
        <w:tc>
          <w:tcPr>
            <w:tcW w:w="3160" w:type="dxa"/>
            <w:vAlign w:val="bottom"/>
          </w:tcPr>
          <w:p>
            <w:pPr>
              <w:spacing w:after="0"/>
              <w:rPr>
                <w:sz w:val="24"/>
                <w:szCs w:val="24"/>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Copies to:</w:t>
            </w:r>
          </w:p>
        </w:tc>
      </w:tr>
      <w:tr>
        <w:trPr>
          <w:trHeight w:val="260"/>
        </w:trPr>
        <w:tc>
          <w:tcPr>
            <w:tcW w:w="3160" w:type="dxa"/>
            <w:vAlign w:val="bottom"/>
          </w:tcPr>
          <w:p>
            <w:pPr>
              <w:spacing w:after="0"/>
              <w:rPr>
                <w:sz w:val="22"/>
                <w:szCs w:val="22"/>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Gerry Williams</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Penny Minna</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DLA Piper LLP</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1201 W Peachtree St NE #2800</w:t>
            </w:r>
          </w:p>
        </w:tc>
      </w:tr>
      <w:tr>
        <w:trPr>
          <w:trHeight w:val="203"/>
        </w:trPr>
        <w:tc>
          <w:tcPr>
            <w:tcW w:w="3160" w:type="dxa"/>
            <w:vAlign w:val="bottom"/>
          </w:tcPr>
          <w:p>
            <w:pPr>
              <w:spacing w:after="0"/>
              <w:rPr>
                <w:sz w:val="17"/>
                <w:szCs w:val="17"/>
                <w:color w:val="auto"/>
              </w:rPr>
            </w:pPr>
          </w:p>
        </w:tc>
        <w:tc>
          <w:tcPr>
            <w:tcW w:w="8080" w:type="dxa"/>
            <w:vAlign w:val="bottom"/>
            <w:gridSpan w:val="2"/>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Atlanta, GA 30309</w:t>
            </w:r>
          </w:p>
        </w:tc>
      </w:tr>
      <w:tr>
        <w:trPr>
          <w:trHeight w:val="212"/>
        </w:trPr>
        <w:tc>
          <w:tcPr>
            <w:tcW w:w="3160" w:type="dxa"/>
            <w:vAlign w:val="bottom"/>
          </w:tcPr>
          <w:p>
            <w:pPr>
              <w:spacing w:after="0"/>
              <w:rPr>
                <w:sz w:val="18"/>
                <w:szCs w:val="18"/>
                <w:color w:val="auto"/>
              </w:rPr>
            </w:pPr>
          </w:p>
        </w:tc>
        <w:tc>
          <w:tcPr>
            <w:tcW w:w="5060" w:type="dxa"/>
            <w:vAlign w:val="bottom"/>
          </w:tcPr>
          <w:p>
            <w:pPr>
              <w:jc w:val="right"/>
              <w:ind w:right="1999"/>
              <w:spacing w:after="0"/>
              <w:rPr>
                <w:sz w:val="20"/>
                <w:szCs w:val="20"/>
                <w:color w:val="auto"/>
              </w:rPr>
            </w:pPr>
            <w:r>
              <w:rPr>
                <w:rFonts w:ascii="Times New Roman" w:cs="Times New Roman" w:eastAsia="Times New Roman" w:hAnsi="Times New Roman"/>
                <w:sz w:val="16"/>
                <w:szCs w:val="16"/>
                <w:b w:val="1"/>
                <w:bCs w:val="1"/>
                <w:color w:val="auto"/>
              </w:rPr>
              <w:t>(404) 736-7800</w:t>
            </w:r>
          </w:p>
        </w:tc>
        <w:tc>
          <w:tcPr>
            <w:tcW w:w="3020" w:type="dxa"/>
            <w:vAlign w:val="bottom"/>
          </w:tcPr>
          <w:p>
            <w:pPr>
              <w:spacing w:after="0"/>
              <w:rPr>
                <w:sz w:val="18"/>
                <w:szCs w:val="18"/>
                <w:color w:val="auto"/>
              </w:rPr>
            </w:pP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Approximate date of commencement of proposed sale to the public: As soon as practicable after this Registration Statement becomes effective.</w:t>
      </w:r>
    </w:p>
    <w:p>
      <w:pPr>
        <w:spacing w:after="0" w:line="6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3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4"/>
          <w:szCs w:val="24"/>
          <w:color w:val="auto"/>
        </w:rPr>
      </w:pPr>
    </w:p>
    <w:p>
      <w:pPr>
        <w:ind w:right="8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I.C. or a post-effective amendment thereto that shall become effective upon filing with the Commission pursuant to </w:t>
      </w:r>
      <w:r>
        <w:rPr>
          <w:rFonts w:ascii="Times New Roman" w:cs="Times New Roman" w:eastAsia="Times New Roman" w:hAnsi="Times New Roman"/>
          <w:sz w:val="16"/>
          <w:szCs w:val="16"/>
          <w:u w:val="single" w:color="auto"/>
          <w:color w:val="auto"/>
        </w:rPr>
        <w:t>Rule 462</w:t>
      </w:r>
      <w:r>
        <w:rPr>
          <w:rFonts w:ascii="Times New Roman" w:cs="Times New Roman" w:eastAsia="Times New Roman" w:hAnsi="Times New Roman"/>
          <w:sz w:val="16"/>
          <w:szCs w:val="16"/>
          <w:color w:val="auto"/>
        </w:rPr>
        <w:t xml:space="preserve">(e) under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xml:space="preserve">, check the following box. </w:t>
      </w:r>
      <w:r>
        <w:rPr>
          <w:rFonts w:ascii="MS PGothic" w:cs="MS PGothic" w:eastAsia="MS PGothic" w:hAnsi="MS PGothic"/>
          <w:sz w:val="16"/>
          <w:szCs w:val="16"/>
          <w:color w:val="auto"/>
        </w:rPr>
        <w:t>☐</w:t>
      </w:r>
    </w:p>
    <w:p>
      <w:pPr>
        <w:spacing w:after="0" w:line="34"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w:t>
      </w:r>
    </w:p>
    <w:p>
      <w:pPr>
        <w:spacing w:after="0" w:line="5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Emerging growth company</w:t>
      </w:r>
      <w:r>
        <w:rPr>
          <w:rFonts w:ascii="MS PGothic" w:cs="MS PGothic" w:eastAsia="MS PGothic" w:hAnsi="MS PGothic"/>
          <w:sz w:val="16"/>
          <w:szCs w:val="16"/>
          <w:color w:val="auto"/>
        </w:rPr>
        <w:t>☒</w:t>
      </w:r>
    </w:p>
    <w:p>
      <w:pPr>
        <w:spacing w:after="0" w:line="116" w:lineRule="exact"/>
        <w:rPr>
          <w:sz w:val="24"/>
          <w:szCs w:val="24"/>
          <w:color w:val="auto"/>
        </w:rPr>
      </w:pPr>
    </w:p>
    <w:p>
      <w:pPr>
        <w:ind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This registration statement shall hereafter become effective in accordance with the provisions of Section 8(a)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960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This Amendment No. 1 (“Amendment No. 1”) to the Registration Statement on Form F-3 (Registration No. 333-290639) of Rezolve AI plc is being filed for the purpose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including language provided by Rule 473(b) of the Securities Act of 1933 for the automatic effectiveness of this registration statement 20 days following the filing of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30" w:right="539" w:bottom="1440" w:gutter="0" w:footer="0" w:header="0"/>
        </w:sectPr>
      </w:pPr>
    </w:p>
    <w:bookmarkStart w:id="2" w:name="page3"/>
    <w:bookmarkEnd w:id="2"/>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SUBJECT TO COMPLETION, DATED OCTOBER 17,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37,000,000 Ordinary Shares </w:t>
      </w:r>
      <w:r>
        <w:rPr>
          <w:rFonts w:ascii="Times New Roman" w:cs="Times New Roman" w:eastAsia="Times New Roman" w:hAnsi="Times New Roman"/>
          <w:sz w:val="18"/>
          <w:szCs w:val="18"/>
          <w:b w:val="1"/>
          <w:bCs w:val="1"/>
          <w:i w:val="1"/>
          <w:iCs w:val="1"/>
          <w:color w:val="auto"/>
        </w:rPr>
        <w:t>(for resale)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 holders named herein (the “Selling Holders”) of an aggregate of up to 37,000,000 Ordinary Shares issued or issuable to the Selling Holders in connection with the PIPE Financing (as defined herein).</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11.5%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Ordinary Shares and the Public Warrants (as defined herein) are traded on The Nasdaq Stock Market LLC (“Nasdaq”) under the symbols “RZLV" and "RZLVW." On October 16, 2025, the closing price of the Ordinary Shares and Public Warrants was $5.04 per share and $1.4606 per warrant,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8 and in any applicable prospectus supplement.</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06"/>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8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91"/>
        </w:trPr>
        <w:tc>
          <w:tcPr>
            <w:tcW w:w="1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EXPLANATORY NOTE</w:t>
            </w:r>
          </w:p>
        </w:tc>
        <w:tc>
          <w:tcPr>
            <w:tcW w:w="6940" w:type="dxa"/>
            <w:vAlign w:val="bottom"/>
            <w:gridSpan w:val="11"/>
          </w:tcPr>
          <w:p>
            <w:pPr>
              <w:spacing w:after="0"/>
              <w:rPr>
                <w:sz w:val="24"/>
                <w:szCs w:val="24"/>
                <w:color w:val="auto"/>
              </w:rPr>
            </w:pPr>
          </w:p>
        </w:tc>
        <w:tc>
          <w:tcPr>
            <w:tcW w:w="2400" w:type="dxa"/>
            <w:vAlign w:val="bottom"/>
          </w:tcPr>
          <w:p>
            <w:pPr>
              <w:spacing w:after="0"/>
              <w:rPr>
                <w:sz w:val="24"/>
                <w:szCs w:val="24"/>
                <w:color w:val="auto"/>
              </w:rPr>
            </w:pPr>
          </w:p>
        </w:tc>
      </w:tr>
      <w:tr>
        <w:trPr>
          <w:trHeight w:val="196"/>
        </w:trPr>
        <w:tc>
          <w:tcPr>
            <w:tcW w:w="2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656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0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52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0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2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0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25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30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1"/>
          </w:tcPr>
          <w:p>
            <w:pPr>
              <w:spacing w:after="0"/>
              <w:rPr>
                <w:sz w:val="17"/>
                <w:szCs w:val="17"/>
                <w:color w:val="auto"/>
              </w:rPr>
            </w:pPr>
          </w:p>
        </w:tc>
        <w:tc>
          <w:tcPr>
            <w:tcW w:w="674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2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4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2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7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72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6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52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INFORMATION NOT REQUIRED IN PROSPECTUS</w:t>
            </w:r>
          </w:p>
        </w:tc>
        <w:tc>
          <w:tcPr>
            <w:tcW w:w="356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4020" w:type="dxa"/>
            <w:vAlign w:val="bottom"/>
            <w:tcBorders>
              <w:top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47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SEC using a “shelf’ registration process. Under this shelf registration process, the Selling Holders may, from time to time, issue, offer and sell, as applicable, any combination of the securities described in this prospectus in one or more offerings. The Selling Holders may use the shelf registration statement to sell up to an aggregate of 37,000,000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Bluedot Acquisition</w:t>
      </w:r>
      <w:r>
        <w:rPr>
          <w:rFonts w:ascii="Times New Roman" w:cs="Times New Roman" w:eastAsia="Times New Roman" w:hAnsi="Times New Roman"/>
          <w:sz w:val="18"/>
          <w:szCs w:val="18"/>
          <w:color w:val="auto"/>
        </w:rPr>
        <w:t>" means the acquisition by the Company of the entire issued and to be issued share capital of each Bluedot Industries, Inc., Bluedot Industries Pty. Ltd. and Bluedot Innovation Pty.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Groupby Acquisition</w:t>
      </w:r>
      <w:r>
        <w:rPr>
          <w:rFonts w:ascii="Times New Roman" w:cs="Times New Roman" w:eastAsia="Times New Roman" w:hAnsi="Times New Roman"/>
          <w:sz w:val="18"/>
          <w:szCs w:val="18"/>
          <w:color w:val="auto"/>
        </w:rPr>
        <w:t>" means the acquisition by the Company of the entire issued and to be issued share capital of each of GroupBy Inc., GroupBy International Ltd., GroupBy USA Inc., and GroupBy UK Ltd.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Q3 of 2025, initially in Europe and the U.S.A. Revenues from brain commerce are also forecast to begin in Q3 2025, increasing significantly in Q4 2025. We also expect to generate revenues in Q4 2025 in South America and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September 24, 2025, Rezolve entered into certain securities purchase agreements (the "Purchase Agreements") with certain Selling Holders (the "Purchasers"), pursuant to which Rezolve agreed to sell and issue to the Selling Holders 37,000,000 Ordinary Shares (the "PIPE Shares") in a private placement at an offering price of $5.40 per share (the "PIPE Financing").</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Concurrently with the Purchase Agreements, on September 24, 2025, Rezolve and the Purchasers entered into a Registration Rights Agreement (the “Registration Rights Agreement”). In accordance with Rezolve's obligations under the Registration Rights Agreement, among other things, Rezolve has filed the registration statement of which this prospectus forms a part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44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25, 2025, the PIPE Financing closed and Rezolve received aggregate gross proceeds of approximately $200 million, before deducting placement agent fees and other offering expenses. The PIPE Shares were offered pursuant to the exemption from registration under Section 4(a)(2) of the Securities Act and Rule 506(b) of Regulation D promulgated thereunder, and applicable state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 w:name="page10"/>
    <w:bookmarkEnd w:id="9"/>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 w:name="page11"/>
    <w:bookmarkEnd w:id="10"/>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1" w:name="page12"/>
    <w:bookmarkEnd w:id="11"/>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shutdown of the U.S. federal government, we have determined to rely on Section 8(a) of the Securities Act to cause the registration statement of which this prospectus forms a part to become effective automatically, which could result in a number of potential adverse consequences.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37,000,000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8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October 17, 2025 and does not give effect to issuances of Ordinary Shares after such date.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ectPr>
          <w:pgSz w:w="11900" w:h="16838" w:orient="portrait"/>
          <w:cols w:equalWidth="0" w:num="1">
            <w:col w:w="11180"/>
          </w:cols>
          <w:pgMar w:left="320" w:top="1008" w:right="399" w:bottom="1440" w:gutter="0" w:footer="0" w:header="0"/>
        </w:sectPr>
      </w:pP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Ordinary Shares offered by the Selling Holders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right="440"/>
        <w:spacing w:after="0" w:line="282" w:lineRule="auto"/>
        <w:rPr>
          <w:sz w:val="20"/>
          <w:szCs w:val="20"/>
          <w:color w:val="auto"/>
        </w:rPr>
      </w:pPr>
      <w:r>
        <w:rPr>
          <w:rFonts w:ascii="Times New Roman" w:cs="Times New Roman" w:eastAsia="Times New Roman" w:hAnsi="Times New Roman"/>
          <w:sz w:val="18"/>
          <w:szCs w:val="18"/>
          <w:color w:val="auto"/>
        </w:rPr>
        <w:t>Nasdaq symbol for our Ordinary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37,000,000 Ordinary Shares issued in connection with the PIPE Financing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Holders.</w:t>
      </w:r>
    </w:p>
    <w:p>
      <w:pPr>
        <w:spacing w:after="0" w:line="223"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8 of this prospectus and other information included in this prospectus for a discussion of factors that you should consider carefully before deciding to invest in Ordinary Shares and Warrants.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479" w:lineRule="exact"/>
        <w:rPr>
          <w:sz w:val="20"/>
          <w:szCs w:val="20"/>
          <w:color w:val="auto"/>
        </w:rPr>
      </w:pPr>
    </w:p>
    <w:p>
      <w:pPr>
        <w:sectPr>
          <w:pgSz w:w="11900" w:h="16838" w:orient="portrait"/>
          <w:cols w:equalWidth="0" w:num="2">
            <w:col w:w="2800" w:space="260"/>
            <w:col w:w="8120"/>
          </w:cols>
          <w:pgMar w:left="320" w:top="1008" w:right="399" w:bottom="1440" w:gutter="0" w:footer="0" w:header="0"/>
          <w:type w:val="continuous"/>
        </w:sectPr>
      </w:pPr>
    </w:p>
    <w:p>
      <w:pPr>
        <w:spacing w:after="0" w:line="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type w:val="continuous"/>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Commission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020" w:right="66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14" w:name="page15"/>
    <w:bookmarkEnd w:id="14"/>
    <w:p>
      <w:pPr>
        <w:ind w:right="60"/>
        <w:spacing w:after="0" w:line="266" w:lineRule="auto"/>
        <w:rPr>
          <w:sz w:val="20"/>
          <w:szCs w:val="20"/>
          <w:color w:val="auto"/>
        </w:rPr>
      </w:pPr>
      <w:r>
        <w:rPr>
          <w:rFonts w:ascii="Times New Roman" w:cs="Times New Roman" w:eastAsia="Times New Roman" w:hAnsi="Times New Roman"/>
          <w:sz w:val="18"/>
          <w:szCs w:val="18"/>
          <w:color w:val="auto"/>
        </w:rPr>
        <w:t>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t>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7" w:name="page18"/>
    <w:bookmarkEnd w:id="17"/>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0" w:name="page21"/>
    <w:bookmarkEnd w:id="20"/>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1" w:name="page22"/>
    <w:bookmarkEnd w:id="21"/>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ind w:right="60"/>
        <w:spacing w:after="0" w:line="256" w:lineRule="auto"/>
        <w:rPr>
          <w:sz w:val="20"/>
          <w:szCs w:val="20"/>
          <w:color w:val="auto"/>
        </w:rPr>
      </w:pPr>
      <w:r>
        <w:rPr>
          <w:rFonts w:ascii="Times New Roman" w:cs="Times New Roman" w:eastAsia="Times New Roman" w:hAnsi="Times New Roman"/>
          <w:sz w:val="18"/>
          <w:szCs w:val="18"/>
          <w:color w:val="auto"/>
        </w:rPr>
        <w:t>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280"/>
        <w:spacing w:after="0" w:line="282" w:lineRule="auto"/>
        <w:rPr>
          <w:sz w:val="20"/>
          <w:szCs w:val="20"/>
          <w:color w:val="auto"/>
        </w:rPr>
      </w:pPr>
      <w:r>
        <w:rPr>
          <w:rFonts w:ascii="Times New Roman" w:cs="Times New Roman" w:eastAsia="Times New Roman" w:hAnsi="Times New Roman"/>
          <w:sz w:val="18"/>
          <w:szCs w:val="18"/>
          <w:color w:val="auto"/>
        </w:rPr>
        <w:t>licenses for open-source software, Rezolve may lose the right to continue to use and exploit such open-source software in connection with its operations and solutions, which could disrupt and adversely affect its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 result of the shutdown of the U.S. federal government, we have determined to rely on Section 8(a) of the Securities Act to cause the registration statement of which this prospectus forms a part to become effective automatically. Our reliance on Section 8(a) could result in a number of potential adverse consequences, including the need for us to file a post-effective amendment and distribute an updated prospectus to investors, or a stop order issued preventing use of the registration statement, and a corresponding substantial share price decline, litigation, reputational harm or other negative results.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registration statement of which this prospectus forms a part is expected to become automatically effective by operation of Section 8(a) of the Securities Act on the 20th calendar day after the most recent amendment of the registration statement filed with the SEC, in lieu of the SEC declaring the registration statement effective following the completion of its review. Although our reliance on Section 8(a) does not relieve us and other parties from the responsibility for the adequacy and accuracy of the disclosure set forth in the registration statement and for ensuring that the registration statement complies with applicable requirements, use of Section 8(a) poses a risk that, after the date of this prospectus, we may be required to file a post-effective amendment to the registration statement and distribute an updated prospectus to investors, or otherwise abandon this offering, if changes to the information in this prospectus are required, or if a stop order under Section 8(d) of the Securities Act prevents continued use of the registration statement. These or similar events could cause the trading price of our Ordinary Shares to decline substantially, result in securities class action or other litigation, and subject us to significant monetary damages, reputational harm and other negative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5540" w:right="4740" w:hanging="5023"/>
        <w:spacing w:after="0" w:line="407" w:lineRule="auto"/>
        <w:tabs>
          <w:tab w:leader="none" w:pos="10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0" w:name="page31"/>
    <w:bookmarkEnd w:id="3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0"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Acquisition Corp. II,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2" w:name="page33"/>
    <w:bookmarkEnd w:id="32"/>
    <w:p>
      <w:pPr>
        <w:ind w:right="60"/>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2024:</w:t>
      </w:r>
    </w:p>
    <w:p>
      <w:pPr>
        <w:spacing w:after="0" w:line="11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Bluedot Acquisition and the GroupBy Acquisition; (ii) the private placement of 20,000,000 Ordinary Shares for aggregate gross proceeds of approximately $50 million, before deducting placement agent fees and other offering expenses, and (iii) the PIPE Financing for aggregate gross proceeds of approximately $200 million, before deducting placement agent fees and other offering expenses, as if such events had occurred on December 31, 2024.</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w w:val="90"/>
              </w:rPr>
              <w:t>As of</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3"/>
        </w:trPr>
        <w:tc>
          <w:tcPr>
            <w:tcW w:w="5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862"/>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25"/>
        </w:trPr>
        <w:tc>
          <w:tcPr>
            <w:tcW w:w="5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502"/>
              <w:spacing w:after="0" w:line="125" w:lineRule="exact"/>
              <w:rPr>
                <w:sz w:val="20"/>
                <w:szCs w:val="20"/>
                <w:color w:val="auto"/>
              </w:rPr>
            </w:pPr>
            <w:r>
              <w:rPr>
                <w:rFonts w:ascii="Times New Roman" w:cs="Times New Roman" w:eastAsia="Times New Roman" w:hAnsi="Times New Roman"/>
                <w:sz w:val="12"/>
                <w:szCs w:val="12"/>
                <w:b w:val="1"/>
                <w:bCs w:val="1"/>
                <w:color w:val="auto"/>
              </w:rPr>
              <w:t>Actual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2"/>
          </w:tcPr>
          <w:p>
            <w:pPr>
              <w:jc w:val="center"/>
              <w:ind w:right="320"/>
              <w:spacing w:after="0" w:line="125" w:lineRule="exact"/>
              <w:rPr>
                <w:sz w:val="20"/>
                <w:szCs w:val="20"/>
                <w:color w:val="auto"/>
              </w:rPr>
            </w:pPr>
            <w:r>
              <w:rPr>
                <w:rFonts w:ascii="Times New Roman" w:cs="Times New Roman" w:eastAsia="Times New Roman" w:hAnsi="Times New Roman"/>
                <w:sz w:val="12"/>
                <w:szCs w:val="12"/>
                <w:b w:val="1"/>
                <w:bCs w:val="1"/>
                <w:color w:val="auto"/>
                <w:w w:val="97"/>
              </w:rPr>
              <w:t>Groupby &amp; Bluedot</w:t>
            </w: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66"/>
        </w:trPr>
        <w:tc>
          <w:tcPr>
            <w:tcW w:w="5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2"/>
                <w:szCs w:val="12"/>
                <w:b w:val="1"/>
                <w:bCs w:val="1"/>
                <w:color w:val="auto"/>
              </w:rPr>
              <w:t>(Audited)</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7"/>
              </w:rPr>
              <w:t>Acquisitions</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PIPE funding</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w w:val="97"/>
              </w:rPr>
              <w:t>Proforma (Unaudited)</w:t>
            </w:r>
          </w:p>
        </w:tc>
      </w:tr>
      <w:tr>
        <w:trPr>
          <w:trHeight w:val="135"/>
        </w:trPr>
        <w:tc>
          <w:tcPr>
            <w:tcW w:w="57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FF0FC"/>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9,450,944</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6,760,931</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235,027,000</w:t>
            </w:r>
          </w:p>
        </w:tc>
        <w:tc>
          <w:tcPr>
            <w:tcW w:w="420" w:type="dxa"/>
            <w:vAlign w:val="bottom"/>
            <w:gridSpan w:val="2"/>
            <w:shd w:val="clear" w:color="auto" w:fill="CFF0FC"/>
          </w:tcPr>
          <w:p>
            <w:pPr>
              <w:jc w:val="right"/>
              <w:ind w:right="182"/>
              <w:spacing w:after="0" w:line="135"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251,238,875</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Stockholders' Equity:</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27"/>
        </w:trPr>
        <w:tc>
          <w:tcPr>
            <w:tcW w:w="578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2"/>
                <w:szCs w:val="12"/>
                <w:color w:val="auto"/>
              </w:rPr>
              <w:t>Ordinary shares, £0.0001 nominal value 208,260,754 shares issued and outstanding as of December 31, 2024;</w:t>
            </w: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43"/>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256,365,817 shares authorized as of December 31, 2024</w:t>
            </w: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2"/>
                <w:szCs w:val="12"/>
                <w:color w:val="auto"/>
              </w:rPr>
              <w:t>26,816</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1,978</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6,380</w:t>
            </w: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2"/>
                <w:szCs w:val="12"/>
                <w:color w:val="auto"/>
              </w:rPr>
              <w:t>35,174</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tcPr>
          <w:p>
            <w:pPr>
              <w:spacing w:after="0"/>
              <w:rPr>
                <w:sz w:val="11"/>
                <w:szCs w:val="11"/>
                <w:color w:val="auto"/>
              </w:rPr>
            </w:pPr>
          </w:p>
        </w:tc>
        <w:tc>
          <w:tcPr>
            <w:tcW w:w="110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2"/>
                <w:szCs w:val="12"/>
                <w:color w:val="auto"/>
              </w:rPr>
              <w:t>194,062,767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18,181,663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235,020,620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447,265,050</w:t>
            </w:r>
          </w:p>
        </w:tc>
      </w:tr>
      <w:tr>
        <w:trPr>
          <w:trHeight w:val="135"/>
        </w:trPr>
        <w:tc>
          <w:tcPr>
            <w:tcW w:w="57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Stock subscription receivable</w:t>
            </w: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(80)</w:t>
            </w: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80" w:type="dxa"/>
            <w:vAlign w:val="bottom"/>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(80)</w:t>
            </w:r>
          </w:p>
        </w:tc>
      </w:tr>
      <w:tr>
        <w:trPr>
          <w:trHeight w:val="135"/>
        </w:trPr>
        <w:tc>
          <w:tcPr>
            <w:tcW w:w="57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1"/>
                <w:szCs w:val="11"/>
                <w:color w:val="auto"/>
              </w:rPr>
            </w:pPr>
          </w:p>
        </w:tc>
        <w:tc>
          <w:tcPr>
            <w:tcW w:w="110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(232,075,815)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(12,262,770)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(244,338,585)</w:t>
            </w:r>
          </w:p>
        </w:tc>
      </w:tr>
      <w:tr>
        <w:trPr>
          <w:trHeight w:val="135"/>
        </w:trPr>
        <w:tc>
          <w:tcPr>
            <w:tcW w:w="578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22"/>
              <w:spacing w:after="0" w:line="135" w:lineRule="exact"/>
              <w:rPr>
                <w:sz w:val="20"/>
                <w:szCs w:val="20"/>
                <w:color w:val="auto"/>
              </w:rPr>
            </w:pPr>
            <w:r>
              <w:rPr>
                <w:rFonts w:ascii="Times New Roman" w:cs="Times New Roman" w:eastAsia="Times New Roman" w:hAnsi="Times New Roman"/>
                <w:sz w:val="12"/>
                <w:szCs w:val="12"/>
                <w:color w:val="auto"/>
              </w:rPr>
              <w:t>(10,270)</w:t>
            </w:r>
          </w:p>
        </w:tc>
        <w:tc>
          <w:tcPr>
            <w:tcW w:w="10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ind w:right="62"/>
              <w:spacing w:after="0" w:line="135"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2"/>
                <w:szCs w:val="12"/>
                <w:color w:val="auto"/>
              </w:rPr>
              <w:t>(10,270)</w:t>
            </w:r>
          </w:p>
        </w:tc>
      </w:tr>
      <w:tr>
        <w:trPr>
          <w:trHeight w:val="128"/>
        </w:trPr>
        <w:tc>
          <w:tcPr>
            <w:tcW w:w="5780" w:type="dxa"/>
            <w:vAlign w:val="bottom"/>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shareholders' equity (deficit)</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0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420" w:type="dxa"/>
            <w:vAlign w:val="bottom"/>
            <w:gridSpan w:val="2"/>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48"/>
        </w:trPr>
        <w:tc>
          <w:tcPr>
            <w:tcW w:w="5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Total capitalization</w:t>
            </w:r>
          </w:p>
        </w:tc>
        <w:tc>
          <w:tcPr>
            <w:tcW w:w="220" w:type="dxa"/>
            <w:vAlign w:val="bottom"/>
            <w:shd w:val="clear" w:color="auto" w:fill="CFF0FC"/>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shd w:val="clear" w:color="auto" w:fill="CFF0FC"/>
          </w:tcPr>
          <w:p>
            <w:pPr>
              <w:jc w:val="right"/>
              <w:ind w:right="22"/>
              <w:spacing w:after="0" w:line="129" w:lineRule="exact"/>
              <w:rPr>
                <w:sz w:val="20"/>
                <w:szCs w:val="20"/>
                <w:color w:val="auto"/>
              </w:rPr>
            </w:pPr>
            <w:r>
              <w:rPr>
                <w:rFonts w:ascii="Times New Roman" w:cs="Times New Roman" w:eastAsia="Times New Roman" w:hAnsi="Times New Roman"/>
                <w:sz w:val="12"/>
                <w:szCs w:val="12"/>
                <w:b w:val="1"/>
                <w:bCs w:val="1"/>
                <w:color w:val="auto"/>
              </w:rPr>
              <w:t>(37,996,582)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5,920,871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235,027,000</w:t>
            </w:r>
          </w:p>
        </w:tc>
        <w:tc>
          <w:tcPr>
            <w:tcW w:w="420" w:type="dxa"/>
            <w:vAlign w:val="bottom"/>
            <w:gridSpan w:val="2"/>
            <w:shd w:val="clear" w:color="auto" w:fill="CFF0FC"/>
          </w:tcPr>
          <w:p>
            <w:pPr>
              <w:jc w:val="right"/>
              <w:ind w:right="182"/>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FF0FC"/>
          </w:tcPr>
          <w:p>
            <w:pPr>
              <w:jc w:val="right"/>
              <w:ind w:right="62"/>
              <w:spacing w:after="0" w:line="129" w:lineRule="exact"/>
              <w:rPr>
                <w:sz w:val="20"/>
                <w:szCs w:val="20"/>
                <w:color w:val="auto"/>
              </w:rPr>
            </w:pPr>
            <w:r>
              <w:rPr>
                <w:rFonts w:ascii="Times New Roman" w:cs="Times New Roman" w:eastAsia="Times New Roman" w:hAnsi="Times New Roman"/>
                <w:sz w:val="12"/>
                <w:szCs w:val="12"/>
                <w:b w:val="1"/>
                <w:bCs w:val="1"/>
                <w:color w:val="auto"/>
              </w:rPr>
              <w:t>202,951,289</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-213995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-213995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38" w:name="page39"/>
    <w:bookmarkEnd w:id="38"/>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9" w:name="page40"/>
    <w:bookmarkEnd w:id="39"/>
    <w:p>
      <w:pPr>
        <w:jc w:val="both"/>
        <w:spacing w:after="0" w:line="312" w:lineRule="auto"/>
        <w:rPr>
          <w:sz w:val="20"/>
          <w:szCs w:val="20"/>
          <w:color w:val="auto"/>
        </w:rPr>
      </w:pPr>
      <w:r>
        <w:rPr>
          <w:rFonts w:ascii="Times New Roman" w:cs="Times New Roman" w:eastAsia="Times New Roman" w:hAnsi="Times New Roman"/>
          <w:sz w:val="17"/>
          <w:szCs w:val="17"/>
          <w:color w:val="auto"/>
        </w:rPr>
        <w:t>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0" w:name="page41"/>
    <w:bookmarkEnd w:id="40"/>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ind w:right="120"/>
        <w:spacing w:after="0" w:line="258" w:lineRule="auto"/>
        <w:rPr>
          <w:sz w:val="20"/>
          <w:szCs w:val="20"/>
          <w:color w:val="auto"/>
        </w:rPr>
      </w:pPr>
      <w:r>
        <w:rPr>
          <w:rFonts w:ascii="Times New Roman" w:cs="Times New Roman" w:eastAsia="Times New Roman" w:hAnsi="Times New Roman"/>
          <w:sz w:val="18"/>
          <w:szCs w:val="18"/>
          <w:color w:val="auto"/>
        </w:rPr>
        <w:t>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3" w:name="page44"/>
    <w:bookmarkEnd w:id="43"/>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4" w:name="page45"/>
    <w:bookmarkEnd w:id="44"/>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7" w:name="page48"/>
    <w:bookmarkEnd w:id="47"/>
    <w:p>
      <w:pPr>
        <w:ind w:right="420"/>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34" w:right="5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37,000,000 Ordinary Shares issued in connection with the PIPE Financing.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October 17, 2025 .</w:t>
      </w:r>
    </w:p>
    <w:p>
      <w:pPr>
        <w:spacing w:after="0" w:line="180"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 xml:space="preserve">Alyeska Master Fund, L.P. </w:t>
            </w:r>
            <w:r>
              <w:rPr>
                <w:rFonts w:ascii="Times New Roman" w:cs="Times New Roman" w:eastAsia="Times New Roman" w:hAnsi="Times New Roman"/>
                <w:sz w:val="24"/>
                <w:szCs w:val="24"/>
                <w:color w:val="auto"/>
                <w:vertAlign w:val="superscript"/>
              </w:rPr>
              <w:t>(2)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24,400,000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24,400,000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Citadel CEMF Investments Ltd.</w:t>
            </w:r>
            <w:r>
              <w:rPr>
                <w:rFonts w:ascii="Times New Roman" w:cs="Times New Roman" w:eastAsia="Times New Roman" w:hAnsi="Times New Roman"/>
                <w:sz w:val="24"/>
                <w:szCs w:val="24"/>
                <w:color w:val="auto"/>
                <w:vertAlign w:val="superscript"/>
              </w:rPr>
              <w:t>(3)</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20,579,499</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12,600,000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7,979,499</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40" w:hanging="132"/>
        <w:spacing w:after="0"/>
        <w:tabs>
          <w:tab w:leader="none" w:pos="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98"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322,174,536 Ordinary Shares outstanding, which includes the sale of all securities offered hereby by that particular Selling Holder and does not assume the sale by any other Selling Holder.</w:t>
      </w:r>
    </w:p>
    <w:p>
      <w:pPr>
        <w:spacing w:after="0" w:line="68" w:lineRule="exact"/>
        <w:rPr>
          <w:sz w:val="20"/>
          <w:szCs w:val="20"/>
          <w:color w:val="auto"/>
        </w:rPr>
      </w:pPr>
    </w:p>
    <w:p>
      <w:pPr>
        <w:ind w:left="520" w:right="120" w:hanging="512"/>
        <w:spacing w:after="0" w:line="255"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24,400,000 Ordinary Shares issued in connection with the September 24, 2025, PIPE Financing. Alyeska Investment Group, L.P., the investment manager of Alyeska Master Fund, L.P. (the “</w:t>
      </w:r>
      <w:r>
        <w:rPr>
          <w:rFonts w:ascii="Times New Roman" w:cs="Times New Roman" w:eastAsia="Times New Roman" w:hAnsi="Times New Roman"/>
          <w:sz w:val="18"/>
          <w:szCs w:val="18"/>
          <w:b w:val="1"/>
          <w:bCs w:val="1"/>
          <w:i w:val="1"/>
          <w:iCs w:val="1"/>
          <w:color w:val="auto"/>
        </w:rPr>
        <w:t>Alyeska Master Fund</w:t>
      </w:r>
      <w:r>
        <w:rPr>
          <w:rFonts w:ascii="Times New Roman" w:cs="Times New Roman" w:eastAsia="Times New Roman" w:hAnsi="Times New Roman"/>
          <w:sz w:val="18"/>
          <w:szCs w:val="18"/>
          <w:color w:val="auto"/>
        </w:rPr>
        <w:t>”), has voting and investment control of the shares held by the Selling Securityholder. Anand Parekh is the Chief Executive Officer of Alyeska Investment Group, L.P. and may be deemed to be the beneficial owner of such shares. Mr. Parekh, however, disclaims any beneficial ownership of the shares held by the Alyeska Master Fund. The principal business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80" w:lineRule="exact"/>
        <w:rPr>
          <w:rFonts w:ascii="Times New Roman" w:cs="Times New Roman" w:eastAsia="Times New Roman" w:hAnsi="Times New Roman"/>
          <w:sz w:val="18"/>
          <w:szCs w:val="18"/>
          <w:color w:val="auto"/>
        </w:rPr>
      </w:pPr>
    </w:p>
    <w:p>
      <w:pPr>
        <w:ind w:left="520" w:right="20" w:hanging="512"/>
        <w:spacing w:after="0" w:line="254"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registered hereby consist of 12,600,000 Ordinary Shares issued in connection with the September 24, 2025, PIPE Financing issued to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securities held by Citadel CEMF Investments Ltd. This disclosure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LLC, 830 Brickell Plaza, Floor 15, Miami, FL 33131.</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0" w:name="page51"/>
    <w:bookmarkEnd w:id="50"/>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37,000,000 Ordinary Shares issued to the Selling Holders in connection with the PIPE Financing.</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72"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39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Selling Holders,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32,062.21</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center"/>
              <w:ind w:right="3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right="33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3" w:name="page54"/>
    <w:bookmarkEnd w:id="53"/>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7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76">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3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our Report of Foreign Private Issuer on Form 6-K filed with the SEC on </w:t>
      </w:r>
      <w:hyperlink r:id="rId77">
        <w:r>
          <w:rPr>
            <w:rFonts w:ascii="Times New Roman" w:cs="Times New Roman" w:eastAsia="Times New Roman" w:hAnsi="Times New Roman"/>
            <w:sz w:val="18"/>
            <w:szCs w:val="18"/>
            <w:u w:val="single" w:color="auto"/>
            <w:color w:val="0000FF"/>
          </w:rPr>
          <w:t>March 31, 2025</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FF"/>
          </w:rPr>
          <w:t>July 24, 2025</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FF"/>
          </w:rPr>
          <w:t>July 25 2025</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FF"/>
          </w:rPr>
          <w:t xml:space="preserve">September 24, 2025, </w:t>
        </w:r>
      </w:hyperlink>
      <w:hyperlink r:id="rId82">
        <w:r>
          <w:rPr>
            <w:rFonts w:ascii="Times New Roman" w:cs="Times New Roman" w:eastAsia="Times New Roman" w:hAnsi="Times New Roman"/>
            <w:sz w:val="18"/>
            <w:szCs w:val="18"/>
            <w:u w:val="single" w:color="auto"/>
            <w:color w:val="0000FF"/>
          </w:rPr>
          <w:t xml:space="preserve">September 24, 2025, </w:t>
        </w:r>
      </w:hyperlink>
      <w:hyperlink r:id="rId83">
        <w:r>
          <w:rPr>
            <w:rFonts w:ascii="Times New Roman" w:cs="Times New Roman" w:eastAsia="Times New Roman" w:hAnsi="Times New Roman"/>
            <w:sz w:val="18"/>
            <w:szCs w:val="18"/>
            <w:u w:val="single" w:color="auto"/>
            <w:color w:val="0000FF"/>
          </w:rPr>
          <w:t>September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84">
        <w:r>
          <w:rPr>
            <w:rFonts w:ascii="Times New Roman" w:cs="Times New Roman" w:eastAsia="Times New Roman" w:hAnsi="Times New Roman"/>
            <w:sz w:val="18"/>
            <w:szCs w:val="18"/>
            <w:u w:val="single" w:color="auto"/>
            <w:color w:val="0000FF"/>
          </w:rPr>
          <w:t>October 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85">
        <w:r>
          <w:rPr>
            <w:rFonts w:ascii="Times New Roman" w:cs="Times New Roman" w:eastAsia="Times New Roman" w:hAnsi="Times New Roman"/>
            <w:sz w:val="18"/>
            <w:szCs w:val="18"/>
            <w:u w:val="single" w:color="auto"/>
            <w:color w:val="0000FF"/>
          </w:rPr>
          <w:t xml:space="preserve">October 6,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86">
        <w:r>
          <w:rPr>
            <w:rFonts w:ascii="Times New Roman" w:cs="Times New Roman" w:eastAsia="Times New Roman" w:hAnsi="Times New Roman"/>
            <w:sz w:val="18"/>
            <w:szCs w:val="18"/>
            <w:u w:val="single" w:color="auto"/>
            <w:color w:val="0000FF"/>
          </w:rPr>
          <w:t>October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53"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87">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9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56" w:name="page57"/>
    <w:bookmarkEnd w:id="56"/>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119"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1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10000" w:type="dxa"/>
            <w:vAlign w:val="bottom"/>
            <w:tcBorders>
              <w:top w:val="single" w:sz="8" w:color="auto"/>
              <w:right w:val="single" w:sz="8" w:color="auto"/>
            </w:tcBorders>
            <w:gridSpan w:val="3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1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14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20" w:type="dxa"/>
            <w:vAlign w:val="bottom"/>
            <w:tcBorders>
              <w:bottom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280" w:type="dxa"/>
            <w:vAlign w:val="bottom"/>
            <w:tcBorders>
              <w:right w:val="single" w:sz="8" w:color="auto"/>
            </w:tcBorders>
            <w:gridSpan w:val="6"/>
          </w:tcPr>
          <w:p>
            <w:pPr>
              <w:spacing w:after="0"/>
              <w:rPr>
                <w:sz w:val="13"/>
                <w:szCs w:val="13"/>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700" w:type="dxa"/>
            <w:vAlign w:val="bottom"/>
            <w:tcBorders>
              <w:right w:val="single" w:sz="8" w:color="auto"/>
            </w:tcBorders>
            <w:gridSpan w:val="17"/>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4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660" w:type="dxa"/>
            <w:vAlign w:val="bottom"/>
            <w:tcBorders>
              <w:right w:val="single" w:sz="8" w:color="auto"/>
            </w:tcBorders>
            <w:gridSpan w:val="1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Rezolve and Rezolve Merger Sub (incorporated by reference to Exhibit 2.2 of Rezolve AI Limited’s Registration Statement on Form F-</w:t>
              </w:r>
            </w:hyperlink>
          </w:p>
        </w:tc>
        <w:tc>
          <w:tcPr>
            <w:tcW w:w="220" w:type="dxa"/>
            <w:vAlign w:val="bottom"/>
            <w:tcBorders>
              <w:right w:val="single" w:sz="8" w:color="auto"/>
            </w:tcBorders>
            <w:gridSpan w:val="4"/>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4, Amendment No. 2, filed with the SEC on September 25, 2023).</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Amended and Restated Memorandum and Articles of Association of Rezolve (incorporated by reference to Exhibit 1.1 of Rezolve AI</w:t>
              </w:r>
            </w:hyperlink>
          </w:p>
        </w:tc>
        <w:tc>
          <w:tcPr>
            <w:tcW w:w="340" w:type="dxa"/>
            <w:vAlign w:val="bottom"/>
            <w:tcBorders>
              <w:right w:val="single" w:sz="8" w:color="auto"/>
            </w:tcBorders>
            <w:gridSpan w:val="7"/>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380" w:type="dxa"/>
            <w:vAlign w:val="bottom"/>
            <w:tcBorders>
              <w:right w:val="single" w:sz="8" w:color="auto"/>
            </w:tcBorders>
            <w:gridSpan w:val="9"/>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1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740" w:type="dxa"/>
            <w:vAlign w:val="bottom"/>
            <w:tcBorders>
              <w:bottom w:val="single" w:sz="8" w:color="A0A0A0"/>
            </w:tcBorders>
          </w:tcPr>
          <w:p>
            <w:pPr>
              <w:spacing w:after="0"/>
              <w:rPr>
                <w:sz w:val="18"/>
                <w:szCs w:val="18"/>
                <w:color w:val="auto"/>
              </w:rPr>
            </w:pPr>
          </w:p>
        </w:tc>
        <w:tc>
          <w:tcPr>
            <w:tcW w:w="1240" w:type="dxa"/>
            <w:vAlign w:val="bottom"/>
            <w:tcBorders>
              <w:bottom w:val="single" w:sz="8" w:color="A0A0A0"/>
            </w:tcBorders>
          </w:tcPr>
          <w:p>
            <w:pPr>
              <w:spacing w:after="0"/>
              <w:rPr>
                <w:sz w:val="18"/>
                <w:szCs w:val="18"/>
                <w:color w:val="auto"/>
              </w:rPr>
            </w:pPr>
          </w:p>
        </w:tc>
        <w:tc>
          <w:tcPr>
            <w:tcW w:w="18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340" w:type="dxa"/>
            <w:vAlign w:val="bottom"/>
            <w:tcBorders>
              <w:bottom w:val="single" w:sz="8" w:color="A0A0A0"/>
            </w:tcBorders>
          </w:tcPr>
          <w:p>
            <w:pPr>
              <w:spacing w:after="0"/>
              <w:rPr>
                <w:sz w:val="18"/>
                <w:szCs w:val="18"/>
                <w:color w:val="auto"/>
              </w:rPr>
            </w:pPr>
          </w:p>
        </w:tc>
        <w:tc>
          <w:tcPr>
            <w:tcW w:w="1040" w:type="dxa"/>
            <w:vAlign w:val="bottom"/>
            <w:tcBorders>
              <w:bottom w:val="single" w:sz="8" w:color="A0A0A0"/>
            </w:tcBorders>
          </w:tcPr>
          <w:p>
            <w:pPr>
              <w:spacing w:after="0"/>
              <w:rPr>
                <w:sz w:val="18"/>
                <w:szCs w:val="18"/>
                <w:color w:val="auto"/>
              </w:rPr>
            </w:pPr>
          </w:p>
        </w:tc>
        <w:tc>
          <w:tcPr>
            <w:tcW w:w="1000" w:type="dxa"/>
            <w:vAlign w:val="bottom"/>
            <w:tcBorders>
              <w:bottom w:val="single" w:sz="8" w:color="A0A0A0"/>
            </w:tcBorders>
          </w:tcPr>
          <w:p>
            <w:pPr>
              <w:spacing w:after="0"/>
              <w:rPr>
                <w:sz w:val="18"/>
                <w:szCs w:val="18"/>
                <w:color w:val="auto"/>
              </w:rPr>
            </w:pPr>
          </w:p>
        </w:tc>
        <w:tc>
          <w:tcPr>
            <w:tcW w:w="1140" w:type="dxa"/>
            <w:vAlign w:val="bottom"/>
            <w:tcBorders>
              <w:bottom w:val="single" w:sz="8" w:color="A0A0A0"/>
            </w:tcBorders>
          </w:tcPr>
          <w:p>
            <w:pPr>
              <w:spacing w:after="0"/>
              <w:rPr>
                <w:sz w:val="18"/>
                <w:szCs w:val="18"/>
                <w:color w:val="auto"/>
              </w:rPr>
            </w:pPr>
          </w:p>
        </w:tc>
        <w:tc>
          <w:tcPr>
            <w:tcW w:w="44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580" w:type="dxa"/>
            <w:vAlign w:val="bottom"/>
            <w:tcBorders>
              <w:bottom w:val="single" w:sz="8" w:color="A0A0A0"/>
            </w:tcBorders>
          </w:tcPr>
          <w:p>
            <w:pPr>
              <w:spacing w:after="0"/>
              <w:rPr>
                <w:sz w:val="18"/>
                <w:szCs w:val="18"/>
                <w:color w:val="auto"/>
              </w:rPr>
            </w:pPr>
          </w:p>
        </w:tc>
        <w:tc>
          <w:tcPr>
            <w:tcW w:w="560" w:type="dxa"/>
            <w:vAlign w:val="bottom"/>
            <w:tcBorders>
              <w:bottom w:val="single" w:sz="8" w:color="A0A0A0"/>
            </w:tcBorders>
          </w:tcPr>
          <w:p>
            <w:pPr>
              <w:spacing w:after="0"/>
              <w:rPr>
                <w:sz w:val="18"/>
                <w:szCs w:val="18"/>
                <w:color w:val="auto"/>
              </w:rPr>
            </w:pPr>
          </w:p>
        </w:tc>
        <w:tc>
          <w:tcPr>
            <w:tcW w:w="1400" w:type="dxa"/>
            <w:vAlign w:val="bottom"/>
            <w:tcBorders>
              <w:bottom w:val="single" w:sz="8" w:color="A0A0A0"/>
            </w:tcBorders>
          </w:tcPr>
          <w:p>
            <w:pPr>
              <w:spacing w:after="0"/>
              <w:rPr>
                <w:sz w:val="18"/>
                <w:szCs w:val="18"/>
                <w:color w:val="auto"/>
              </w:rPr>
            </w:pPr>
          </w:p>
        </w:tc>
        <w:tc>
          <w:tcPr>
            <w:tcW w:w="1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8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4"/>
                <w:szCs w:val="14"/>
                <w:color w:val="auto"/>
              </w:rPr>
            </w:pPr>
          </w:p>
        </w:tc>
        <w:tc>
          <w:tcPr>
            <w:tcW w:w="9880" w:type="dxa"/>
            <w:vAlign w:val="bottom"/>
            <w:tcBorders>
              <w:bottom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120" w:type="dxa"/>
            <w:vAlign w:val="bottom"/>
            <w:tcBorders>
              <w:right w:val="single" w:sz="8" w:color="auto"/>
            </w:tcBorders>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Trust Company, N.A. (incorporated by reference to Exhibit 4.3 of Rezolve AI Limited’s Shell Company Report on Form 20-F, filed with</w:t>
              </w:r>
            </w:hyperlink>
          </w:p>
        </w:tc>
        <w:tc>
          <w:tcPr>
            <w:tcW w:w="120" w:type="dxa"/>
            <w:vAlign w:val="bottom"/>
            <w:tcBorders>
              <w:right w:val="single" w:sz="8" w:color="auto"/>
            </w:tcBorders>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4"/>
                <w:szCs w:val="14"/>
                <w:color w:val="auto"/>
              </w:rPr>
            </w:pPr>
          </w:p>
        </w:tc>
        <w:tc>
          <w:tcPr>
            <w:tcW w:w="920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800" w:type="dxa"/>
            <w:vAlign w:val="bottom"/>
            <w:tcBorders>
              <w:right w:val="single" w:sz="8" w:color="auto"/>
            </w:tcBorders>
            <w:gridSpan w:val="20"/>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560" w:type="dxa"/>
            <w:vAlign w:val="bottom"/>
            <w:tcBorders>
              <w:right w:val="single" w:sz="8" w:color="auto"/>
            </w:tcBorders>
            <w:gridSpan w:val="1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4"/>
                <w:szCs w:val="14"/>
                <w:color w:val="auto"/>
              </w:rPr>
            </w:pPr>
          </w:p>
        </w:tc>
        <w:tc>
          <w:tcPr>
            <w:tcW w:w="964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360" w:type="dxa"/>
            <w:vAlign w:val="bottom"/>
            <w:tcBorders>
              <w:right w:val="single" w:sz="8" w:color="auto"/>
            </w:tcBorders>
            <w:gridSpan w:val="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4"/>
                <w:szCs w:val="14"/>
                <w:color w:val="auto"/>
              </w:rPr>
            </w:pPr>
          </w:p>
        </w:tc>
        <w:tc>
          <w:tcPr>
            <w:tcW w:w="976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240" w:type="dxa"/>
            <w:vAlign w:val="bottom"/>
            <w:tcBorders>
              <w:right w:val="single" w:sz="8" w:color="auto"/>
            </w:tcBorders>
            <w:gridSpan w:val="5"/>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4"/>
                <w:szCs w:val="14"/>
                <w:color w:val="auto"/>
              </w:rPr>
            </w:pPr>
          </w:p>
        </w:tc>
        <w:tc>
          <w:tcPr>
            <w:tcW w:w="10000" w:type="dxa"/>
            <w:vAlign w:val="bottom"/>
            <w:tcBorders>
              <w:right w:val="single" w:sz="8" w:color="auto"/>
            </w:tcBorders>
            <w:gridSpan w:val="35"/>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Opinion of Taylor Wessing LLP.</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Loan Note Instrument dated December 16, 2021, as amended and restated on November 21, 2022 and May 23, 2023, and as further</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on December 18, 2023 and December 29, 2023 (incorporated by reference to Exhibit 10.17 of Rezolve AI</w:t>
              </w:r>
            </w:hyperlink>
          </w:p>
        </w:tc>
        <w:tc>
          <w:tcPr>
            <w:tcW w:w="720" w:type="dxa"/>
            <w:vAlign w:val="bottom"/>
            <w:tcBorders>
              <w:right w:val="single" w:sz="8" w:color="auto"/>
            </w:tcBorders>
            <w:gridSpan w:val="18"/>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Limited’s Registration Statement on Form F-4, Amendment No. 6, filed with the SEC on June 11,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Binding Term Sheet, dated August 30, 2021,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reference to Exhibit 10.18 of Rezolve AI Limited’s Registration Statement on Form F-4, Amendment No. 5, filed with the SEC on May</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20,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4"/>
                <w:szCs w:val="14"/>
                <w:color w:val="auto"/>
              </w:rPr>
            </w:pPr>
          </w:p>
        </w:tc>
        <w:tc>
          <w:tcPr>
            <w:tcW w:w="89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to Binding Term Sheet, dated May 24, 2023, by and among Rezolve, Radio Group and the other parties thereto</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(incorporated by reference to Exhibit 10.19 of Rezolve AI Limited’s Registration Statement on Form F-4, Amendment No. 5, filed with</w:t>
              </w:r>
            </w:hyperlink>
          </w:p>
        </w:tc>
        <w:tc>
          <w:tcPr>
            <w:tcW w:w="180" w:type="dxa"/>
            <w:vAlign w:val="bottom"/>
            <w:tcBorders>
              <w:right w:val="single" w:sz="8" w:color="auto"/>
            </w:tcBorders>
            <w:gridSpan w:val="3"/>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the SEC on May 20,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942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Agreement in Context of the Binding Term Sheet, dated May 24, 2023, by and among Rezolve, Radio Group and the other parties</w:t>
              </w:r>
            </w:hyperlink>
          </w:p>
        </w:tc>
        <w:tc>
          <w:tcPr>
            <w:tcW w:w="580" w:type="dxa"/>
            <w:vAlign w:val="bottom"/>
            <w:tcBorders>
              <w:right w:val="single" w:sz="8" w:color="auto"/>
            </w:tcBorders>
            <w:gridSpan w:val="14"/>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thereto (incorporated by reference to Exhibit 10.20 of Rezolve AI Limited’s Registration Statement on Form F-4, Amendment No. 6,</w:t>
              </w:r>
            </w:hyperlink>
          </w:p>
        </w:tc>
        <w:tc>
          <w:tcPr>
            <w:tcW w:w="380" w:type="dxa"/>
            <w:vAlign w:val="bottom"/>
            <w:tcBorders>
              <w:right w:val="single" w:sz="8" w:color="auto"/>
            </w:tcBorders>
            <w:gridSpan w:val="9"/>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filed with the SEC on June 11,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4"/>
                <w:szCs w:val="14"/>
                <w:color w:val="auto"/>
              </w:rPr>
            </w:pPr>
          </w:p>
        </w:tc>
        <w:tc>
          <w:tcPr>
            <w:tcW w:w="952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480" w:type="dxa"/>
            <w:vAlign w:val="bottom"/>
            <w:tcBorders>
              <w:right w:val="single" w:sz="8" w:color="auto"/>
            </w:tcBorders>
            <w:gridSpan w:val="11"/>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reference to Exhibit 10.21 of Rezolve AI Limited’s Registration Statement on Form F-4, Amendment No. 6, filed with the SEC on June</w:t>
              </w:r>
            </w:hyperlink>
          </w:p>
        </w:tc>
        <w:tc>
          <w:tcPr>
            <w:tcW w:w="160" w:type="dxa"/>
            <w:vAlign w:val="bottom"/>
            <w:tcBorders>
              <w:right w:val="single" w:sz="8" w:color="auto"/>
            </w:tcBorders>
            <w:gridSpan w:val="2"/>
          </w:tcPr>
          <w:p>
            <w:pPr>
              <w:spacing w:after="0"/>
              <w:rPr>
                <w:sz w:val="17"/>
                <w:szCs w:val="17"/>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2080" w:type="dxa"/>
            <w:vAlign w:val="bottom"/>
            <w:gridSpan w:val="3"/>
          </w:tcPr>
          <w:p>
            <w:pPr>
              <w:ind w:left="100"/>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11, 2024).</w:t>
              </w:r>
            </w:hyperlink>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93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Contractual Relationship, dated April 30, 2023 (incorporated by reference to Exhibit 10.22 of Rezolve AI Limited’s Registration</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Statement on Form F-4, Amendment No. 5, filed with the SEC on May 20, 2024).</w:t>
              </w:r>
            </w:hyperlink>
          </w:p>
        </w:tc>
      </w:tr>
      <w:tr>
        <w:trPr>
          <w:trHeight w:val="21"/>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95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Power of Disposal over ANY Lifestyle Marketing GmbH, dated November 17, 2023 (incorporated by reference to Exhibit 10.23 of</w:t>
              </w:r>
            </w:hyperlink>
          </w:p>
        </w:tc>
        <w:tc>
          <w:tcPr>
            <w:tcW w:w="500" w:type="dxa"/>
            <w:vAlign w:val="bottom"/>
            <w:tcBorders>
              <w:right w:val="single" w:sz="8" w:color="auto"/>
            </w:tcBorders>
            <w:gridSpan w:val="12"/>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4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4"/>
                <w:szCs w:val="14"/>
                <w:color w:val="auto"/>
              </w:rPr>
            </w:pPr>
          </w:p>
        </w:tc>
        <w:tc>
          <w:tcPr>
            <w:tcW w:w="928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Loan Agreement, dated September 28, 2023, by and among Rezolve, Radio Group and the other parties thereto (incorporated by</w:t>
              </w:r>
            </w:hyperlink>
          </w:p>
        </w:tc>
        <w:tc>
          <w:tcPr>
            <w:tcW w:w="720" w:type="dxa"/>
            <w:vAlign w:val="bottom"/>
            <w:tcBorders>
              <w:right w:val="single" w:sz="8" w:color="auto"/>
            </w:tcBorders>
            <w:gridSpan w:val="18"/>
          </w:tcPr>
          <w:p>
            <w:pPr>
              <w:spacing w:after="0"/>
              <w:rPr>
                <w:sz w:val="14"/>
                <w:szCs w:val="14"/>
                <w:color w:val="auto"/>
              </w:rPr>
            </w:pPr>
          </w:p>
        </w:tc>
      </w:tr>
      <w:tr>
        <w:trPr>
          <w:trHeight w:val="196"/>
        </w:trPr>
        <w:tc>
          <w:tcPr>
            <w:tcW w:w="1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right w:val="single" w:sz="8" w:color="auto"/>
            </w:tcBorders>
            <w:gridSpan w:val="35"/>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reference to Exhibit 10.24 of Rezolve AI Limited’s Registration Statement on Form F-4, filed with the SEC on May 20, 2024).</w:t>
              </w:r>
            </w:hyperlink>
          </w:p>
        </w:tc>
      </w:tr>
      <w:tr>
        <w:trPr>
          <w:trHeight w:val="20"/>
        </w:trPr>
        <w:tc>
          <w:tcPr>
            <w:tcW w:w="11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104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4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317"/>
        </w:trPr>
        <w:tc>
          <w:tcPr>
            <w:tcW w:w="1140" w:type="dxa"/>
            <w:vAlign w:val="bottom"/>
          </w:tcPr>
          <w:p>
            <w:pPr>
              <w:spacing w:after="0"/>
              <w:rPr>
                <w:sz w:val="24"/>
                <w:szCs w:val="24"/>
                <w:color w:val="auto"/>
              </w:rPr>
            </w:pPr>
          </w:p>
        </w:tc>
        <w:tc>
          <w:tcPr>
            <w:tcW w:w="4860" w:type="dxa"/>
            <w:vAlign w:val="bottom"/>
            <w:gridSpan w:val="8"/>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07"/>
        </w:trPr>
        <w:tc>
          <w:tcPr>
            <w:tcW w:w="1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7"/>
                <w:szCs w:val="17"/>
                <w:color w:val="auto"/>
              </w:rPr>
            </w:pPr>
          </w:p>
        </w:tc>
        <w:tc>
          <w:tcPr>
            <w:tcW w:w="95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420" w:type="dxa"/>
            <w:vAlign w:val="bottom"/>
            <w:tcBorders>
              <w:right w:val="single" w:sz="8" w:color="auto"/>
            </w:tcBorders>
            <w:gridSpan w:val="11"/>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Acquisition Corp. I, Rezolve Limited and Rezolve AI Limited (incorporated by reference to Exhibit 2.1 of Armada's Current Report on</w:t>
              </w:r>
            </w:hyperlink>
          </w:p>
        </w:tc>
        <w:tc>
          <w:tcPr>
            <w:tcW w:w="220" w:type="dxa"/>
            <w:vAlign w:val="bottom"/>
            <w:tcBorders>
              <w:right w:val="single" w:sz="8" w:color="auto"/>
            </w:tcBorders>
            <w:gridSpan w:val="5"/>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Form 8-K, filed with the SEC on February 9, 2024).</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8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Second Amended and Restated Standby Equity Purchase Agreement, dated as of September 6, 2024, by and between YA II PN, Ltd. and</w:t>
              </w:r>
            </w:hyperlink>
          </w:p>
        </w:tc>
        <w:tc>
          <w:tcPr>
            <w:tcW w:w="120" w:type="dxa"/>
            <w:vAlign w:val="bottom"/>
            <w:tcBorders>
              <w:right w:val="single" w:sz="8" w:color="auto"/>
            </w:tcBorders>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Rezolve AI Limited (incorporated by reference to Exhibit 99.1 of Rezolve's Report on Form 6-K, filed with the SEC on September 13,</w:t>
              </w:r>
            </w:hyperlink>
          </w:p>
        </w:tc>
        <w:tc>
          <w:tcPr>
            <w:tcW w:w="260" w:type="dxa"/>
            <w:vAlign w:val="bottom"/>
            <w:tcBorders>
              <w:right w:val="single" w:sz="8" w:color="auto"/>
            </w:tcBorders>
            <w:gridSpan w:val="6"/>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300" w:type="dxa"/>
            <w:vAlign w:val="bottom"/>
            <w:tcBorders>
              <w:right w:val="single" w:sz="8" w:color="auto"/>
            </w:tcBorders>
            <w:gridSpan w:val="8"/>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4"/>
                <w:szCs w:val="14"/>
                <w:color w:val="auto"/>
              </w:rPr>
            </w:pPr>
          </w:p>
        </w:tc>
        <w:tc>
          <w:tcPr>
            <w:tcW w:w="9720" w:type="dxa"/>
            <w:vAlign w:val="bottom"/>
            <w:tcBorders>
              <w:bottom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280" w:type="dxa"/>
            <w:vAlign w:val="bottom"/>
            <w:tcBorders>
              <w:right w:val="single" w:sz="8" w:color="auto"/>
            </w:tcBorders>
            <w:gridSpan w:val="7"/>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4"/>
                <w:szCs w:val="14"/>
                <w:color w:val="auto"/>
              </w:rPr>
            </w:pPr>
          </w:p>
        </w:tc>
        <w:tc>
          <w:tcPr>
            <w:tcW w:w="98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Form of Securities Purchase Agreement (incorporated by reference to Exhibit 10.1 of Rezolve's Report on Form 6-K, filed December 23,</w:t>
              </w:r>
            </w:hyperlink>
          </w:p>
        </w:tc>
        <w:tc>
          <w:tcPr>
            <w:tcW w:w="120" w:type="dxa"/>
            <w:vAlign w:val="bottom"/>
            <w:tcBorders>
              <w:right w:val="single" w:sz="8" w:color="auto"/>
            </w:tcBorders>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2024).</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4"/>
                <w:szCs w:val="14"/>
                <w:color w:val="auto"/>
              </w:rPr>
            </w:pPr>
          </w:p>
        </w:tc>
        <w:tc>
          <w:tcPr>
            <w:tcW w:w="95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500" w:type="dxa"/>
            <w:vAlign w:val="bottom"/>
            <w:tcBorders>
              <w:right w:val="single" w:sz="8" w:color="auto"/>
            </w:tcBorders>
            <w:gridSpan w:val="13"/>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4"/>
                <w:szCs w:val="14"/>
                <w:color w:val="auto"/>
              </w:rPr>
            </w:pPr>
          </w:p>
        </w:tc>
        <w:tc>
          <w:tcPr>
            <w:tcW w:w="980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Purchase Agreement, dated February 4, 2025, by and between Rezolve AI Limited and DBLP Sea Cow Ltd. (incorporated by reference</w:t>
              </w:r>
            </w:hyperlink>
          </w:p>
        </w:tc>
        <w:tc>
          <w:tcPr>
            <w:tcW w:w="200" w:type="dxa"/>
            <w:vAlign w:val="bottom"/>
            <w:tcBorders>
              <w:right w:val="single" w:sz="8" w:color="auto"/>
            </w:tcBorders>
            <w:gridSpan w:val="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to Exhibit 10.1 of Rezolve's Report on Form 6-K, filed February 7,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4"/>
                <w:szCs w:val="14"/>
                <w:color w:val="auto"/>
              </w:rPr>
            </w:pPr>
          </w:p>
        </w:tc>
        <w:tc>
          <w:tcPr>
            <w:tcW w:w="9840" w:type="dxa"/>
            <w:vAlign w:val="bottom"/>
            <w:tcBorders>
              <w:bottom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160" w:type="dxa"/>
            <w:vAlign w:val="bottom"/>
            <w:tcBorders>
              <w:right w:val="single" w:sz="8" w:color="auto"/>
            </w:tcBorders>
            <w:gridSpan w:val="3"/>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140" w:type="dxa"/>
            <w:vAlign w:val="bottom"/>
            <w:tcBorders>
              <w:right w:val="single" w:sz="8" w:color="auto"/>
            </w:tcBorders>
            <w:gridSpan w:val="2"/>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filed February 11,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4"/>
                <w:szCs w:val="14"/>
                <w:color w:val="auto"/>
              </w:rPr>
            </w:pPr>
          </w:p>
        </w:tc>
        <w:tc>
          <w:tcPr>
            <w:tcW w:w="94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5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Schedule of Buyers attached thereto (incorporated by reference to Exhibit 10.1 of Rezolve's Report on Form 6-K, filed February 25,</w:t>
              </w:r>
            </w:hyperlink>
          </w:p>
        </w:tc>
        <w:tc>
          <w:tcPr>
            <w:tcW w:w="460" w:type="dxa"/>
            <w:vAlign w:val="bottom"/>
            <w:tcBorders>
              <w:right w:val="single" w:sz="8" w:color="auto"/>
            </w:tcBorders>
            <w:gridSpan w:val="12"/>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4"/>
                <w:szCs w:val="14"/>
                <w:color w:val="auto"/>
              </w:rPr>
            </w:pPr>
          </w:p>
        </w:tc>
        <w:tc>
          <w:tcPr>
            <w:tcW w:w="946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540" w:type="dxa"/>
            <w:vAlign w:val="bottom"/>
            <w:tcBorders>
              <w:right w:val="single" w:sz="8" w:color="auto"/>
            </w:tcBorders>
            <w:gridSpan w:val="1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6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w:t>
              </w:r>
            </w:hyperlink>
          </w:p>
        </w:tc>
        <w:tc>
          <w:tcPr>
            <w:tcW w:w="380" w:type="dxa"/>
            <w:vAlign w:val="bottom"/>
            <w:tcBorders>
              <w:right w:val="single" w:sz="8" w:color="auto"/>
            </w:tcBorders>
            <w:gridSpan w:val="10"/>
          </w:tcPr>
          <w:p>
            <w:pPr>
              <w:spacing w:after="0"/>
              <w:rPr>
                <w:sz w:val="17"/>
                <w:szCs w:val="17"/>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80" w:type="dxa"/>
            <w:vAlign w:val="bottom"/>
          </w:tcPr>
          <w:p>
            <w:pPr>
              <w:spacing w:after="0"/>
              <w:rPr>
                <w:sz w:val="14"/>
                <w:szCs w:val="14"/>
                <w:color w:val="auto"/>
              </w:rPr>
            </w:pPr>
          </w:p>
        </w:tc>
        <w:tc>
          <w:tcPr>
            <w:tcW w:w="94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Securities Purchase Agreement (incorporated by reference to Exhibit 10.1 of Rezolve's Report on Form 6-K, filed July 25,</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10.23</w:t>
            </w:r>
          </w:p>
        </w:tc>
        <w:tc>
          <w:tcPr>
            <w:tcW w:w="80" w:type="dxa"/>
            <w:vAlign w:val="bottom"/>
          </w:tcPr>
          <w:p>
            <w:pPr>
              <w:spacing w:after="0"/>
              <w:rPr>
                <w:sz w:val="14"/>
                <w:szCs w:val="14"/>
                <w:color w:val="auto"/>
              </w:rPr>
            </w:pPr>
          </w:p>
        </w:tc>
        <w:tc>
          <w:tcPr>
            <w:tcW w:w="932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Placement Agent Agreement, dated July 24, 2025, between Rezolve AI plc and A.G.P/Alliance Global Partners (incorporated by</w:t>
              </w:r>
            </w:hyperlink>
          </w:p>
        </w:tc>
        <w:tc>
          <w:tcPr>
            <w:tcW w:w="680" w:type="dxa"/>
            <w:vAlign w:val="bottom"/>
            <w:tcBorders>
              <w:right w:val="single" w:sz="8" w:color="auto"/>
            </w:tcBorders>
            <w:gridSpan w:val="16"/>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reference to Exhibit 10.2 of Rezolve's Report on Form 6-K, filed July 25, 2025).</w:t>
              </w:r>
            </w:hyperlink>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4"/>
                <w:szCs w:val="14"/>
                <w:color w:val="auto"/>
              </w:rPr>
            </w:pPr>
          </w:p>
        </w:tc>
        <w:tc>
          <w:tcPr>
            <w:tcW w:w="948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Registration Rights Agreement (incorporated by reference to Exhibit 10.3 of Rezolve's Report on Form 6-K, filed July 25,</w:t>
              </w:r>
            </w:hyperlink>
          </w:p>
        </w:tc>
        <w:tc>
          <w:tcPr>
            <w:tcW w:w="520" w:type="dxa"/>
            <w:vAlign w:val="bottom"/>
            <w:tcBorders>
              <w:right w:val="single" w:sz="8" w:color="auto"/>
            </w:tcBorders>
            <w:gridSpan w:val="14"/>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2025).</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4"/>
                <w:szCs w:val="14"/>
                <w:color w:val="auto"/>
              </w:rPr>
            </w:pPr>
          </w:p>
        </w:tc>
        <w:tc>
          <w:tcPr>
            <w:tcW w:w="968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Securities Purchase Agreement (incorporated by reference to Exhibit 10.1 of Rezolve's Report on Form 6-K, filed September</w:t>
              </w:r>
            </w:hyperlink>
          </w:p>
        </w:tc>
        <w:tc>
          <w:tcPr>
            <w:tcW w:w="320" w:type="dxa"/>
            <w:vAlign w:val="bottom"/>
            <w:tcBorders>
              <w:right w:val="single" w:sz="8" w:color="auto"/>
            </w:tcBorders>
            <w:gridSpan w:val="9"/>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6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10.26</w:t>
            </w:r>
          </w:p>
        </w:tc>
        <w:tc>
          <w:tcPr>
            <w:tcW w:w="80" w:type="dxa"/>
            <w:vAlign w:val="bottom"/>
          </w:tcPr>
          <w:p>
            <w:pPr>
              <w:spacing w:after="0"/>
              <w:rPr>
                <w:sz w:val="14"/>
                <w:szCs w:val="14"/>
                <w:color w:val="auto"/>
              </w:rPr>
            </w:pPr>
          </w:p>
        </w:tc>
        <w:tc>
          <w:tcPr>
            <w:tcW w:w="9780" w:type="dxa"/>
            <w:vAlign w:val="bottom"/>
            <w:tcBorders>
              <w:bottom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Placement Agent Agreement, dated September 24, 2025, between Rezolve AI plc and A.G.P/Alliance Global Partners (incorporated by</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tcBorders>
              <w:right w:val="single" w:sz="8" w:color="auto"/>
            </w:tcBorders>
            <w:gridSpan w:val="33"/>
          </w:tcPr>
          <w:p>
            <w:pPr>
              <w:spacing w:after="0" w:line="19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reference to Exhibit 10.2 of Rezolve's Report on Form 6-K, filed September 26, 2025).</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40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10.27</w:t>
            </w:r>
          </w:p>
        </w:tc>
        <w:tc>
          <w:tcPr>
            <w:tcW w:w="80" w:type="dxa"/>
            <w:vAlign w:val="bottom"/>
          </w:tcPr>
          <w:p>
            <w:pPr>
              <w:spacing w:after="0"/>
              <w:rPr>
                <w:sz w:val="14"/>
                <w:szCs w:val="14"/>
                <w:color w:val="auto"/>
              </w:rPr>
            </w:pPr>
          </w:p>
        </w:tc>
        <w:tc>
          <w:tcPr>
            <w:tcW w:w="968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Registration Rights Agreement (incorporated by reference to Exhibit 10.3 of Rezolve's Report on Form 6-K, filed September</w:t>
              </w:r>
            </w:hyperlink>
          </w:p>
        </w:tc>
        <w:tc>
          <w:tcPr>
            <w:tcW w:w="320" w:type="dxa"/>
            <w:vAlign w:val="bottom"/>
            <w:tcBorders>
              <w:right w:val="single" w:sz="8" w:color="auto"/>
            </w:tcBorders>
            <w:gridSpan w:val="9"/>
          </w:tcPr>
          <w:p>
            <w:pPr>
              <w:spacing w:after="0"/>
              <w:rPr>
                <w:sz w:val="14"/>
                <w:szCs w:val="14"/>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6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26, 2025).</w:t>
              </w:r>
            </w:hyperlink>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6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4"/>
                <w:szCs w:val="14"/>
                <w:color w:val="auto"/>
              </w:rPr>
            </w:pPr>
          </w:p>
        </w:tc>
        <w:tc>
          <w:tcPr>
            <w:tcW w:w="10000" w:type="dxa"/>
            <w:vAlign w:val="bottom"/>
            <w:tcBorders>
              <w:right w:val="single" w:sz="8" w:color="auto"/>
            </w:tcBorders>
            <w:gridSpan w:val="33"/>
          </w:tcPr>
          <w:p>
            <w:pPr>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46"/>
        </w:trPr>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r>
      <w:tr>
        <w:trPr>
          <w:trHeight w:val="132"/>
        </w:trPr>
        <w:tc>
          <w:tcPr>
            <w:tcW w:w="1160" w:type="dxa"/>
            <w:vAlign w:val="bottom"/>
            <w:tcBorders>
              <w:left w:val="single" w:sz="8" w:color="auto"/>
              <w:righ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80" w:type="dxa"/>
            <w:vAlign w:val="bottom"/>
          </w:tcPr>
          <w:p>
            <w:pPr>
              <w:spacing w:after="0"/>
              <w:rPr>
                <w:sz w:val="11"/>
                <w:szCs w:val="11"/>
                <w:color w:val="auto"/>
              </w:rPr>
            </w:pPr>
          </w:p>
        </w:tc>
        <w:tc>
          <w:tcPr>
            <w:tcW w:w="10000" w:type="dxa"/>
            <w:vAlign w:val="bottom"/>
            <w:tcBorders>
              <w:right w:val="single" w:sz="8" w:color="auto"/>
            </w:tcBorders>
            <w:gridSpan w:val="33"/>
          </w:tcPr>
          <w:p>
            <w:pPr>
              <w:spacing w:after="0" w:line="133" w:lineRule="exact"/>
              <w:rPr>
                <w:rFonts w:ascii="Times New Roman" w:cs="Times New Roman" w:eastAsia="Times New Roman" w:hAnsi="Times New Roman"/>
                <w:sz w:val="15"/>
                <w:szCs w:val="15"/>
                <w:color w:val="0000FF"/>
              </w:rPr>
            </w:pPr>
            <w:hyperlink r:id="rId99">
              <w:r>
                <w:rPr>
                  <w:rFonts w:ascii="Times New Roman" w:cs="Times New Roman" w:eastAsia="Times New Roman" w:hAnsi="Times New Roman"/>
                  <w:sz w:val="15"/>
                  <w:szCs w:val="15"/>
                  <w:color w:val="0000FF"/>
                </w:rPr>
                <w:t>Consent of Taylor Wessing LLP (included in Exhibit 5.1).</w:t>
              </w:r>
            </w:hyperlink>
          </w:p>
        </w:tc>
      </w:tr>
      <w:tr>
        <w:trPr>
          <w:trHeight w:val="60"/>
        </w:trPr>
        <w:tc>
          <w:tcPr>
            <w:tcW w:w="116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FF"/>
              <w:bottom w:val="single" w:sz="8" w:color="0000FF"/>
            </w:tcBorders>
          </w:tcPr>
          <w:p>
            <w:pPr>
              <w:spacing w:after="0"/>
              <w:rPr>
                <w:sz w:val="5"/>
                <w:szCs w:val="5"/>
                <w:color w:val="auto"/>
              </w:rPr>
            </w:pPr>
          </w:p>
        </w:tc>
        <w:tc>
          <w:tcPr>
            <w:tcW w:w="280" w:type="dxa"/>
            <w:vAlign w:val="bottom"/>
            <w:tcBorders>
              <w:top w:val="single" w:sz="8" w:color="0000FF"/>
              <w:bottom w:val="single" w:sz="8" w:color="0000FF"/>
            </w:tcBorders>
          </w:tcPr>
          <w:p>
            <w:pPr>
              <w:spacing w:after="0"/>
              <w:rPr>
                <w:sz w:val="5"/>
                <w:szCs w:val="5"/>
                <w:color w:val="auto"/>
              </w:rPr>
            </w:pPr>
          </w:p>
        </w:tc>
        <w:tc>
          <w:tcPr>
            <w:tcW w:w="84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0" w:type="dxa"/>
            <w:vAlign w:val="bottom"/>
            <w:tcBorders>
              <w:top w:val="single" w:sz="8" w:color="0000FF"/>
              <w:bottom w:val="single" w:sz="8" w:color="0000FF"/>
            </w:tcBorders>
          </w:tcPr>
          <w:p>
            <w:pPr>
              <w:spacing w:after="0"/>
              <w:rPr>
                <w:sz w:val="5"/>
                <w:szCs w:val="5"/>
                <w:color w:val="auto"/>
              </w:rPr>
            </w:pPr>
          </w:p>
        </w:tc>
        <w:tc>
          <w:tcPr>
            <w:tcW w:w="820" w:type="dxa"/>
            <w:vAlign w:val="bottom"/>
            <w:tcBorders>
              <w:top w:val="single" w:sz="8" w:color="0000FF"/>
              <w:bottom w:val="single" w:sz="8" w:color="0000FF"/>
            </w:tcBorders>
          </w:tcPr>
          <w:p>
            <w:pPr>
              <w:spacing w:after="0"/>
              <w:rPr>
                <w:sz w:val="5"/>
                <w:szCs w:val="5"/>
                <w:color w:val="auto"/>
              </w:rPr>
            </w:pPr>
          </w:p>
        </w:tc>
        <w:tc>
          <w:tcPr>
            <w:tcW w:w="1160" w:type="dxa"/>
            <w:vAlign w:val="bottom"/>
            <w:tcBorders>
              <w:top w:val="single" w:sz="8" w:color="0000FF"/>
              <w:bottom w:val="single" w:sz="8" w:color="0000FF"/>
            </w:tcBorders>
          </w:tcPr>
          <w:p>
            <w:pPr>
              <w:spacing w:after="0"/>
              <w:rPr>
                <w:sz w:val="5"/>
                <w:szCs w:val="5"/>
                <w:color w:val="auto"/>
              </w:rPr>
            </w:pPr>
          </w:p>
        </w:tc>
        <w:tc>
          <w:tcPr>
            <w:tcW w:w="400" w:type="dxa"/>
            <w:vAlign w:val="bottom"/>
            <w:tcBorders>
              <w:top w:val="single" w:sz="8" w:color="0000FF"/>
              <w:bottom w:val="single" w:sz="8" w:color="0000FF"/>
            </w:tcBorders>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r>
      <w:tr>
        <w:trPr>
          <w:trHeight w:val="129"/>
        </w:trPr>
        <w:tc>
          <w:tcPr>
            <w:tcW w:w="116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107**</w:t>
            </w:r>
          </w:p>
        </w:tc>
        <w:tc>
          <w:tcPr>
            <w:tcW w:w="80" w:type="dxa"/>
            <w:vAlign w:val="bottom"/>
            <w:tcBorders>
              <w:top w:val="single" w:sz="8" w:color="auto"/>
            </w:tcBorders>
          </w:tcPr>
          <w:p>
            <w:pPr>
              <w:spacing w:after="0"/>
              <w:rPr>
                <w:sz w:val="11"/>
                <w:szCs w:val="11"/>
                <w:color w:val="auto"/>
              </w:rPr>
            </w:pPr>
          </w:p>
        </w:tc>
        <w:tc>
          <w:tcPr>
            <w:tcW w:w="10000" w:type="dxa"/>
            <w:vAlign w:val="bottom"/>
            <w:tcBorders>
              <w:top w:val="single" w:sz="8" w:color="auto"/>
              <w:right w:val="single" w:sz="8" w:color="auto"/>
            </w:tcBorders>
            <w:gridSpan w:val="33"/>
          </w:tcPr>
          <w:p>
            <w:pPr>
              <w:spacing w:after="0" w:line="130" w:lineRule="exact"/>
              <w:rPr>
                <w:rFonts w:ascii="Times New Roman" w:cs="Times New Roman" w:eastAsia="Times New Roman" w:hAnsi="Times New Roman"/>
                <w:sz w:val="15"/>
                <w:szCs w:val="15"/>
                <w:color w:val="0000FF"/>
              </w:rPr>
            </w:pPr>
            <w:hyperlink r:id="rId129">
              <w:r>
                <w:rPr>
                  <w:rFonts w:ascii="Times New Roman" w:cs="Times New Roman" w:eastAsia="Times New Roman" w:hAnsi="Times New Roman"/>
                  <w:sz w:val="15"/>
                  <w:szCs w:val="15"/>
                  <w:color w:val="0000FF"/>
                </w:rPr>
                <w:t>Calculation of Fee Table.</w:t>
              </w:r>
            </w:hyperlink>
          </w:p>
        </w:tc>
      </w:tr>
      <w:tr>
        <w:trPr>
          <w:trHeight w:val="21"/>
        </w:trPr>
        <w:tc>
          <w:tcPr>
            <w:tcW w:w="1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London, United Kingdom, on the 17th day of October, 2025.</w:t>
      </w:r>
    </w:p>
    <w:p>
      <w:pPr>
        <w:spacing w:after="0" w:line="1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F-3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17,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191770</wp:posOffset>
            </wp:positionV>
            <wp:extent cx="17487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2">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F-3 to be signed on its behalf by the undersigned, thereunto duly authorized, in the city of New York, New York, on the 17th of October, 2025.</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0" w:name="page61"/>
    <w:bookmarkEnd w:id="60"/>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hereby consent to the incorporation by reference in this Amendment No. 1 to Registration Statement (333-290639) on Form F-3 of our report dated April 23, 2025, except for Note 17, as to which the date is September 25, 2025, with respects to our audits of the consolidated financial statements of Rezolve AI plc, as of and for the years ended December 31, 2024 and 2023. We also consent to the reference to our firm under the heading “Experts” appearing therein.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 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Grassi &amp; Co., CPAs, P.C.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October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9" w:lineRule="exact"/>
        <w:rPr>
          <w:sz w:val="20"/>
          <w:szCs w:val="20"/>
          <w:color w:val="auto"/>
        </w:rPr>
      </w:pPr>
    </w:p>
    <w:p>
      <w:pPr>
        <w:jc w:val="both"/>
        <w:ind w:left="20" w:right="100"/>
        <w:spacing w:after="0" w:line="247" w:lineRule="auto"/>
        <w:rPr>
          <w:sz w:val="20"/>
          <w:szCs w:val="20"/>
          <w:color w:val="auto"/>
        </w:rPr>
      </w:pPr>
      <w:r>
        <w:rPr>
          <w:rFonts w:ascii="Arial" w:cs="Arial" w:eastAsia="Arial" w:hAnsi="Arial"/>
          <w:sz w:val="18"/>
          <w:szCs w:val="18"/>
          <w:color w:val="auto"/>
        </w:rPr>
        <w:t>We consent to the incorporation by reference in this Amendment No. 1 to Registration Statement on form F-3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Chartered Professional Accountants Licensed Public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Accountants Toronto, Canada</w:t>
      </w:r>
    </w:p>
    <w:p>
      <w:pPr>
        <w:ind w:left="20"/>
        <w:spacing w:after="0"/>
        <w:rPr>
          <w:sz w:val="20"/>
          <w:szCs w:val="20"/>
          <w:color w:val="auto"/>
        </w:rPr>
      </w:pPr>
      <w:r>
        <w:rPr>
          <w:rFonts w:ascii="Arial" w:cs="Arial" w:eastAsia="Arial" w:hAnsi="Arial"/>
          <w:sz w:val="18"/>
          <w:szCs w:val="18"/>
          <w:color w:val="auto"/>
        </w:rPr>
        <w:t>October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216535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40"/>
      </w:cols>
      <w:pgMar w:left="4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Roman"/>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lvl w:ilvl="1">
      <w:lvlJc w:val="left"/>
      <w:lvlText w:val="(%2)"/>
      <w:numFmt w:val="decimal"/>
      <w:start w:val="1"/>
    </w:lvl>
  </w:abstractNum>
  <w:abstractNum w:abstractNumId="27">
    <w:nsid w:val="8138641"/>
    <w:multiLevelType w:val="hybridMultilevel"/>
    <w:lvl w:ilvl="0">
      <w:lvlJc w:val="left"/>
      <w:lvlText w:val="(%1)"/>
      <w:numFmt w:val="decimal"/>
      <w:start w:val="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108" Type="http://schemas.openxmlformats.org/officeDocument/2006/relationships/image" Target="media/image71.png"/><Relationship Id="rId109" Type="http://schemas.openxmlformats.org/officeDocument/2006/relationships/image" Target="media/image72.png"/><Relationship Id="rId130" Type="http://schemas.openxmlformats.org/officeDocument/2006/relationships/image" Target="media/image73.png"/><Relationship Id="rId131" Type="http://schemas.openxmlformats.org/officeDocument/2006/relationships/image" Target="media/image74.png"/><Relationship Id="rId13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76" Type="http://schemas.openxmlformats.org/officeDocument/2006/relationships/hyperlink" Target="https://www.sec.gov/Archives/edgar/data/1920294/000095017025057622/rzlv-20241231.htm" TargetMode="External"/><Relationship Id="rId77" Type="http://schemas.openxmlformats.org/officeDocument/2006/relationships/hyperlink" Target="https://www.sec.gov/Archives/edgar/data/1920294/000095017025047916/groupby_closing_6-k.htm" TargetMode="External"/><Relationship Id="rId78" Type="http://schemas.openxmlformats.org/officeDocument/2006/relationships/hyperlink" Target="https://www.sec.gov/Archives/edgar/data/1920294/000095017025098147/pricing_6-k.htm" TargetMode="External"/><Relationship Id="rId79" Type="http://schemas.openxmlformats.org/officeDocument/2006/relationships/hyperlink" Target="https://www.sec.gov/Archives/edgar/data/1920294/000095017025098781/litigation_6-k.htm" TargetMode="External"/><Relationship Id="rId80" Type="http://schemas.openxmlformats.org/officeDocument/2006/relationships/hyperlink" Target="https://www.sec.gov/Archives/edgar/data/1920294/000095017025098790/pipe_closing_6-k.htm" TargetMode="External"/><Relationship Id="rId81" Type="http://schemas.openxmlformats.org/officeDocument/2006/relationships/hyperlink" Target="https://www.sec.gov/Archives/edgar/data/1920294/000119312525213667/warrants_6-k.htm" TargetMode="External"/><Relationship Id="rId82" Type="http://schemas.openxmlformats.org/officeDocument/2006/relationships/hyperlink" Target="https://www.sec.gov/Archives/edgar/data/1920294/000119312525214041/second_pricing_6-k.htm" TargetMode="External"/><Relationship Id="rId83" Type="http://schemas.openxmlformats.org/officeDocument/2006/relationships/hyperlink" Target="https://www.sec.gov/Archives/edgar/data/1920294/000119312525220703/second_closing_6-k.htm" TargetMode="External"/><Relationship Id="rId84" Type="http://schemas.openxmlformats.org/officeDocument/2006/relationships/hyperlink" Target="https://www.sec.gov/Archives/edgar/data/1920294/000119312525226728/rzlv-20250630.htm" TargetMode="External"/><Relationship Id="rId85" Type="http://schemas.openxmlformats.org/officeDocument/2006/relationships/hyperlink" Target="https://www.sec.gov/Archives/edgar/data/1920294/000119312525230582/copy_of_general_meeting_.htm" TargetMode="External"/><Relationship Id="rId86" Type="http://schemas.openxmlformats.org/officeDocument/2006/relationships/hyperlink" Target="https://www.sec.gov/Archives/edgar/data/1920294/000119312525237242/acquisitions_6-k.htm" TargetMode="External"/><Relationship Id="rId87" Type="http://schemas.openxmlformats.org/officeDocument/2006/relationships/hyperlink" Target="https://www.sec.gov/Archives/edgar/data/1920294/000119312524201396/d873446d8a12b.htm" TargetMode="External"/><Relationship Id="rId90" Type="http://schemas.openxmlformats.org/officeDocument/2006/relationships/hyperlink" Target="https://www.sec.gov/Archives/edgar/data/1920294/000119312523240685/d309194df4a.htm#anxacov" TargetMode="External"/><Relationship Id="rId91" Type="http://schemas.openxmlformats.org/officeDocument/2006/relationships/hyperlink" Target="https://www.sec.gov/Archives/edgar/data/1920294/000119312523240685/d309194df4a.htm#anxaa" TargetMode="External"/><Relationship Id="rId92" Type="http://schemas.openxmlformats.org/officeDocument/2006/relationships/hyperlink" Target="https://www.sec.gov/Archives/edgar/data/1920294/000095017025047916/rzlv-ex3_1.htm" TargetMode="External"/><Relationship Id="rId93" Type="http://schemas.openxmlformats.org/officeDocument/2006/relationships/hyperlink" Target="https://www.sec.gov/Archives/edgar/data/1920294/000119312524204510/d885107dex21.htm" TargetMode="External"/><Relationship Id="rId94" Type="http://schemas.openxmlformats.org/officeDocument/2006/relationships/hyperlink" Target="https://www.sec.gov/Archives/edgar/data/1920294/000119312524204510/d885107dex22.htm" TargetMode="External"/><Relationship Id="rId95" Type="http://schemas.openxmlformats.org/officeDocument/2006/relationships/hyperlink" Target="https://www.sec.gov/Archives/edgar/data/1920294/000119312524204510/d885107dex43.htm" TargetMode="External"/><Relationship Id="rId96" Type="http://schemas.openxmlformats.org/officeDocument/2006/relationships/hyperlink" Target="https://www.sec.gov/Archives/edgar/data/1920294/000119312524204510/d885107dex44.htm" TargetMode="External"/><Relationship Id="rId97" Type="http://schemas.openxmlformats.org/officeDocument/2006/relationships/hyperlink" Target="https://www.sec.gov/Archives/edgar/data/1920294/000119312524204510/d885107dex46.htm" TargetMode="External"/><Relationship Id="rId98" Type="http://schemas.openxmlformats.org/officeDocument/2006/relationships/hyperlink" Target="https://www.sec.gov/Archives/edgar/data/1920294/000119312524204510/d885107dex47.htm" TargetMode="External"/><Relationship Id="rId99" Type="http://schemas.openxmlformats.org/officeDocument/2006/relationships/hyperlink" Target="https://www.sec.gov/Archives/edgar/data/1920294/000119312525225236/rzlv-ex5_1.htm" TargetMode="External"/><Relationship Id="rId100" Type="http://schemas.openxmlformats.org/officeDocument/2006/relationships/hyperlink" Target="https://www.sec.gov/Archives/edgar/data/1920294/000119312524159410/d309194dex1017.htm" TargetMode="External"/><Relationship Id="rId101" Type="http://schemas.openxmlformats.org/officeDocument/2006/relationships/hyperlink" Target="https://www.sec.gov/Archives/edgar/data/1920294/000119312524143103/d309194dex1018.htm" TargetMode="External"/><Relationship Id="rId102" Type="http://schemas.openxmlformats.org/officeDocument/2006/relationships/hyperlink" Target="https://www.sec.gov/Archives/edgar/data/1920294/000119312524143103/d309194dex1019.htm" TargetMode="External"/><Relationship Id="rId103" Type="http://schemas.openxmlformats.org/officeDocument/2006/relationships/hyperlink" Target="https://www.sec.gov/Archives/edgar/data/1920294/000119312524143103/d309194dex1020.htm" TargetMode="External"/><Relationship Id="rId104" Type="http://schemas.openxmlformats.org/officeDocument/2006/relationships/hyperlink" Target="https://www.sec.gov/Archives/edgar/data/1920294/000119312524143103/d309194dex1021.htm" TargetMode="External"/><Relationship Id="rId105" Type="http://schemas.openxmlformats.org/officeDocument/2006/relationships/hyperlink" Target="https://www.sec.gov/Archives/edgar/data/1920294/000119312524143103/d309194dex1022.htm" TargetMode="External"/><Relationship Id="rId106" Type="http://schemas.openxmlformats.org/officeDocument/2006/relationships/hyperlink" Target="https://www.sec.gov/Archives/edgar/data/1920294/000119312524143103/d309194dex1023.htm" TargetMode="External"/><Relationship Id="rId107" Type="http://schemas.openxmlformats.org/officeDocument/2006/relationships/hyperlink" Target="https://www.sec.gov/Archives/edgar/data/1920294/000119312524143103/d309194dex1024.htm" TargetMode="External"/><Relationship Id="rId110" Type="http://schemas.openxmlformats.org/officeDocument/2006/relationships/hyperlink" Target="https://www.sec.gov/Archives/edgar/data/1844817/000119312524028592/d701134dex21.htm" TargetMode="External"/><Relationship Id="rId111" Type="http://schemas.openxmlformats.org/officeDocument/2006/relationships/hyperlink" Target="https://www.sec.gov/Archives/edgar/data/1920294/000095017024104513/rzlv-ex10_13.htm" TargetMode="External"/><Relationship Id="rId112" Type="http://schemas.openxmlformats.org/officeDocument/2006/relationships/hyperlink" Target="https://www.sec.gov/Archives/edgar/data/1920294/000095017024106474/rzlv-ex99_2.htm" TargetMode="External"/><Relationship Id="rId113" Type="http://schemas.openxmlformats.org/officeDocument/2006/relationships/hyperlink" Target="https://www.sec.gov/Archives/edgar/data/1920294/000095017024133740/rzlv-ex99_1.htm" TargetMode="External"/><Relationship Id="rId114" Type="http://schemas.openxmlformats.org/officeDocument/2006/relationships/hyperlink" Target="https://www.sec.gov/Archives/edgar/data/1920294/000095017024137626/rzlv-ex10_2.htm" TargetMode="External"/><Relationship Id="rId115" Type="http://schemas.openxmlformats.org/officeDocument/2006/relationships/hyperlink" Target="https://www.sec.gov/Archives/edgar/data/1920294/000095017024137626/rzlv-ex10_3.htm" TargetMode="External"/><Relationship Id="rId116" Type="http://schemas.openxmlformats.org/officeDocument/2006/relationships/hyperlink" Target="https://www.sec.gov/Archives/edgar/data/1920294/000095017024139714/rzlv-ex10_1.htm" TargetMode="External"/><Relationship Id="rId117" Type="http://schemas.openxmlformats.org/officeDocument/2006/relationships/hyperlink" Target="https://www.sec.gov/Archives/edgar/data/1920294/000095017025010226/rzlv-ex10_1.htm" TargetMode="External"/><Relationship Id="rId118" Type="http://schemas.openxmlformats.org/officeDocument/2006/relationships/hyperlink" Target="https://www.sec.gov/Archives/edgar/data/1920294/000095017025016341/rzlv-ex10_1.htm" TargetMode="External"/><Relationship Id="rId119" Type="http://schemas.openxmlformats.org/officeDocument/2006/relationships/hyperlink" Target="https://www.sec.gov/Archives/edgar/data/1920294/000095017025024898/rzlv-ex10_1.htm" TargetMode="External"/><Relationship Id="rId120" Type="http://schemas.openxmlformats.org/officeDocument/2006/relationships/hyperlink" Target="https://www.sec.gov/Archives/edgar/data/1920294/000095017025026125/rzlv-ex10_1.htm" TargetMode="External"/><Relationship Id="rId121" Type="http://schemas.openxmlformats.org/officeDocument/2006/relationships/hyperlink" Target="https://www.sec.gov/Archives/edgar/data/1920294/000095017025026125/rzlv-ex10_2.htm" TargetMode="External"/><Relationship Id="rId122" Type="http://schemas.openxmlformats.org/officeDocument/2006/relationships/hyperlink" Target="https://www.sec.gov/Archives/edgar/data/1920294/000095017025034867/rzlv-ex10_1.htm" TargetMode="External"/><Relationship Id="rId123" Type="http://schemas.openxmlformats.org/officeDocument/2006/relationships/hyperlink" Target="https://www.sec.gov/Archives/edgar/data/1920294/000095017025098790/rzlv-ex10_1.htm" TargetMode="External"/><Relationship Id="rId124" Type="http://schemas.openxmlformats.org/officeDocument/2006/relationships/hyperlink" Target="https://www.sec.gov/Archives/edgar/data/1920294/000095017025098790/rzlv-ex10_2.htm" TargetMode="External"/><Relationship Id="rId125" Type="http://schemas.openxmlformats.org/officeDocument/2006/relationships/hyperlink" Target="https://www.sec.gov/Archives/edgar/data/1920294/000095017025098790/rzlv-ex10_3.htm" TargetMode="External"/><Relationship Id="rId126" Type="http://schemas.openxmlformats.org/officeDocument/2006/relationships/hyperlink" Target="https://www.sec.gov/Archives/edgar/data/1920294/000119312525220703/rzlv-ex10_1.htm" TargetMode="External"/><Relationship Id="rId127" Type="http://schemas.openxmlformats.org/officeDocument/2006/relationships/hyperlink" Target="https://www.sec.gov/Archives/edgar/data/1920294/000119312525220703/rzlv-ex10_2.htm" TargetMode="External"/><Relationship Id="rId128" Type="http://schemas.openxmlformats.org/officeDocument/2006/relationships/hyperlink" Target="https://www.sec.gov/Archives/edgar/data/1920294/000119312525220703/rzlv-ex10_3.htm" TargetMode="External"/><Relationship Id="rId129" Type="http://schemas.openxmlformats.org/officeDocument/2006/relationships/hyperlink" Target="https://www.sec.gov/ix?doc=/Archives/edgar/data/1920294/000119312525225236/rzlv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2025-10-17T16:31:25Z</dcterms:created>
  <dcterms:modified xsi:type="dcterms:W3CDTF">2025-10-17T16:31:25Z</dcterms:modified>
</cp:coreProperties>
</file>