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18,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34" w:lineRule="exact"/>
        <w:rPr>
          <w:sz w:val="24"/>
          <w:szCs w:val="24"/>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8"/>
          <w:szCs w:val="18"/>
          <w:color w:val="auto"/>
        </w:rPr>
        <w:t>Attention:</w:t>
        <w:tab/>
        <w:t>Kyle Wiley</w:t>
      </w:r>
    </w:p>
    <w:p>
      <w:pPr>
        <w:spacing w:after="0" w:line="27"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Matthew Crispino</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43"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Rezolve AI Limited</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F-4</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Filed December 6, 2023</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December 18, 2023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Amendment No. 3 to Registration Statement on Form F-4, filed with the Commission on December 6, 2023 (the “Registration Statement”).</w:t>
      </w:r>
    </w:p>
    <w:p>
      <w:pPr>
        <w:spacing w:after="0" w:line="176" w:lineRule="exact"/>
        <w:rPr>
          <w:sz w:val="24"/>
          <w:szCs w:val="24"/>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3 to Registration Statement on Form F-4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Proposals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 What revenues and profits/losses has Rezolve generated in the last two years?, page 18</w:t>
      </w:r>
    </w:p>
    <w:p>
      <w:pPr>
        <w:spacing w:after="0" w:line="230" w:lineRule="exact"/>
        <w:rPr>
          <w:sz w:val="24"/>
          <w:szCs w:val="24"/>
          <w:color w:val="auto"/>
        </w:rPr>
      </w:pPr>
    </w:p>
    <w:p>
      <w:pPr>
        <w:jc w:val="both"/>
        <w:ind w:left="424" w:right="38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revise your disclosure to clarify that Rezolve currently generates the majority of its revenue through the sale of radio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advertisements on Radio Group radio stations and that it has not yet generated any revenue from the Rezolve Platform. Please include similar disclosure in the overview section of Rezolve’s business discussion on page 217.</w:t>
      </w:r>
    </w:p>
    <w:p>
      <w:pPr>
        <w:sectPr>
          <w:pgSz w:w="11900" w:h="16838" w:orient="portrait"/>
          <w:cols w:equalWidth="0" w:num="1">
            <w:col w:w="11024"/>
          </w:cols>
          <w:pgMar w:left="436"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18 and 220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Balance Sheet, page 104</w:t>
      </w:r>
    </w:p>
    <w:p>
      <w:pPr>
        <w:spacing w:after="0" w:line="230" w:lineRule="exact"/>
        <w:rPr>
          <w:sz w:val="20"/>
          <w:szCs w:val="20"/>
          <w:color w:val="auto"/>
        </w:rPr>
      </w:pPr>
    </w:p>
    <w:p>
      <w:pPr>
        <w:ind w:left="424" w:right="440"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revise to show your negative cash and cash equivalents as bank overdrafts in the liability section of your pro forma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combined balance sheet.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105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Rezolve’s Management’s Discussion and Analysis of Financial Conditions and Results of Operations, page 234</w:t>
      </w:r>
    </w:p>
    <w:p>
      <w:pPr>
        <w:spacing w:after="0" w:line="248" w:lineRule="exact"/>
        <w:rPr>
          <w:sz w:val="20"/>
          <w:szCs w:val="20"/>
          <w:color w:val="auto"/>
        </w:rPr>
      </w:pPr>
    </w:p>
    <w:p>
      <w:pPr>
        <w:ind w:left="424" w:hanging="424"/>
        <w:spacing w:after="0" w:line="268"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statement on page F-53 that as of June 30, 2023 you have concluded that “significant doubt exits regarding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entity’s ability to continue as a going concern.” Please disclose that at the forefront of your MD&amp; A and Liquidity sections. Your Liquidity section should comply with guidance in Item 303(b)(1) of Regulation S-K.</w:t>
      </w:r>
    </w:p>
    <w:p>
      <w:pPr>
        <w:spacing w:after="0" w:line="171" w:lineRule="exact"/>
        <w:rPr>
          <w:sz w:val="20"/>
          <w:szCs w:val="20"/>
          <w:color w:val="auto"/>
        </w:rPr>
      </w:pPr>
    </w:p>
    <w:p>
      <w:pPr>
        <w:ind w:left="444"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237 and 258-259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Financial Statements—Rezolve AI Limited and Subsidiaries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15. Business Combinations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Acquisition of Any Lifestyle Marketing GmbH (“ANY Acquisition”), page F-31</w:t>
      </w:r>
    </w:p>
    <w:p>
      <w:pPr>
        <w:spacing w:after="0" w:line="230" w:lineRule="exact"/>
        <w:rPr>
          <w:sz w:val="20"/>
          <w:szCs w:val="20"/>
          <w:color w:val="auto"/>
        </w:rPr>
      </w:pPr>
    </w:p>
    <w:p>
      <w:pPr>
        <w:ind w:left="424" w:hanging="424"/>
        <w:spacing w:after="0" w:line="26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understand from your response that there are no written agreements that give you the right to ANY’s income or obligate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fund ANY. Please tell us whether the oral agreements that establish this right and obligation are enforceable and the basis for such determination.</w:t>
      </w:r>
    </w:p>
    <w:p>
      <w:pPr>
        <w:spacing w:after="0" w:line="171"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Registrant respectfully acknowledges the Staff’s comment and respectfully refers the Staff to the contractual agreement, dated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30th, 2021, and the excerpt which cites the rights of Rezolve (“the Buyer”) to the income of ANY:</w:t>
      </w:r>
    </w:p>
    <w:p>
      <w:pPr>
        <w:spacing w:after="0" w:line="157" w:lineRule="exact"/>
        <w:rPr>
          <w:sz w:val="20"/>
          <w:szCs w:val="20"/>
          <w:color w:val="auto"/>
        </w:rPr>
      </w:pPr>
    </w:p>
    <w:p>
      <w:pPr>
        <w:ind w:left="4"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Sellers and the Buyer“ agree that all revenues and income of Any Lifestyle Marketing GmbH“ beginning with the 01. August 2021 will be in beneficial ownership of the Buyer“.</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is supplementally providing the contractual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is providing further support for the conclusion that the oral agreements establish enforceable obligations to fund ANY:</w:t>
      </w:r>
    </w:p>
    <w:p>
      <w:pPr>
        <w:spacing w:after="0" w:line="131" w:lineRule="exact"/>
        <w:rPr>
          <w:sz w:val="20"/>
          <w:szCs w:val="20"/>
          <w:color w:val="auto"/>
        </w:rPr>
      </w:pPr>
    </w:p>
    <w:p>
      <w:pPr>
        <w:ind w:left="964" w:right="80" w:hanging="424"/>
        <w:spacing w:after="0" w:line="266"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relationship letter signed by Stephan Schwenk on April 30, 2023, noting “ANY continues to rely on Rezolve for any shortfall in funding necessary to operate the business, including settling invoices for professional service providers. In the event of operational losses, Rezolve is required to fund ANY in order for it to operate sufficiently”.</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964" w:right="14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due under the standstill agreement (June 9, 2022) have been paid by Rezolve in the amounts of €70,000 on September 12, 2022 and December 8, 2022 in order to fund ANY payments to the Radio Group for the settlement of trade payables.</w:t>
      </w:r>
    </w:p>
    <w:p>
      <w:pPr>
        <w:spacing w:after="0" w:line="67"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28, 2023, Rezolve and ANY concluded a loan agreement governed under UK law with a nominal amount of EUR 100,000 (the Loan Agreement). The loan was disbursed from Rezolve to ANY on September 29, 2023.</w:t>
      </w:r>
    </w:p>
    <w:p>
      <w:pPr>
        <w:spacing w:after="0" w:line="184"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13 that ANY’s shareholders do not have the ability to frustrate your power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power of attorney. We further note that the power of attorney “shall cease upon revocation, which may be declared at any time, and return of this deed to the Principal.” It appears that the ANY shareholders may revoke Peter Vesco’s power of attorney at any time. Please confirm our understanding, and if true, tell us why you believe Rezolve has power when it may be kicked-out at any time. In addition, we note from the power of attorney expired on 31 December 2021. Please explain to us why you continue to believe it provides you power when it appears to be expired.</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is responding to the Staff’s question below.</w:t>
      </w:r>
    </w:p>
    <w:p>
      <w:pPr>
        <w:spacing w:after="0" w:line="229"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Registrant is providing supplementally the agreements listed below which grant Rezolve the power to direct the activities of ANY which most significantly impact ANY:</w:t>
      </w:r>
    </w:p>
    <w:p>
      <w:pPr>
        <w:spacing w:after="0" w:line="67" w:lineRule="exact"/>
        <w:rPr>
          <w:sz w:val="20"/>
          <w:szCs w:val="20"/>
          <w:color w:val="auto"/>
        </w:rPr>
      </w:pPr>
    </w:p>
    <w:p>
      <w:pPr>
        <w:ind w:left="964" w:right="20"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Term sheet dated August 30, 2021: Acts requiring consent of the Buyer (schedule 4) lists the material decisions which most significantly impact the economic variability of ANY and give rise to power since August 2021. The Binding Term sheet has not expired and has not been revoked. The acts requiring consent of the buyer cannot be revoked and therefore, leave Rezolve with the power to direct the activities of ANY. The Binding Term Sheet is an enforceable legal contract.</w:t>
      </w:r>
    </w:p>
    <w:p>
      <w:pPr>
        <w:spacing w:after="0" w:line="8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Binding Term Sheet dated May 24, 2023, reiterates the acts requiring consent of the Buyer in schedule 3.</w:t>
      </w:r>
    </w:p>
    <w:p>
      <w:pPr>
        <w:spacing w:after="0" w:line="130" w:lineRule="exact"/>
        <w:rPr>
          <w:rFonts w:ascii="Times New Roman" w:cs="Times New Roman" w:eastAsia="Times New Roman" w:hAnsi="Times New Roman"/>
          <w:sz w:val="18"/>
          <w:szCs w:val="18"/>
          <w:color w:val="auto"/>
        </w:rPr>
      </w:pPr>
    </w:p>
    <w:p>
      <w:pPr>
        <w:jc w:val="both"/>
        <w:ind w:left="964" w:right="4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Confirmation letter details: Effective Power with respect to Any Lifestyle Marketing GMBH section 2, detailing section 2.1 to 2.3, signed by Stephan Schwenk, shareholder of Radio Group (shareholder of ANY). This signed Confirmation letter references schedule 4 of the Binding Term Sheet.</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Registrant believes that kick-out of Rezolve is unlikely given that, the shareholders signed further agreements after December 31, 2021 which leave Rezolve with the power to direct the activities of ANY (as noted above), and these agreements are not revocable unless Rezolve breaches the terms and conditions of the Binding Term Sheet. The ongoing discussions with the Radio Group demonstrate the intention to continue to go forward with completing the transaction such that control under both of the Variable Interest Entity and Voting Interest Model would align.</w:t>
      </w:r>
    </w:p>
    <w:p>
      <w:pPr>
        <w:sectPr>
          <w:pgSz w:w="11900" w:h="16838" w:orient="portrait"/>
          <w:cols w:equalWidth="0" w:num="1">
            <w:col w:w="10964"/>
          </w:cols>
          <w:pgMar w:left="436" w:top="270"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left="424" w:right="200"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disclosure on page F-18 that “The terms and conditions of the marketing agreement with Radio Group permit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Radio Group to terminate the Company’s ability to sell customers radio advertisements on a Radio Group radio station at any time (subject to notice and certain other provisions).” Please tell us how you considered this provision in your analysis under ASC 810. In this regard, tell us whether this provision represents a substantive kick-out right, based on the design of ANY that would permit Rezolve to “enjoy the benefit from sales of advertisements on the Radio Group stations while remaining in compliance with local laws related to the ownership of media organizations” (September 22, 2023 response).</w:t>
      </w:r>
    </w:p>
    <w:p>
      <w:pPr>
        <w:spacing w:after="0" w:line="18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above was noted as a revenue risk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to the Company’s financial statements.</w:t>
      </w:r>
    </w:p>
    <w:p>
      <w:pPr>
        <w:spacing w:after="0" w:line="159" w:lineRule="exact"/>
        <w:rPr>
          <w:sz w:val="20"/>
          <w:szCs w:val="20"/>
          <w:color w:val="auto"/>
        </w:rPr>
      </w:pPr>
    </w:p>
    <w:p>
      <w:pPr>
        <w:ind w:left="4" w:right="20"/>
        <w:spacing w:after="0" w:line="224" w:lineRule="auto"/>
        <w:rPr>
          <w:sz w:val="20"/>
          <w:szCs w:val="20"/>
          <w:color w:val="auto"/>
        </w:rPr>
      </w:pPr>
      <w:r>
        <w:rPr>
          <w:rFonts w:ascii="Times New Roman" w:cs="Times New Roman" w:eastAsia="Times New Roman" w:hAnsi="Times New Roman"/>
          <w:sz w:val="18"/>
          <w:szCs w:val="18"/>
          <w:color w:val="auto"/>
        </w:rPr>
        <w:t>The provision does not represent a substantive kick-out right, since the Binding Term Sheet dated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requires that Radio Group honor the Marketing Agreement for a period of not less than five years from the date of the Binding Term Sheet. The Registrant refers to 5.1 (“Marketing Agreements”) of the Binding Term Sheet.</w:t>
      </w:r>
    </w:p>
    <w:p>
      <w:pPr>
        <w:spacing w:after="0" w:line="199"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Additionally, if the Radio Group did not supply sufficient radio advertising slots for ANY to sell, this is a supply chain risk which is mitigated by the fact that there are over 500 radio stations in Germany with which ANY may enter into separate agreements to obtain and resell their radio advertising slots.</w:t>
      </w:r>
    </w:p>
    <w:p>
      <w:pPr>
        <w:spacing w:after="0" w:line="199" w:lineRule="exact"/>
        <w:rPr>
          <w:sz w:val="20"/>
          <w:szCs w:val="20"/>
          <w:color w:val="auto"/>
        </w:rPr>
      </w:pPr>
    </w:p>
    <w:p>
      <w:pPr>
        <w:ind w:left="424" w:right="140"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11 that you cite a document titled “Power of disposal over ANY Lifestyle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GmbH.” We could not locate such document. Please direct us to where we may find it or provide it to us supplementally if you have not yet done so. Further, you cite various documents in your response to comment 12, such as an Original Term Sheet and Second Term Sheet. Please provide supplementally us with all such documents that give rise to your power of ANY. Last, explain to us how the provisions in a term sheet or memorandum of understanding are enforceable, as we understand that these type documents generally set forth preliminary terms of negotiation but do not represent a meeting of the minds.</w:t>
      </w:r>
    </w:p>
    <w:p>
      <w:pPr>
        <w:spacing w:after="0" w:line="182"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Registrant respectfully acknowledges the Staff’s comment and is supplementally providing “Agreement in context of the binding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 which includes Annex J “Power of disposal over ANY Lifestyle Marketing Agreement GmbH”.</w:t>
      </w:r>
    </w:p>
    <w:p>
      <w:pPr>
        <w:spacing w:after="0" w:line="159" w:lineRule="exact"/>
        <w:rPr>
          <w:sz w:val="20"/>
          <w:szCs w:val="20"/>
          <w:color w:val="auto"/>
        </w:rPr>
      </w:pPr>
    </w:p>
    <w:p>
      <w:pPr>
        <w:ind w:left="4" w:right="380"/>
        <w:spacing w:after="0" w:line="296" w:lineRule="auto"/>
        <w:rPr>
          <w:sz w:val="20"/>
          <w:szCs w:val="20"/>
          <w:color w:val="auto"/>
        </w:rPr>
      </w:pPr>
      <w:r>
        <w:rPr>
          <w:rFonts w:ascii="Times New Roman" w:cs="Times New Roman" w:eastAsia="Times New Roman" w:hAnsi="Times New Roman"/>
          <w:sz w:val="18"/>
          <w:szCs w:val="18"/>
          <w:color w:val="auto"/>
        </w:rPr>
        <w:t>The Registrant is supplementally providing all documents which give Rezolve the power over ANY including the Original Term Sheet (the Binding Term Sheet,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and Second Term Sheet (the Binding Term Sheet, May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2023).</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provisions are enforceable under local law, since they are binding agreements as documented and notarized as required by local law.</w:t>
      </w:r>
    </w:p>
    <w:p>
      <w:pPr>
        <w:spacing w:after="0" w:line="127"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tell us why the power of attorney you provided to us dated August 23, 2021 was not signed by the shareholders of ANY.</w:t>
      </w:r>
    </w:p>
    <w:p>
      <w:pPr>
        <w:spacing w:after="0" w:line="225" w:lineRule="exact"/>
        <w:rPr>
          <w:sz w:val="20"/>
          <w:szCs w:val="20"/>
          <w:color w:val="auto"/>
        </w:rPr>
      </w:pPr>
    </w:p>
    <w:p>
      <w:pPr>
        <w:ind w:left="4"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this was an addendum to the Binding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Sheet in August 2021 in which the shareholders of ANY (Radio Group shareholder Stephan Schwenk (“Mr. Schwenk”)) signed the whole agreement.</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We also note that control provided to Rezolve is supported by Mr Schwenk’s Signed Confirmation letter (supplementally provided) which makes reference to the following agreements and clauses:</w:t>
      </w:r>
    </w:p>
    <w:p>
      <w:pPr>
        <w:spacing w:after="0" w:line="67" w:lineRule="exact"/>
        <w:rPr>
          <w:sz w:val="20"/>
          <w:szCs w:val="20"/>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Radio Group Binding Term sheet: Acts requiring consent of the Buyer, detailing Schedule 4</w:t>
      </w:r>
    </w:p>
    <w:p>
      <w:pPr>
        <w:spacing w:after="0" w:line="130"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Power with respect to ANY Lifestyle Marketing GmbH section 2, detailing section 2.1 to 2.3 outlines power held by Rezolve executive management.</w:t>
      </w:r>
    </w:p>
    <w:p>
      <w:pPr>
        <w:spacing w:after="0" w:line="16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power of attorney, when looked at as part of numerous interlocking rights granted through the above mentioned documents grant power to Rezolve and should not be looked at in isolation.</w:t>
      </w:r>
    </w:p>
    <w:p>
      <w:pPr>
        <w:spacing w:after="0" w:line="185" w:lineRule="exact"/>
        <w:rPr>
          <w:sz w:val="20"/>
          <w:szCs w:val="20"/>
          <w:color w:val="auto"/>
        </w:rPr>
      </w:pPr>
    </w:p>
    <w:p>
      <w:pPr>
        <w:ind w:left="424" w:hanging="424"/>
        <w:spacing w:after="0" w:line="26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on page 68 that the failure of Rezolve to pay cash to the sellers of ANY may result in the reversal of the acquisition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Please explain to us how the failure to pay cash to the sellers of ANY would result in deconsolidation of ANY when you purportedly control ANY through the Power of Attorney.</w:t>
      </w:r>
    </w:p>
    <w:p>
      <w:pPr>
        <w:spacing w:after="0" w:line="171" w:lineRule="exact"/>
        <w:rPr>
          <w:sz w:val="20"/>
          <w:szCs w:val="20"/>
          <w:color w:val="auto"/>
        </w:rPr>
      </w:pPr>
    </w:p>
    <w:p>
      <w:pPr>
        <w:ind w:left="4"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reversal of ANY is a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outcome through the courts or if requested by the sellers if Rezolve doesn’t pay the amended acquisition consideration of $7.1 million.</w:t>
      </w:r>
    </w:p>
    <w:p>
      <w:pPr>
        <w:spacing w:after="0" w:line="159" w:lineRule="exact"/>
        <w:rPr>
          <w:sz w:val="20"/>
          <w:szCs w:val="20"/>
          <w:color w:val="auto"/>
        </w:rPr>
      </w:pPr>
    </w:p>
    <w:p>
      <w:pPr>
        <w:ind w:left="4" w:right="840"/>
        <w:spacing w:after="0" w:line="282" w:lineRule="auto"/>
        <w:rPr>
          <w:sz w:val="20"/>
          <w:szCs w:val="20"/>
          <w:color w:val="auto"/>
        </w:rPr>
      </w:pPr>
      <w:r>
        <w:rPr>
          <w:rFonts w:ascii="Times New Roman" w:cs="Times New Roman" w:eastAsia="Times New Roman" w:hAnsi="Times New Roman"/>
          <w:sz w:val="18"/>
          <w:szCs w:val="18"/>
          <w:color w:val="auto"/>
        </w:rPr>
        <w:t>The Registrant highlighted this as a risk factor that if Rezolve fails to pay for ANY, Radio Group may claim through the courts, arbitration or renegotiation that they were not paid the amended consideration and commence legal action to reverse the acquisition of ANY.</w:t>
      </w:r>
    </w:p>
    <w:p>
      <w:pPr>
        <w:spacing w:after="0" w:line="162"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8"/>
          <w:szCs w:val="18"/>
          <w:color w:val="auto"/>
        </w:rPr>
        <w:t>Rezolve continues to control ANY through the power criteria established through the Power of Attorney, schedule 4 of the Binding Term Sheet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and renewed through the second Binding Term Sheet (May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2023).</w:t>
      </w:r>
    </w:p>
    <w:p>
      <w:pPr>
        <w:ind w:left="424" w:right="400" w:hanging="424"/>
        <w:spacing w:after="0" w:line="254"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revisions to your disclosures regarding ANY in response to prior comment 13. Notwithstanding the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comments, please further disclose how your involvement with ANY impacted your financial position, financial performance, and cash flows. Refer to ASC 810-10-50-2AA.</w:t>
      </w:r>
    </w:p>
    <w:p>
      <w:pPr>
        <w:spacing w:after="0" w:line="183"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note 10 of the Condensed Interim Carve-Out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for the periods ending June 30, 2023 and note 15 of the Carve-Out Consolidated Financial Statements for the year ended December 31, 2022.</w:t>
      </w:r>
    </w:p>
    <w:p>
      <w:pPr>
        <w:spacing w:after="0" w:line="175"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The Registrant has further disclosed how its involvement with ANY has impacted the financial position, financial performance and cash flows in accordance with ASC 810-10-50-2AA.</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Condensed Interim Carve-out Consolidated Statements of Operations, page F-46</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5" w:lineRule="exact"/>
        <w:rPr>
          <w:sz w:val="20"/>
          <w:szCs w:val="20"/>
          <w:color w:val="auto"/>
        </w:rPr>
      </w:pPr>
    </w:p>
    <w:p>
      <w:pPr>
        <w:ind w:left="424" w:right="400" w:hanging="424"/>
        <w:spacing w:after="0" w:line="28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Tell us why impairment of goodwill of $1,080,110 is its own line item, while impairment of customer lists of $5,612,167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other operating costs and expenses. Please revise in accordance Rule 5-03 of Regulation S-X.</w:t>
      </w:r>
    </w:p>
    <w:p>
      <w:pPr>
        <w:spacing w:after="0" w:line="46" w:lineRule="exact"/>
        <w:rPr>
          <w:rFonts w:ascii="Times New Roman" w:cs="Times New Roman" w:eastAsia="Times New Roman" w:hAnsi="Times New Roman"/>
          <w:sz w:val="18"/>
          <w:szCs w:val="18"/>
          <w:color w:val="auto"/>
        </w:rPr>
      </w:pPr>
    </w:p>
    <w:p>
      <w:pPr>
        <w:ind w:left="444"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comments and has revised the disclosure on page F-5 of the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 the impairment of the customer list separately.</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hanging="424"/>
        <w:spacing w:after="0" w:line="26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prior comments 4 and 6. Given the significance of your involvement with Radio Group, please refer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 as a related party throughout your filing. Also, disclose all the related party transactions on the face of your statement of comprehensive income in accordance with Rule 4-08(k) of Regulation S-X.</w:t>
      </w:r>
    </w:p>
    <w:p>
      <w:pPr>
        <w:spacing w:after="0" w:line="171"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18, 66, 68, 220, 232, 233, 237, 239,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241, 250, 253 and 264 of the Amendment to refer to Radio Group as a related party.</w:t>
      </w:r>
    </w:p>
    <w:p>
      <w:pPr>
        <w:spacing w:after="0" w:line="159"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Registrant has also disclosed all related party transactions on the face of its Carve-out Statement of Comprehensive Loss in accordance with Rule 4-08(k) of Regulation S-X.</w:t>
      </w:r>
    </w:p>
    <w:p>
      <w:pPr>
        <w:spacing w:after="0" w:line="185" w:lineRule="exact"/>
        <w:rPr>
          <w:sz w:val="20"/>
          <w:szCs w:val="20"/>
          <w:color w:val="auto"/>
        </w:rPr>
      </w:pPr>
    </w:p>
    <w:p>
      <w:pPr>
        <w:ind w:left="424" w:right="20" w:hanging="424"/>
        <w:spacing w:after="0" w:line="286"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prior comment 9, however, we continue to believe that since the reorganization has not taken place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 appearing on the financial statements should be revised to reflect the current circumstance.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disagrees with the Staff’s comment and has set forth their reasons below.</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the Demerger</w:t>
      </w:r>
    </w:p>
    <w:p>
      <w:pPr>
        <w:spacing w:after="0" w:line="12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are for Rezolve AI Limited, which consists of 100% of the transactions of Rezolve Limited and subsidiaries, except for Rezolve China. The reorganization will result in substantially all of Rezolve Limited’s assets and liabilities being transferred to Rezolve AI Limited.</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for disagreement</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Management feel that the Basis of Presentation note 2.1 of the Carve-Out Consolidated Financial Statements is clear in explaining to the users of the Carve-Out Consolidated Financial Statements that these Carve-Out Consolidated Financial Statements that a view of what Rezolve AI’s net loss, total assets, liabilities and equity would have been had it completed the Demerger on December 31, 2020.</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After determining the Basis of preparation used to prepare the financial statements, the Company concluded that the name of the successor company, Rezolve AI Limited is the correct name of the entity on its financial statements as it is the company which will be acquired by Armada subsequent to the completion of the Demerger.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changing the name of the entity on the Carve-Out Consolidated Financial Statements may confuse users of the Carve-out Consolidated Financial Statements and not provide any further benefit. Management has presented information throughout the registration statement to delineate the predecessor’s actual activity as Rezolve Limited and the entity merging with Armada as Rezolve AI Limited. By referring to the Carve-out Consolidated Financial Statements as Rezolve Limited, users may not clearly recognize the relevance of them to Rezolve AI Limited.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18,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or require further information, please contact Gerry Williams at (404) 736-7891 or Penny Minna at (410) 580-4228.</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1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4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7" w:lineRule="exact"/>
        <w:rPr>
          <w:sz w:val="20"/>
          <w:szCs w:val="20"/>
          <w:color w:val="auto"/>
        </w:rPr>
      </w:pPr>
    </w:p>
    <w:p>
      <w:pPr>
        <w:ind w:left="424" w:right="88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Penny Minna, Esq. </w:t>
      </w:r>
      <w:r>
        <w:rPr>
          <w:rFonts w:ascii="Times New Roman" w:cs="Times New Roman" w:eastAsia="Times New Roman" w:hAnsi="Times New Roman"/>
          <w:sz w:val="18"/>
          <w:szCs w:val="18"/>
          <w:i w:val="1"/>
          <w:iCs w:val="1"/>
          <w:color w:val="auto"/>
        </w:rPr>
        <w:t>DLA Piper LLP (US)</w:t>
      </w:r>
    </w:p>
    <w:sectPr>
      <w:pgSz w:w="11900" w:h="16838" w:orient="portrait"/>
      <w:cols w:equalWidth="0" w:num="1">
        <w:col w:w="10804"/>
      </w:cols>
      <w:pgMar w:left="436"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4"/>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7"/>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decimal"/>
      <w:start w:val="12"/>
    </w:lvl>
  </w:abstractNum>
  <w:abstractNum w:abstractNumId="15">
    <w:nsid w:val="4E6AFB66"/>
    <w:multiLevelType w:val="hybridMultilevel"/>
    <w:lvl w:ilvl="0">
      <w:lvlJc w:val="left"/>
      <w:lvlText w:val="%1."/>
      <w:numFmt w:val="decimal"/>
      <w:start w:val="13"/>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2024-08-07T23:09:13Z</dcterms:created>
  <dcterms:modified xsi:type="dcterms:W3CDTF">2024-08-07T23:09:13Z</dcterms:modified>
</cp:coreProperties>
</file>