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Rezolve AI plc</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21 Sackville Street</w:t>
      </w:r>
    </w:p>
    <w:p>
      <w:pPr>
        <w:spacing w:after="0"/>
        <w:rPr>
          <w:sz w:val="20"/>
          <w:szCs w:val="20"/>
          <w:color w:val="auto"/>
        </w:rPr>
      </w:pPr>
      <w:r>
        <w:rPr>
          <w:rFonts w:ascii="Times New Roman" w:cs="Times New Roman" w:eastAsia="Times New Roman" w:hAnsi="Times New Roman"/>
          <w:sz w:val="20"/>
          <w:szCs w:val="20"/>
          <w:color w:val="auto"/>
        </w:rPr>
        <w:t>London, W1S 3DN</w:t>
      </w:r>
    </w:p>
    <w:p>
      <w:pPr>
        <w:spacing w:after="0"/>
        <w:rPr>
          <w:sz w:val="20"/>
          <w:szCs w:val="20"/>
          <w:color w:val="auto"/>
        </w:rPr>
      </w:pPr>
      <w:r>
        <w:rPr>
          <w:rFonts w:ascii="Times New Roman" w:cs="Times New Roman" w:eastAsia="Times New Roman" w:hAnsi="Times New Roman"/>
          <w:sz w:val="20"/>
          <w:szCs w:val="20"/>
          <w:color w:val="auto"/>
        </w:rPr>
        <w:t>United Kingdom</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September 9, 2025</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U.S. Securities and Exchange Commission</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Division of Corporation Finance</w:t>
      </w:r>
    </w:p>
    <w:p>
      <w:pPr>
        <w:spacing w:after="0"/>
        <w:rPr>
          <w:sz w:val="20"/>
          <w:szCs w:val="20"/>
          <w:color w:val="auto"/>
        </w:rPr>
      </w:pPr>
      <w:r>
        <w:rPr>
          <w:rFonts w:ascii="Times New Roman" w:cs="Times New Roman" w:eastAsia="Times New Roman" w:hAnsi="Times New Roman"/>
          <w:sz w:val="20"/>
          <w:szCs w:val="20"/>
          <w:color w:val="auto"/>
        </w:rPr>
        <w:t>100 F Street, N.E.</w:t>
      </w:r>
    </w:p>
    <w:p>
      <w:pPr>
        <w:spacing w:after="0"/>
        <w:rPr>
          <w:sz w:val="20"/>
          <w:szCs w:val="20"/>
          <w:color w:val="auto"/>
        </w:rPr>
      </w:pPr>
      <w:r>
        <w:rPr>
          <w:rFonts w:ascii="Times New Roman" w:cs="Times New Roman" w:eastAsia="Times New Roman" w:hAnsi="Times New Roman"/>
          <w:sz w:val="20"/>
          <w:szCs w:val="20"/>
          <w:color w:val="auto"/>
        </w:rPr>
        <w:t>Washington, D.C. 20549-3628</w:t>
      </w:r>
    </w:p>
    <w:p>
      <w:pPr>
        <w:spacing w:after="0" w:line="207" w:lineRule="exact"/>
        <w:rPr>
          <w:sz w:val="24"/>
          <w:szCs w:val="24"/>
          <w:color w:val="auto"/>
        </w:rPr>
      </w:pPr>
    </w:p>
    <w:p>
      <w:pPr>
        <w:spacing w:after="0"/>
        <w:tabs>
          <w:tab w:leader="none" w:pos="1080" w:val="left"/>
        </w:tabs>
        <w:rPr>
          <w:sz w:val="20"/>
          <w:szCs w:val="20"/>
          <w:color w:val="auto"/>
        </w:rPr>
      </w:pPr>
      <w:r>
        <w:rPr>
          <w:rFonts w:ascii="Times New Roman" w:cs="Times New Roman" w:eastAsia="Times New Roman" w:hAnsi="Times New Roman"/>
          <w:sz w:val="20"/>
          <w:szCs w:val="20"/>
          <w:color w:val="auto"/>
        </w:rPr>
        <w:t>Attention:</w:t>
        <w:tab/>
        <w:t>Edwin Kim</w:t>
      </w:r>
    </w:p>
    <w:p>
      <w:pPr>
        <w:sectPr>
          <w:pgSz w:w="11900" w:h="16838" w:orient="portrait"/>
          <w:cols w:equalWidth="0" w:num="1">
            <w:col w:w="11180"/>
          </w:cols>
          <w:pgMar w:left="320" w:top="1440" w:right="3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Rezolve AI plc</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Registration Statement on Form F-1</w:t>
      </w:r>
    </w:p>
    <w:p>
      <w:pPr>
        <w:spacing w:after="0"/>
        <w:rPr>
          <w:sz w:val="20"/>
          <w:szCs w:val="20"/>
          <w:color w:val="auto"/>
        </w:rPr>
      </w:pPr>
      <w:r>
        <w:rPr>
          <w:rFonts w:ascii="Times New Roman" w:cs="Times New Roman" w:eastAsia="Times New Roman" w:hAnsi="Times New Roman"/>
          <w:sz w:val="19"/>
          <w:szCs w:val="19"/>
          <w:b w:val="1"/>
          <w:bCs w:val="1"/>
          <w:color w:val="auto"/>
        </w:rPr>
        <w:t>Supplemental Response dated August 21, 2025</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File No. 333-289103</w:t>
      </w:r>
    </w:p>
    <w:p>
      <w:pPr>
        <w:spacing w:after="0" w:line="200" w:lineRule="exact"/>
        <w:rPr>
          <w:sz w:val="24"/>
          <w:szCs w:val="24"/>
          <w:color w:val="auto"/>
        </w:rPr>
      </w:pPr>
    </w:p>
    <w:p>
      <w:pPr>
        <w:sectPr>
          <w:pgSz w:w="11900" w:h="16838" w:orient="portrait"/>
          <w:cols w:equalWidth="0" w:num="2">
            <w:col w:w="300" w:space="500"/>
            <w:col w:w="10380"/>
          </w:cols>
          <w:pgMar w:left="320" w:top="1440" w:right="39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29" w:lineRule="exact"/>
        <w:rPr>
          <w:sz w:val="24"/>
          <w:szCs w:val="24"/>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This letter is submitted in response to the comments of the staff of the Division of Corporation Finance (the “</w:t>
      </w:r>
      <w:r>
        <w:rPr>
          <w:rFonts w:ascii="Times New Roman" w:cs="Times New Roman" w:eastAsia="Times New Roman" w:hAnsi="Times New Roman"/>
          <w:sz w:val="20"/>
          <w:szCs w:val="20"/>
          <w:u w:val="single" w:color="auto"/>
          <w:color w:val="auto"/>
        </w:rPr>
        <w:t>Staff</w:t>
      </w:r>
      <w:r>
        <w:rPr>
          <w:rFonts w:ascii="Times New Roman" w:cs="Times New Roman" w:eastAsia="Times New Roman" w:hAnsi="Times New Roman"/>
          <w:sz w:val="20"/>
          <w:szCs w:val="20"/>
          <w:color w:val="auto"/>
        </w:rPr>
        <w:t>”) as set forth in the Staff’s comment letter dated September 29, 2025 (the “</w:t>
      </w:r>
      <w:r>
        <w:rPr>
          <w:rFonts w:ascii="Times New Roman" w:cs="Times New Roman" w:eastAsia="Times New Roman" w:hAnsi="Times New Roman"/>
          <w:sz w:val="20"/>
          <w:szCs w:val="20"/>
          <w:u w:val="single" w:color="auto"/>
          <w:color w:val="auto"/>
        </w:rPr>
        <w:t>Comment Letter</w:t>
      </w:r>
      <w:r>
        <w:rPr>
          <w:rFonts w:ascii="Times New Roman" w:cs="Times New Roman" w:eastAsia="Times New Roman" w:hAnsi="Times New Roman"/>
          <w:sz w:val="20"/>
          <w:szCs w:val="20"/>
          <w:color w:val="auto"/>
        </w:rPr>
        <w:t>”), in respect of Rezolve AI Limited’s (the “</w:t>
      </w:r>
      <w:r>
        <w:rPr>
          <w:rFonts w:ascii="Times New Roman" w:cs="Times New Roman" w:eastAsia="Times New Roman" w:hAnsi="Times New Roman"/>
          <w:sz w:val="20"/>
          <w:szCs w:val="20"/>
          <w:u w:val="single" w:color="auto"/>
          <w:color w:val="auto"/>
        </w:rPr>
        <w:t>Registrant</w:t>
      </w:r>
      <w:r>
        <w:rPr>
          <w:rFonts w:ascii="Times New Roman" w:cs="Times New Roman" w:eastAsia="Times New Roman" w:hAnsi="Times New Roman"/>
          <w:sz w:val="20"/>
          <w:szCs w:val="20"/>
          <w:color w:val="auto"/>
        </w:rPr>
        <w:t>”) Registration Statement on Form F-1, filed with the Commission on July 30, 2025 (the “</w:t>
      </w:r>
      <w:r>
        <w:rPr>
          <w:rFonts w:ascii="Times New Roman" w:cs="Times New Roman" w:eastAsia="Times New Roman" w:hAnsi="Times New Roman"/>
          <w:sz w:val="20"/>
          <w:szCs w:val="20"/>
          <w:u w:val="single" w:color="auto"/>
          <w:color w:val="auto"/>
        </w:rPr>
        <w:t>Registration Statement</w:t>
      </w:r>
      <w:r>
        <w:rPr>
          <w:rFonts w:ascii="Times New Roman" w:cs="Times New Roman" w:eastAsia="Times New Roman" w:hAnsi="Times New Roman"/>
          <w:sz w:val="20"/>
          <w:szCs w:val="20"/>
          <w:color w:val="auto"/>
        </w:rPr>
        <w:t>”), and the Registrant’s Supplemental Response to the Staff, dated August 21, 2025.</w:t>
      </w:r>
    </w:p>
    <w:p>
      <w:pPr>
        <w:spacing w:after="0" w:line="193" w:lineRule="exact"/>
        <w:rPr>
          <w:sz w:val="24"/>
          <w:szCs w:val="24"/>
          <w:color w:val="auto"/>
        </w:rPr>
      </w:pPr>
    </w:p>
    <w:p>
      <w:pPr>
        <w:ind w:right="540"/>
        <w:spacing w:after="0" w:line="269" w:lineRule="auto"/>
        <w:rPr>
          <w:sz w:val="20"/>
          <w:szCs w:val="20"/>
          <w:color w:val="auto"/>
        </w:rPr>
      </w:pPr>
      <w:r>
        <w:rPr>
          <w:rFonts w:ascii="Times New Roman" w:cs="Times New Roman" w:eastAsia="Times New Roman" w:hAnsi="Times New Roman"/>
          <w:sz w:val="20"/>
          <w:szCs w:val="20"/>
          <w:color w:val="auto"/>
        </w:rPr>
        <w:t>In order to facilitate your review, we have restated the Staff’s comments in this letter, and we have set forth the Registrant’s responses immediately below the Staff’s comments.</w:t>
      </w:r>
    </w:p>
    <w:p>
      <w:pPr>
        <w:spacing w:after="0" w:line="173" w:lineRule="exact"/>
        <w:rPr>
          <w:sz w:val="24"/>
          <w:szCs w:val="24"/>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In addition, the Registrant has revised the Registration Statement in response to the Staff’s comments and is filing an amendment to the Registration Statement (the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concurrently with this letter, which reflects the revisions and clarifies certain other information. The page numbers in the text of the Registrant’s responses correspond to the page numbers in the Amendment. Unless otherwise indicated, capitalized terms used herein have the meanings assigned to them in the Amendment.</w:t>
      </w:r>
    </w:p>
    <w:p>
      <w:pPr>
        <w:spacing w:after="0" w:line="19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Registration Statement on Form F-1 Filed July 30, 2025</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Legal Proceedings, page 68</w:t>
      </w:r>
    </w:p>
    <w:p>
      <w:pPr>
        <w:spacing w:after="0" w:line="225" w:lineRule="exact"/>
        <w:rPr>
          <w:sz w:val="24"/>
          <w:szCs w:val="24"/>
          <w:color w:val="auto"/>
        </w:rPr>
      </w:pPr>
    </w:p>
    <w:p>
      <w:pPr>
        <w:ind w:left="380" w:right="120" w:hanging="372"/>
        <w:spacing w:after="0" w:line="248" w:lineRule="auto"/>
        <w:tabs>
          <w:tab w:leader="none" w:pos="38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Staff’s comment</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We note your response to our request that you provide more a more detailed description of the your legal proceeding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against JBAAM Special Opportunities Fund II LLC and YA II PN, Ltd., involving a dispute over a securities purchase agreement (“SPA”) dated February 21, 2025. Please expand your draft language to address the following issues:</w:t>
      </w:r>
    </w:p>
    <w:p>
      <w:pPr>
        <w:spacing w:after="0" w:line="1" w:lineRule="exact"/>
        <w:rPr>
          <w:rFonts w:ascii="Times New Roman" w:cs="Times New Roman" w:eastAsia="Times New Roman" w:hAnsi="Times New Roman"/>
          <w:sz w:val="20"/>
          <w:szCs w:val="20"/>
          <w:color w:val="auto"/>
        </w:rPr>
      </w:pPr>
    </w:p>
    <w:p>
      <w:pPr>
        <w:ind w:left="1140" w:right="160" w:hanging="383"/>
        <w:spacing w:after="0" w:line="246" w:lineRule="auto"/>
        <w:tabs>
          <w:tab w:leader="none" w:pos="1140" w:val="left"/>
        </w:tabs>
        <w:numPr>
          <w:ilvl w:val="1"/>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Specify the breaches alleged under Sections 4(a) and 4 (aa) of the SPA, as these provisions cross-reference a large amount of items.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U.S. Securities and Exchange Commission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September 9, 2025</w:t>
      </w:r>
    </w:p>
    <w:p>
      <w:pPr>
        <w:spacing w:after="0"/>
        <w:rPr>
          <w:sz w:val="20"/>
          <w:szCs w:val="20"/>
          <w:color w:val="auto"/>
        </w:rPr>
      </w:pPr>
      <w:r>
        <w:rPr>
          <w:rFonts w:ascii="Times New Roman" w:cs="Times New Roman" w:eastAsia="Times New Roman" w:hAnsi="Times New Roman"/>
          <w:sz w:val="22"/>
          <w:szCs w:val="22"/>
          <w:color w:val="auto"/>
        </w:rPr>
        <w:t>Page 2</w:t>
      </w:r>
    </w:p>
    <w:p>
      <w:pPr>
        <w:spacing w:after="0" w:line="200" w:lineRule="exact"/>
        <w:rPr>
          <w:sz w:val="20"/>
          <w:szCs w:val="20"/>
          <w:color w:val="auto"/>
        </w:rPr>
      </w:pPr>
    </w:p>
    <w:p>
      <w:pPr>
        <w:ind w:left="1140" w:hanging="383"/>
        <w:spacing w:after="0"/>
        <w:tabs>
          <w:tab w:leader="none" w:pos="11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known, quantify the compensatory damages sought.</w:t>
      </w:r>
    </w:p>
    <w:p>
      <w:pPr>
        <w:spacing w:after="0" w:line="21"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Clarify YA II PN, Ltd.’s involvement with the SPA and why it believed it was entitled to compensation.</w:t>
      </w:r>
    </w:p>
    <w:p>
      <w:pPr>
        <w:spacing w:after="0" w:line="203" w:lineRule="exact"/>
        <w:rPr>
          <w:sz w:val="20"/>
          <w:szCs w:val="20"/>
          <w:color w:val="auto"/>
        </w:rPr>
      </w:pPr>
    </w:p>
    <w:p>
      <w:pPr>
        <w:ind w:left="38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Response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Registrant respectfully acknowledges the Staff’s comment and has revised the disclosure on pages 68-69 of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Amendment.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0"/>
          <w:szCs w:val="20"/>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892810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320" w:top="760" w:right="11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U.S. Securities and Exchange Commission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September 9, 2025</w:t>
      </w:r>
    </w:p>
    <w:p>
      <w:pPr>
        <w:spacing w:after="0"/>
        <w:rPr>
          <w:sz w:val="20"/>
          <w:szCs w:val="20"/>
          <w:color w:val="auto"/>
        </w:rPr>
      </w:pPr>
      <w:r>
        <w:rPr>
          <w:rFonts w:ascii="Times New Roman" w:cs="Times New Roman" w:eastAsia="Times New Roman" w:hAnsi="Times New Roman"/>
          <w:sz w:val="22"/>
          <w:szCs w:val="22"/>
          <w:color w:val="auto"/>
        </w:rPr>
        <w:t>Page 3</w:t>
      </w:r>
    </w:p>
    <w:p>
      <w:pPr>
        <w:spacing w:after="0" w:line="200" w:lineRule="exact"/>
        <w:rPr>
          <w:sz w:val="20"/>
          <w:szCs w:val="20"/>
          <w:color w:val="auto"/>
        </w:rPr>
      </w:pPr>
    </w:p>
    <w:p>
      <w:pPr>
        <w:spacing w:after="0" w:line="2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Thank you for your attention to this matter. We hope that the foregoing responses address the issues raised in the Comment Letter and would be happy to discuss with you any remaining questions or concerns that you may have. Please contact Penny Minna at (410) 580-4228 should you have any questions concerning this letter or require further information.</w:t>
      </w:r>
    </w:p>
    <w:p>
      <w:pPr>
        <w:spacing w:after="0" w:line="188"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2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0"/>
          <w:szCs w:val="20"/>
          <w:color w:val="auto"/>
        </w:rPr>
        <w:t>/s/ Daniel Wagner</w:t>
      </w:r>
    </w:p>
    <w:p>
      <w:pPr>
        <w:spacing w:after="0" w:line="28"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0"/>
          <w:szCs w:val="20"/>
          <w:color w:val="auto"/>
        </w:rPr>
        <w:t>Daniel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-140335</wp:posOffset>
            </wp:positionV>
            <wp:extent cx="33261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ind w:left="600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07" w:lineRule="exact"/>
        <w:rPr>
          <w:sz w:val="20"/>
          <w:szCs w:val="20"/>
          <w:color w:val="auto"/>
        </w:rPr>
      </w:pPr>
    </w:p>
    <w:p>
      <w:pPr>
        <w:ind w:left="400" w:right="9100" w:hanging="392"/>
        <w:spacing w:after="0" w:line="295" w:lineRule="auto"/>
        <w:tabs>
          <w:tab w:leader="none" w:pos="4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Penny Minna, Esq. </w:t>
      </w:r>
      <w:r>
        <w:rPr>
          <w:rFonts w:ascii="Times New Roman" w:cs="Times New Roman" w:eastAsia="Times New Roman" w:hAnsi="Times New Roman"/>
          <w:sz w:val="19"/>
          <w:szCs w:val="19"/>
          <w:i w:val="1"/>
          <w:iCs w:val="1"/>
          <w:color w:val="auto"/>
        </w:rPr>
        <w:t>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843915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180"/>
      </w:cols>
      <w:pgMar w:left="320" w:top="76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lvl w:ilvl="1">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2026-06-14T05:03:30Z</dcterms:created>
  <dcterms:modified xsi:type="dcterms:W3CDTF">2026-06-14T05:03:30Z</dcterms:modified>
</cp:coreProperties>
</file>