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filename1.htm"/>
      <w:bookmarkStart w:id="1" w:name="ksfilename1"/>
      <w:bookmarkEnd w:id="0"/>
      <w:bookmarkEnd w:id="1"/>
      <w:r>
        <w:rPr>
          <w:rFonts w:ascii="Times New Roman" w:hAnsi="Times New Roman"/>
          <w:color w:val="000000"/>
          <w:sz w:val="20"/>
        </w:rPr>
        <w:br/>
      </w:r>
      <w:r>
        <w:rPr>
          <w:rFonts w:ascii="Times New Roman" w:hAnsi="Times New Roman"/>
          <w:b/>
          <w:color w:val="000000"/>
          <w:sz w:val="20"/>
        </w:rPr>
        <w:t>Rezolve AI plc</w:t>
      </w:r>
    </w:p>
    <w:p>
      <w:pPr>
        <w:pStyle w:val="TextBody"/>
        <w:bidi w:val="0"/>
        <w:jc w:val="center"/>
        <w:rPr>
          <w:rFonts w:ascii="Times New Roman" w:hAnsi="Times New Roman"/>
          <w:b/>
          <w:color w:val="000000"/>
          <w:sz w:val="20"/>
        </w:rPr>
      </w:pPr>
      <w:r>
        <w:rPr>
          <w:rFonts w:ascii="Times New Roman" w:hAnsi="Times New Roman"/>
          <w:b/>
          <w:color w:val="000000"/>
          <w:sz w:val="20"/>
        </w:rPr>
        <w:t>21 Sackville Street</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December 22, 2025</w:t>
      </w:r>
    </w:p>
    <w:p>
      <w:pPr>
        <w:pStyle w:val="TextBody"/>
        <w:bidi w:val="0"/>
        <w:jc w:val="left"/>
        <w:rPr>
          <w:rFonts w:ascii="Times New Roman" w:hAnsi="Times New Roman"/>
          <w:b/>
          <w:color w:val="000000"/>
          <w:sz w:val="20"/>
        </w:rPr>
      </w:pPr>
      <w:r>
        <w:rPr>
          <w:rFonts w:ascii="Times New Roman" w:hAnsi="Times New Roman"/>
          <w:b/>
          <w:color w:val="000000"/>
          <w:sz w:val="20"/>
        </w:rPr>
        <w:t>VIA EDGAR</w:t>
      </w:r>
    </w:p>
    <w:p>
      <w:pPr>
        <w:pStyle w:val="TextBody"/>
        <w:bidi w:val="0"/>
        <w:jc w:val="left"/>
        <w:rPr>
          <w:rFonts w:ascii="Times New Roman" w:hAnsi="Times New Roman"/>
          <w:color w:val="000000"/>
          <w:sz w:val="20"/>
        </w:rPr>
      </w:pPr>
      <w:r>
        <w:rPr>
          <w:rFonts w:ascii="Times New Roman" w:hAnsi="Times New Roman"/>
          <w:color w:val="000000"/>
          <w:sz w:val="20"/>
        </w:rPr>
        <w:t>Securities and Exchange Commission</w:t>
        <w:br/>
        <w:t>Division of Corporation Finance</w:t>
      </w:r>
    </w:p>
    <w:p>
      <w:pPr>
        <w:pStyle w:val="TextBody"/>
        <w:bidi w:val="0"/>
        <w:jc w:val="left"/>
        <w:rPr>
          <w:rFonts w:ascii="Times New Roman" w:hAnsi="Times New Roman"/>
          <w:color w:val="000000"/>
          <w:sz w:val="20"/>
        </w:rPr>
      </w:pPr>
      <w:r>
        <w:rPr>
          <w:rFonts w:ascii="Times New Roman" w:hAnsi="Times New Roman"/>
          <w:color w:val="000000"/>
          <w:sz w:val="20"/>
        </w:rPr>
        <w:t>Office of Technology</w:t>
        <w:br/>
        <w:t>100 F Street, N.E.</w:t>
        <w:br/>
        <w:t>Washington, D.C. 20549</w:t>
      </w:r>
    </w:p>
    <w:tbl>
      <w:tblPr>
        <w:tblW w:w="1817" w:type="dxa"/>
        <w:jc w:val="left"/>
        <w:tblInd w:w="0" w:type="dxa"/>
        <w:tblLayout w:type="fixed"/>
        <w:tblCellMar>
          <w:top w:w="28" w:type="dxa"/>
          <w:left w:w="28" w:type="dxa"/>
          <w:bottom w:w="28" w:type="dxa"/>
          <w:right w:w="28" w:type="dxa"/>
        </w:tblCellMar>
      </w:tblPr>
      <w:tblGrid>
        <w:gridCol w:w="961"/>
        <w:gridCol w:w="856"/>
      </w:tblGrid>
      <w:tr>
        <w:trPr/>
        <w:tc>
          <w:tcPr>
            <w:tcW w:w="96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Attention:</w:t>
            </w:r>
          </w:p>
        </w:tc>
        <w:tc>
          <w:tcPr>
            <w:tcW w:w="8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Jan Woo</w:t>
            </w:r>
          </w:p>
          <w:p>
            <w:pPr>
              <w:pStyle w:val="TableContents"/>
              <w:bidi w:val="0"/>
              <w:spacing w:before="0" w:after="283"/>
              <w:jc w:val="left"/>
              <w:rPr/>
            </w:pPr>
            <w:r>
              <w:rPr/>
              <w:t> </w:t>
            </w:r>
          </w:p>
        </w:tc>
      </w:tr>
    </w:tbl>
    <w:tbl>
      <w:tblPr>
        <w:tblW w:w="3711" w:type="dxa"/>
        <w:jc w:val="left"/>
        <w:tblInd w:w="0" w:type="dxa"/>
        <w:tblLayout w:type="fixed"/>
        <w:tblCellMar>
          <w:top w:w="28" w:type="dxa"/>
          <w:left w:w="28" w:type="dxa"/>
          <w:bottom w:w="28" w:type="dxa"/>
          <w:right w:w="28" w:type="dxa"/>
        </w:tblCellMar>
      </w:tblPr>
      <w:tblGrid>
        <w:gridCol w:w="124"/>
        <w:gridCol w:w="391"/>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Rezolve AI plc</w:t>
              <w:br/>
              <w:t>Registration Statement on Form F-3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 No. 333-292302</w:t>
            </w:r>
          </w:p>
        </w:tc>
      </w:tr>
    </w:tbl>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Pursuant to Rule 461 under the Securities Act of 1933, as amended, Rezolve AI plc (the “</w:t>
      </w:r>
      <w:r>
        <w:rPr>
          <w:rFonts w:ascii="Times New Roman" w:hAnsi="Times New Roman"/>
          <w:b/>
          <w:color w:val="000000"/>
          <w:sz w:val="20"/>
        </w:rPr>
        <w:t>Company</w:t>
      </w:r>
      <w:r>
        <w:rPr>
          <w:rFonts w:ascii="Times New Roman" w:hAnsi="Times New Roman"/>
          <w:color w:val="000000"/>
          <w:sz w:val="20"/>
        </w:rPr>
        <w:t>”) hereby requests acceleration of the effective date of the above referenced Registration Statement to 5:00 p.m., Eastern Time, on December 29, 2025, or as soon thereafter as practicable, or at such other time as the Company, or their outside counsel, DLA Piper LLP (US), requests by telephone that such Registration Statement be declared effective.</w:t>
      </w:r>
    </w:p>
    <w:p>
      <w:pPr>
        <w:pStyle w:val="TextBody"/>
        <w:bidi w:val="0"/>
        <w:jc w:val="both"/>
        <w:rPr>
          <w:rFonts w:ascii="Times New Roman" w:hAnsi="Times New Roman"/>
          <w:color w:val="000000"/>
          <w:sz w:val="20"/>
        </w:rPr>
      </w:pPr>
      <w:r>
        <w:rPr>
          <w:rFonts w:ascii="Times New Roman" w:hAnsi="Times New Roman"/>
          <w:color w:val="000000"/>
          <w:sz w:val="20"/>
        </w:rPr>
        <w:t>Please contact Penny J. Minna of DLA Piper LLP (US) at (410) 580-4228 as soon as the Registration Statement has been declared effective, or if you have any other questions or concerns regarding this matter.</w:t>
      </w:r>
    </w:p>
    <w:tbl>
      <w:tblPr>
        <w:tblW w:w="2690" w:type="dxa"/>
        <w:jc w:val="left"/>
        <w:tblInd w:w="0" w:type="dxa"/>
        <w:tblLayout w:type="fixed"/>
        <w:tblCellMar>
          <w:top w:w="28" w:type="dxa"/>
          <w:left w:w="28" w:type="dxa"/>
          <w:bottom w:w="28" w:type="dxa"/>
          <w:right w:w="28" w:type="dxa"/>
        </w:tblCellMar>
      </w:tblPr>
      <w:tblGrid>
        <w:gridCol w:w="124"/>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Sincerely,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REZOLVE AI PLC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Wagner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Daniel Wagner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172</Words>
  <Characters>915</Characters>
  <CharactersWithSpaces>1068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