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zlv-20241231.htm"/>
      <w:bookmarkStart w:id="1" w:name="ksrzlv20241231"/>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ind w:left="3600" w:right="3600" w:hanging="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20-F</w:t>
      </w:r>
    </w:p>
    <w:p>
      <w:pPr>
        <w:pStyle w:val="TextBody"/>
        <w:pBdr>
          <w:bottom w:val="single" w:sz="4" w:space="1" w:color="000000"/>
        </w:pBdr>
        <w:bidi w:val="0"/>
        <w:ind w:left="3600" w:right="3600" w:hanging="0"/>
        <w:jc w:val="center"/>
        <w:rPr/>
      </w:pPr>
      <w:r>
        <w:rPr/>
        <w:t> </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18"/>
              </w:rPr>
            </w:pPr>
            <w:r>
              <w:rPr>
                <w:rFonts w:ascii="Times New Roman" w:hAnsi="Times New Roman"/>
                <w:b/>
                <w:color w:val="000000"/>
                <w:sz w:val="18"/>
              </w:rPr>
              <w:t>REGISTRATION STATEMENT PURSUANT TO SECTION 12(b) OR (g)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fiscal year ended December 31, 2024</w:t>
      </w:r>
      <w:r>
        <w:rPr>
          <w:rFonts w:ascii="Times New Roman" w:hAnsi="Times New Roman"/>
          <w:color w:val="000000"/>
          <w:sz w:val="18"/>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172" w:type="dxa"/>
        <w:jc w:val="left"/>
        <w:tblInd w:w="0" w:type="dxa"/>
        <w:tblLayout w:type="fixed"/>
        <w:tblCellMar>
          <w:top w:w="28" w:type="dxa"/>
          <w:left w:w="28" w:type="dxa"/>
          <w:bottom w:w="28" w:type="dxa"/>
          <w:right w:w="28" w:type="dxa"/>
        </w:tblCellMar>
      </w:tblPr>
      <w:tblGrid>
        <w:gridCol w:w="331"/>
        <w:gridCol w:w="9841"/>
      </w:tblGrid>
      <w:tr>
        <w:trPr/>
        <w:tc>
          <w:tcPr>
            <w:tcW w:w="331"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41"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18"/>
              </w:rPr>
            </w:pPr>
            <w:r>
              <w:rPr>
                <w:rFonts w:ascii="Times New Roman" w:hAnsi="Times New Roman"/>
                <w:b/>
                <w:color w:val="000000"/>
                <w:sz w:val="18"/>
              </w:rPr>
              <w:t>SHELL COMPANY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Date of event requiring this shell company report</w:t>
      </w:r>
    </w:p>
    <w:p>
      <w:pPr>
        <w:pStyle w:val="TextBody"/>
        <w:bidi w:val="0"/>
        <w:spacing w:before="40" w:after="283"/>
        <w:jc w:val="center"/>
        <w:rPr>
          <w:rFonts w:ascii="Times New Roman" w:hAnsi="Times New Roman"/>
          <w:sz w:val="20"/>
        </w:rPr>
      </w:pPr>
      <w:r>
        <w:rPr>
          <w:rFonts w:ascii="Times New Roman" w:hAnsi="Times New Roman"/>
          <w:b/>
          <w:color w:val="000000"/>
          <w:sz w:val="16"/>
        </w:rPr>
        <w:t>Commission File Number 001-42254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Rezolve AI plc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(formerly Rezolve AI Limited)</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(Translation of Registrant’s name into English)</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United Kingdom</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(Jurisdiction of incorporation or organization)</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21 Sackville Street</w:t>
      </w:r>
    </w:p>
    <w:p>
      <w:pPr>
        <w:pStyle w:val="TextBody"/>
        <w:bidi w:val="0"/>
        <w:jc w:val="center"/>
        <w:rPr>
          <w:rFonts w:ascii="Times New Roman" w:hAnsi="Times New Roman"/>
          <w:b/>
          <w:color w:val="000000"/>
          <w:sz w:val="16"/>
        </w:rPr>
      </w:pPr>
      <w:r>
        <w:rPr>
          <w:rFonts w:ascii="Times New Roman" w:hAnsi="Times New Roman"/>
          <w:b/>
          <w:color w:val="000000"/>
          <w:sz w:val="16"/>
        </w:rPr>
        <w:t>London, W1S 3DN</w:t>
      </w:r>
    </w:p>
    <w:p>
      <w:pPr>
        <w:pStyle w:val="TextBody"/>
        <w:bidi w:val="0"/>
        <w:jc w:val="center"/>
        <w:rPr>
          <w:rFonts w:ascii="Times New Roman" w:hAnsi="Times New Roman"/>
          <w:b/>
          <w:color w:val="000000"/>
          <w:sz w:val="16"/>
        </w:rPr>
      </w:pPr>
      <w:r>
        <w:rPr>
          <w:rFonts w:ascii="Times New Roman" w:hAnsi="Times New Roman"/>
          <w:b/>
          <w:color w:val="000000"/>
          <w:sz w:val="16"/>
        </w:rPr>
        <w:t>United Kingdom</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Daniel M. Wagner</w:t>
      </w:r>
    </w:p>
    <w:p>
      <w:pPr>
        <w:pStyle w:val="TextBody"/>
        <w:bidi w:val="0"/>
        <w:jc w:val="center"/>
        <w:rPr>
          <w:rFonts w:ascii="Times New Roman" w:hAnsi="Times New Roman"/>
          <w:sz w:val="20"/>
        </w:rPr>
      </w:pPr>
      <w:r>
        <w:rPr>
          <w:rFonts w:ascii="Times New Roman" w:hAnsi="Times New Roman"/>
          <w:b/>
          <w:color w:val="000000"/>
          <w:sz w:val="16"/>
        </w:rPr>
        <w:t>Tel.: + 44</w:t>
      </w:r>
      <w:r>
        <w:rPr>
          <w:rFonts w:ascii="Times New Roman" w:hAnsi="Times New Roman"/>
          <w:color w:val="000000"/>
          <w:sz w:val="20"/>
        </w:rPr>
        <w:t xml:space="preserve"> </w:t>
      </w:r>
      <w:r>
        <w:rPr>
          <w:rFonts w:ascii="Times New Roman" w:hAnsi="Times New Roman"/>
          <w:b/>
          <w:color w:val="000000"/>
          <w:sz w:val="16"/>
        </w:rPr>
        <w:t>204 625 9700</w:t>
      </w:r>
    </w:p>
    <w:p>
      <w:pPr>
        <w:pStyle w:val="TextBody"/>
        <w:bidi w:val="0"/>
        <w:jc w:val="center"/>
        <w:rPr>
          <w:rFonts w:ascii="Times New Roman" w:hAnsi="Times New Roman"/>
          <w:b/>
          <w:color w:val="000000"/>
          <w:sz w:val="16"/>
        </w:rPr>
      </w:pPr>
      <w:r>
        <w:rPr>
          <w:rFonts w:ascii="Times New Roman" w:hAnsi="Times New Roman"/>
          <w:b/>
          <w:color w:val="000000"/>
          <w:sz w:val="16"/>
        </w:rPr>
        <w:t>investors@rezolve.com</w:t>
      </w:r>
    </w:p>
    <w:p>
      <w:pPr>
        <w:pStyle w:val="TextBody"/>
        <w:bidi w:val="0"/>
        <w:jc w:val="center"/>
        <w:rPr>
          <w:rFonts w:ascii="Times New Roman" w:hAnsi="Times New Roman"/>
          <w:b/>
          <w:color w:val="000000"/>
          <w:sz w:val="16"/>
        </w:rPr>
      </w:pPr>
      <w:r>
        <w:rPr>
          <w:rFonts w:ascii="Times New Roman" w:hAnsi="Times New Roman"/>
          <w:b/>
          <w:color w:val="000000"/>
          <w:sz w:val="16"/>
        </w:rPr>
        <w:t>21 Sackville Street</w:t>
      </w:r>
    </w:p>
    <w:p>
      <w:pPr>
        <w:pStyle w:val="TextBody"/>
        <w:bidi w:val="0"/>
        <w:jc w:val="center"/>
        <w:rPr>
          <w:rFonts w:ascii="Times New Roman" w:hAnsi="Times New Roman"/>
          <w:b/>
          <w:color w:val="000000"/>
          <w:sz w:val="16"/>
        </w:rPr>
      </w:pPr>
      <w:r>
        <w:rPr>
          <w:rFonts w:ascii="Times New Roman" w:hAnsi="Times New Roman"/>
          <w:b/>
          <w:color w:val="000000"/>
          <w:sz w:val="16"/>
        </w:rPr>
        <w:t>London, W1S 3DN</w:t>
      </w:r>
    </w:p>
    <w:p>
      <w:pPr>
        <w:pStyle w:val="TextBody"/>
        <w:bidi w:val="0"/>
        <w:jc w:val="center"/>
        <w:rPr>
          <w:rFonts w:ascii="Times New Roman" w:hAnsi="Times New Roman"/>
          <w:b/>
          <w:color w:val="000000"/>
          <w:sz w:val="16"/>
        </w:rPr>
      </w:pPr>
      <w:r>
        <w:rPr>
          <w:rFonts w:ascii="Times New Roman" w:hAnsi="Times New Roman"/>
          <w:b/>
          <w:color w:val="000000"/>
          <w:sz w:val="16"/>
        </w:rPr>
        <w:t>United Kingdom</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(Name, Telephone, E-mail and/or Facsimile number and Address of Company Contact Person)</w:t>
      </w:r>
    </w:p>
    <w:p>
      <w:pPr>
        <w:pStyle w:val="TextBody"/>
        <w:pBdr>
          <w:bottom w:val="single" w:sz="4" w:space="1" w:color="000000"/>
        </w:pBdr>
        <w:bidi w:val="0"/>
        <w:ind w:left="3600" w:right="3600" w:hanging="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or to be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56"/>
        <w:gridCol w:w="146"/>
        <w:gridCol w:w="766"/>
        <w:gridCol w:w="146"/>
        <w:gridCol w:w="2391"/>
      </w:tblGrid>
      <w:tr>
        <w:trPr/>
        <w:tc>
          <w:tcPr>
            <w:tcW w:w="6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r>
      <w:tr>
        <w:trPr/>
        <w:tc>
          <w:tcPr>
            <w:tcW w:w="67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6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Ordinary Shares, £0.0001 nominal value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RZLV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each whole warrant exercisable for one Ordinary Share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RZLV.W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Securities registered or to be registered pursuant to Section 12(g) of the Act.</w:t>
      </w:r>
    </w:p>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(Title of Class)</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Securities for which there is a reporting obligation pursuant to Section 15(d) of the Act</w:t>
      </w:r>
    </w:p>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(Title of Class)</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Indicate the number of outstanding shares of each of the issuer’s classes of capital stock or common stock as of the close of the period covered by the annual report.</w:t>
      </w:r>
    </w:p>
    <w:p>
      <w:pPr>
        <w:pStyle w:val="TextBody"/>
        <w:bidi w:val="0"/>
        <w:spacing w:before="40" w:after="283"/>
        <w:jc w:val="left"/>
        <w:rPr>
          <w:rFonts w:ascii="Times New Roman" w:hAnsi="Times New Roman"/>
          <w:sz w:val="20"/>
        </w:rPr>
      </w:pPr>
      <w:r>
        <w:rPr>
          <w:rFonts w:ascii="Times New Roman" w:hAnsi="Times New Roman"/>
          <w:color w:val="000000"/>
          <w:sz w:val="14"/>
        </w:rPr>
        <w:t>At December 31, 2024, the issuer had 208,260,754</w:t>
      </w:r>
      <w:r>
        <w:rPr>
          <w:rFonts w:ascii="Times New Roman" w:hAnsi="Times New Roman"/>
          <w:color w:val="000000"/>
          <w:sz w:val="20"/>
        </w:rPr>
        <w:t xml:space="preserve"> </w:t>
      </w:r>
      <w:r>
        <w:rPr>
          <w:rFonts w:ascii="Times New Roman" w:hAnsi="Times New Roman"/>
          <w:color w:val="000000"/>
          <w:sz w:val="14"/>
        </w:rPr>
        <w:t>ordinary shares, par value £0.0001 per share.</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this report is an annual or transition report, indicate by check mark if the registrant is not required to file reports pursuant to Section 13 or 15(d) of the Securities Exchange Act of 1934. Yes </w:t>
      </w:r>
      <w:r>
        <w:rPr>
          <w:rFonts w:ascii="Times New Roman" w:hAnsi="Times New Roman"/>
          <w:color w:val="000000"/>
          <w:sz w:val="20"/>
        </w:rPr>
        <w:t xml:space="preserve">☐ </w:t>
      </w:r>
      <w:r>
        <w:rPr>
          <w:rFonts w:ascii="Times New Roman" w:hAnsi="Times New Roman"/>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jc w:val="both"/>
        <w:rPr/>
      </w:pPr>
      <w:r>
        <w:rPr/>
        <w:t> </w:t>
      </w:r>
    </w:p>
    <w:tbl>
      <w:tblPr>
        <w:tblW w:w="7091" w:type="dxa"/>
        <w:jc w:val="left"/>
        <w:tblInd w:w="0" w:type="dxa"/>
        <w:tblLayout w:type="fixed"/>
        <w:tblCellMar>
          <w:top w:w="28" w:type="dxa"/>
          <w:left w:w="28" w:type="dxa"/>
          <w:bottom w:w="28" w:type="dxa"/>
          <w:right w:w="28" w:type="dxa"/>
        </w:tblCellMar>
      </w:tblPr>
      <w:tblGrid>
        <w:gridCol w:w="1366"/>
        <w:gridCol w:w="316"/>
        <w:gridCol w:w="146"/>
        <w:gridCol w:w="1036"/>
        <w:gridCol w:w="316"/>
        <w:gridCol w:w="146"/>
        <w:gridCol w:w="1291"/>
        <w:gridCol w:w="316"/>
        <w:gridCol w:w="146"/>
        <w:gridCol w:w="1651"/>
        <w:gridCol w:w="361"/>
      </w:tblGrid>
      <w:tr>
        <w:trPr/>
        <w:tc>
          <w:tcPr>
            <w:tcW w:w="13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0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4"/>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Indicate by check mark which basis of accounting the registrant has used to prepare the financial statements included in this filing:</w:t>
      </w:r>
    </w:p>
    <w:p>
      <w:pPr>
        <w:pStyle w:val="TextBody"/>
        <w:bidi w:val="0"/>
        <w:jc w:val="left"/>
        <w:rPr/>
      </w:pPr>
      <w:r>
        <w:rPr/>
        <w:t> </w:t>
      </w:r>
    </w:p>
    <w:tbl>
      <w:tblPr>
        <w:tblW w:w="5241" w:type="dxa"/>
        <w:jc w:val="left"/>
        <w:tblInd w:w="0" w:type="dxa"/>
        <w:tblLayout w:type="fixed"/>
        <w:tblCellMar>
          <w:top w:w="28" w:type="dxa"/>
          <w:left w:w="28" w:type="dxa"/>
          <w:bottom w:w="28" w:type="dxa"/>
          <w:right w:w="28" w:type="dxa"/>
        </w:tblCellMar>
      </w:tblPr>
      <w:tblGrid>
        <w:gridCol w:w="991"/>
        <w:gridCol w:w="146"/>
        <w:gridCol w:w="3196"/>
        <w:gridCol w:w="146"/>
        <w:gridCol w:w="146"/>
        <w:gridCol w:w="61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4"/>
              </w:rPr>
              <w:t>U.S. GAAP</w:t>
            </w:r>
            <w:r>
              <w:rPr>
                <w:rFonts w:ascii="Times New Roman" w:hAnsi="Times New Roman"/>
                <w:color w:val="000000"/>
                <w:sz w:val="20"/>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International Financial Reporting Standards as issued</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by the International Accounting Standards Board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Other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If “Other” has been checked in response to the previous question, indicate by check mark which financial statement item the registrant has elected to follow. Item 17 </w:t>
      </w:r>
      <w:r>
        <w:rPr>
          <w:rFonts w:ascii="Times New Roman" w:hAnsi="Times New Roman"/>
          <w:color w:val="000000"/>
          <w:sz w:val="20"/>
        </w:rPr>
        <w:t xml:space="preserve">☐ </w:t>
      </w:r>
      <w:r>
        <w:rPr>
          <w:rFonts w:ascii="Times New Roman" w:hAnsi="Times New Roman"/>
          <w:color w:val="000000"/>
          <w:sz w:val="14"/>
        </w:rPr>
        <w:t xml:space="preserve">Item 18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this is an annual report, indicate by check mark whether the registrant is a shell company (as defined in Rule 12b-2 of the Exchange Act). Yes ☐ No </w:t>
      </w:r>
      <w:r>
        <w:rPr>
          <w:rFonts w:ascii="Times New Roman" w:hAnsi="Times New Roman"/>
          <w:color w:val="000000"/>
          <w:sz w:val="20"/>
        </w:rPr>
        <w:t>☒</w:t>
      </w:r>
    </w:p>
    <w:p>
      <w:pPr>
        <w:pStyle w:val="TextBody"/>
        <w:pBdr>
          <w:bottom w:val="double" w:sz="2"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toc_page_1"/>
      <w:bookmarkEnd w:id="2"/>
      <w:r>
        <w:rPr>
          <w:rFonts w:ascii="Times New Roman" w:hAnsi="Times New Roman"/>
          <w:b/>
          <w:color w:val="000000"/>
          <w:sz w:val="20"/>
        </w:rPr>
        <w:t>TABLE OF CONTENTS</w:t>
      </w:r>
    </w:p>
    <w:p>
      <w:pPr>
        <w:pStyle w:val="TextBody"/>
        <w:bidi w:val="0"/>
        <w:jc w:val="left"/>
        <w:rPr/>
      </w:pPr>
      <w:r>
        <w:rPr/>
        <w:t> </w:t>
      </w:r>
    </w:p>
    <w:tbl>
      <w:tblPr>
        <w:tblW w:w="7848" w:type="dxa"/>
        <w:jc w:val="left"/>
        <w:tblInd w:w="0" w:type="dxa"/>
        <w:tblLayout w:type="fixed"/>
        <w:tblCellMar>
          <w:top w:w="28" w:type="dxa"/>
          <w:left w:w="28" w:type="dxa"/>
          <w:bottom w:w="28" w:type="dxa"/>
          <w:right w:w="28" w:type="dxa"/>
        </w:tblCellMar>
      </w:tblPr>
      <w:tblGrid>
        <w:gridCol w:w="916"/>
        <w:gridCol w:w="6361"/>
        <w:gridCol w:w="571"/>
      </w:tblGrid>
      <w:tr>
        <w:trPr/>
        <w:tc>
          <w:tcPr>
            <w:tcW w:w="916"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1" w:type="dxa"/>
            <w:tcBorders/>
            <w:tcMar>
              <w:top w:w="0" w:type="dxa"/>
              <w:left w:w="0" w:type="dxa"/>
              <w:bottom w:w="0" w:type="dxa"/>
              <w:right w:w="0" w:type="dxa"/>
            </w:tcMar>
            <w:vAlign w:val="center"/>
          </w:tcPr>
          <w:p>
            <w:pPr>
              <w:pStyle w:val="TableContents"/>
              <w:bidi w:val="0"/>
              <w:spacing w:before="0" w:after="283"/>
              <w:jc w:val="center"/>
              <w:rPr/>
            </w:pPr>
            <w:hyperlink w:anchor="part_1_20f">
              <w:r>
                <w:rPr>
                  <w:rStyle w:val="InternetLink"/>
                  <w:rFonts w:ascii="Times New Roman" w:hAnsi="Times New Roman"/>
                  <w:color w:val="0000FF"/>
                  <w:sz w:val="20"/>
                  <w:u w:val="single"/>
                </w:rPr>
                <w:t>PART I</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Identity of Directors, Senior Management and Advisers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Offer Statistics and Expected Timetable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Key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Information on the Company</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4A.</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4_a">
              <w:r>
                <w:rPr>
                  <w:rStyle w:val="InternetLink"/>
                  <w:rFonts w:ascii="Times New Roman" w:hAnsi="Times New Roman"/>
                  <w:color w:val="0000FF"/>
                  <w:sz w:val="20"/>
                  <w:u w:val="single"/>
                </w:rPr>
                <w:t>Unresolved Staff Comments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Operating and Financial Review and Prospects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Directors, Senior Management and Employees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7">
              <w:r>
                <w:rPr>
                  <w:rStyle w:val="InternetLink"/>
                  <w:rFonts w:ascii="Times New Roman" w:hAnsi="Times New Roman"/>
                  <w:color w:val="0000FF"/>
                  <w:sz w:val="20"/>
                  <w:u w:val="single"/>
                </w:rPr>
                <w:t>Major Shareholders and Related Party Transactions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8">
              <w:r>
                <w:rPr>
                  <w:rStyle w:val="InternetLink"/>
                  <w:rFonts w:ascii="Times New Roman" w:hAnsi="Times New Roman"/>
                  <w:color w:val="0000FF"/>
                  <w:sz w:val="20"/>
                  <w:u w:val="single"/>
                </w:rPr>
                <w:t>Financial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The Offer and Listing</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Additional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Description of Securities Other than Equity Securities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1" w:type="dxa"/>
            <w:tcBorders/>
            <w:tcMar>
              <w:top w:w="0" w:type="dxa"/>
              <w:left w:w="0" w:type="dxa"/>
              <w:bottom w:w="0" w:type="dxa"/>
              <w:right w:w="0" w:type="dxa"/>
            </w:tcMar>
            <w:vAlign w:val="center"/>
          </w:tcPr>
          <w:p>
            <w:pPr>
              <w:pStyle w:val="TableContents"/>
              <w:bidi w:val="0"/>
              <w:spacing w:before="0" w:after="283"/>
              <w:jc w:val="center"/>
              <w:rPr/>
            </w:pPr>
            <w:hyperlink w:anchor="part_2_20f">
              <w:r>
                <w:rPr>
                  <w:rStyle w:val="InternetLink"/>
                  <w:rFonts w:ascii="Times New Roman" w:hAnsi="Times New Roman"/>
                  <w:color w:val="0000FF"/>
                  <w:sz w:val="20"/>
                  <w:u w:val="single"/>
                </w:rPr>
                <w:t>PART II</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Defaults, Dividend Arrearages and Delinquencies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Material Modifications to the Rights of Security Holders and Use of Proceeds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[Reserved].</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16A.</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a">
              <w:r>
                <w:rPr>
                  <w:rStyle w:val="InternetLink"/>
                  <w:rFonts w:ascii="Times New Roman" w:hAnsi="Times New Roman"/>
                  <w:color w:val="0000FF"/>
                  <w:sz w:val="20"/>
                  <w:u w:val="single"/>
                </w:rPr>
                <w:t>Audit Committee Financial Expert</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16B.</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b">
              <w:r>
                <w:rPr>
                  <w:rStyle w:val="InternetLink"/>
                  <w:rFonts w:ascii="Times New Roman" w:hAnsi="Times New Roman"/>
                  <w:color w:val="0000FF"/>
                  <w:sz w:val="20"/>
                  <w:u w:val="single"/>
                </w:rPr>
                <w:t>Code of Ethics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16C.</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c">
              <w:r>
                <w:rPr>
                  <w:rStyle w:val="InternetLink"/>
                  <w:rFonts w:ascii="Times New Roman" w:hAnsi="Times New Roman"/>
                  <w:color w:val="0000FF"/>
                  <w:sz w:val="20"/>
                  <w:u w:val="single"/>
                </w:rPr>
                <w:t>Principal Accountant Fees and Services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16D.</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d">
              <w:r>
                <w:rPr>
                  <w:rStyle w:val="InternetLink"/>
                  <w:rFonts w:ascii="Times New Roman" w:hAnsi="Times New Roman"/>
                  <w:color w:val="0000FF"/>
                  <w:sz w:val="20"/>
                  <w:u w:val="single"/>
                </w:rPr>
                <w:t>Exemptions from the Listing Standards for Audit Committees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16E.</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e">
              <w:r>
                <w:rPr>
                  <w:rStyle w:val="InternetLink"/>
                  <w:rFonts w:ascii="Times New Roman" w:hAnsi="Times New Roman"/>
                  <w:color w:val="0000FF"/>
                  <w:sz w:val="20"/>
                  <w:u w:val="single"/>
                </w:rPr>
                <w:t>Purchases of Equity Securities by the Issuer and Affiliated Purchasers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16F.</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f">
              <w:r>
                <w:rPr>
                  <w:rStyle w:val="InternetLink"/>
                  <w:rFonts w:ascii="Times New Roman" w:hAnsi="Times New Roman"/>
                  <w:color w:val="0000FF"/>
                  <w:sz w:val="20"/>
                  <w:u w:val="single"/>
                </w:rPr>
                <w:t>Change in Registrant’s Certifying Accountant</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16G.</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g">
              <w:r>
                <w:rPr>
                  <w:rStyle w:val="InternetLink"/>
                  <w:rFonts w:ascii="Times New Roman" w:hAnsi="Times New Roman"/>
                  <w:color w:val="0000FF"/>
                  <w:sz w:val="20"/>
                  <w:u w:val="single"/>
                </w:rPr>
                <w:t>Corporate Governance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16H.</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h">
              <w:r>
                <w:rPr>
                  <w:rStyle w:val="InternetLink"/>
                  <w:rFonts w:ascii="Times New Roman" w:hAnsi="Times New Roman"/>
                  <w:color w:val="0000FF"/>
                  <w:sz w:val="20"/>
                  <w:u w:val="single"/>
                </w:rPr>
                <w:t>Mine Safety Disclosure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16I.</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i">
              <w:r>
                <w:rPr>
                  <w:rStyle w:val="InternetLink"/>
                  <w:rFonts w:ascii="Times New Roman" w:hAnsi="Times New Roman"/>
                  <w:color w:val="0000FF"/>
                  <w:sz w:val="20"/>
                  <w:u w:val="single"/>
                </w:rPr>
                <w:t>Disclosure Regarding Foreign Jurisdictions that Prevent Inspections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16J.</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_j">
              <w:r>
                <w:rPr>
                  <w:rStyle w:val="InternetLink"/>
                  <w:rFonts w:ascii="Times New Roman" w:hAnsi="Times New Roman"/>
                  <w:color w:val="0000FF"/>
                  <w:sz w:val="20"/>
                  <w:u w:val="single"/>
                </w:rPr>
                <w:t>Insider Trading Policies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16K.</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6k">
              <w:r>
                <w:rPr>
                  <w:rStyle w:val="InternetLink"/>
                  <w:rFonts w:ascii="Times New Roman" w:hAnsi="Times New Roman"/>
                  <w:color w:val="0000FF"/>
                  <w:sz w:val="20"/>
                  <w:u w:val="single"/>
                </w:rPr>
                <w:t>Cybersecurity</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1" w:type="dxa"/>
            <w:tcBorders/>
            <w:tcMar>
              <w:top w:w="0" w:type="dxa"/>
              <w:left w:w="0" w:type="dxa"/>
              <w:bottom w:w="0" w:type="dxa"/>
              <w:right w:w="0" w:type="dxa"/>
            </w:tcMar>
            <w:vAlign w:val="center"/>
          </w:tcPr>
          <w:p>
            <w:pPr>
              <w:pStyle w:val="TableContents"/>
              <w:bidi w:val="0"/>
              <w:spacing w:before="0" w:after="283"/>
              <w:jc w:val="center"/>
              <w:rPr/>
            </w:pPr>
            <w:hyperlink w:anchor="part_3_20f">
              <w:r>
                <w:rPr>
                  <w:rStyle w:val="InternetLink"/>
                  <w:rFonts w:ascii="Times New Roman" w:hAnsi="Times New Roman"/>
                  <w:color w:val="0000FF"/>
                  <w:sz w:val="20"/>
                  <w:u w:val="single"/>
                </w:rPr>
                <w:t>PART III</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17.</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7">
              <w:r>
                <w:rPr>
                  <w:rStyle w:val="InternetLink"/>
                  <w:rFonts w:ascii="Times New Roman" w:hAnsi="Times New Roman"/>
                  <w:color w:val="0000FF"/>
                  <w:sz w:val="20"/>
                  <w:u w:val="single"/>
                </w:rPr>
                <w:t>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18.</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8">
              <w:r>
                <w:rPr>
                  <w:rStyle w:val="InternetLink"/>
                  <w:rFonts w:ascii="Times New Roman" w:hAnsi="Times New Roman"/>
                  <w:color w:val="0000FF"/>
                  <w:sz w:val="20"/>
                  <w:u w:val="single"/>
                </w:rPr>
                <w:t>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19.</w:t>
            </w:r>
          </w:p>
        </w:tc>
        <w:tc>
          <w:tcPr>
            <w:tcW w:w="6361" w:type="dxa"/>
            <w:tcBorders/>
            <w:tcMar>
              <w:top w:w="0" w:type="dxa"/>
              <w:left w:w="0" w:type="dxa"/>
              <w:bottom w:w="0" w:type="dxa"/>
              <w:right w:w="0" w:type="dxa"/>
            </w:tcMar>
            <w:vAlign w:val="center"/>
          </w:tcPr>
          <w:p>
            <w:pPr>
              <w:pStyle w:val="TableContents"/>
              <w:bidi w:val="0"/>
              <w:spacing w:before="0" w:after="283"/>
              <w:jc w:val="left"/>
              <w:rPr/>
            </w:pPr>
            <w:hyperlink w:anchor="item_19">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3" w:name="part_1_20f"/>
      <w:bookmarkEnd w:id="3"/>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
      <w:bookmarkEnd w:id="4"/>
      <w:r>
        <w:rPr>
          <w:rFonts w:ascii="Times New Roman" w:hAnsi="Times New Roman"/>
          <w:b/>
          <w:color w:val="000000"/>
          <w:sz w:val="20"/>
        </w:rPr>
        <w:t>Item 1. Identity of Directors, Senior Management and Advisers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5" w:name="item_2"/>
      <w:bookmarkEnd w:id="5"/>
      <w:r>
        <w:rPr>
          <w:rFonts w:ascii="Times New Roman" w:hAnsi="Times New Roman"/>
          <w:b/>
          <w:color w:val="000000"/>
          <w:sz w:val="20"/>
        </w:rPr>
        <w:t>Item 2. Offer Statistics and Expected Timetable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ind w:left="0" w:right="0" w:firstLine="490"/>
        <w:jc w:val="left"/>
        <w:rPr/>
      </w:pPr>
      <w:r>
        <w:rPr/>
        <w:t> </w:t>
      </w:r>
    </w:p>
    <w:p>
      <w:pPr>
        <w:pStyle w:val="TextBody"/>
        <w:bidi w:val="0"/>
        <w:spacing w:before="360" w:after="283"/>
        <w:jc w:val="left"/>
        <w:rPr>
          <w:rFonts w:ascii="Times New Roman" w:hAnsi="Times New Roman"/>
          <w:sz w:val="20"/>
        </w:rPr>
      </w:pPr>
      <w:bookmarkStart w:id="6" w:name="item_3"/>
      <w:bookmarkEnd w:id="6"/>
      <w:r>
        <w:rPr>
          <w:rFonts w:ascii="Times New Roman" w:hAnsi="Times New Roman"/>
          <w:b/>
          <w:color w:val="000000"/>
          <w:sz w:val="20"/>
        </w:rPr>
        <w:t>Item 3. Key Information</w:t>
      </w:r>
      <w:r>
        <w:rPr>
          <w:rFonts w:ascii="Times New Roman" w:hAnsi="Times New Roman"/>
          <w:color w:val="000000"/>
          <w:sz w:val="20"/>
        </w:rPr>
        <w:t xml:space="preserve"> </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[Reserved]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Fonts w:ascii="Times New Roman" w:hAnsi="Times New Roman"/>
          <w:b/>
          <w:color w:val="000000"/>
          <w:sz w:val="20"/>
        </w:rPr>
        <w:t>Capitalization and indebtedness.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60" w:after="283"/>
        <w:ind w:left="489" w:right="0" w:hanging="0"/>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Reasons for the offer and 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sz w:val="20"/>
        </w:rPr>
      </w:pPr>
      <w:r>
        <w:rPr>
          <w:rFonts w:ascii="Times New Roman" w:hAnsi="Times New Roman"/>
          <w:b/>
          <w:i/>
          <w:color w:val="000000"/>
          <w:sz w:val="20"/>
        </w:rPr>
        <w:t>Risk factors summary.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You should consider carefully the risks and uncertainties described in this prospectus before investing in our securities. These risks are discussed more fully in the section titled “Risk Factors” following this summary. If any of these risks actually occur, our business, financial condition or results of operations would likely be materially adversely affected. These risks include, but are not limited to, the following: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generated limited revenues from existing Channels and there is no guarantee that it will be able to attract and retain new merchants and increase sales to new merchants.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an early-stage company with a history of financial losses and expects to incur significant expenses and continuing losses for the foreseeable future.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worldwide economic conditions, including the resulting effect on spending by small and medium-sized businesses (“SMBs”) and spending on technology, may adversely affect Rezolve’s business, operating results and financial condition.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Uneven economic growth or downturns or international trade and other global disruptions, geopolitical tensions, or disputes could adversely affect our business and operating results.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limited operating history in a new and developing market makes it difficult to evaluate its current business and future prospects and may increase the risk that it will not be successful.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growth depends in part on the success of its strategic relationships with third parties.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Non-performance under, termination, non-renewal or material modification of agreements with Rezolve’s business partners could have a material adverse effect on Rezolve’s business, financial condition and/or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could be harmed if it fails to manage its growth effectively.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does not have the history with its solutions or pricing models necessary to accurately predict optimal pricing necessary to attract new merchants and retain existing merchants.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Rezolve’s business model, it may not be able to accurately assess its financial position and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is susceptible to risks associated with international sales and the use of its platform in various countries.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rate fluctuations may negatively affect Rezolve’s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operating results are expected to be subject to seasonal fluctuations.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fails to improve and enhance the functionality, performance, reliability, design, security and scalability of its platform in a manner that responds to merchants’ evolving needs, its business may be adversely affected.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not be able to compete successfully against current and future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transactions on Rezolve’s platform may be subject to regulatory requirements and other risks that could be costly and difficult to comply with or that could harm Rezolve’s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need to raise additional funds to pursue its growth strategy or continue its operations, and Rezolve may be unable to raise capital when needed or on acceptable terms.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develop and expand Rezolve’s marketing, sales, customer service, and content management capabilities could harm its ability to increase Rezolve’s customer base and achieve broader market acceptance of Rezolve’s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availability of Rezolve’s platform does not meet its service-level commitments to customers, Rezolve’s current and future revenues may be negatively impacted.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does not intend to pay dividends for the foreseeable future.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regional or global health pandemic, including the global COVID-19 pandemic, may adversely impact Rezolve’s business, results of operations and financial performance.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is unable to hire, retain and motivate qualified personnel, its business will be adversely affected.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dependent on the continued services and performance of its senior management and other key employees, the loss of any of whom could adversely affect Rezolve’s business, operating results and financial condition.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expects to be dependent upon consumers’ and merchants’ willingness to use the internet and internet-enabled mobile devices for commerce.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Rezolve’s software or platform contains serious errors or defects, Rezolve may lose revenues and market acceptance and may incur costs to defend or settle claims with its merchants.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denial of service attack or security breach or incident could delay or interrupt service to Rezolve’s merchants and their customers, harm Rezolve’s reputation and subject Rezolve to significant liability.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uses a limited number of data centers to deliver its services. Any disruption of service at these facilities could harm Rezolve’s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relies on computer hardware, purchased or leased, and software licensed from and services rendered by third parties in order to provide its solutions and run its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does not or cannot maintain the compatibility of its platform with third-party applications that its customers use in their businesses, Rezolve’s revenues will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store and process personal data of its merchants and their customers. If the security of this information is compromised or otherwise subjected to unauthorized access, Rezolve’s reputation may be harmed and Rezolve may be exposed to liability.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brand is important to its success. If Rezolve fails to effectively maintain, promote and enhance Rezolve’s brand, Rezolve’s business and competitive advantage may be harmed.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of merchants or the content of their shops could damage Rezolve’s brand, subject Rezolve to liability and harm its business and financial results.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fails to maintain a consistently high level of customer service, Rezolve’s brand, business and financial results may be harmed.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 subject to claims by third parties of intellectual property infringement.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use of “open source” software could negatively affect its ability to sell its solutions and subject Rezolve to possible litigation.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for indemnification by Rezolve’s directors and officers may reduce Rezolve’s available funds to satisfy successful third-party claims against Rezolve and may reduce the amount of money available to Rezolve.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trade tariffs, import restrictions, export restrictions, United States regulations or other trade barriers may materially harm Rezolve’s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Rezolve may be involved in legal proceedings and commercial or contractual disputes, which could have an adverse impact on Rezolve’s profitability and consolidated financial position.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of the Articles and English law could deter takeover attempts.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Ordinary Shares could be volatile, and the value of Ordinary Shares may decline.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the Public Warrants will ever be in the money at the time they become exercisable or otherwise, and they may expire worthless.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market for our securities may not be sustained, which would adversely affect the liquidity and price of Ordinary Shares.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Rezolve will be able to comply with the continued listing standards of Nasdaq.</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securities or industry analysts publish reports that are interpreted negatively by the investment community or publish negative research reports about our business, our share price and trading volume could decline.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and our election to comply with the reduced disclosure requirements as a public company may make our Ordinary Shares less attractive to investors.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a “foreign private issuer” and, as a result, we are permitted to rely on exemptions from certain stock exchange corporate governance standards applicable to U.S. issuers. This may afford less protection to holders of Ordinary Shares.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lose our foreign private issuer status in the future, which could result in significant additional cost and expense.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issuance of additional Ordinary Shares in connection with financings, acquisitions, investments, our stock incentive plans, or otherwise will dilute all other shareholders.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holders that directly or indirectly own 10% or more of our equity interests may be subject to adverse U.S. federal income tax consequences under rules applicable to U.S. shareholders of controlled foreign corporations.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 shareholders may suffer adverse tax consequences if we are classified as a “passive foreign investment company.”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Internal Revenue Service may not agree that Rezolve should be treated as a non-U.S. corporation for U.S. federal income tax purposes.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An investment in our ordinary shares, par value £0.0001 (“Ordinary Shares”), and in the warrants to purchase our Ordinary Shares (the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 has generated limited revenues from existing channels and there is no guarantee that it will be able to attract and retain new merchants and increase sales to new merchants.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may also fail to attract new partners and retain existing partners as a result of a number of other factors, including</w:t>
      </w:r>
    </w:p>
    <w:p>
      <w:pPr>
        <w:pStyle w:val="TextBody"/>
        <w:bidi w:val="0"/>
        <w:spacing w:before="120" w:after="120"/>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competitive factors affecting the software as a service, or SaaS, business software applications market, including the introduction of competing platforms, discount pricing and other strategies that may be implemented by Rezolve’s competitors;</w:t>
      </w:r>
    </w:p>
    <w:p>
      <w:pPr>
        <w:pStyle w:val="TextBody"/>
        <w:bidi w:val="0"/>
        <w:spacing w:before="0" w:after="120"/>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Rezolve’s ability to execute on Rezolve’s growth strategy and operating plans;</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decline in Rezolve’s partners’ level of satisfaction with Rezolve’s platform and usage of Rezolve’s platform;</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Rezolve’s relationships with third parties, including Rezolve’s partners, app developers, theme designers, referral sources and payment processors;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timeliness and success of Rezolve’s solutions;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any system outages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change;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an early-stage company with a history of financial losses and expects to incur significant expenses and continuing losses for the foreseeable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Rezolve incurred a net loss of $172.6 million in the year ended December 31, 2024 and $30.7 million in the year ended December 31, 2023, respectively. At December 31, 2024, Rezolve had a total shareholders’ deficit of $38.0 million. These losses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impact of worldwide economic conditions, including the resulting effect on spending by SMBs and spending on technology, may adversely affect Rezolve’s business, operating results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Uneven economic growth or downturns or international trade and other global disruptions, geopolitical tensions, or disputes could adversely affect our business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limited operating history in a new and developing market makes it difficult to evaluate its current business and future prospects and may increase the risk that it will not be successful.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growth depends in part on the success of its strategic relationships with third parties.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Non-performance under, termination, non-renewal or material modification of agreements with Rezolve’s business partners could have a material adverse effect on Rezolve’s business, financial condition and/or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could be harmed if it fails to manage its growth effectively.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does not have the history with its solutions or pricing models necessary to accurately predict optimal pricing necessary to attract new merchants and retain existing merchants.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 result of Rezolve’s business model, it may not be able to accurately assess its financial position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is susceptible to risks associated with international sales and the use of its platform in various countries.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international sales and the use of its platform in various countries subject Rezolve to risks that include, but are not limited to:</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familiarity and burdens and complexity involved with complying with multiple, conflicting and changing foreign laws, standards, regulatory requirements, tariffs, export controls and other barriers;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ensuring compliance with countries’ multiple, conflicting and changing international trade, customs and sanctions laws;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complying with laws relating to privacy, data protection, and cybersecurity, including the UK General Data Protection Regulation, some of which may require that merchant and customer data be stored and processed in a designated territory;</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systems integrators and technology partners;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technology standards;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adverse tax consequences, including the complexities of foreign value added tax (or other tax) systems and restrictions on the repatriation of earnings;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difficulty in enforcing contracts, including Rezolve’s universal terms of service and other agreements;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or uncertain protection for intellectual property rights in some countries;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different sources of competition.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Exchange rate fluctuations may negatively affect Rezolve’s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operating results are expected to be subject to seasonal fluctuations.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fails to improve and enhance the functionality, performance, reliability, design, security and scalability of its platform in a manner that responds to merchants’ evolving needs, its business may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not be able to compete successfully against current and future competitors.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Payment transactions on Rezolve’s platform may be subject to regulatory requirements and other risks that could be costly and difficult to comply with or that could harm Rezolve’s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may become subject to a number of risks related to payments processed through Instant Buy, including:</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payment of interchange and other fees, which may increase Rezolve’s operating expenses;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is unable to maintain its chargeback rate at acceptable levels, its credit card fees may increase or credit card issuers may terminate their relationship with Rezolve;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costs and diversion of management time and effort and other resources to deal with fraudulent transactions or chargeback disputes;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fraudulent or otherwise illegal activity by merchants, their customers, developers, employees or third parties;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funds or required reserves related to payments;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disclosure and other requirements, including new reporting regulations and new credit card association rules.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Rezolve’s business;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of resources that are needed in other areas of Rezolve’s business;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implementation or remediation of controls, procedures and policies of the acquired company;</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difficulty integrating the accounting systems and operations of the acquired company, including potential risks to Rezolve’s corporate culture;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retention and integration of employees from the acquired company;</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or liabilities;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effects to Rezolve’s existing business relationships with partners and merchants as a result of the acquisition or investment;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of adverse tax consequences;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claims arising in connection with the acquired company or investment;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foreign acquisitions, the need to integrate operations across different cultures and languages and to address the particular economic, currency, political and regulatory risks associated with specific countries.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a significant portion of the purchase price of companies that Rezolve acquires may be allocated to acquired goodwill and other intangible assets, which must be assessed for impairment on at least an annual basis. In the future, if Rezolve’s acquisitions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 not yield expected returns, Rezolve may be required to take charges to its operating results based on this impairment assessment process, which could adversely affect Rezolve’s results of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need to raise additional funds to pursue its growth strategy or continue its operations, and Rezolve may be unable to raise capital when needed or on acceptable terms.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effectively develop and expand Rezolve’s marketing, sales, customer service, and content management capabilities could harm its ability to increase Rezolve’s customer base and achieve broader market acceptance of Rezolve’s platform.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availability of Rezolve’s platform does not meet its service-level commitments to customers, Rezolve’s current and future revenues may be negatively impacted.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does not intend to pay dividends for the foreseeable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regional or global health pandemic, including the global COVID-19 pandemic, may adversely impact Rezolve’s business, results of operations and financial performance.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Although Rezolve’s results have not been materially affected by COVID-19 to date, Rezolve is unable to accurately predict the impact that other global health crises will have on Rezolve’s or its business partners’ or customers’ operations.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hAnsi="Times New Roman"/>
          <w:i/>
          <w:color w:val="000000"/>
          <w:sz w:val="20"/>
        </w:rPr>
        <w:t>Risk Factors</w:t>
      </w:r>
      <w:r>
        <w:rPr>
          <w:rFonts w:ascii="Times New Roman" w:hAnsi="Times New Roman"/>
          <w:color w:val="000000"/>
          <w:sz w:val="20"/>
        </w:rPr>
        <w:t>” section.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is unable to hire, retain and motivate qualified personnel, its business will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dependent on the continued services and performance of its senior management and other key employees, the loss of any of whom could adversely affect Rezolve’s business, operating results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expects to be dependent upon consumers’ and merchants’ willingness to use the internet and internet-enabled mobile devices for commerce.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Rezolve’s Software, Platform, and 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Rezolve’s software or platform contains serious errors or defects, Rezolve may lose revenues and market acceptance and may incur costs to defend or settle claims with its merchants.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denial of service attack or security breach or incident could delay or interrupt service to Rezolve’s merchants and their customers, harm Rezolve’s reputation and subject Rezolve to significant liability.</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Rezolve’s platform and systems may be subject to distributed denial-of-service (“</w:t>
      </w:r>
      <w:r>
        <w:rPr>
          <w:rFonts w:ascii="Times New Roman" w:hAnsi="Times New Roman"/>
          <w:b/>
          <w:i/>
          <w:color w:val="000000"/>
          <w:sz w:val="20"/>
        </w:rPr>
        <w:t>DDoS</w:t>
      </w:r>
      <w:r>
        <w:rPr>
          <w:rFonts w:ascii="Times New Roman" w:hAnsi="Times New Roman"/>
          <w:color w:val="000000"/>
          <w:sz w:val="20"/>
        </w:rPr>
        <w:t xml:space="preserve">”)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uses a limited number of data centers to deliver its services. Any disruption of service at these facilities could harm Rezolve’s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relies on computer hardware, purchased or leased, and software licensed from and services rendered by third parties in order to provide its solutions and run its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does not or cannot maintain the compatibility of its platform with third-party applications that its customers use in their businesses, Rezolve’s revenues will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store and process personal data of its merchants and their customers. If the security of this information is compromised or otherwise subjected to unauthorized access, Rezolve’s reputation may be harmed and Rezolve may be exposed to liability.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hAnsi="Times New Roman"/>
          <w:b/>
          <w:i/>
          <w:color w:val="000000"/>
          <w:sz w:val="20"/>
        </w:rPr>
        <w:t>European Data Protection Laws</w:t>
      </w:r>
      <w:r>
        <w:rPr>
          <w:rFonts w:ascii="Times New Roman" w:hAnsi="Times New Roman"/>
          <w:color w:val="000000"/>
          <w:sz w:val="20"/>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are accessible worldwide, certain foreign jurisdictions may claim that Rezolve is required to comply with their laws, regulations, and obligations, including in jurisdictions where Rezolve has no local entity, employees or infrastructure.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Rezolve’s Brand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Rezolve’s brand is important to its success. If Rezolve fails to effectively maintain, promote and enhance Rezolve’s brand, Rezolve’s business and competitive advantage may be harmed.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Activities of merchants or the content of their shops could damage Rezolve’s brand, subject Rezolve to liability and harm its business and financial results.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fails to maintain a consistently high level of customer service, Rezolve’s brand, business and financial results may be harmed.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Relating to Rezolve’s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be subject to claims by third parties of intellectual property infringement.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use of “open source” software could negatively affect its ability to sell its solutions and subject Rezolve to possible litigation.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Relating to Legal and Regulatory Compliance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Claims for indemnification by Rezolve’s directors and officers may reduce Rezolve’s available funds to satisfy successful third-party claims against Rezolve and may reduce the amount of money available to Rezolve.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Enhanced trade tariffs, import restrictions, export restrictions, United States regulations or other trade barriers may materially harm Rezolve’s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From time to time, Rezolve may be involved in legal proceedings and commercial or contractual disputes, which could have an adverse impact on Rezolve’s profitability and consolidated financial position.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provisions of the Articles and English law could deter takeover attempts.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Ordinary Shares and Rezolve Operating as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Ordinary Shares could be volatile, and the value of Ordinary Shares may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 from time to time;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in the market prices and trading volumes of technology company stocks;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other technology companies generally, or those in Rezolve’s industry in particular;</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shares of Ordinary Shares by shareholders;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Rezolve, changes in financial estimates by securities analysts who follow Rezolve, or Rezolve’s failure to meet these estimates or the expectations of investors;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Rezolve may provide to the public, any changes in those projections, or Rezolve’s failure to meet those projections;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Rezolve or its competitors of new offerings or contracts;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public’s reaction to Rezolve’s press releases, other public announcements, and filings with the SEC;</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how customers perceive the benefits of Rezolve’s offerings and services, and future offerings;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payment systems;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rumors and market speculation involving Rezolve or other companies in the same or similar industry;</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Rezolve’s results of operations or fluctuations in Rezolve’s results of operations;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developments in Rezolve’s business, Rezolve’s competitors’ businesses, or the competitive landscape generally;</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Rezolve, Rezolve’s industry or both, or investigations by regulators into Rezolve’s operations or those of Rezolve’s competitors;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Rezolve’s intellectual property or other proprietary rights;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security breach or incident involving our offerings, services or site or data stored or processed by us or on our behalf;</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or completed acquisitions of businesses, commercial relationships, offerings, services, or technologies by Rezolve or its competitors;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Rezolve’s business;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standards, policies, guidelines, interpretations, or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adverse consequences related to the Rezolve Founder weighted voting capital structure, such as stock index providers excluding companies with weighted voting capital structures from certain indices;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significant change in Rezolve’s management;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conditions and slow or negative growth of Rezolve’s markets and war or other hostilities.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can be no assurance that the Public Warrants will ever be in the money at the time they become exercisable or otherwise, and they may expire worthless.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exercise price for the Public Warrants is $11.50 per Ordinary Share. There is no guarantee that such Public Warrants will ever be in the money prior to their expiration, and as such, the warrants may expire worthless.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market for our securities may not be sustained, which would adversely affect the liquidity and price of Ordinary Shares.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can be no assurance that Rezolve will be able to comply with the continued listing standards of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Nasdaq delists Rezolve’s securities from trading on its exchange for failure to continue to comply with its listing standards, Rezolve and its stockholders could face significant material adverse consequences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availability of market quotations for Rezolve’s securities;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limited amount of analyst coverage;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publish reports that are interpreted negatively by the investment community or publish negative research reports about our business, our share price and trading volume could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our election to comply with the reduced disclosure requirements as a public company may make our Ordinary Shares less attractive to investors.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a “foreign private issuer” and, as a result, we are permitted to rely on exemptions from certain stock exchange corporate governance standards applicable to U.S. issuers. This may afford less protection to holders of Ordinary Shares.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under the Exchange Act requiring the filing with the SEC of quarterly reports on Form 10-Q or current reports on Form 8-K;</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sections of the Exchange Act regulating the solicitation of proxies, consents, or authorizations in respect of a security registered under the Exchange Act;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sections of the Exchange Act requiring insiders to file public reports of their stock ownership and trading activities and liability for insiders who profit from trades made in a short period of time;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Nasdaq Rule 5635 requiring that a listed company obtain shareholder approval prior to an issuance of securities, including for acquisitions, equity-based compensation, changes of control, and private placements.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In addition, as a foreign private issuer we will be exempt from the provisions of Regulation Fair Disclosure (“</w:t>
      </w:r>
      <w:r>
        <w:rPr>
          <w:rFonts w:ascii="Times New Roman" w:hAnsi="Times New Roman"/>
          <w:b/>
          <w:i/>
          <w:color w:val="000000"/>
          <w:sz w:val="20"/>
        </w:rPr>
        <w:t>Regulation FD</w:t>
      </w:r>
      <w:r>
        <w:rPr>
          <w:rFonts w:ascii="Times New Roman" w:hAnsi="Times New Roman"/>
          <w:color w:val="000000"/>
          <w:sz w:val="20"/>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lose our foreign private issuer status in the future, which could result in significant additional cost and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issuance of additional Ordinary Shares in connection with financings, acquisitions, investments, our stock incentive plans, or otherwise will dilute all other shareholders.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holders that directly or indirectly own 10% or more of our equity interests may be subject to adverse U.S. federal income tax consequences under rules applicable to U.S. shareholders of controlled foreign corporations.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A non-U.S. corporation generally will be classified as a controlled foreign corporation for U.S. federal income tax purposes (a “</w:t>
      </w:r>
      <w:r>
        <w:rPr>
          <w:rFonts w:ascii="Times New Roman" w:hAnsi="Times New Roman"/>
          <w:b/>
          <w:i/>
          <w:color w:val="000000"/>
          <w:sz w:val="20"/>
        </w:rPr>
        <w:t>CFC</w:t>
      </w:r>
      <w:r>
        <w:rPr>
          <w:rFonts w:ascii="Times New Roman" w:hAnsi="Times New Roman"/>
          <w:color w:val="000000"/>
          <w:sz w:val="20"/>
        </w:rPr>
        <w:t xml:space="preserve">”),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 shareholders may suffer adverse tax consequences if we are classified as a “passive foreign investment company.”</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A non-U.S. corporation generally will be treated as a “passive foreign investment company” (“</w:t>
      </w:r>
      <w:r>
        <w:rPr>
          <w:rFonts w:ascii="Times New Roman" w:hAnsi="Times New Roman"/>
          <w:b/>
          <w:i/>
          <w:color w:val="000000"/>
          <w:sz w:val="20"/>
        </w:rPr>
        <w:t>PFIC</w:t>
      </w:r>
      <w:r>
        <w:rPr>
          <w:rFonts w:ascii="Times New Roman" w:hAnsi="Times New Roman"/>
          <w:color w:val="000000"/>
          <w:sz w:val="20"/>
        </w:rPr>
        <w:t xml:space="preserve">”),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Prospective U.S. Holders should consult their tax advisors regarding the potential application of the PFIC rules to them.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Internal Revenue Service may not agree that Rezolve should be treated as a non-U.S. corporation for U.S. federal income tax purposes.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Although Rezolve is incorporated in England and Wales, the Internal Revenue Service (“</w:t>
      </w:r>
      <w:r>
        <w:rPr>
          <w:rFonts w:ascii="Times New Roman" w:hAnsi="Times New Roman"/>
          <w:b/>
          <w:i/>
          <w:color w:val="000000"/>
          <w:sz w:val="20"/>
        </w:rPr>
        <w:t>IRS</w:t>
      </w:r>
      <w:r>
        <w:rPr>
          <w:rFonts w:ascii="Times New Roman" w:hAnsi="Times New Roman"/>
          <w:color w:val="000000"/>
          <w:sz w:val="20"/>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Rezolve were treated as a U.S. corporation for U.S. federal income tax purposes under Section 7874 of the Code, Rezolve and certain Rezolve shareholders would be subject to significant adverse tax consequences, including a higher effective corporate income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rate on Rezolve and future withholding taxes on certain Rezolve shareholders, depending on the application of any income tax treaty that might apply to reduce such withholding taxes.</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sz w:val="20"/>
        </w:rPr>
      </w:pPr>
      <w:bookmarkStart w:id="7" w:name="item_4"/>
      <w:bookmarkEnd w:id="7"/>
      <w:r>
        <w:rPr>
          <w:rFonts w:ascii="Times New Roman" w:hAnsi="Times New Roman"/>
          <w:b/>
          <w:color w:val="000000"/>
          <w:sz w:val="20"/>
        </w:rPr>
        <w:t>Item 4. Information on the Company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The purpose of this standard is to provide information about the company’s business operations, the products it makes or the services it provides, and the factors that affect the business. The standard also is intended to provide information regarding the adequacy and suitability of the company’s properties, plants and equipment, as well as its plans for future increases or decreases in such capacity.</w:t>
      </w:r>
      <w:r>
        <w:rPr>
          <w:rFonts w:ascii="Times New Roman" w:hAnsi="Times New Roman"/>
          <w:color w:val="000000"/>
          <w:sz w:val="20"/>
        </w:rPr>
        <w:t xml:space="preserve"> </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History and development of the company.</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mailing address of Rezolve AI plc’s registered office is 21 Sackville Street, London, W1S 3DN, United Kingdom, +44 204 625 9700 and its principal executive office is 21 Sackville Street, London, W1S 3DN, United Kingdom.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SEC maintains an internet site that contains reports, proxy and information statements, and other information regarding issuers that file electronically with the SEC at www.sec.gov. As a foreign private issuer, Rezolve is exempt from the rules under the Exchange Act prescribing the furnishing and content of proxy statements to shareholders. Our corporate website is https://www.rezolve.com.</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The Business Combination</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On August 15, 2024 (the “</w:t>
      </w:r>
      <w:r>
        <w:rPr>
          <w:rFonts w:ascii="Times New Roman" w:hAnsi="Times New Roman"/>
          <w:b/>
          <w:i/>
          <w:color w:val="000000"/>
          <w:sz w:val="20"/>
        </w:rPr>
        <w:t>Closing Date</w:t>
      </w:r>
      <w:r>
        <w:rPr>
          <w:rFonts w:ascii="Times New Roman" w:hAnsi="Times New Roman"/>
          <w:color w:val="000000"/>
          <w:sz w:val="20"/>
        </w:rPr>
        <w:t>”) Armada Acquisition Corp. I, a Delaware corporation (“</w:t>
      </w:r>
      <w:r>
        <w:rPr>
          <w:rFonts w:ascii="Times New Roman" w:hAnsi="Times New Roman"/>
          <w:b/>
          <w:i/>
          <w:color w:val="000000"/>
          <w:sz w:val="20"/>
        </w:rPr>
        <w:t>Armada</w:t>
      </w:r>
      <w:r>
        <w:rPr>
          <w:rFonts w:ascii="Times New Roman" w:hAnsi="Times New Roman"/>
          <w:color w:val="000000"/>
          <w:sz w:val="20"/>
        </w:rPr>
        <w:t>”), Rezolve AI Limited, a private limited company registered under the laws of England and Wales with registration number 14573691 and Rezolve Merger Sub, Inc., a Delaware corporation (“</w:t>
      </w:r>
      <w:r>
        <w:rPr>
          <w:rFonts w:ascii="Times New Roman" w:hAnsi="Times New Roman"/>
          <w:b/>
          <w:i/>
          <w:color w:val="000000"/>
          <w:sz w:val="20"/>
        </w:rPr>
        <w:t>Rezolve Merger Sub</w:t>
      </w:r>
      <w:r>
        <w:rPr>
          <w:rFonts w:ascii="Times New Roman" w:hAnsi="Times New Roman"/>
          <w:color w:val="000000"/>
          <w:sz w:val="20"/>
        </w:rPr>
        <w:t>”), consummated the business combination pursuant to the terms of the Business Combination Agreement, dated as of December 17, 2021 (as amended or supplemented from time to time, the “</w:t>
      </w:r>
      <w:r>
        <w:rPr>
          <w:rFonts w:ascii="Times New Roman" w:hAnsi="Times New Roman"/>
          <w:b/>
          <w:i/>
          <w:color w:val="000000"/>
          <w:sz w:val="20"/>
        </w:rPr>
        <w:t>Business Combination Agreement</w:t>
      </w:r>
      <w:r>
        <w:rPr>
          <w:rFonts w:ascii="Times New Roman" w:hAnsi="Times New Roman"/>
          <w:color w:val="000000"/>
          <w:sz w:val="20"/>
        </w:rPr>
        <w:t>”), pursuant to which, among other things, (i) on July 4, 2024, Rezolve Limited, a private limited company organized under the laws of England and Wales ("</w:t>
      </w:r>
      <w:r>
        <w:rPr>
          <w:rFonts w:ascii="Times New Roman" w:hAnsi="Times New Roman"/>
          <w:b/>
          <w:i/>
          <w:color w:val="000000"/>
          <w:sz w:val="20"/>
        </w:rPr>
        <w:t>Rezolve Limited</w:t>
      </w:r>
      <w:r>
        <w:rPr>
          <w:rFonts w:ascii="Times New Roman" w:hAnsi="Times New Roman"/>
          <w:color w:val="000000"/>
          <w:sz w:val="20"/>
        </w:rPr>
        <w:t>") effected a pre-Closing demerger (the “</w:t>
      </w:r>
      <w:r>
        <w:rPr>
          <w:rFonts w:ascii="Times New Roman" w:hAnsi="Times New Roman"/>
          <w:b/>
          <w:i/>
          <w:color w:val="000000"/>
          <w:sz w:val="20"/>
        </w:rPr>
        <w:t>Pre-Closing Demerger</w:t>
      </w:r>
      <w:r>
        <w:rPr>
          <w:rFonts w:ascii="Times New Roman" w:hAnsi="Times New Roman"/>
          <w:color w:val="000000"/>
          <w:sz w:val="20"/>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pStyle w:val="TextBody"/>
        <w:bidi w:val="0"/>
        <w:jc w:val="left"/>
        <w:rPr/>
      </w:pPr>
      <w:r>
        <w:rPr/>
        <w:t> </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Fonts w:ascii="Times New Roman" w:hAnsi="Times New Roman"/>
          <w:b/>
          <w:color w:val="000000"/>
          <w:sz w:val="20"/>
        </w:rPr>
        <w:t>Business overview</w:t>
      </w:r>
      <w:r>
        <w:rPr>
          <w:rFonts w:ascii="Times New Roman" w:hAnsi="Times New Roman"/>
          <w:color w:val="000000"/>
          <w:sz w:val="2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Rezolve Ai: Redefining Conversational Commerce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Ai is leading the Conversational Commerce revolution, delivering tailored Generative AI solutions for the retail and eCommerce sectors. Our mission is to drive sales, enhance customer satisfaction, and build loyalty through cutting-edge AI technologies.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Comprehensive AI Solutions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AI’s suite of solutions includes: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AI-Powered Customer Support: Delivering intelligent, responsive, and personalized support to improve customer satisfaction and loyalty.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Frictionless Checkout Solutions: Simplifying the checkout process to reduce friction and enhance the overall shopping experience.</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Bridging the Gap Between Physical and Online Retail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Strategic Partnerships and Global Reach</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The Future of AI-First Commerce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Ai is the future of commerce—where innovation meets customer delight.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pPr>
      <w:r>
        <w:rPr/>
        <w:drawing>
          <wp:inline distT="0" distB="0" distL="0" distR="0">
            <wp:extent cx="6257925" cy="3543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57925" cy="3543300"/>
                    </a:xfrm>
                    <a:prstGeom prst="rect">
                      <a:avLst/>
                    </a:prstGeom>
                  </pic:spPr>
                </pic:pic>
              </a:graphicData>
            </a:graphic>
          </wp:inline>
        </w:drawing>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total revenues were $0.19 million and $0.15 million, for the years ended December 31, 2024 and 2023, respectively. We currently generate our revenue from Transaction fees based on sales of ticketing for La Liga football events in Spain.</w:t>
      </w:r>
    </w:p>
    <w:p>
      <w:pPr>
        <w:pStyle w:val="TextBody"/>
        <w:pBdr>
          <w:bottom w:val="single" w:sz="6" w:space="1" w:color="000000"/>
        </w:pBdr>
        <w:bidi w:val="0"/>
        <w:spacing w:before="0" w:after="40"/>
        <w:ind w:left="0" w:right="8640" w:hanging="0"/>
        <w:jc w:val="left"/>
        <w:rPr/>
      </w:pPr>
      <w:r>
        <w:rPr/>
        <w:t> </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The Bluedot Acquisition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February 4, 2025, Rezolve entered into a Purchase Agreement (the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(together, “Bluedot”), an Australian proprietary limited company registered in Victoria on 7 December 2013 with Australian Company Number 165 206 566 (the “Blue Dot Acquisition”).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February 20, 2025, Rezolve closed the Bluedot Acquisition. As consideration for the Bluedot Acquisition, Rezolve issued 819,737 ordinary shares of the Company in a private placement to DBLP.</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The GroupBy Acquisition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11, 2025, Rezolve entered into a Purchase Agreement (the “GroupBy Purchase Agreement”), by and among the Company, GroupBy Inc., an Ontario, Canada corporation (“GroupBy”), GroupBy International Ltd., an Ontario, Canada corporation (“GroupBy International” and together with GroupBy, the “Target Companies” and each a “Target Company”)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“Acquisition”).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Microsoft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Google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Tether</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Industry Overview and Trends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Consumers Are Increasingly Engaging Through Digital Channels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reviews. A disappointing consumer experience may result in the permanent loss of customers and irreparable damage to the merchant’s reputation on social media.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Merchants have Lost Connectivity to the End Consumer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Consumers Expect a Seamless Interaction Between Offline and Online Channels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Merchants Are Struggling to Differentiate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Complicated Experiences Result in Lost Opportunities with Consumers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Solution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platform provides the following key benefits to merchants: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eCommerce-Specific AI Platform and Suite—</w:t>
      </w:r>
      <w:r>
        <w:rPr>
          <w:rFonts w:ascii="Times New Roman" w:hAnsi="Times New Roman"/>
          <w:color w:val="000000"/>
          <w:sz w:val="20"/>
        </w:rPr>
        <w:t>Brain Commerce allows customers, either online or instore, to ask, via voice or text and in any 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Instant Checkout. </w:t>
      </w:r>
      <w:r>
        <w:rPr>
          <w:rFonts w:ascii="Times New Roman" w:hAnsi="Times New Roman"/>
          <w:color w:val="000000"/>
          <w:sz w:val="20"/>
        </w:rPr>
        <w:t>Rezolve’s Brain Checkout allows websites to convert passive browsers into actors or buyers with one click directly from 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 xml:space="preserve">Brain Assistant. </w:t>
      </w:r>
      <w:r>
        <w:rPr>
          <w:rFonts w:ascii="Times New Roman" w:hAnsi="Times New Roman"/>
          <w:color w:val="000000"/>
          <w:sz w:val="20"/>
        </w:rPr>
        <w:t xml:space="preserve">Rezolve's Brain Assistant's advanced training allows customers to accelerate onboarding and answer customer service questions directly. Customers can create knowledge bases via Brain Assistant which can be interrogated by staff members who can quickly become subject matter experts. </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 xml:space="preserve">Brainpowa LLM. </w:t>
      </w:r>
      <w:r>
        <w:rPr>
          <w:rFonts w:ascii="Times New Roman" w:hAnsi="Times New Roman"/>
          <w:color w:val="000000"/>
          <w:sz w:val="20"/>
        </w:rPr>
        <w:t xml:space="preserve">Rezolve's brainpowa LLM has been engineered for commerce. The propriety LLM harnesses over 300 billion tokens and 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 </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 xml:space="preserve">Omnichannel Interactions. </w:t>
      </w:r>
      <w:r>
        <w:rPr>
          <w:rFonts w:ascii="Times New Roman" w:hAnsi="Times New Roman"/>
          <w:color w:val="000000"/>
          <w:sz w:val="20"/>
        </w:rPr>
        <w:t>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pPr>
      <w:r>
        <w:rPr>
          <w:rFonts w:ascii="Times New Roman" w:hAnsi="Times New Roman"/>
          <w:i/>
          <w:color w:val="000000"/>
          <w:sz w:val="20"/>
        </w:rPr>
        <w:t>Direct Brand Engagement</w:t>
      </w:r>
      <w:r>
        <w:rPr>
          <w:rFonts w:ascii="Times New Roman" w:hAnsi="Times New Roman"/>
          <w:color w:val="000000"/>
          <w:sz w:val="20"/>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pPr>
      <w:r>
        <w:rPr>
          <w:rFonts w:ascii="Times New Roman" w:hAnsi="Times New Roman"/>
          <w:i/>
          <w:color w:val="000000"/>
          <w:sz w:val="20"/>
        </w:rPr>
        <w:t xml:space="preserve">Seamless Integration with Existing Applications. </w:t>
      </w:r>
      <w:r>
        <w:rPr>
          <w:rFonts w:ascii="Times New Roman" w:hAnsi="Times New Roman"/>
          <w:color w:val="000000"/>
          <w:sz w:val="20"/>
        </w:rPr>
        <w:t xml:space="preserve">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hAnsi="Times New Roman"/>
          <w:i/>
          <w:color w:val="000000"/>
          <w:sz w:val="20"/>
        </w:rPr>
        <w:t xml:space="preserve">Shop Beautiful </w:t>
      </w:r>
      <w:r>
        <w:rPr>
          <w:rFonts w:ascii="Times New Roman" w:hAnsi="Times New Roman"/>
          <w:color w:val="000000"/>
          <w:sz w:val="20"/>
        </w:rPr>
        <w:t>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pPr>
      <w:r>
        <w:rPr>
          <w:rFonts w:ascii="Times New Roman" w:hAnsi="Times New Roman"/>
          <w:i/>
          <w:color w:val="000000"/>
          <w:sz w:val="20"/>
        </w:rPr>
        <w:t>Actionable Analytics and Insights</w:t>
      </w:r>
      <w:r>
        <w:rPr>
          <w:rFonts w:ascii="Times New Roman" w:hAnsi="Times New Roman"/>
          <w:color w:val="000000"/>
          <w:sz w:val="20"/>
        </w:rPr>
        <w:t>. With our platform, we expect merchants will be able to receive direct insights into consumer behavior 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pPr>
      <w:r>
        <w:rPr>
          <w:rFonts w:ascii="Times New Roman" w:hAnsi="Times New Roman"/>
          <w:i/>
          <w:color w:val="000000"/>
          <w:sz w:val="20"/>
        </w:rPr>
        <w:t>A Frictionless Consumer Experience</w:t>
      </w:r>
      <w:r>
        <w:rPr>
          <w:rFonts w:ascii="Times New Roman" w:hAnsi="Times New Roman"/>
          <w:color w:val="000000"/>
          <w:sz w:val="20"/>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pStyle w:val="TextBody"/>
        <w:bidi w:val="0"/>
        <w:jc w:val="both"/>
        <w:rPr/>
      </w:pPr>
      <w:r>
        <w:rPr/>
        <w:t> </w:t>
      </w:r>
    </w:p>
    <w:p>
      <w:pPr>
        <w:pStyle w:val="TextBody"/>
        <w:bidi w:val="0"/>
        <w:ind w:left="720" w:right="0" w:hanging="0"/>
        <w:jc w:val="center"/>
        <w:rPr/>
      </w:pPr>
      <w:r>
        <w:rPr/>
        <w:t> </w:t>
      </w:r>
    </w:p>
    <w:p>
      <w:pPr>
        <w:pStyle w:val="TextBody"/>
        <w:bidi w:val="0"/>
        <w:ind w:left="720" w:right="0" w:hanging="0"/>
        <w:jc w:val="center"/>
        <w:rPr/>
      </w:pPr>
      <w:r>
        <w:rPr/>
        <w:t> </w:t>
      </w:r>
    </w:p>
    <w:p>
      <w:pPr>
        <w:pStyle w:val="TextBody"/>
        <w:bidi w:val="0"/>
        <w:ind w:left="720" w:right="0" w:hanging="0"/>
        <w:jc w:val="center"/>
        <w:rPr/>
      </w:pPr>
      <w:r>
        <w:rPr/>
        <w:drawing>
          <wp:inline distT="0" distB="0" distL="0" distR="0">
            <wp:extent cx="2981325" cy="418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81325" cy="4181475"/>
                    </a:xfrm>
                    <a:prstGeom prst="rect">
                      <a:avLst/>
                    </a:prstGeom>
                  </pic:spPr>
                </pic:pic>
              </a:graphicData>
            </a:graphic>
          </wp:inline>
        </w:drawing>
      </w:r>
      <w:r>
        <w:rPr/>
        <w:drawing>
          <wp:inline distT="0" distB="0" distL="0" distR="0">
            <wp:extent cx="2962275" cy="419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62275" cy="4191000"/>
                    </a:xfrm>
                    <a:prstGeom prst="rect">
                      <a:avLst/>
                    </a:prstGeom>
                  </pic:spPr>
                </pic:pic>
              </a:graphicData>
            </a:graphic>
          </wp:inline>
        </w:drawing>
      </w:r>
    </w:p>
    <w:p>
      <w:pPr>
        <w:pStyle w:val="TextBody"/>
        <w:bidi w:val="0"/>
        <w:ind w:left="720" w:right="0" w:hanging="0"/>
        <w:jc w:val="center"/>
        <w:rPr/>
      </w:pPr>
      <w:r>
        <w:rPr/>
        <w:t> </w:t>
      </w:r>
    </w:p>
    <w:p>
      <w:pPr>
        <w:pStyle w:val="TextBody"/>
        <w:bidi w:val="0"/>
        <w:ind w:left="720" w:right="0" w:hanging="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ind w:left="720" w:right="0" w:hanging="0"/>
        <w:jc w:val="center"/>
        <w:rPr/>
      </w:pPr>
      <w:r>
        <w:rPr/>
        <w:drawing>
          <wp:inline distT="0" distB="0" distL="0" distR="0">
            <wp:extent cx="2962275" cy="416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62275" cy="4162425"/>
                    </a:xfrm>
                    <a:prstGeom prst="rect">
                      <a:avLst/>
                    </a:prstGeom>
                  </pic:spPr>
                </pic:pic>
              </a:graphicData>
            </a:graphic>
          </wp:inline>
        </w:drawing>
      </w:r>
      <w:r>
        <w:rPr/>
        <w:drawing>
          <wp:inline distT="0" distB="0" distL="0" distR="0">
            <wp:extent cx="2962275" cy="418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62275" cy="4181475"/>
                    </a:xfrm>
                    <a:prstGeom prst="rect">
                      <a:avLst/>
                    </a:prstGeom>
                  </pic:spPr>
                </pic:pic>
              </a:graphicData>
            </a:graphic>
          </wp:inline>
        </w:drawing>
      </w:r>
    </w:p>
    <w:p>
      <w:pPr>
        <w:pStyle w:val="TextBody"/>
        <w:bidi w:val="0"/>
        <w:ind w:left="720" w:right="0" w:hanging="0"/>
        <w:jc w:val="center"/>
        <w:rPr/>
      </w:pPr>
      <w:r>
        <w:rPr/>
        <w:drawing>
          <wp:inline distT="0" distB="0" distL="0" distR="0">
            <wp:extent cx="3162300" cy="4476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162300" cy="4476750"/>
                    </a:xfrm>
                    <a:prstGeom prst="rect">
                      <a:avLst/>
                    </a:prstGeom>
                  </pic:spPr>
                </pic:pic>
              </a:graphicData>
            </a:graphic>
          </wp:inline>
        </w:drawing>
      </w:r>
      <w:r>
        <w:rPr/>
        <w:drawing>
          <wp:inline distT="0" distB="0" distL="0" distR="0">
            <wp:extent cx="3190875" cy="4476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90875" cy="4476750"/>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ind w:left="720" w:right="0" w:hanging="0"/>
        <w:jc w:val="center"/>
        <w:rPr/>
      </w:pPr>
      <w:r>
        <w:rPr/>
        <w:t> </w:t>
      </w:r>
    </w:p>
    <w:p>
      <w:pPr>
        <w:pStyle w:val="TextBody"/>
        <w:bidi w:val="0"/>
        <w:ind w:left="720" w:right="0" w:hanging="0"/>
        <w:jc w:val="center"/>
        <w:rPr/>
      </w:pPr>
      <w:r>
        <w:rPr/>
        <w:t> </w:t>
      </w:r>
    </w:p>
    <w:p>
      <w:pPr>
        <w:pStyle w:val="TextBody"/>
        <w:bidi w:val="0"/>
        <w:ind w:left="720" w:right="0" w:hanging="0"/>
        <w:jc w:val="center"/>
        <w:rPr/>
      </w:pPr>
      <w:r>
        <w:rPr/>
        <w:t>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have agreements with distribution and consumer-facing networks, which we refer to as our Channels, to sign up merchants to the Rezolve platform. Our Channels also receive significant benefits from deploying our solutions to their merchant base.</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Opportunity</w:t>
      </w:r>
    </w:p>
    <w:p>
      <w:pPr>
        <w:pStyle w:val="TextBody"/>
        <w:bidi w:val="0"/>
        <w:spacing w:before="120" w:after="283"/>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believe we have a significant opportunity to transform how retail customers discover, engage and shop online. Our mobile commerce provides a natural interactive experience for your customers where they may enjoy a conversational approach to shopping.</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Following the completion of the Pre-Closing Demerger, we ceased operations in China and are currently focused on growing our footprint in other geographic markets, but at a future date, we will consider re-engaging with the Chinese market.</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If in the future, a new Rezolve entity can be accredited to operate directly with CUP and AP, the board will consider re-entering the China market. However, the current focus is on rolling out our technologies with partners in other markets around the world.</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Key web search statistics:</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98% of consumers use the Internet to find a local business in 2022. (BrightLocal survey)</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76% of consumers “always” or “regularly” read online reviews for local businesses. (BrightLocal survey)</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 of consumers search for local businesses at least every week. (BrightLocal survey)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Growth Strategy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Key elements of our strategy include:</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 xml:space="preserve">Scaling Existing Channels. </w:t>
      </w:r>
      <w:r>
        <w:rPr>
          <w:rFonts w:ascii="Times New Roman" w:hAnsi="Times New Roman"/>
          <w:color w:val="000000"/>
          <w:sz w:val="20"/>
        </w:rPr>
        <w:t>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Win New Channels</w:t>
      </w:r>
      <w:r>
        <w:rPr>
          <w:rFonts w:ascii="Times New Roman" w:hAnsi="Times New Roman"/>
          <w:color w:val="000000"/>
          <w:sz w:val="20"/>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New Offering Features</w:t>
      </w:r>
      <w:r>
        <w:rPr>
          <w:rFonts w:ascii="Times New Roman" w:hAnsi="Times New Roman"/>
          <w:color w:val="000000"/>
          <w:sz w:val="20"/>
        </w:rPr>
        <w:t>. We plan to add to and expand our platform with further functionality including live event notifications, dynamic coupons, more personalization and personal experiences as well as provided artificial intelligence layers to enable more convenient and segmented merchandising.</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Upsell/Cross Sell</w:t>
      </w:r>
      <w:r>
        <w:rPr>
          <w:rFonts w:ascii="Times New Roman" w:hAnsi="Times New Roman"/>
          <w:color w:val="000000"/>
          <w:sz w:val="20"/>
        </w:rPr>
        <w:t>.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Enter New Geographies</w:t>
      </w:r>
      <w:r>
        <w:rPr>
          <w:rFonts w:ascii="Times New Roman" w:hAnsi="Times New Roman"/>
          <w:color w:val="000000"/>
          <w:sz w:val="20"/>
        </w:rPr>
        <w:t>. We intend to capitalize on our global growth momentum in India, the U.S., Latin America, East Asia, broader Europe, Australia, Canada and Brazil.</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pPr>
      <w:r>
        <w:rPr>
          <w:rFonts w:ascii="Times New Roman" w:hAnsi="Times New Roman"/>
          <w:i/>
          <w:color w:val="000000"/>
          <w:sz w:val="20"/>
        </w:rPr>
        <w:t>Strategic Acquisitions</w:t>
      </w:r>
      <w:r>
        <w:rPr>
          <w:rFonts w:ascii="Times New Roman" w:hAnsi="Times New Roman"/>
          <w:color w:val="000000"/>
          <w:sz w:val="20"/>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Rezolve Platform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cloud-based Rezolve AI platform integrates the features and functionalities that merchants need to seamlessly transact across different Channels. Capabilities include: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i/>
          <w:color w:val="000000"/>
          <w:sz w:val="20"/>
        </w:rPr>
        <w:t xml:space="preserve">Ecommerce Chat and Search. </w:t>
      </w:r>
      <w:r>
        <w:rPr>
          <w:rFonts w:ascii="Times New Roman" w:hAnsi="Times New Roman"/>
          <w:color w:val="000000"/>
          <w:sz w:val="20"/>
        </w:rPr>
        <w:t xml:space="preserve">Rezolve’s </w:t>
      </w:r>
      <w:r>
        <w:rPr>
          <w:rFonts w:ascii="Times New Roman" w:hAnsi="Times New Roman"/>
          <w:i/>
          <w:color w:val="000000"/>
          <w:sz w:val="20"/>
        </w:rPr>
        <w:t>Brain Commerce</w:t>
      </w:r>
      <w:r>
        <w:rPr>
          <w:color w:val="000000"/>
        </w:rPr>
        <w:t xml:space="preserve"> </w:t>
      </w:r>
      <w:r>
        <w:rPr>
          <w:rFonts w:ascii="Times New Roman" w:hAnsi="Times New Roman"/>
          <w:color w:val="000000"/>
          <w:sz w:val="20"/>
        </w:rPr>
        <w:t>allows customers, either online or instore, to interact naturally in a conversational 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i/>
          <w:color w:val="000000"/>
          <w:sz w:val="20"/>
        </w:rPr>
        <w:t xml:space="preserve">Customer Loyalty Programs. </w:t>
      </w:r>
      <w:r>
        <w:rPr>
          <w:rFonts w:ascii="Times New Roman" w:hAnsi="Times New Roman"/>
          <w:color w:val="000000"/>
          <w:sz w:val="20"/>
        </w:rPr>
        <w:t>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Direct Customer Insights</w:t>
      </w:r>
      <w:r>
        <w:rPr>
          <w:rFonts w:ascii="Times New Roman" w:hAnsi="Times New Roman"/>
          <w:color w:val="000000"/>
          <w:sz w:val="20"/>
        </w:rPr>
        <w:t xml:space="preserve">. We expect our platform to provide merchants with direct access to their customers and their key information about shopping preferences, which they can use to drive further consumer engagement. For brands that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typically sell their products through third-party intermediaries, these insights are useful for building brand affinity and loyalty.</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Mobile Vouchering</w:t>
      </w:r>
      <w:r>
        <w:rPr>
          <w:rFonts w:ascii="Times New Roman" w:hAnsi="Times New Roman"/>
          <w:color w:val="000000"/>
          <w:sz w:val="20"/>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 xml:space="preserve">Retailer Point-of-Sale / Back office. </w:t>
      </w:r>
      <w:r>
        <w:rPr>
          <w:rFonts w:ascii="Times New Roman" w:hAnsi="Times New Roman"/>
          <w:color w:val="000000"/>
          <w:sz w:val="20"/>
        </w:rPr>
        <w:t>We expect to provide merchants with a self-service portal, featuring an accessible dashboard to manage shoppable campaigns and to track consumers’ shopping trends.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 xml:space="preserve">Mobile Payments. </w:t>
      </w:r>
      <w:r>
        <w:rPr>
          <w:rFonts w:ascii="Times New Roman" w:hAnsi="Times New Roman"/>
          <w:color w:val="000000"/>
          <w:sz w:val="20"/>
        </w:rPr>
        <w:t>We expect to enhance merchants’ platforms by making the checkout process frictionless. Consumers only need a mobile device to use the Rezolve platform to instantly buy products that are featured in advertisements or scan and buy products in retail stores.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 xml:space="preserve">Ability to Pay Online or Offline. </w:t>
      </w:r>
      <w:r>
        <w:rPr>
          <w:rFonts w:ascii="Times New Roman" w:hAnsi="Times New Roman"/>
          <w:color w:val="000000"/>
          <w:sz w:val="20"/>
        </w:rPr>
        <w:t>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Engagement Opportunities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We expect our platform to integrate with and address the following engagement opportunities: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Chat and Search</w:t>
      </w:r>
      <w:r>
        <w:rPr>
          <w:rFonts w:ascii="Times New Roman" w:hAnsi="Times New Roman"/>
          <w:color w:val="000000"/>
          <w:sz w:val="20"/>
        </w:rPr>
        <w:t>. Merchants can interact naturally with customers via Brain Commerc</w:t>
      </w:r>
      <w:r>
        <w:rPr>
          <w:rFonts w:ascii="Times New Roman" w:hAnsi="Times New Roman"/>
          <w:i/>
          <w:color w:val="000000"/>
          <w:sz w:val="20"/>
        </w:rPr>
        <w:t>e</w:t>
      </w:r>
      <w:r>
        <w:rPr>
          <w:rFonts w:ascii="Times New Roman" w:hAnsi="Times New Roman"/>
          <w:color w:val="000000"/>
          <w:sz w:val="20"/>
        </w:rPr>
        <w:t>.</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Instant Checkout. </w:t>
      </w:r>
      <w:r>
        <w:rPr>
          <w:rFonts w:ascii="Times New Roman" w:hAnsi="Times New Roman"/>
          <w:color w:val="000000"/>
          <w:sz w:val="20"/>
        </w:rPr>
        <w:t>Merchants can embed Buy Now and Act Now buttons on their websites and advertisements for instant engagement and conversion via Brain Checkout .</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 xml:space="preserve">GeoZones. </w:t>
      </w:r>
      <w:r>
        <w:rPr>
          <w:rFonts w:ascii="Times New Roman" w:hAnsi="Times New Roman"/>
          <w:color w:val="000000"/>
          <w:sz w:val="20"/>
        </w:rPr>
        <w:t>Merchants can interact with consumers based on proximity to certain locations.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 xml:space="preserve">Media with Audio. </w:t>
      </w:r>
      <w:r>
        <w:rPr>
          <w:rFonts w:ascii="Times New Roman" w:hAnsi="Times New Roman"/>
          <w:color w:val="000000"/>
          <w:sz w:val="20"/>
        </w:rPr>
        <w:t>Merchants can integrate watermarks in broadcast and streaming media.</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 xml:space="preserve">Visual Events. </w:t>
      </w:r>
      <w:r>
        <w:rPr>
          <w:rFonts w:ascii="Times New Roman" w:hAnsi="Times New Roman"/>
          <w:color w:val="000000"/>
          <w:sz w:val="20"/>
        </w:rPr>
        <w:t>Merchants can integrate watermarks in posters, advertising, product labels and merchandise.</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pPr>
      <w:r>
        <w:rPr>
          <w:rFonts w:ascii="Times New Roman" w:hAnsi="Times New Roman"/>
          <w:i/>
          <w:color w:val="000000"/>
          <w:sz w:val="20"/>
        </w:rPr>
        <w:t>Beacons</w:t>
      </w:r>
      <w:r>
        <w:rPr>
          <w:rFonts w:ascii="Times New Roman" w:hAnsi="Times New Roman"/>
          <w:color w:val="000000"/>
          <w:sz w:val="20"/>
        </w:rPr>
        <w:t>. Merchants can establish near-proximity beacons which allow near-field proximity engagements (3 inches to 36 inches plus) in both indoor and outdoor locations.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pPr>
      <w:r>
        <w:rPr>
          <w:rFonts w:ascii="Times New Roman" w:hAnsi="Times New Roman"/>
          <w:i/>
          <w:color w:val="000000"/>
          <w:sz w:val="20"/>
        </w:rPr>
        <w:t xml:space="preserve">SmartLinks. </w:t>
      </w:r>
      <w:r>
        <w:rPr>
          <w:rFonts w:ascii="Times New Roman" w:hAnsi="Times New Roman"/>
          <w:color w:val="000000"/>
          <w:sz w:val="20"/>
        </w:rPr>
        <w:t>Merchants can embed URL links into social media posts and email communications (amongst others) which trigger Instant Checkout and Instant Act engagements.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pPr>
      <w:r>
        <w:rPr>
          <w:rFonts w:ascii="Times New Roman" w:hAnsi="Times New Roman"/>
          <w:i/>
          <w:color w:val="000000"/>
          <w:sz w:val="20"/>
        </w:rPr>
        <w:t xml:space="preserve">SmartCodes. </w:t>
      </w:r>
      <w:r>
        <w:rPr>
          <w:rFonts w:ascii="Times New Roman" w:hAnsi="Times New Roman"/>
          <w:color w:val="000000"/>
          <w:sz w:val="20"/>
        </w:rPr>
        <w:t>Merchants can establish QR codes integrated with their media with a richer engagement experience for the consumer.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Technology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Rezolve platform is a multi-tenant cloud-based system that is engineered for high scalability, reliability and performance.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Artificial Intelligence. </w:t>
      </w:r>
      <w:r>
        <w:rPr>
          <w:rFonts w:ascii="Times New Roman" w:hAnsi="Times New Roman"/>
          <w:color w:val="000000"/>
          <w:sz w:val="20"/>
        </w:rPr>
        <w:t>Our Large Language Model (“</w:t>
      </w:r>
      <w:r>
        <w:rPr>
          <w:rFonts w:ascii="Times New Roman" w:hAnsi="Times New Roman"/>
          <w:b/>
          <w:i/>
          <w:color w:val="000000"/>
          <w:sz w:val="20"/>
        </w:rPr>
        <w:t>LLM</w:t>
      </w:r>
      <w:r>
        <w:rPr>
          <w:color w:val="000000"/>
        </w:rPr>
        <w:t>”</w:t>
      </w:r>
      <w:r>
        <w:rPr>
          <w:rFonts w:ascii="Times New Roman" w:hAnsi="Times New Roman"/>
          <w:color w:val="000000"/>
          <w:sz w:val="20"/>
        </w:rPr>
        <w:t xml:space="preserve">)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AI-powered personalized recommendations enhance customer experiences by leveraging advanced algorithms to deliver tailored product suggestions based on individual preferences and behavior.</w:t>
      </w:r>
    </w:p>
    <w:p>
      <w:pPr>
        <w:pStyle w:val="TextBody"/>
        <w:bidi w:val="0"/>
        <w:jc w:val="both"/>
        <w:rPr/>
      </w:pPr>
      <w:r>
        <w:rPr/>
        <w:t> </w:t>
      </w:r>
    </w:p>
    <w:p>
      <w:pPr>
        <w:pStyle w:val="TextBody"/>
        <w:bidi w:val="0"/>
        <w:jc w:val="center"/>
        <w:rPr/>
      </w:pPr>
      <w:r>
        <w:rPr/>
        <w:drawing>
          <wp:inline distT="0" distB="0" distL="0" distR="0">
            <wp:extent cx="4800600" cy="2828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00600" cy="2828925"/>
                    </a:xfrm>
                    <a:prstGeom prst="rect">
                      <a:avLst/>
                    </a:prstGeom>
                  </pic:spPr>
                </pic:pic>
              </a:graphicData>
            </a:graphic>
          </wp:inline>
        </w:drawing>
      </w:r>
    </w:p>
    <w:p>
      <w:pPr>
        <w:pStyle w:val="TextBody"/>
        <w:bidi w:val="0"/>
        <w:jc w:val="both"/>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i/>
          <w:color w:val="000000"/>
          <w:sz w:val="20"/>
        </w:rPr>
        <w:t xml:space="preserve">Security. </w:t>
      </w:r>
      <w:r>
        <w:rPr>
          <w:rFonts w:ascii="Times New Roman" w:hAnsi="Times New Roman"/>
          <w:color w:val="000000"/>
          <w:sz w:val="20"/>
        </w:rPr>
        <w:t>Our proprietary AI-Platform keeps both merchant and customer confidential and PII data secure and is regulated by the strict GDPR policies.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i/>
          <w:color w:val="000000"/>
          <w:sz w:val="20"/>
        </w:rPr>
        <w:t xml:space="preserve">Encryption. </w:t>
      </w:r>
      <w:r>
        <w:rPr>
          <w:rFonts w:ascii="Times New Roman" w:hAnsi="Times New Roman"/>
          <w:color w:val="000000"/>
          <w:sz w:val="20"/>
        </w:rPr>
        <w:t>All data is encrypted at rest (AES-256) and in transit.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i/>
          <w:color w:val="000000"/>
          <w:sz w:val="20"/>
        </w:rPr>
        <w:t xml:space="preserve">Data usage. </w:t>
      </w:r>
      <w:r>
        <w:rPr>
          <w:rFonts w:ascii="Times New Roman" w:hAnsi="Times New Roman"/>
          <w:color w:val="000000"/>
          <w:sz w:val="20"/>
        </w:rPr>
        <w:t>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i/>
          <w:color w:val="000000"/>
          <w:sz w:val="20"/>
        </w:rPr>
        <w:t xml:space="preserve">Scalability. </w:t>
      </w:r>
      <w:r>
        <w:rPr>
          <w:rFonts w:ascii="Times New Roman" w:hAnsi="Times New Roman"/>
          <w:color w:val="000000"/>
          <w:sz w:val="20"/>
        </w:rPr>
        <w:t>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pPr>
      <w:r>
        <w:rPr>
          <w:rFonts w:ascii="Times New Roman" w:hAnsi="Times New Roman"/>
          <w:i/>
          <w:color w:val="000000"/>
          <w:sz w:val="20"/>
        </w:rPr>
        <w:t xml:space="preserve">Resilience. </w:t>
      </w:r>
      <w:r>
        <w:rPr>
          <w:rFonts w:ascii="Times New Roman" w:hAnsi="Times New Roman"/>
          <w:color w:val="000000"/>
          <w:sz w:val="20"/>
        </w:rPr>
        <w:t>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pPr>
      <w:r>
        <w:rPr>
          <w:rFonts w:ascii="Times New Roman" w:hAnsi="Times New Roman"/>
          <w:i/>
          <w:color w:val="000000"/>
          <w:sz w:val="20"/>
        </w:rPr>
        <w:t xml:space="preserve">Embedded Connectivity. </w:t>
      </w:r>
      <w:r>
        <w:rPr>
          <w:rFonts w:ascii="Times New Roman" w:hAnsi="Times New Roman"/>
          <w:color w:val="000000"/>
          <w:sz w:val="20"/>
        </w:rPr>
        <w:t>Rezolve’s mobile SDK provides a quick and easy solution to embed and enable Rezolve platform functionality in any Android and iOS app. The accompanying SDK sample app and documents allow third-party developers to quickly leverage the power of our solution.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pPr>
      <w:r>
        <w:rPr>
          <w:rFonts w:ascii="Times New Roman" w:hAnsi="Times New Roman"/>
          <w:i/>
          <w:color w:val="000000"/>
          <w:sz w:val="20"/>
        </w:rPr>
        <w:t xml:space="preserve">Central Management. </w:t>
      </w:r>
      <w:r>
        <w:rPr>
          <w:rFonts w:ascii="Times New Roman" w:hAnsi="Times New Roman"/>
          <w:color w:val="000000"/>
          <w:sz w:val="20"/>
        </w:rPr>
        <w:t>Rezolve maintains a central management and configuration tool that allows it to quickly setup partners, merchants, payments, apps and index content from its merchants so it’s available via the SDK.</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pPr>
      <w:r>
        <w:rPr>
          <w:rFonts w:ascii="Times New Roman" w:hAnsi="Times New Roman"/>
          <w:i/>
          <w:color w:val="000000"/>
          <w:sz w:val="20"/>
        </w:rPr>
        <w:t xml:space="preserve">Analytics &amp; Reporting. </w:t>
      </w:r>
      <w:r>
        <w:rPr>
          <w:rFonts w:ascii="Times New Roman" w:hAnsi="Times New Roman"/>
          <w:color w:val="000000"/>
          <w:sz w:val="20"/>
        </w:rPr>
        <w:t>Rezolve SDK and Backend Data Ingestor Service gathers metrics on usage, transactions, interactions and feeds it to the Analytics Engine to churn out smart Dashboards and Reports.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pPr>
      <w:r>
        <w:rPr>
          <w:rFonts w:ascii="Times New Roman" w:hAnsi="Times New Roman"/>
          <w:i/>
          <w:color w:val="000000"/>
          <w:sz w:val="20"/>
        </w:rPr>
        <w:t xml:space="preserve">Snap-on Integrations. </w:t>
      </w:r>
      <w:r>
        <w:rPr>
          <w:rFonts w:ascii="Times New Roman" w:hAnsi="Times New Roman"/>
          <w:color w:val="000000"/>
          <w:sz w:val="20"/>
        </w:rPr>
        <w:t>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pPr>
      <w:r>
        <w:rPr>
          <w:rFonts w:ascii="Times New Roman" w:hAnsi="Times New Roman"/>
          <w:i/>
          <w:color w:val="000000"/>
          <w:sz w:val="20"/>
        </w:rPr>
        <w:t xml:space="preserve">Mass Onboarding. </w:t>
      </w:r>
      <w:r>
        <w:rPr>
          <w:rFonts w:ascii="Times New Roman" w:hAnsi="Times New Roman"/>
          <w:color w:val="000000"/>
          <w:sz w:val="20"/>
        </w:rPr>
        <w:t>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pPr>
      <w:r>
        <w:rPr>
          <w:rFonts w:ascii="Times New Roman" w:hAnsi="Times New Roman"/>
          <w:i/>
          <w:color w:val="000000"/>
          <w:sz w:val="20"/>
        </w:rPr>
        <w:t xml:space="preserve">Smart Triggers. </w:t>
      </w:r>
      <w:r>
        <w:rPr>
          <w:rFonts w:ascii="Times New Roman" w:hAnsi="Times New Roman"/>
          <w:color w:val="000000"/>
          <w:sz w:val="20"/>
        </w:rPr>
        <w:t>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pPr>
      <w:r>
        <w:rPr>
          <w:rFonts w:ascii="Times New Roman" w:hAnsi="Times New Roman"/>
          <w:i/>
          <w:color w:val="000000"/>
          <w:sz w:val="20"/>
        </w:rPr>
        <w:t xml:space="preserve">Developer Friendly. </w:t>
      </w:r>
      <w:r>
        <w:rPr>
          <w:rFonts w:ascii="Times New Roman" w:hAnsi="Times New Roman"/>
          <w:color w:val="000000"/>
          <w:sz w:val="20"/>
        </w:rPr>
        <w:t>Rezolve’s REST API provides another integration point for any partner or client not using native mobile apps. We can easily support progressive web applications, hybrid applications, web-based services and other applications.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Channels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market is transforming, competitive and highly fragmented, and we expect competition to increase in the future. We believe the principal competitive factors in our market are: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proprietary actionable AI-engineered products and solutions focused on commerce;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simplicity and ease of use;;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integration of multiple Channels;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breadth and depth of functionality;</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pace of innovation;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scale;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reliability;</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support for brand development;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recognition and reputation.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With respect to each of these factors, we believe that we provide a number of favorable offerings.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hAnsi="Times New Roman"/>
          <w:i/>
          <w:color w:val="000000"/>
          <w:sz w:val="20"/>
        </w:rPr>
        <w:t>Risk Factors—Risks Related to our Business and Industry</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Facilities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headquartered in London, England, United Kingdom.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Organizational structure.</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list of the subsidiaries of the Company is included in Exhibit 8.1 to this Report.</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Property, plants and equipment.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headquartered in London, England, United Kingdom. The address of our global head office is 21 Sackville Street, London, W1S 3DN, United Kingdom. </w:t>
      </w:r>
    </w:p>
    <w:p>
      <w:pPr>
        <w:pStyle w:val="TextBody"/>
        <w:bidi w:val="0"/>
        <w:spacing w:before="360" w:after="283"/>
        <w:jc w:val="left"/>
        <w:rPr>
          <w:rFonts w:ascii="Times New Roman" w:hAnsi="Times New Roman"/>
          <w:sz w:val="20"/>
        </w:rPr>
      </w:pPr>
      <w:bookmarkStart w:id="8" w:name="item_4_a"/>
      <w:bookmarkEnd w:id="8"/>
      <w:r>
        <w:rPr>
          <w:rFonts w:ascii="Times New Roman" w:hAnsi="Times New Roman"/>
          <w:b/>
          <w:color w:val="000000"/>
          <w:sz w:val="20"/>
        </w:rPr>
        <w:t>Item 4A. Unresolved Staff Comments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9" w:name="item_5"/>
      <w:bookmarkEnd w:id="9"/>
      <w:r>
        <w:rPr>
          <w:rFonts w:ascii="Times New Roman" w:hAnsi="Times New Roman"/>
          <w:b/>
          <w:color w:val="000000"/>
          <w:sz w:val="20"/>
        </w:rPr>
        <w:t>Item 5. Operating and Financial Review and Prospects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You should read the following discussion of our operating and financial review and prospects together with our consolidated financial statements included in Item 18 in this annual report.</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The following discussion and analysis contain forward-looking statements that involve risks, uncertainties and assumptions. Our actual results may differ materially from those anticipated in these forward-looking statements as a result of factors, including, but not limited to, those under Item 3. D “Risk Factors” and elsewhere in this annual report.</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In this section, the "Company", “we,” “us,” “our” and “Rezolve” refer to Rezolve Limited and its subsidiaries prior to the consummation of the Pre-Closing Demerger and to Rezolve AI plc (f.k.a. Rezolve AI Limited) and its subsidiaries following the consummation of the Pre-Closing Demerger.</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Operating results</w:t>
      </w:r>
      <w:r>
        <w:rPr>
          <w:rFonts w:ascii="Times New Roman" w:hAnsi="Times New Roman"/>
          <w:color w:val="000000"/>
          <w:sz w:val="2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We are recognized</w:t>
      </w:r>
      <w:r>
        <w:rPr>
          <w:rFonts w:ascii="Times New Roman" w:hAnsi="Times New Roman"/>
          <w:color w:val="000000"/>
          <w:sz w:val="13"/>
        </w:rPr>
        <w:t xml:space="preserve">2 </w:t>
      </w:r>
      <w:r>
        <w:rPr>
          <w:rFonts w:ascii="Times New Roman" w:hAnsi="Times New Roman"/>
          <w:color w:val="000000"/>
          <w:sz w:val="20"/>
        </w:rPr>
        <w:t>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pStyle w:val="TextBody"/>
        <w:pBdr>
          <w:bottom w:val="single" w:sz="6" w:space="1" w:color="000000"/>
        </w:pBdr>
        <w:bidi w:val="0"/>
        <w:ind w:left="0" w:right="7920" w:hanging="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Please see Rezolve Press Release dated July 25, 2023, available at https://www.rezolve.com/investors/britainsbrain-heralds-new-era-of-commerce-enabled-ai/</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hAnsi="Times New Roman"/>
          <w:i/>
          <w:color w:val="000000"/>
          <w:sz w:val="20"/>
        </w:rPr>
        <w:t>Partner Agreements</w:t>
      </w:r>
      <w:r>
        <w:rPr>
          <w:rFonts w:ascii="Times New Roman" w:hAnsi="Times New Roman"/>
          <w:color w:val="000000"/>
          <w:sz w:val="20"/>
        </w:rPr>
        <w: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currently derive our revenue through the transaction fees based on sales of ticketing for La Liga football events in Spain.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debtor equity securities.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Generating revenue by execution of successful trials and long-term partner arrangements.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our future performance will depend on many factors, including the following: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Growth from Transactions</w:t>
      </w:r>
      <w:r>
        <w:rPr>
          <w:rFonts w:ascii="Times New Roman" w:hAnsi="Times New Roman"/>
          <w:color w:val="000000"/>
          <w:sz w:val="20"/>
        </w:rPr>
        <w:t>: Our growth depends on SaaS subscription fees and commissions earned from merchant’s transactions with their customers.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New Merchant Acquisition</w:t>
      </w:r>
      <w:r>
        <w:rPr>
          <w:rFonts w:ascii="Times New Roman" w:hAnsi="Times New Roman"/>
          <w:color w:val="000000"/>
          <w:sz w:val="20"/>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Successful Expansion to Additional Geographies</w:t>
      </w:r>
      <w:r>
        <w:rPr>
          <w:rFonts w:ascii="Times New Roman" w:hAnsi="Times New Roman"/>
          <w:color w:val="000000"/>
          <w:sz w:val="20"/>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Merchant Retention and Expansion</w:t>
      </w:r>
      <w:r>
        <w:rPr>
          <w:rFonts w:ascii="Times New Roman" w:hAnsi="Times New Roman"/>
          <w:color w:val="000000"/>
          <w:sz w:val="20"/>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Offering and service enhancement</w:t>
      </w:r>
      <w:r>
        <w:rPr>
          <w:rFonts w:ascii="Times New Roman" w:hAnsi="Times New Roman"/>
          <w:color w:val="000000"/>
          <w:sz w:val="20"/>
        </w:rPr>
        <w:t>: We intend to continue investing in the capabilities of our offerings and services to deliver better value for our users and merchants and address new market opportunities. Additionally, we will work to perfect our platform service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Growth through Mergers &amp; Acquisitions</w:t>
      </w:r>
      <w:r>
        <w:rPr>
          <w:rFonts w:ascii="Times New Roman" w:hAnsi="Times New Roman"/>
          <w:color w:val="000000"/>
          <w:sz w:val="20"/>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generate transaction revenues through the sale of ticketing of football events using our technology with La Liga in Spain.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Operating expenses consist of cost of revenues, employee benefit expenses, consultancy expense, sales and marketing expenses, business development expenses, general and administrative expenses, and depreciation and amortization.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Cost of revenues</w:t>
      </w:r>
      <w:r>
        <w:rPr>
          <w:rFonts w:ascii="Times New Roman" w:hAnsi="Times New Roman"/>
          <w:color w:val="000000"/>
          <w:sz w:val="20"/>
        </w:rPr>
        <w:t>: Our cost of revenues consists primarily of the materials and consumables.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Sales and marketing</w:t>
      </w:r>
      <w:r>
        <w:rPr>
          <w:rFonts w:ascii="Times New Roman" w:hAnsi="Times New Roman"/>
          <w:color w:val="000000"/>
          <w:sz w:val="20"/>
        </w:rPr>
        <w:t>: Costs primarily consist of consulting fees as well as salaries, pension contributions and share-based compensation for sales and marketing employees.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General and administrative</w:t>
      </w:r>
      <w:r>
        <w:rPr>
          <w:rFonts w:ascii="Times New Roman" w:hAnsi="Times New Roman"/>
          <w:color w:val="000000"/>
          <w:sz w:val="20"/>
        </w:rPr>
        <w:t xml:space="preserve">: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and fees and share-based compensation for directors.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Depreciation and amortization</w:t>
      </w:r>
      <w:r>
        <w:rPr>
          <w:rFonts w:ascii="Times New Roman" w:hAnsi="Times New Roman"/>
          <w:color w:val="000000"/>
          <w:sz w:val="20"/>
        </w:rPr>
        <w:t xml:space="preserve">: primarily consists of amortization of software and acquired information technology intangible assets as well as depreciation of fixed tangible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Other operating expenses</w:t>
      </w:r>
      <w:r>
        <w:rPr>
          <w:rFonts w:ascii="Times New Roman" w:hAnsi="Times New Roman"/>
          <w:color w:val="000000"/>
          <w:sz w:val="20"/>
        </w:rPr>
        <w:t xml:space="preserve">: consists of an impairment charges on loan receivables.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Interest expense consists primarily of costs associated with short term debt and convertible debt.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Non-Operating Income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years ended December 31, 2024 and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tables set forth our consolidated statements of operations for the years ended December 31, 2024 and December 31, 2023:</w:t>
      </w:r>
    </w:p>
    <w:p>
      <w:pPr>
        <w:pStyle w:val="TextBody"/>
        <w:bidi w:val="0"/>
        <w:jc w:val="left"/>
        <w:rPr/>
      </w:pPr>
      <w:r>
        <w:rPr/>
        <w:t> </w:t>
      </w:r>
    </w:p>
    <w:tbl>
      <w:tblPr>
        <w:tblW w:w="7174" w:type="dxa"/>
        <w:jc w:val="left"/>
        <w:tblInd w:w="0" w:type="dxa"/>
        <w:tblLayout w:type="fixed"/>
        <w:tblCellMar>
          <w:top w:w="28" w:type="dxa"/>
          <w:left w:w="28" w:type="dxa"/>
          <w:bottom w:w="28" w:type="dxa"/>
          <w:right w:w="28" w:type="dxa"/>
        </w:tblCellMar>
      </w:tblPr>
      <w:tblGrid>
        <w:gridCol w:w="3686"/>
        <w:gridCol w:w="211"/>
        <w:gridCol w:w="146"/>
        <w:gridCol w:w="1201"/>
        <w:gridCol w:w="166"/>
        <w:gridCol w:w="211"/>
        <w:gridCol w:w="146"/>
        <w:gridCol w:w="1096"/>
        <w:gridCol w:w="311"/>
      </w:tblGrid>
      <w:tr>
        <w:trPr/>
        <w:tc>
          <w:tcPr>
            <w:tcW w:w="3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145,051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(26,006,274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(30,672,690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for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(172,646,790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(30,736,098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years ended December 31, 2024 and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shows total revenues from ticketing transactions for the year ended December 31, 2024, as compared to the year ended December 31, 2023:</w:t>
      </w:r>
    </w:p>
    <w:p>
      <w:pPr>
        <w:pStyle w:val="TextBody"/>
        <w:bidi w:val="0"/>
        <w:jc w:val="left"/>
        <w:rPr/>
      </w:pPr>
      <w:r>
        <w:rPr/>
        <w:t> </w:t>
      </w:r>
    </w:p>
    <w:tbl>
      <w:tblPr>
        <w:tblW w:w="5804" w:type="dxa"/>
        <w:jc w:val="left"/>
        <w:tblInd w:w="0" w:type="dxa"/>
        <w:tblLayout w:type="fixed"/>
        <w:tblCellMar>
          <w:top w:w="28" w:type="dxa"/>
          <w:left w:w="28" w:type="dxa"/>
          <w:bottom w:w="28" w:type="dxa"/>
          <w:right w:w="28" w:type="dxa"/>
        </w:tblCellMar>
      </w:tblPr>
      <w:tblGrid>
        <w:gridCol w:w="841"/>
        <w:gridCol w:w="211"/>
        <w:gridCol w:w="146"/>
        <w:gridCol w:w="781"/>
        <w:gridCol w:w="146"/>
        <w:gridCol w:w="146"/>
        <w:gridCol w:w="211"/>
        <w:gridCol w:w="146"/>
        <w:gridCol w:w="781"/>
        <w:gridCol w:w="146"/>
        <w:gridCol w:w="146"/>
        <w:gridCol w:w="211"/>
        <w:gridCol w:w="146"/>
        <w:gridCol w:w="676"/>
        <w:gridCol w:w="146"/>
        <w:gridCol w:w="146"/>
        <w:gridCol w:w="146"/>
        <w:gridCol w:w="31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ind w:left="0" w:right="0" w:firstLine="489"/>
        <w:jc w:val="left"/>
        <w:rPr>
          <w:rFonts w:ascii="Times New Roman" w:hAnsi="Times New Roman"/>
          <w:color w:val="000000"/>
          <w:sz w:val="20"/>
        </w:rPr>
      </w:pPr>
      <w:r>
        <w:rPr>
          <w:rFonts w:ascii="Times New Roman" w:hAnsi="Times New Roman"/>
          <w:color w:val="000000"/>
          <w:sz w:val="20"/>
        </w:rPr>
        <w:t>The following shows operating expenses for the year ended December 31, 2024, as compared to the year ended December 31, 2023:</w:t>
      </w:r>
    </w:p>
    <w:p>
      <w:pPr>
        <w:pStyle w:val="TextBody"/>
        <w:bidi w:val="0"/>
        <w:jc w:val="left"/>
        <w:rPr/>
      </w:pPr>
      <w:r>
        <w:rPr/>
        <w:t> </w:t>
      </w:r>
    </w:p>
    <w:tbl>
      <w:tblPr>
        <w:tblW w:w="9604" w:type="dxa"/>
        <w:jc w:val="left"/>
        <w:tblInd w:w="0" w:type="dxa"/>
        <w:tblLayout w:type="fixed"/>
        <w:tblCellMar>
          <w:top w:w="28" w:type="dxa"/>
          <w:left w:w="28" w:type="dxa"/>
          <w:bottom w:w="28" w:type="dxa"/>
          <w:right w:w="28" w:type="dxa"/>
        </w:tblCellMar>
      </w:tblPr>
      <w:tblGrid>
        <w:gridCol w:w="3376"/>
        <w:gridCol w:w="211"/>
        <w:gridCol w:w="146"/>
        <w:gridCol w:w="1141"/>
        <w:gridCol w:w="146"/>
        <w:gridCol w:w="146"/>
        <w:gridCol w:w="211"/>
        <w:gridCol w:w="146"/>
        <w:gridCol w:w="1036"/>
        <w:gridCol w:w="146"/>
        <w:gridCol w:w="146"/>
        <w:gridCol w:w="211"/>
        <w:gridCol w:w="146"/>
        <w:gridCol w:w="1141"/>
        <w:gridCol w:w="166"/>
        <w:gridCol w:w="146"/>
        <w:gridCol w:w="146"/>
        <w:gridCol w:w="421"/>
        <w:gridCol w:w="376"/>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113,443,884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112,079,249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Percentages have been rounded for presentation purposes and may differ from unrounded results.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Cost of revenues have remained unchanged at $34,053, for the year ended December 31, 2024 compared to $34,791 for the year ended December 31,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operating expenses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Other operating expenses decreased by $0.90 million for the year ended December 31, 2024 compared to the year ended December 31, 2023 . The higher operating expenses during the year ended December 31, 2023 as compared to the year ended December 31, 2024 was driven by higher impairment charges related to loan receivables from Swipeby and Moneymatic recognized in 2023 as compared to 2024.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Depreciation and amortization expenses remained materially unchanged at $225,251, for the year ended December 31, 2024 compared to $242,436 for the year ended December 31,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and Expenses</w:t>
      </w:r>
    </w:p>
    <w:p>
      <w:pPr>
        <w:pStyle w:val="TextBody"/>
        <w:bidi w:val="0"/>
        <w:spacing w:before="120" w:after="283"/>
        <w:ind w:left="0" w:right="0" w:firstLine="489"/>
        <w:jc w:val="left"/>
        <w:rPr>
          <w:rFonts w:ascii="Times New Roman" w:hAnsi="Times New Roman"/>
          <w:color w:val="000000"/>
          <w:sz w:val="20"/>
        </w:rPr>
      </w:pPr>
      <w:r>
        <w:rPr>
          <w:rFonts w:ascii="Times New Roman" w:hAnsi="Times New Roman"/>
          <w:color w:val="000000"/>
          <w:sz w:val="20"/>
        </w:rPr>
        <w:t>The following shows interest expense and other non-operating income and expenses for the year ended December 31, 2024, as compared to the year ended December 31, 2023:</w:t>
      </w:r>
    </w:p>
    <w:p>
      <w:pPr>
        <w:pStyle w:val="TextBody"/>
        <w:bidi w:val="0"/>
        <w:jc w:val="left"/>
        <w:rPr/>
      </w:pPr>
      <w:r>
        <w:rPr/>
        <w:t> </w:t>
      </w:r>
    </w:p>
    <w:tbl>
      <w:tblPr>
        <w:tblW w:w="9859" w:type="dxa"/>
        <w:jc w:val="left"/>
        <w:tblInd w:w="0" w:type="dxa"/>
        <w:tblLayout w:type="fixed"/>
        <w:tblCellMar>
          <w:top w:w="28" w:type="dxa"/>
          <w:left w:w="28" w:type="dxa"/>
          <w:bottom w:w="28" w:type="dxa"/>
          <w:right w:w="28" w:type="dxa"/>
        </w:tblCellMar>
      </w:tblPr>
      <w:tblGrid>
        <w:gridCol w:w="3686"/>
        <w:gridCol w:w="211"/>
        <w:gridCol w:w="146"/>
        <w:gridCol w:w="1096"/>
        <w:gridCol w:w="166"/>
        <w:gridCol w:w="146"/>
        <w:gridCol w:w="211"/>
        <w:gridCol w:w="146"/>
        <w:gridCol w:w="991"/>
        <w:gridCol w:w="166"/>
        <w:gridCol w:w="146"/>
        <w:gridCol w:w="211"/>
        <w:gridCol w:w="146"/>
        <w:gridCol w:w="1096"/>
        <w:gridCol w:w="166"/>
        <w:gridCol w:w="146"/>
        <w:gridCol w:w="146"/>
        <w:gridCol w:w="421"/>
        <w:gridCol w:w="416"/>
      </w:tblGrid>
      <w:tr>
        <w:trPr/>
        <w:tc>
          <w:tcPr>
            <w:tcW w:w="3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(29,892,655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 </w:t>
      </w:r>
    </w:p>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 </w:t>
      </w:r>
    </w:p>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loss on extinguishment of $44.33 million is primarily due to an agreement entered into by the Company, Apeiron Investment Group Ltd. and Bradley Wickens, the beneficial holders of the majority of senior secured convertible notes to amend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Operating losses increased to $138.04 million for the year ended December 31, 2024, as compared to $26.01 million for the year ended December 31, 2023. This was primarily due to the increase in general and administrative expenses as detailed above.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Key Business Metrics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hAnsi="Times New Roman"/>
          <w:i/>
          <w:color w:val="000000"/>
          <w:sz w:val="20"/>
        </w:rPr>
        <w:t>Components of Results of Operations</w:t>
      </w:r>
      <w:r>
        <w:rPr>
          <w:rFonts w:ascii="Times New Roman" w:hAnsi="Times New Roman"/>
          <w:color w:val="000000"/>
          <w:sz w:val="20"/>
        </w:rPr>
        <w:t xml:space="preserve">.” Period-on-period revenues growth, EBITDA and total number of merchants are discussed immediately below the following table.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financial metrics are used by management to monitor and analyze the operational performance of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Ticketing: </w:t>
      </w:r>
      <w:r>
        <w:rPr>
          <w:rFonts w:ascii="Times New Roman" w:hAnsi="Times New Roman"/>
          <w:color w:val="000000"/>
          <w:sz w:val="20"/>
        </w:rPr>
        <w:t>Total Ticketing revenue transactions reflect the number of loyalty card transactions in a calendar year, loyalty is linked to the consumers football ticket. We track ticketing transactions as an indicator of customer transactions and as a key driver of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EBITDA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changes in, or cash requirements for, our working capital needs or contractual commitments;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our interest expense, or the cash requirements to service interest or principal payments on, our indebtedness;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our tax expense or the cash requirements to pay our taxes;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the impact on earnings or changes resulting from matters that we consider not to be indicative of our future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need to be replaced in the future, and EBITDA does not reflect any cash requirements for these replacements;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may calculate EBITDA differently than we do.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table below provides a reconciliation of our net income (loss) to EBITDA (non GAAP):</w:t>
      </w:r>
    </w:p>
    <w:p>
      <w:pPr>
        <w:pStyle w:val="TextBody"/>
        <w:bidi w:val="0"/>
        <w:jc w:val="left"/>
        <w:rPr/>
      </w:pPr>
      <w:r>
        <w:rPr/>
        <w:t> </w:t>
      </w:r>
    </w:p>
    <w:tbl>
      <w:tblPr>
        <w:tblW w:w="6355" w:type="dxa"/>
        <w:jc w:val="left"/>
        <w:tblInd w:w="0" w:type="dxa"/>
        <w:tblLayout w:type="fixed"/>
        <w:tblCellMar>
          <w:top w:w="28" w:type="dxa"/>
          <w:left w:w="28" w:type="dxa"/>
          <w:bottom w:w="28" w:type="dxa"/>
          <w:right w:w="28" w:type="dxa"/>
        </w:tblCellMar>
      </w:tblPr>
      <w:tblGrid>
        <w:gridCol w:w="2821"/>
        <w:gridCol w:w="211"/>
        <w:gridCol w:w="146"/>
        <w:gridCol w:w="1201"/>
        <w:gridCol w:w="166"/>
        <w:gridCol w:w="146"/>
        <w:gridCol w:w="211"/>
        <w:gridCol w:w="146"/>
        <w:gridCol w:w="109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(non-GAAP)</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(161,818,892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(25,638,472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We have booked transaction-related costs in each of the years ended December 31, 2024 and 2023. PCAOB audit and U.S. legal counsel costs for the periods under review have been accrued as incurred in the year ended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Adjusted EBITDA is a non-GAAP financial measure. We define Adjusted EBITDA as EBITDA adjusted for unrealized foreign exchange gains (losses), impairment of goodwill and other assets, business development expenses, warrants issued and share-based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Although it is frequently used by investors and securities analysts in their evaluations of companies, Adjusted EBITDA has limitations as an analytical tool,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 or contractual commitments;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interest expense, or the cash requirements to service interest or principal payments on, our indebtedness;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tax expense or the cash requirements to pay our taxes;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impact on earnings or changes resulting from matters that we consider not to be indicative of our future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need to be replaced in the future, and Adjusted EBITDA does not reflect any cash requirements for these replacements;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may calculate Adjusted EBITDA differently than we do.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Adjusted EBITDA is used by management to understand and track underlying earnings performance by excluding one-time and non-recurring costs. The Company believe it is appropriate to exclude these costs from Adjusted EBITDA as they relate to:</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made in the China Business;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Impairments of loans and accounts receivable;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based compensation related only to initial employees, consultants and related parties;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foreign exchange (gain)/loss are one-time costs.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the remeasurement of derivative assets and derivative liabilities at fair value at the end of each reporting period.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extinguishment of debt obligations.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payment expense of $18,836,099 related to restricted employee shares. The articles of incorporation of the Company were amended to remove these restrictions prior to the completion of the Pre-Closing Demerger transaction.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Internally adjusted EBITDA and contribution margin by reportable segment are significant measures used by management for purposes of:</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Supplementing the financial results and forecasts reported to the Company’s board of directors;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operating performance of which includes direct and incrementally controllable revenue and costs of operations but excludes items considered by management to be non-cash or non-operating;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internal operating budgets and target.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development expenses reflect the costs incurred by Rezolve Limited in funding our platform activities in China in 2024, prior to the Pre-Closing Demerger, and 2023 and are recorded within General and Administrative expenses.</w:t>
      </w:r>
    </w:p>
    <w:p>
      <w:pPr>
        <w:pStyle w:val="TextBody"/>
        <w:bidi w:val="0"/>
        <w:spacing w:before="240" w:after="283"/>
        <w:ind w:left="979" w:right="0" w:hanging="0"/>
        <w:jc w:val="left"/>
        <w:rPr>
          <w:rFonts w:ascii="Times New Roman" w:hAnsi="Times New Roman"/>
          <w:color w:val="000000"/>
          <w:sz w:val="20"/>
        </w:rPr>
      </w:pPr>
      <w:r>
        <w:rPr>
          <w:rFonts w:ascii="Times New Roman" w:hAnsi="Times New Roman"/>
          <w:color w:val="000000"/>
          <w:sz w:val="20"/>
        </w:rPr>
        <w:t>The table below provides a reconciliation of our net income (loss) to Adjusted EBITDA (non-GAAP):</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tbl>
      <w:tblPr>
        <w:tblW w:w="8654" w:type="dxa"/>
        <w:jc w:val="left"/>
        <w:tblInd w:w="0" w:type="dxa"/>
        <w:tblLayout w:type="fixed"/>
        <w:tblCellMar>
          <w:top w:w="28" w:type="dxa"/>
          <w:left w:w="28" w:type="dxa"/>
          <w:bottom w:w="28" w:type="dxa"/>
          <w:right w:w="28" w:type="dxa"/>
        </w:tblCellMar>
      </w:tblPr>
      <w:tblGrid>
        <w:gridCol w:w="5266"/>
        <w:gridCol w:w="211"/>
        <w:gridCol w:w="146"/>
        <w:gridCol w:w="1201"/>
        <w:gridCol w:w="166"/>
        <w:gridCol w:w="211"/>
        <w:gridCol w:w="146"/>
        <w:gridCol w:w="1096"/>
        <w:gridCol w:w="211"/>
      </w:tblGrid>
      <w:tr>
        <w:trPr/>
        <w:tc>
          <w:tcPr>
            <w:tcW w:w="5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(non-GAAP)</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(161,818,892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(25,638,472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foreign exchange (gain)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loan and 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development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 issued to related parties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3,270,040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 for consultancy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for employees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derivatives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 employees shares restrictions lifted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(non-GAAP)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(43,782,632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(15,087,056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Total Number of Merchants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share based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 </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 or equity securities.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Generating revenue by execution of successful trials and long-term partner arrangements.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generate revenue from our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2024, we financed our operations in large part with cash flows from financing activities through cash proceeds from issuance of convertible debt, short term-debt and a rights issue.</w:t>
      </w:r>
    </w:p>
    <w:p>
      <w:pPr>
        <w:pStyle w:val="TextBody"/>
        <w:bidi w:val="0"/>
        <w:spacing w:before="240" w:after="283"/>
        <w:ind w:left="0" w:right="0" w:firstLine="490"/>
        <w:jc w:val="left"/>
        <w:rPr/>
      </w:pPr>
      <w:r>
        <w:rPr/>
        <w:t> </w:t>
      </w:r>
    </w:p>
    <w:tbl>
      <w:tblPr>
        <w:tblW w:w="7375" w:type="dxa"/>
        <w:jc w:val="left"/>
        <w:tblInd w:w="0" w:type="dxa"/>
        <w:tblLayout w:type="fixed"/>
        <w:tblCellMar>
          <w:top w:w="28" w:type="dxa"/>
          <w:left w:w="28" w:type="dxa"/>
          <w:bottom w:w="28" w:type="dxa"/>
          <w:right w:w="28" w:type="dxa"/>
        </w:tblCellMar>
      </w:tblPr>
      <w:tblGrid>
        <w:gridCol w:w="3616"/>
        <w:gridCol w:w="211"/>
        <w:gridCol w:w="185"/>
        <w:gridCol w:w="1315"/>
        <w:gridCol w:w="146"/>
        <w:gridCol w:w="211"/>
        <w:gridCol w:w="185"/>
        <w:gridCol w:w="1315"/>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8,223,928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37,333,443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46,981,299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Short-term debt to related parties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Unsecured interest free loans taken from related parties DBLP Sea Cow Ltd of $447,067 and Daniel Wagner of $4,655,144 are repayable on demand.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December 5, 2024, all $8,000,000 of the senior secured convertible notes in favor of Igor Lychagov were converted into ordinary shares of the Company at a conversion price of $7 per ordinary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Ordinary shares payable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debt</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hAnsi="Times New Roman"/>
          <w:b/>
          <w:i/>
          <w:color w:val="000000"/>
          <w:sz w:val="20"/>
        </w:rPr>
        <w:t>Loan Note Instrument</w:t>
      </w:r>
      <w:r>
        <w:rPr>
          <w:rFonts w:ascii="Times New Roman" w:hAnsi="Times New Roman"/>
          <w:color w:val="000000"/>
          <w:sz w:val="20"/>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On December 5, 2024, pursuant to the terms of the Loan Note Instrument, one of the holders of the Convertible Notes converted all of his approximately $8 million of outstanding Convertible Notes at a conversion price of $7 per ordinary share.</w:t>
      </w:r>
    </w:p>
    <w:p>
      <w:pPr>
        <w:pStyle w:val="TextBody"/>
        <w:bidi w:val="0"/>
        <w:ind w:left="0" w:right="0" w:firstLine="720"/>
        <w:jc w:val="left"/>
        <w:rPr>
          <w:rFonts w:ascii="Times New Roman" w:hAnsi="Times New Roman"/>
          <w:sz w:val="20"/>
        </w:rPr>
      </w:pPr>
      <w:r>
        <w:rPr>
          <w:rFonts w:ascii="Times New Roman" w:hAnsi="Times New Roman"/>
          <w:color w:val="000000"/>
          <w:sz w:val="20"/>
        </w:rPr>
        <w:t>On December 17, 2024, the Company, Apeiron Investment Group Ltd. and Bradley Wickens, the beneficial holders of the majority of Convertible Notes entered into an agreement (the “</w:t>
      </w:r>
      <w:r>
        <w:rPr>
          <w:rFonts w:ascii="Times New Roman" w:hAnsi="Times New Roman"/>
          <w:b/>
          <w:i/>
          <w:color w:val="000000"/>
          <w:sz w:val="20"/>
        </w:rPr>
        <w:t>Agreement</w:t>
      </w:r>
      <w:r>
        <w:rPr>
          <w:rFonts w:ascii="Times New Roman" w:hAnsi="Times New Roman"/>
          <w:color w:val="000000"/>
          <w:sz w:val="20"/>
        </w:rPr>
        <w:t>”) to amend the Loan Note Instrument (the “</w:t>
      </w:r>
      <w:r>
        <w:rPr>
          <w:rFonts w:ascii="Times New Roman" w:hAnsi="Times New Roman"/>
          <w:b/>
          <w:i/>
          <w:color w:val="000000"/>
          <w:sz w:val="20"/>
        </w:rPr>
        <w:t>Amendment</w:t>
      </w:r>
      <w:r>
        <w:rPr>
          <w:rFonts w:ascii="Times New Roman" w:hAnsi="Times New Roman"/>
          <w:color w:val="000000"/>
          <w:sz w:val="20"/>
        </w:rPr>
        <w:t xml:space="preserve">”)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In December 2024, all of the remaining Convertible Note holders elected to convert. As of December 31, 2024, $0.4 million of the Convertible Notes remained outstanding under the Loan Note Instrument.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Short term convertible debt to a related party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Short term convertible debt to a related party of $132,269 was also added to the Company’s senior secured convertible note including $125,000 of convertible debt and $7,269 of interest.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payment liability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Promissory notes</w:t>
      </w:r>
    </w:p>
    <w:p>
      <w:pPr>
        <w:pStyle w:val="TextBody"/>
        <w:bidi w:val="0"/>
        <w:spacing w:before="240" w:after="283"/>
        <w:jc w:val="left"/>
        <w:rPr/>
      </w:pPr>
      <w:r>
        <w:rPr/>
        <w:t> </w:t>
      </w:r>
    </w:p>
    <w:tbl>
      <w:tblPr>
        <w:tblW w:w="5961" w:type="dxa"/>
        <w:jc w:val="left"/>
        <w:tblInd w:w="0" w:type="dxa"/>
        <w:tblLayout w:type="fixed"/>
        <w:tblCellMar>
          <w:top w:w="28" w:type="dxa"/>
          <w:left w:w="28" w:type="dxa"/>
          <w:bottom w:w="28" w:type="dxa"/>
          <w:right w:w="28" w:type="dxa"/>
        </w:tblCellMar>
      </w:tblPr>
      <w:tblGrid>
        <w:gridCol w:w="2626"/>
        <w:gridCol w:w="245"/>
        <w:gridCol w:w="170"/>
        <w:gridCol w:w="1084"/>
        <w:gridCol w:w="146"/>
        <w:gridCol w:w="448"/>
        <w:gridCol w:w="310"/>
        <w:gridCol w:w="7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 notes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 from sponsor</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6,428,825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ind w:left="838" w:right="0" w:hanging="0"/>
        <w:jc w:val="left"/>
        <w:rPr>
          <w:rFonts w:ascii="Times New Roman" w:hAnsi="Times New Roman"/>
          <w:sz w:val="20"/>
        </w:rPr>
      </w:pPr>
      <w:r>
        <w:rPr>
          <w:rFonts w:ascii="Times New Roman" w:hAnsi="Times New Roman"/>
          <w:color w:val="000000"/>
          <w:sz w:val="20"/>
          <w:u w:val="single"/>
        </w:rPr>
        <w:t>Yorkville Standby Equity Purchase Agreement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212529"/>
          <w:sz w:val="20"/>
        </w:rPr>
        <w:t>On February 23, 2023, Rezolve Limited entered into a $250 million standby equity purchase agreement with YA II PN, LTD (“</w:t>
      </w:r>
      <w:r>
        <w:rPr>
          <w:rFonts w:ascii="Times New Roman" w:hAnsi="Times New Roman"/>
          <w:b/>
          <w:i/>
          <w:color w:val="212529"/>
          <w:sz w:val="20"/>
        </w:rPr>
        <w:t>YA</w:t>
      </w:r>
      <w:r>
        <w:rPr>
          <w:rFonts w:ascii="Times New Roman" w:hAnsi="Times New Roman"/>
          <w:color w:val="212529"/>
          <w:sz w:val="20"/>
        </w:rPr>
        <w:t>”), a Cayman Islands exempt limited company, which was amended and restated on February 2, 2024 to provide for, inter alia, Rezolve AI Limited joining as a party to the agreement (“</w:t>
      </w:r>
      <w:r>
        <w:rPr>
          <w:rFonts w:ascii="Times New Roman" w:hAnsi="Times New Roman"/>
          <w:b/>
          <w:i/>
          <w:color w:val="212529"/>
          <w:sz w:val="20"/>
        </w:rPr>
        <w:t>YA Agreement</w:t>
      </w:r>
      <w:r>
        <w:rPr>
          <w:rFonts w:ascii="Times New Roman" w:hAnsi="Times New Roman"/>
          <w:color w:val="212529"/>
          <w:sz w:val="20"/>
        </w:rPr>
        <w:t xml:space="preserve">”). Pursuant to the YA Agreement, Rezolve has the right to sell to YA up to $250,000,000 Ordinary Shares, subject to certain limitations and conditions set forth in the YA Agreement, from time to time during the term of the YA Agreement. </w:t>
      </w:r>
    </w:p>
    <w:p>
      <w:pPr>
        <w:pStyle w:val="TextBody"/>
        <w:bidi w:val="0"/>
        <w:spacing w:before="120" w:after="283"/>
        <w:ind w:left="0" w:right="0" w:firstLine="490"/>
        <w:jc w:val="left"/>
        <w:rPr>
          <w:rFonts w:ascii="Times New Roman" w:hAnsi="Times New Roman"/>
          <w:sz w:val="20"/>
        </w:rPr>
      </w:pPr>
      <w:r>
        <w:rPr>
          <w:rFonts w:ascii="Times New Roman" w:hAnsi="Times New Roman"/>
          <w:color w:val="212529"/>
          <w:sz w:val="20"/>
        </w:rPr>
        <w:t>In connection with the amendment and restatement of the YA Agreement, on February 2, 2024, Rezolve Limited and Rezolve issued a convertible note with a total principal amount of $2.5 million (the “</w:t>
      </w:r>
      <w:r>
        <w:rPr>
          <w:rFonts w:ascii="Times New Roman" w:hAnsi="Times New Roman"/>
          <w:b/>
          <w:i/>
          <w:color w:val="212529"/>
          <w:sz w:val="20"/>
        </w:rPr>
        <w:t>YA Note</w:t>
      </w:r>
      <w:r>
        <w:rPr>
          <w:rFonts w:ascii="Times New Roman" w:hAnsi="Times New Roman"/>
          <w:color w:val="212529"/>
          <w:sz w:val="20"/>
        </w:rPr>
        <w:t>”) to YA, pursuant to the terms of a convertible promissory note instrument entered into by Rezolve Limited and Rezolve (“</w:t>
      </w:r>
      <w:r>
        <w:rPr>
          <w:rFonts w:ascii="Times New Roman" w:hAnsi="Times New Roman"/>
          <w:b/>
          <w:i/>
          <w:color w:val="212529"/>
          <w:sz w:val="20"/>
        </w:rPr>
        <w:t>YA Note Instrument</w:t>
      </w:r>
      <w:r>
        <w:rPr>
          <w:rFonts w:ascii="Times New Roman" w:hAnsi="Times New Roman"/>
          <w:color w:val="212529"/>
          <w:sz w:val="20"/>
        </w:rPr>
        <w:t xml:space="preserve">”). </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On September 6, 2024, YA and Rezolve amended and restated the YA Agreement (the “</w:t>
      </w:r>
      <w:r>
        <w:rPr>
          <w:rFonts w:ascii="Times New Roman" w:hAnsi="Times New Roman"/>
          <w:b/>
          <w:i/>
          <w:color w:val="000000"/>
          <w:sz w:val="20"/>
        </w:rPr>
        <w:t>Second A&amp;R YA Agreement</w:t>
      </w:r>
      <w:r>
        <w:rPr>
          <w:rFonts w:ascii="Times New Roman" w:hAnsi="Times New Roman"/>
          <w:color w:val="000000"/>
          <w:sz w:val="20"/>
        </w:rPr>
        <w:t xml:space="preserve">”)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 </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In connection with the execution of the Second A&amp;R YA Agreement, YA and Rezolve also entered into a second amendment to convertible promissory note and acknowledgement (the “</w:t>
      </w:r>
      <w:r>
        <w:rPr>
          <w:rFonts w:ascii="Times New Roman" w:hAnsi="Times New Roman"/>
          <w:b/>
          <w:i/>
          <w:color w:val="000000"/>
          <w:sz w:val="20"/>
        </w:rPr>
        <w:t>YA Note Amendment</w:t>
      </w:r>
      <w:r>
        <w:rPr>
          <w:rFonts w:ascii="Times New Roman" w:hAnsi="Times New Roman"/>
          <w:color w:val="000000"/>
          <w:sz w:val="20"/>
        </w:rPr>
        <w:t>” and the YA Note, as amended by the YA Note Amendment, the “</w:t>
      </w:r>
      <w:r>
        <w:rPr>
          <w:rFonts w:ascii="Times New Roman" w:hAnsi="Times New Roman"/>
          <w:b/>
          <w:i/>
          <w:color w:val="000000"/>
          <w:sz w:val="20"/>
        </w:rPr>
        <w:t>Amended YA Note</w:t>
      </w:r>
      <w:r>
        <w:rPr>
          <w:rFonts w:ascii="Times New Roman" w:hAnsi="Times New Roman"/>
          <w:color w:val="000000"/>
          <w:sz w:val="2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Also in connection with the Second A&amp;R YA Agreement, on September 9, 2024, Rezolve issued YA a promissory note in the principal amount of $5,000,000 (the “</w:t>
      </w:r>
      <w:r>
        <w:rPr>
          <w:rFonts w:ascii="Times New Roman" w:hAnsi="Times New Roman"/>
          <w:b/>
          <w:i/>
          <w:color w:val="000000"/>
          <w:sz w:val="20"/>
        </w:rPr>
        <w:t>Second YA Note</w:t>
      </w:r>
      <w:r>
        <w:rPr>
          <w:rFonts w:ascii="Times New Roman" w:hAnsi="Times New Roman"/>
          <w:color w:val="000000"/>
          <w:sz w:val="20"/>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hAnsi="Times New Roman"/>
          <w:b/>
          <w:i/>
          <w:color w:val="000000"/>
          <w:sz w:val="20"/>
        </w:rPr>
        <w:t>Third YA Note</w:t>
      </w:r>
      <w:r>
        <w:rPr>
          <w:rFonts w:ascii="Times New Roman" w:hAnsi="Times New Roman"/>
          <w:color w:val="000000"/>
          <w:sz w:val="20"/>
        </w:rPr>
        <w:t>", and together with the Amended YA Note and Second YA Note, the "</w:t>
      </w:r>
      <w:r>
        <w:rPr>
          <w:rFonts w:ascii="Times New Roman" w:hAnsi="Times New Roman"/>
          <w:b/>
          <w:i/>
          <w:color w:val="000000"/>
          <w:sz w:val="20"/>
        </w:rPr>
        <w:t>YA Notes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u w:val="single"/>
        </w:rPr>
      </w:pPr>
      <w:r>
        <w:rPr>
          <w:rFonts w:ascii="Times New Roman" w:hAnsi="Times New Roman"/>
          <w:color w:val="000000"/>
          <w:sz w:val="20"/>
          <w:u w:val="single"/>
        </w:rPr>
        <w:t>Promissory notes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Promissory Notes were issued during the course of February, 2024, pursuant to the terms of the Promissory Note Instruments.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With effect from the completion of the Pre-Closing Demerger, the rights and obligations of Rezolve Limited under the Subscription Agreements and the Promissory Note Instruments were novated to Rezolve AI plc.</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Cohen &amp; Company Financial Management LLC</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Advisors loans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issued the following promissory notes to financial advisors which were contingently on the close of the Business Combination with Armada:</w:t>
      </w:r>
    </w:p>
    <w:p>
      <w:pPr>
        <w:pStyle w:val="TextBody"/>
        <w:bidi w:val="0"/>
        <w:spacing w:before="240" w:after="283"/>
        <w:jc w:val="left"/>
        <w:rPr/>
      </w:pPr>
      <w:r>
        <w:rPr/>
        <w:t> </w:t>
      </w:r>
    </w:p>
    <w:tbl>
      <w:tblPr>
        <w:tblW w:w="5257" w:type="dxa"/>
        <w:jc w:val="left"/>
        <w:tblInd w:w="0" w:type="dxa"/>
        <w:tblLayout w:type="fixed"/>
        <w:tblCellMar>
          <w:top w:w="28" w:type="dxa"/>
          <w:left w:w="28" w:type="dxa"/>
          <w:bottom w:w="28" w:type="dxa"/>
          <w:right w:w="28" w:type="dxa"/>
        </w:tblCellMar>
      </w:tblPr>
      <w:tblGrid>
        <w:gridCol w:w="1921"/>
        <w:gridCol w:w="227"/>
        <w:gridCol w:w="157"/>
        <w:gridCol w:w="1116"/>
        <w:gridCol w:w="146"/>
        <w:gridCol w:w="448"/>
        <w:gridCol w:w="310"/>
        <w:gridCol w:w="74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Advisors loans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Northland Securities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J.V.B Financial Group</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Northland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J.V.B. Financial Group</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Cantor Fitzgerald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5, 2024 the Company issued 17,354,231 ordinary shares to Cantor to settle the Armada fee. A loss on extinguishment of $1,804,814 was recognized. No further amounts remain outstanding.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measurement and concentration of credit risk</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Level 3—Inputs are unobservable inputs for the asset or liability.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level in the fair value hierarchy within which a fair value measurement in its entirety falls is based on the lowest-level input that is significant to the fair value measurement in its entirety.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Fair value measurement at reporting date:</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211"/>
        <w:gridCol w:w="631"/>
        <w:gridCol w:w="211"/>
        <w:gridCol w:w="146"/>
        <w:gridCol w:w="931"/>
        <w:gridCol w:w="146"/>
        <w:gridCol w:w="211"/>
        <w:gridCol w:w="146"/>
        <w:gridCol w:w="93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fair value of the share-based payment liability was valued using a discounted cash flow method using a risk adjusted discount rate of 10.8%.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Senior secured convertible notes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YA notes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Promissory notes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 of the Company’s cash, accounts receivable, accounts payable and accrued expenses approximated their fair values due to their short term to maturity.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Balance Sheet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our unrestricted cash and cash equivalents on our balance sheet and undrawn amounts under our revolving credit facility as of December 31, 2024 and December 31, 2023:</w:t>
      </w:r>
    </w:p>
    <w:p>
      <w:pPr>
        <w:pStyle w:val="TextBody"/>
        <w:bidi w:val="0"/>
        <w:jc w:val="left"/>
        <w:rPr/>
      </w:pPr>
      <w:r>
        <w:rPr/>
        <w:t> </w:t>
      </w:r>
    </w:p>
    <w:tbl>
      <w:tblPr>
        <w:tblW w:w="7015" w:type="dxa"/>
        <w:jc w:val="left"/>
        <w:tblInd w:w="0" w:type="dxa"/>
        <w:tblLayout w:type="fixed"/>
        <w:tblCellMar>
          <w:top w:w="28" w:type="dxa"/>
          <w:left w:w="28" w:type="dxa"/>
          <w:bottom w:w="28" w:type="dxa"/>
          <w:right w:w="28" w:type="dxa"/>
        </w:tblCellMar>
      </w:tblPr>
      <w:tblGrid>
        <w:gridCol w:w="3256"/>
        <w:gridCol w:w="211"/>
        <w:gridCol w:w="203"/>
        <w:gridCol w:w="1297"/>
        <w:gridCol w:w="146"/>
        <w:gridCol w:w="211"/>
        <w:gridCol w:w="265"/>
        <w:gridCol w:w="1235"/>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Unrestricted 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liquidity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4471"/>
        <w:gridCol w:w="211"/>
        <w:gridCol w:w="146"/>
        <w:gridCol w:w="1096"/>
        <w:gridCol w:w="166"/>
        <w:gridCol w:w="211"/>
        <w:gridCol w:w="146"/>
        <w:gridCol w:w="1096"/>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34,585,896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14,712,061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w:t>
              <w:br/>
              <w:t>   cash equivalents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9,440,503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used in investing activities was $3.5 million for the year ended December 31, 2024, which resulted primarily from costs incurred to continue the development of our Rezolve platform and related technology.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pStyle w:val="TextBody"/>
        <w:bidi w:val="0"/>
        <w:spacing w:before="120" w:after="283"/>
        <w:ind w:left="0" w:right="0" w:firstLine="49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tbl>
      <w:tblPr>
        <w:tblW w:w="4163" w:type="dxa"/>
        <w:jc w:val="left"/>
        <w:tblInd w:w="0" w:type="dxa"/>
        <w:tblLayout w:type="fixed"/>
        <w:tblCellMar>
          <w:top w:w="28" w:type="dxa"/>
          <w:left w:w="28" w:type="dxa"/>
          <w:bottom w:w="28" w:type="dxa"/>
          <w:right w:w="28" w:type="dxa"/>
        </w:tblCellMar>
      </w:tblPr>
      <w:tblGrid>
        <w:gridCol w:w="2176"/>
        <w:gridCol w:w="146"/>
        <w:gridCol w:w="250"/>
        <w:gridCol w:w="173"/>
        <w:gridCol w:w="1227"/>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1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2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3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The period starting on November 15, 2024 and continuing for 12 months.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 The period starting at the end of Commitment Period 1 and continuing for 12 months.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 The period starting at the end of Commitment Period 2 and continuing for 12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2024, we did not have any significant off-balance sheet arrangements, as defined in Item 303(a)(4)(ii) of Regulation S-K.</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i/>
          <w:color w:val="000000"/>
          <w:sz w:val="20"/>
        </w:rPr>
        <w:t>Research and development, patents and licenses, etc</w:t>
      </w:r>
      <w:r>
        <w:rPr>
          <w:rFonts w:ascii="Times New Roman" w:hAnsi="Times New Roman"/>
          <w:b/>
          <w:color w:val="000000"/>
          <w:sz w:val="20"/>
        </w:rPr>
        <w: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color w:val="000000"/>
          <w:sz w:val="20"/>
        </w:rPr>
        <w:t>Please refer to “</w:t>
      </w:r>
      <w:r>
        <w:rPr>
          <w:rFonts w:ascii="Times New Roman" w:hAnsi="Times New Roman"/>
          <w:i/>
          <w:color w:val="000000"/>
          <w:sz w:val="20"/>
        </w:rPr>
        <w:t>Item 4. Information on the Company-B. Business Overview</w:t>
      </w:r>
      <w:r>
        <w:rPr>
          <w:rFonts w:ascii="Times New Roman" w:hAnsi="Times New Roman"/>
          <w:color w:val="000000"/>
          <w:sz w:val="20"/>
        </w:rPr>
        <w:t>” and “</w:t>
      </w:r>
      <w:r>
        <w:rPr>
          <w:rFonts w:ascii="Times New Roman" w:hAnsi="Times New Roman"/>
          <w:i/>
          <w:color w:val="000000"/>
          <w:sz w:val="20"/>
        </w:rPr>
        <w:t>Item 4. Information on the Company-B. Business Overview-Intellectual Property</w:t>
      </w:r>
      <w:r>
        <w:rPr>
          <w:rFonts w:ascii="Times New Roman" w:hAnsi="Times New Roman"/>
          <w:color w:val="000000"/>
          <w:sz w:val="20"/>
        </w:rPr>
        <w:t>.”</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i/>
          <w:color w:val="000000"/>
          <w:sz w:val="20"/>
        </w:rPr>
        <w:t>Trend information</w:t>
      </w:r>
      <w:r>
        <w:rPr>
          <w:rFonts w:ascii="Times New Roman" w:hAnsi="Times New Roman"/>
          <w:b/>
          <w:color w:val="000000"/>
          <w:sz w:val="20"/>
        </w:rPr>
        <w:t>.</w:t>
      </w:r>
      <w:r>
        <w:rPr>
          <w:color w:val="000000"/>
        </w:rPr>
        <w:t xml:space="preserve"> </w:t>
      </w:r>
      <w:bookmarkStart w:id="10" w:name="item_5e"/>
      <w:bookmarkEnd w:id="1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720" w:right="0" w:hanging="0"/>
        <w:jc w:val="left"/>
        <w:rPr/>
      </w:pPr>
      <w:r>
        <w:rPr/>
        <w:t> </w:t>
      </w:r>
    </w:p>
    <w:p>
      <w:pPr>
        <w:pStyle w:val="TextBody"/>
        <w:bidi w:val="0"/>
        <w:ind w:left="720" w:right="0" w:hanging="0"/>
        <w:jc w:val="left"/>
        <w:rPr>
          <w:rFonts w:ascii="Times New Roman" w:hAnsi="Times New Roman"/>
          <w:sz w:val="20"/>
        </w:rPr>
      </w:pPr>
      <w:r>
        <w:rPr>
          <w:rFonts w:ascii="Times New Roman" w:hAnsi="Times New Roman"/>
          <w:color w:val="000000"/>
          <w:sz w:val="20"/>
        </w:rPr>
        <w:t>Please refer to “</w:t>
      </w:r>
      <w:r>
        <w:rPr>
          <w:rFonts w:ascii="Times New Roman" w:hAnsi="Times New Roman"/>
          <w:i/>
          <w:color w:val="000000"/>
          <w:sz w:val="20"/>
        </w:rPr>
        <w:t>Item 4.B—Business Overview—Industry Overview and Trends.”</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significant accounting policies are described in Note 2, “Basis of presentation and summary of significant accounting policies” in the notes to the Rezolve AI plc and Subsidiaries Consolidated Financial Statements included elsewhere in this Report.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Valuation of assets and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Deferred income taxes and related valuation allowances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Capitalized software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or cash flows is disclosed in Note 3 to the Rezolve AI plc and Subsidiaries Consolidated Financial Statements included elsewhere in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1" w:name="item_6"/>
      <w:bookmarkEnd w:id="11"/>
      <w:r>
        <w:rPr>
          <w:rFonts w:ascii="Times New Roman" w:hAnsi="Times New Roman"/>
          <w:b/>
          <w:color w:val="000000"/>
          <w:sz w:val="20"/>
        </w:rPr>
        <w:t>Item 6. Directors, Senior Management and Employees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Directors and senior management.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sets forth the names, business addresses and functions of the Company’s directors and senior management as of the date of this report. The Company’s Articles of Association provide that the Company Board of Directors (the “Company Board”)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 </w:t>
      </w:r>
    </w:p>
    <w:tbl>
      <w:tblPr>
        <w:tblW w:w="7060" w:type="dxa"/>
        <w:jc w:val="left"/>
        <w:tblInd w:w="0" w:type="dxa"/>
        <w:tblLayout w:type="fixed"/>
        <w:tblCellMar>
          <w:top w:w="28" w:type="dxa"/>
          <w:left w:w="28" w:type="dxa"/>
          <w:bottom w:w="28" w:type="dxa"/>
          <w:right w:w="28" w:type="dxa"/>
        </w:tblCellMar>
      </w:tblPr>
      <w:tblGrid>
        <w:gridCol w:w="1636"/>
        <w:gridCol w:w="146"/>
        <w:gridCol w:w="391"/>
        <w:gridCol w:w="146"/>
        <w:gridCol w:w="47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Sharp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David Wright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Perry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Herbert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Burchill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 and General Manager (EMEA)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Sauvik Banerjjee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Products, Technology, and Digital Services</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Salman Ahmad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Executive Director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Daniel Wagner.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Non-Executive Directors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Stephen Perry.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Dr. Derek Smith.</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Dr. Smith has served on the board of directors of Rezolve since January 2022. He has also served as chairman of Rhinegold Publishing Ltd from 2007 to 2019. He also served on the board of Opinion Research Corporation from 1997 to 2003. Dr Smith has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 in Economics from the University of Nottingham and a PhD in Economics from the University of Nottingham. Rezolve believes Dr. Smith is qualified to serve on the board because of his history of holding leadership roles in various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John Wagner.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Anthony Sharp.</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Sir David Wright.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Stephen Herbert.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Executive Officers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Peter Vesco.</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Richard Burchill.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Group Ltd. He also served as director of card services at Arcadia Group Ltd from 2006 to 2021. He holds a degree in Accounting and Finance from Middlesex University and is a member of the Chartered Institute of Management Accountants.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Sauvik Banerjjee.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Dr. Salman Ahmad.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Compensation.</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Rezolve Executive Officer and Director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aggregate cash compensation paid by Rezolve and its subsidiaries to its executive officers and directors for the year ended December 31, 2024 was $2,164,680.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Officer and Director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 Agreement with Daniel Wagner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 Agreement with Richard Burchill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Non-executive Director Letters of Appointment (John Wagner, Anthony Sharp, Sir David Wright, Derek Smith, Stephen Perry, and Stephen Herbert)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Terms of non-executive director appointment letters (John Wagner, Anthony Sharp, Sir David Wright, Derek Smith, and Stephen Perry)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Terms of non-executive director appointment letters (Stephen Herbert)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has entered into letters of appointment with the above named non-executive director on the same terms as set out above with the exception of the term of appointment and compensation, which will be for a period of one year with no cash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Board practices.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Independence of Directors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Rezolve Board of Directors Composition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Role of Rezolve Board of Directors in Risk Oversight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Committees of the Rezolve Board of Directors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Following the Closing, the board of directors established three standing committees: (i) an audit committee (the "</w:t>
      </w:r>
      <w:r>
        <w:rPr>
          <w:rFonts w:ascii="Times New Roman" w:hAnsi="Times New Roman"/>
          <w:b/>
          <w:i/>
          <w:color w:val="000000"/>
          <w:sz w:val="20"/>
        </w:rPr>
        <w:t>Audit Committee</w:t>
      </w:r>
      <w:r>
        <w:rPr>
          <w:rFonts w:ascii="Times New Roman" w:hAnsi="Times New Roman"/>
          <w:color w:val="000000"/>
          <w:sz w:val="20"/>
        </w:rPr>
        <w:t>"), (ii) a remuneration committee (the "</w:t>
      </w:r>
      <w:r>
        <w:rPr>
          <w:rFonts w:ascii="Times New Roman" w:hAnsi="Times New Roman"/>
          <w:b/>
          <w:i/>
          <w:color w:val="000000"/>
          <w:sz w:val="20"/>
        </w:rPr>
        <w:t>Remuneration Committee</w:t>
      </w:r>
      <w:r>
        <w:rPr>
          <w:rFonts w:ascii="Times New Roman" w:hAnsi="Times New Roman"/>
          <w:color w:val="000000"/>
          <w:sz w:val="20"/>
        </w:rPr>
        <w:t>"), and (iii) a nominating and corporate governance committee (the "</w:t>
      </w:r>
      <w:r>
        <w:rPr>
          <w:rFonts w:ascii="Times New Roman" w:hAnsi="Times New Roman"/>
          <w:b/>
          <w:i/>
          <w:color w:val="000000"/>
          <w:sz w:val="20"/>
        </w:rPr>
        <w:t>Nominating and Corporate Governance Committee</w:t>
      </w:r>
      <w:r>
        <w:rPr>
          <w:rFonts w:ascii="Times New Roman" w:hAnsi="Times New Roman"/>
          <w:color w:val="000000"/>
          <w:sz w:val="20"/>
        </w:rPr>
        <w:t>"). In addition, from time to time, special committees may be established under the direction of our board of directors when necessary to address specific issues.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Audit Committee is responsible for, among other things: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with our independent registered accounting firm regarding, among other issues, audits, and adequacy of our accounting and control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the independence of the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verifying the rotation of the lead (or coordinating) audit partner having primary responsibility for the audit and the audit partner responsible for reviewing the audit as required by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inquiring and discussing with management our compliance with applicable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pre-approving all audit services and permitted non-audit services to be performed by our independent registered public accounting firm, including the fees and terms of the services to be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or replacing the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the receipt, retention and treatment of complaints received by us regarding accounting, internal accounting controls or reports which raise material issues regarding our financial statements or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policies on risk assessment and risk management;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related person transactions.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Remuneration Committee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Remuneration Committee is responsible for, among other things: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compensation of all of our other executive officers;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executive compensation policies and plans;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and administering our incentive compensation equity-based remuneration plans;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management in complying with any disclosure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all special perquisites, special cash payments and other special compensation and benefit arrangements for our officers and employees;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evaluating and recommending changes, if appropriate, to the remuneration for directors.;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retaining and overseeing any compensation consultants.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Remuneration Committee consists of Anthony Sharp and Steve Perry, with Steve Perry serving as the chair of the committee. Our board of directors has adopted a written terms of reference for the Remuneration Committee, which is available on our website.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Nominating and Corporate Governance Committee is responsible for, among other things: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individuals qualified to become members of our board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our board of directors the persons to be nominated for election as directors and to each of the committees of our board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with respect to our board leadership structure;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with respect to management succession planning;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our board of directors corporate governance principles.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board of directors has adopted a Code of Ethics applicable to our directors, executive officers and team members that complies with the rules and regulations of the SEC and Nasdaq. The Code of Ethics is available on our website.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 on Liability and Indemnification of Officers and Directors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Articles of Association provide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believe that these provisions, the insurance and the indemnity agreements are necessary to attract and retain talented and experienced officers and directors.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For further details on the indemnity provisions referred to in our Articles of Association, see the section entitled “</w:t>
      </w:r>
      <w:r>
        <w:rPr>
          <w:rFonts w:ascii="Times New Roman" w:hAnsi="Times New Roman"/>
          <w:i/>
          <w:color w:val="000000"/>
          <w:sz w:val="20"/>
        </w:rPr>
        <w:t>Description of Ordinary Shares and Articles of Association</w:t>
      </w:r>
      <w:r>
        <w:rPr>
          <w:rFonts w:ascii="Times New Roman" w:hAnsi="Times New Roman"/>
          <w:color w:val="000000"/>
          <w:sz w:val="20"/>
        </w:rPr>
        <w:t>” of this prospectus, and for a summary of the indemnification agreement, see the section entitled “</w:t>
      </w:r>
      <w:r>
        <w:rPr>
          <w:rFonts w:ascii="Times New Roman" w:hAnsi="Times New Roman"/>
          <w:i/>
          <w:color w:val="000000"/>
          <w:sz w:val="20"/>
        </w:rPr>
        <w:t>Indemnification Agreements with Officers and Directors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Policies and Procedures for Related Person Transactions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who is, or at any time during the applicable period was, one of Rezolve’s executive officers or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who is known by Rezolve to be the beneficial owner of more than 5% of Rezolve voting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Employees.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89"/>
        <w:jc w:val="left"/>
        <w:rPr>
          <w:rFonts w:ascii="Times New Roman" w:hAnsi="Times New Roman"/>
          <w:color w:val="000000"/>
          <w:sz w:val="20"/>
        </w:rPr>
      </w:pPr>
      <w:bookmarkStart w:id="12" w:name="item_6e_1"/>
      <w:bookmarkEnd w:id="12"/>
      <w:r>
        <w:rPr>
          <w:rFonts w:ascii="Times New Roman" w:hAnsi="Times New Roman"/>
          <w:color w:val="000000"/>
          <w:sz w:val="20"/>
        </w:rPr>
        <w:t>As of December 31, 2024, we had 26 employees and 35 contractors. None of our employees is represented by a labor organization or is a party to a collective bargaining arrangement. We consider our relationship with our employees to be excellent.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 ownership. </w:t>
      </w:r>
    </w:p>
    <w:p>
      <w:pPr>
        <w:pStyle w:val="TextBody"/>
        <w:bidi w:val="0"/>
        <w:spacing w:before="120" w:after="283"/>
        <w:ind w:left="0" w:right="0" w:firstLine="489"/>
        <w:jc w:val="left"/>
        <w:rPr>
          <w:rFonts w:ascii="Times New Roman" w:hAnsi="Times New Roman"/>
          <w:color w:val="000000"/>
          <w:sz w:val="20"/>
        </w:rPr>
      </w:pPr>
      <w:r>
        <w:rPr>
          <w:rFonts w:ascii="Times New Roman" w:hAnsi="Times New Roman"/>
          <w:color w:val="000000"/>
          <w:sz w:val="20"/>
        </w:rPr>
        <w:t>Information regarding the ownership of Ordinary Shares by our directors and executive officers is set forth in Item 7.A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Disclosure of a registrant’s action to recover erroneously awarded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during or after the last completed fiscal year, was not required to prepare an accounting restatement that required recovery of erroneously awarded compensation.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3" w:name="item_7"/>
      <w:bookmarkEnd w:id="13"/>
      <w:r>
        <w:rPr>
          <w:rFonts w:ascii="Times New Roman" w:hAnsi="Times New Roman"/>
          <w:b/>
          <w:color w:val="000000"/>
          <w:sz w:val="20"/>
        </w:rPr>
        <w:t>Item 7. Major Shareholders and Related Party Transactions</w:t>
      </w:r>
      <w:r>
        <w:rPr>
          <w:rFonts w:ascii="Times New Roman" w:hAnsi="Times New Roman"/>
          <w:color w:val="000000"/>
          <w:sz w:val="20"/>
        </w:rPr>
        <w:t xml:space="preserve"> </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Fonts w:ascii="Times New Roman" w:hAnsi="Times New Roman"/>
          <w:b/>
          <w:color w:val="000000"/>
          <w:sz w:val="20"/>
        </w:rPr>
        <w:t>Major shareholders.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following table sets forth information relating to the beneficial ownership of our Ordinary Shares as of April 21, 2025</w:t>
      </w:r>
      <w:r>
        <w:rPr>
          <w:rFonts w:ascii="Times New Roman" w:hAnsi="Times New Roman"/>
          <w:color w:val="1F497D"/>
          <w:sz w:val="20"/>
        </w:rPr>
        <w:t xml:space="preserve"> </w:t>
      </w:r>
      <w:r>
        <w:rPr>
          <w:rFonts w:ascii="Times New Roman" w:hAnsi="Times New Roman"/>
          <w:color w:val="000000"/>
          <w:sz w:val="20"/>
        </w:rPr>
        <w:t>by: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known by us to beneficially own more than 5% of outstanding Ordinary Shares;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 and executive officers;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percentage of Ordinary Shares beneficially owned is computed on the basis of 243,671,374 Ordinary Shares outstanding.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pStyle w:val="TextBody"/>
        <w:bidi w:val="0"/>
        <w:jc w:val="left"/>
        <w:rPr/>
      </w:pPr>
      <w:r>
        <w:rPr/>
        <w:t> </w:t>
      </w:r>
    </w:p>
    <w:tbl>
      <w:tblPr>
        <w:tblW w:w="7023" w:type="dxa"/>
        <w:jc w:val="left"/>
        <w:tblInd w:w="0" w:type="dxa"/>
        <w:tblLayout w:type="fixed"/>
        <w:tblCellMar>
          <w:top w:w="28" w:type="dxa"/>
          <w:left w:w="28" w:type="dxa"/>
          <w:bottom w:w="28" w:type="dxa"/>
          <w:right w:w="28" w:type="dxa"/>
        </w:tblCellMar>
      </w:tblPr>
      <w:tblGrid>
        <w:gridCol w:w="3826"/>
        <w:gridCol w:w="146"/>
        <w:gridCol w:w="170"/>
        <w:gridCol w:w="1210"/>
        <w:gridCol w:w="146"/>
        <w:gridCol w:w="346"/>
        <w:gridCol w:w="146"/>
        <w:gridCol w:w="146"/>
        <w:gridCol w:w="571"/>
        <w:gridCol w:w="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Name of Beneficial Owners</w:t>
            </w:r>
            <w:r>
              <w:rPr>
                <w:rFonts w:ascii="Times New Roman" w:hAnsi="Times New Roman"/>
                <w:b/>
                <w:i/>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Directors and Executive Officers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53,429,933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49,547,417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David Wright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Herbert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Sauvik Banerjee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directors and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58,893,222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Five Percent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DBLP Sea Cow Limited</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48,731,428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35,965,051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Brooks Newmark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24,370,676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 Wickens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25,646,057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Aperion Investment Group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otherwise indicated, the business address of each of the following owners is 21 Sackville Street, London, W1S 3DN, United Kingdom.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Includes (i) 4,698,505 shares directly held by Daniel Wagner; (ii) 37,052,254 shares directly held by DBLP Sea Cow Limited (“</w:t>
      </w:r>
      <w:r>
        <w:rPr>
          <w:rFonts w:ascii="Times New Roman" w:hAnsi="Times New Roman"/>
          <w:b/>
          <w:i/>
          <w:color w:val="000000"/>
          <w:sz w:val="20"/>
        </w:rPr>
        <w:t>DBLP</w:t>
      </w:r>
      <w:r>
        <w:rPr>
          <w:color w:val="000000"/>
        </w:rPr>
        <w:t>”</w:t>
      </w:r>
      <w:r>
        <w:rPr>
          <w:rFonts w:ascii="Times New Roman" w:hAnsi="Times New Roman"/>
          <w:color w:val="000000"/>
          <w:sz w:val="20"/>
        </w:rPr>
        <w:t>); and (iii) 11,679,174 shares issuable to DBLP upon conversion of certain options granted under Rezolve's Long Term Incentive Plan ("LTIP"). DBLP is wholly legally owned by Mr. Wagner and Mr. Wagner is a director of DBLP and therefore Mr. Wagner may be deemed to share voting and investment power over the shares held by DBLP.</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815,989 shares directly held by John Wagner; (ii) 37,052,254 shares directly held by DBLP; and (iii)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1,879,352 Ordinary Shares; and (ii) 42,441 Ordinary Shares issued upon the conversion of the Advance Subscription made by Mr. Sharp. Excludes 15,850 Ordinary Shares underlying the Private Warrants held by Mr. Sharp.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564,935 Ordinary Shares; (ii) 110,000 Ordinary Shares issued upon the conversion of the Advance Subscription made by Mr. Perry; and (iii) 69,526 Ordinary Shares, issued upon conversion of the Convertible Note held by Mr. Perry. Excludes (i) 34,395 Ordinary Shares, which is the maximum amount of Ordinary Shares issuable upon conversion of the Promissory Note held by Mr. Perry, when converted at $2 per share; and (ii) 12,700 Ordinary Shares underlying the Private Warrants held by Mr. Perry.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33,334 Ordinary Shares issued upon the conversion of the Advance Subscription made by Mr. Smith.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1,142,384 Ordinary Shares and (ii) 11,249 Ordinary Shares issued upon the conversion of the Advance Subscription made by Mr. Vesco.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is wholly legally owned by Daniel Wagner and is wholly beneficially owned by John Wagner. Both Daniel Wagner and John Wagner are directors of DBLP.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37,052,254 Ordinary Shares; and (ii) 11,679,174 shares issuable to DBLP upon conversion of certain options granted under the LTIP. Excludes (i) 3,592,193 shares subject to a call option currently exercisable by Brad Wickens.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(i) 34,771,000 Ordinary Shares; and (ii) 1,194,051 Ordinary Shares issued upon conversion of the Convertible Note held by Mr. Lychagov.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15,170,676 Ordinary Shares and (ii) 9,200,000 Ordinary Shares issued upon the conversion of the Advance Subscription made by Mr. Newmark.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9,638,692 Ordinary Shares, (ii) 1,240,865 Ordinary Shares currently held by Apeiron on Mr. Wickens' behalf, (iii) 3,592,194 Ordinary Shares currently held by DBLP but subject to a call option currently exercisable by Mr. Wickens, (iv) 333,333 Ordinary Shares issued upon the conversion of the Advance Subscription made by Mr. Wickens; and (v) 10,840,973 Ordinary Shares issued upon conversion of the Convertible Note held by Mr. Wickens. Excludes (i) 156,250 Ordinary Shares, which is the amount of Ordinary Shares issuable upon conversion of the Promissory Note held by Mr. Wickens when converted at $2 per share and (ii) 62,500 Ordinary Shares underlying the Private Warrants held by Mr. Wickens.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10,712,645 Ordinary Shares, (ii) 333,333 Ordinary Shares issued upon conversion of the Advance Subscription made by Apeiron; and (iii) 13,806,181 Ordinary Shares issued upon conversion of the Convertible Note held by Apeiron. Excludes (i) 1,240,865 Ordinary Shares held by Apeiron on Brad Wickens' behalf; (ii) (ii) 182,886 Ordinary Shares issuable upon potential conversion of the Promissory Note held by Apeiron; and (iii) 62,500 Ordinary Shares underlying the Private Warrants held by Apeiron.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pPr>
      <w:r>
        <w:rPr>
          <w:rFonts w:ascii="Times New Roman" w:hAnsi="Times New Roman"/>
          <w:b/>
          <w:color w:val="000000"/>
          <w:sz w:val="20"/>
        </w:rPr>
        <w:t>Related party transactions.</w:t>
      </w:r>
      <w:r>
        <w:rPr>
          <w:color w:val="00000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is a description of certain related party transactions we have entered into since December 31, 2022 with any of our executive officers, directors or their affiliates and holders of more than 10% of any class of our voting securities in the aggregate, which we refer to as related parties, other than compensation arrangements.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Investor Rights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Investor Rights Agreement, subject to certain exceptions, the Holders agreed to not transfer or make any announcement of any intention to effect a transfer, in respect of the shares beneficially owned or otherwise held by the Holders prior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Lock-In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February 4, 2025, the Company entered into the Bluedot Purchase Agreement, by and between the Company and DBLP Sea Cow Limited (a company incorporated in the Seychelles) (“DBLP”), pursuant to which the Company agreed to purchase, and DBLP agreed to sell, the entire issued and to be issued share capital of Bluedot.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February 20, 2025, Rezolve closed the Bluedot Acquisition. As consideration for the Bluedot Acquisition, Rezolve issued 819,737 ordinary shares of the Company in a private placement to DBLP.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DBLP is is a related party and is wholly legally owned by Daniel Wagner and beneficially owned by John Wagner. Both Daniel Wagner and John Wagner are directors of DBLP.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Relationship with Daniel Wagner</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We have debt outstanding to Daniel Wagner and DBLP Sea Cow Limited (a company incorporated in the Seychelles) (“</w:t>
      </w:r>
      <w:r>
        <w:rPr>
          <w:rFonts w:ascii="Times New Roman" w:hAnsi="Times New Roman"/>
          <w:i/>
          <w:color w:val="000000"/>
          <w:sz w:val="20"/>
        </w:rPr>
        <w:t>DBLP</w:t>
      </w:r>
      <w:r>
        <w:rPr>
          <w:rFonts w:ascii="Times New Roman" w:hAnsi="Times New Roman"/>
          <w:color w:val="000000"/>
          <w:sz w:val="20"/>
        </w:rPr>
        <w:t>”), which is wholly legally owned by Daniel Wagner and beneficially owned by John Wagner, in the amounts of $5,555,122 and $447,067, an aggregate of $6,002,189. The loans provided by DBLP were to provide liquidity to Rezolve. There are no formal loan documents in place and the loan is non-interest bearing and remains callable at any time. We expect the loan to be called and repaid in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pStyle w:val="TextBody"/>
        <w:bidi w:val="0"/>
        <w:spacing w:before="240" w:after="283"/>
        <w:jc w:val="left"/>
        <w:rPr>
          <w:rFonts w:ascii="Times New Roman" w:hAnsi="Times New Roman"/>
          <w:sz w:val="20"/>
        </w:rPr>
      </w:pPr>
      <w:r>
        <w:rPr>
          <w:rFonts w:ascii="Times New Roman" w:hAnsi="Times New Roman"/>
          <w:i/>
          <w:color w:val="000000"/>
          <w:sz w:val="20"/>
        </w:rPr>
        <w:t>Other amounts due to related parties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At December 31, 2024, we have the $137,019 due to Arthur Yao and $17,433 due to Steve Perry. All of these outstanding amounts will be settled in 2025. </w:t>
      </w:r>
    </w:p>
    <w:p>
      <w:pPr>
        <w:pStyle w:val="TextBody"/>
        <w:bidi w:val="0"/>
        <w:spacing w:before="240" w:after="283"/>
        <w:ind w:left="489" w:right="0" w:hanging="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pPr>
      <w:r>
        <w:rPr>
          <w:rFonts w:ascii="Times New Roman" w:hAnsi="Times New Roman"/>
          <w:b/>
          <w:color w:val="000000"/>
          <w:sz w:val="20"/>
        </w:rPr>
        <w:t>Interests of experts and counsel.</w:t>
      </w:r>
      <w:r>
        <w:rPr>
          <w:color w:val="000000"/>
        </w:rPr>
        <w:t xml:space="preserve"> </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bookmarkStart w:id="14" w:name="item_8"/>
      <w:bookmarkEnd w:id="14"/>
      <w:r>
        <w:rPr>
          <w:rFonts w:ascii="Times New Roman" w:hAnsi="Times New Roman"/>
          <w:b/>
          <w:color w:val="000000"/>
          <w:sz w:val="20"/>
        </w:rPr>
        <w:t>Item 8. Financial Information</w:t>
      </w:r>
      <w:r>
        <w:rPr>
          <w:rFonts w:ascii="Times New Roman" w:hAnsi="Times New Roman"/>
          <w:color w:val="000000"/>
          <w:sz w:val="20"/>
        </w:rPr>
        <w:t xml:space="preserve"> </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Statements and Other Financial Information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See Item 18 of this Report for consolidated financial statements and other financial information.</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Changes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A discussion of significant changes in our business can be found under “</w:t>
      </w:r>
      <w:r>
        <w:rPr>
          <w:rFonts w:ascii="Times New Roman" w:hAnsi="Times New Roman"/>
          <w:i/>
          <w:color w:val="000000"/>
          <w:sz w:val="20"/>
        </w:rPr>
        <w:t>Item 5—Recent Developments</w:t>
      </w:r>
      <w:r>
        <w:rPr>
          <w:rFonts w:ascii="Times New Roman" w:hAnsi="Times New Roman"/>
          <w:color w:val="000000"/>
          <w:sz w:val="20"/>
        </w:rPr>
        <w:t>.”</w:t>
      </w:r>
    </w:p>
    <w:p>
      <w:pPr>
        <w:pStyle w:val="TextBody"/>
        <w:bidi w:val="0"/>
        <w:spacing w:before="120" w:after="283"/>
        <w:ind w:left="0" w:right="0" w:firstLine="490"/>
        <w:jc w:val="left"/>
        <w:rPr/>
      </w:pPr>
      <w:r>
        <w:rPr/>
        <w:t> </w:t>
      </w:r>
    </w:p>
    <w:p>
      <w:pPr>
        <w:pStyle w:val="TextBody"/>
        <w:bidi w:val="0"/>
        <w:spacing w:before="360" w:after="283"/>
        <w:jc w:val="left"/>
        <w:rPr>
          <w:rFonts w:ascii="Times New Roman" w:hAnsi="Times New Roman"/>
          <w:b/>
          <w:color w:val="000000"/>
          <w:sz w:val="20"/>
        </w:rPr>
      </w:pPr>
      <w:bookmarkStart w:id="15" w:name="item_9"/>
      <w:bookmarkEnd w:id="15"/>
      <w:r>
        <w:rPr>
          <w:rFonts w:ascii="Times New Roman" w:hAnsi="Times New Roman"/>
          <w:b/>
          <w:color w:val="000000"/>
          <w:sz w:val="20"/>
        </w:rPr>
        <w:t>Item 9. The Offer and Listing.</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Offer and listing details .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The Ordinary Shares and Warrants are listed on Nasdaq under the symbol “RZLV” and “RZLV.W”, respectively.</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Plan of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pPr>
      <w:r>
        <w:rPr>
          <w:rFonts w:ascii="Times New Roman" w:hAnsi="Times New Roman"/>
          <w:b/>
          <w:color w:val="000000"/>
          <w:sz w:val="20"/>
        </w:rPr>
        <w:t>Markets</w:t>
      </w:r>
      <w:r>
        <w:rPr>
          <w:color w:val="000000"/>
        </w:rPr>
        <w:t xml:space="preserve"> </w:t>
      </w:r>
      <w:r>
        <w:rPr>
          <w:rFonts w:ascii="Times New Roman" w:hAnsi="Times New Roman"/>
          <w:b/>
          <w:color w:val="000000"/>
          <w:sz w:val="20"/>
        </w:rPr>
        <w:t>.</w:t>
      </w:r>
      <w:r>
        <w:rPr>
          <w:color w:val="000000"/>
        </w:rPr>
        <w:t xml:space="preserve"> </w:t>
      </w:r>
    </w:p>
    <w:p>
      <w:pPr>
        <w:pStyle w:val="TextBody"/>
        <w:bidi w:val="0"/>
        <w:spacing w:before="120" w:after="283"/>
        <w:ind w:left="489" w:right="0" w:hanging="0"/>
        <w:jc w:val="left"/>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Offer and Listing Details</w:t>
      </w:r>
      <w:r>
        <w:rPr>
          <w:rFonts w:ascii="Times New Roman" w:hAnsi="Times New Roman"/>
          <w:color w:val="000000"/>
          <w:sz w:val="20"/>
        </w:rPr>
        <w:t>” above.</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Selling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pPr>
      <w:r>
        <w:rPr>
          <w:rFonts w:ascii="Times New Roman" w:hAnsi="Times New Roman"/>
          <w:b/>
          <w:color w:val="000000"/>
          <w:sz w:val="20"/>
        </w:rPr>
        <w:t>Dilution.</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pPr>
      <w:r>
        <w:rPr>
          <w:rFonts w:ascii="Times New Roman" w:hAnsi="Times New Roman"/>
          <w:b/>
          <w:color w:val="000000"/>
          <w:sz w:val="20"/>
        </w:rPr>
        <w:t>Expenses of the issue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10"/>
      <w:bookmarkEnd w:id="16"/>
      <w:r>
        <w:rPr>
          <w:rFonts w:ascii="Times New Roman" w:hAnsi="Times New Roman"/>
          <w:b/>
          <w:color w:val="000000"/>
          <w:sz w:val="20"/>
        </w:rPr>
        <w:t>Item 10. Additional Information.</w:t>
      </w:r>
      <w:r>
        <w:rPr>
          <w:rFonts w:ascii="Times New Roman" w:hAnsi="Times New Roman"/>
          <w:color w:val="000000"/>
          <w:sz w:val="20"/>
        </w:rPr>
        <w:t xml:space="preserve"> </w:t>
      </w:r>
    </w:p>
    <w:p>
      <w:pPr>
        <w:pStyle w:val="TextBody"/>
        <w:bidi w:val="0"/>
        <w:spacing w:before="120" w:after="283"/>
        <w:ind w:left="489" w:right="0" w:hanging="0"/>
        <w:jc w:val="left"/>
        <w:rPr>
          <w:rFonts w:ascii="Times New Roman" w:hAnsi="Times New Roman"/>
          <w:b/>
          <w:color w:val="000000"/>
          <w:sz w:val="20"/>
        </w:rPr>
      </w:pPr>
      <w:r>
        <w:rPr>
          <w:rFonts w:ascii="Times New Roman" w:hAnsi="Times New Roman"/>
          <w:b/>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Fonts w:ascii="Times New Roman" w:hAnsi="Times New Roman"/>
          <w:b/>
          <w:color w:val="000000"/>
          <w:sz w:val="20"/>
        </w:rPr>
        <w:t>Share capital.</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Memorandum and Articles of Association.</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The information required to be disclosed under this item is incorporated by reference to Exhibit 3.2 filed herein</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Material contracts.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21, 2025 (the “Effective Date”),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 </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the satisfaction or waiver of certain conditions to closing set forth in the SPA, the Company will initially sell $100 million of Convertible Notes (the “Initial Notes”) to the Buyers (the “Initial Closing”). In connection with the Initial Closing, the Company will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pStyle w:val="TextBody"/>
        <w:bidi w:val="0"/>
        <w:jc w:val="both"/>
        <w:rPr>
          <w:rFonts w:ascii="Times New Roman" w:hAnsi="Times New Roman"/>
          <w:color w:val="000000"/>
          <w:sz w:val="20"/>
        </w:rPr>
      </w:pPr>
      <w:r>
        <w:rPr>
          <w:rFonts w:ascii="Times New Roman" w:hAnsi="Times New Roman"/>
          <w:color w:val="000000"/>
          <w:sz w:val="20"/>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pStyle w:val="TextBody"/>
        <w:bidi w:val="0"/>
        <w:jc w:val="both"/>
        <w:rPr>
          <w:rFonts w:ascii="Times New Roman" w:hAnsi="Times New Roman"/>
          <w:color w:val="000000"/>
          <w:sz w:val="20"/>
        </w:rPr>
      </w:pPr>
      <w:r>
        <w:rPr>
          <w:rFonts w:ascii="Times New Roman" w:hAnsi="Times New Roman"/>
          <w:color w:val="000000"/>
          <w:sz w:val="20"/>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pStyle w:val="TextBody"/>
        <w:bidi w:val="0"/>
        <w:jc w:val="both"/>
        <w:rPr>
          <w:rFonts w:ascii="Times New Roman" w:hAnsi="Times New Roman"/>
          <w:color w:val="000000"/>
          <w:sz w:val="20"/>
        </w:rPr>
      </w:pPr>
      <w:r>
        <w:rPr>
          <w:rFonts w:ascii="Times New Roman" w:hAnsi="Times New Roman"/>
          <w:color w:val="000000"/>
          <w:sz w:val="20"/>
        </w:rPr>
        <w:t xml:space="preserve">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 </w:t>
      </w:r>
    </w:p>
    <w:p>
      <w:pPr>
        <w:pStyle w:val="TextBody"/>
        <w:bidi w:val="0"/>
        <w:jc w:val="both"/>
        <w:rPr>
          <w:rFonts w:ascii="Times New Roman" w:hAnsi="Times New Roman"/>
          <w:color w:val="000000"/>
          <w:sz w:val="20"/>
        </w:rPr>
      </w:pPr>
      <w:r>
        <w:rPr>
          <w:rFonts w:ascii="Times New Roman" w:hAnsi="Times New Roman"/>
          <w:color w:val="000000"/>
          <w:sz w:val="20"/>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pStyle w:val="TextBody"/>
        <w:bidi w:val="0"/>
        <w:jc w:val="left"/>
        <w:rPr>
          <w:rFonts w:ascii="Times New Roman" w:hAnsi="Times New Roman"/>
          <w:color w:val="000000"/>
          <w:sz w:val="20"/>
        </w:rPr>
      </w:pPr>
      <w:r>
        <w:rPr>
          <w:rFonts w:ascii="Times New Roman" w:hAnsi="Times New Roman"/>
          <w:color w:val="000000"/>
          <w:sz w:val="20"/>
        </w:rPr>
        <w:t xml:space="preserve">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of the Buyers or their affiliates have in the past provided and may from time to time in the future provide investment banking and other services to the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GroupBy Purchase Agreement</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color w:val="000000"/>
          <w:sz w:val="20"/>
        </w:rPr>
        <w:t>On February 11, 2025, the Company entered into a purchase agreement (the "</w:t>
      </w:r>
      <w:r>
        <w:rPr>
          <w:rFonts w:ascii="Times New Roman" w:hAnsi="Times New Roman"/>
          <w:i/>
          <w:color w:val="000000"/>
          <w:sz w:val="20"/>
        </w:rPr>
        <w:t>GroupBy</w:t>
      </w:r>
      <w:r>
        <w:rPr>
          <w:rFonts w:ascii="Times New Roman" w:hAnsi="Times New Roman"/>
          <w:color w:val="000000"/>
          <w:sz w:val="20"/>
        </w:rPr>
        <w:t xml:space="preserve"> </w:t>
      </w:r>
      <w:r>
        <w:rPr>
          <w:rFonts w:ascii="Times New Roman" w:hAnsi="Times New Roman"/>
          <w:i/>
          <w:color w:val="000000"/>
          <w:sz w:val="20"/>
        </w:rPr>
        <w:t>Purchase Agreement</w:t>
      </w:r>
      <w:r>
        <w:rPr>
          <w:rFonts w:ascii="Times New Roman" w:hAnsi="Times New Roman"/>
          <w:color w:val="000000"/>
          <w:sz w:val="20"/>
        </w:rPr>
        <w:t>"), by and among the Company, GroupBy Inc. ("</w:t>
      </w:r>
      <w:r>
        <w:rPr>
          <w:rFonts w:ascii="Times New Roman" w:hAnsi="Times New Roman"/>
          <w:i/>
          <w:color w:val="000000"/>
          <w:sz w:val="20"/>
        </w:rPr>
        <w:t>GroupBy</w:t>
      </w:r>
      <w:r>
        <w:rPr>
          <w:rFonts w:ascii="Times New Roman" w:hAnsi="Times New Roman"/>
          <w:color w:val="000000"/>
          <w:sz w:val="20"/>
        </w:rPr>
        <w:t>"), GroupBy International ("</w:t>
      </w:r>
      <w:r>
        <w:rPr>
          <w:rFonts w:ascii="Times New Roman" w:hAnsi="Times New Roman"/>
          <w:i/>
          <w:color w:val="000000"/>
          <w:sz w:val="20"/>
        </w:rPr>
        <w:t>GroupBy Internationa</w:t>
      </w:r>
      <w:r>
        <w:rPr>
          <w:rFonts w:ascii="Times New Roman" w:hAnsi="Times New Roman"/>
          <w:color w:val="000000"/>
          <w:sz w:val="20"/>
        </w:rPr>
        <w:t>l") and Fortis Advisors LLC, a Delaware limited liability company, as the representative of the sellers party thereto (the “</w:t>
      </w:r>
      <w:r>
        <w:rPr>
          <w:rFonts w:ascii="Times New Roman" w:hAnsi="Times New Roman"/>
          <w:i/>
          <w:color w:val="000000"/>
          <w:sz w:val="20"/>
        </w:rPr>
        <w:t>Sellers</w:t>
      </w:r>
      <w:r>
        <w:rPr>
          <w:rFonts w:ascii="Times New Roman" w:hAnsi="Times New Roman"/>
          <w:color w:val="000000"/>
          <w:sz w:val="20"/>
        </w:rPr>
        <w:t>”), pursuant to which the Company agreed to purchase, and the Sellers agreed to sell, the entire issued and to be issued share capital of each of GroupBy and GroupBy International (the “</w:t>
      </w:r>
      <w:r>
        <w:rPr>
          <w:rFonts w:ascii="Times New Roman" w:hAnsi="Times New Roman"/>
          <w:i/>
          <w:color w:val="000000"/>
          <w:sz w:val="20"/>
        </w:rPr>
        <w:t>Acquisition</w:t>
      </w:r>
      <w:r>
        <w:rPr>
          <w:rFonts w:ascii="Times New Roman" w:hAnsi="Times New Roman"/>
          <w:color w:val="000000"/>
          <w:sz w:val="20"/>
        </w:rPr>
        <w:t xml:space="preserve">”). </w:t>
      </w:r>
    </w:p>
    <w:p>
      <w:pPr>
        <w:pStyle w:val="TextBody"/>
        <w:bidi w:val="0"/>
        <w:ind w:left="0" w:right="0" w:firstLine="720"/>
        <w:jc w:val="left"/>
        <w:rPr>
          <w:rFonts w:ascii="Times New Roman" w:hAnsi="Times New Roman"/>
          <w:sz w:val="20"/>
        </w:rPr>
      </w:pPr>
      <w:r>
        <w:rPr>
          <w:rFonts w:ascii="Times New Roman" w:hAnsi="Times New Roman"/>
          <w:color w:val="000000"/>
          <w:sz w:val="20"/>
        </w:rPr>
        <w:t>On March 25, 2025, the Company closed the Acquisition (the "</w:t>
      </w:r>
      <w:r>
        <w:rPr>
          <w:rFonts w:ascii="Times New Roman" w:hAnsi="Times New Roman"/>
          <w:i/>
          <w:color w:val="000000"/>
          <w:sz w:val="20"/>
        </w:rPr>
        <w:t>Closing</w:t>
      </w:r>
      <w:r>
        <w:rPr>
          <w:rFonts w:ascii="Times New Roman" w:hAnsi="Times New Roman"/>
          <w:color w:val="000000"/>
          <w:sz w:val="20"/>
        </w:rPr>
        <w:t>"). As consideration for the Acquisition, the Company issued an aggregate of 3,999,902 of ordinary shares of £0.0001 nominal value in the capital of the Company ("</w:t>
      </w:r>
      <w:r>
        <w:rPr>
          <w:rFonts w:ascii="Times New Roman" w:hAnsi="Times New Roman"/>
          <w:i/>
          <w:color w:val="000000"/>
          <w:sz w:val="20"/>
        </w:rPr>
        <w:t>Ordinary Shares</w:t>
      </w:r>
      <w:r>
        <w:rPr>
          <w:rFonts w:ascii="Times New Roman" w:hAnsi="Times New Roman"/>
          <w:color w:val="000000"/>
          <w:sz w:val="20"/>
        </w:rPr>
        <w:t>") in a private placement to the Sellers. In addition, the Company intends to grant stock options exercisable for an aggregate of 3,098,270 Ordinary Shares to certain individuals pursuant to the GroupBy Purchase Agreement.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Bluedot Purchase Agreement</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On February 4, 2025, the Company entered into the Bluedot Purchase Agreement, by and between the Company and DBLP Sea Cow Limited (a company incorporated in the Seychelles) (“</w:t>
      </w:r>
      <w:r>
        <w:rPr>
          <w:rFonts w:ascii="Times New Roman" w:hAnsi="Times New Roman"/>
          <w:i/>
          <w:color w:val="000000"/>
          <w:sz w:val="20"/>
        </w:rPr>
        <w:t>DBLP</w:t>
      </w:r>
      <w:r>
        <w:rPr>
          <w:rFonts w:ascii="Times New Roman" w:hAnsi="Times New Roman"/>
          <w:color w:val="000000"/>
          <w:sz w:val="20"/>
        </w:rPr>
        <w:t>”), pursuant to which the Company agreed to purchase, and DBLP agreed to sell, the entire issued and to be issued share capital of Bluedot.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February 20, 2025, Rezolve closed the Bluedot Acquisition. As consideration for the Bluedot Acquisition, Rezolve issued 819,737 ordinary shares of the Company in a private placement to DBLP.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DBLP is is a related party and is wholly legally owned by Daniel Wagner and beneficially owned by John Wagner. Both Daniel Wagner and John Wagner are directors of DBLP.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Yorkville Convertible Promissory Note and Capital Commitment</w:t>
      </w:r>
    </w:p>
    <w:p>
      <w:pPr>
        <w:pStyle w:val="TextBody"/>
        <w:bidi w:val="0"/>
        <w:spacing w:before="120" w:after="283"/>
        <w:ind w:left="0" w:right="0" w:firstLine="490"/>
        <w:jc w:val="left"/>
        <w:rPr>
          <w:rFonts w:ascii="Times New Roman" w:hAnsi="Times New Roman"/>
          <w:sz w:val="20"/>
        </w:rPr>
      </w:pPr>
      <w:r>
        <w:rPr>
          <w:rFonts w:ascii="Times New Roman" w:hAnsi="Times New Roman"/>
          <w:color w:val="212529"/>
          <w:sz w:val="20"/>
        </w:rPr>
        <w:t>On February 23, 2023, Rezolve Limited entered into a $250 million standby equity purchase agreement with YA II PN, LTD (“</w:t>
      </w:r>
      <w:r>
        <w:rPr>
          <w:rFonts w:ascii="Times New Roman" w:hAnsi="Times New Roman"/>
          <w:b/>
          <w:i/>
          <w:color w:val="212529"/>
          <w:sz w:val="20"/>
        </w:rPr>
        <w:t>YA</w:t>
      </w:r>
      <w:r>
        <w:rPr>
          <w:rFonts w:ascii="Times New Roman" w:hAnsi="Times New Roman"/>
          <w:color w:val="212529"/>
          <w:sz w:val="20"/>
        </w:rPr>
        <w:t>”), a Cayman Islands exempt limited company, which was amended and restated on February 2, 2024 to provide for, inter alia, Rezolve AI Limited joining as a party to the agreement (“</w:t>
      </w:r>
      <w:r>
        <w:rPr>
          <w:rFonts w:ascii="Times New Roman" w:hAnsi="Times New Roman"/>
          <w:b/>
          <w:i/>
          <w:color w:val="212529"/>
          <w:sz w:val="20"/>
        </w:rPr>
        <w:t>YA Agreement</w:t>
      </w:r>
      <w:r>
        <w:rPr>
          <w:rFonts w:ascii="Times New Roman" w:hAnsi="Times New Roman"/>
          <w:color w:val="212529"/>
          <w:sz w:val="20"/>
        </w:rPr>
        <w: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a convertible note with a total principal amount of $2.5 million (the “</w:t>
      </w:r>
      <w:r>
        <w:rPr>
          <w:rFonts w:ascii="Times New Roman" w:hAnsi="Times New Roman"/>
          <w:b/>
          <w:i/>
          <w:color w:val="212529"/>
          <w:sz w:val="20"/>
        </w:rPr>
        <w:t>YA Note</w:t>
      </w:r>
      <w:r>
        <w:rPr>
          <w:rFonts w:ascii="Times New Roman" w:hAnsi="Times New Roman"/>
          <w:color w:val="212529"/>
          <w:sz w:val="20"/>
        </w:rPr>
        <w:t>”) to YA, pursuant to the terms of a convertible promissory note instrument entered into by Rezolve Limited and Rezolve (“</w:t>
      </w:r>
      <w:r>
        <w:rPr>
          <w:rFonts w:ascii="Times New Roman" w:hAnsi="Times New Roman"/>
          <w:b/>
          <w:i/>
          <w:color w:val="212529"/>
          <w:sz w:val="20"/>
        </w:rPr>
        <w:t>YA Note Instrument</w:t>
      </w:r>
      <w:r>
        <w:rPr>
          <w:rFonts w:ascii="Times New Roman" w:hAnsi="Times New Roman"/>
          <w:color w:val="212529"/>
          <w:sz w:val="20"/>
        </w:rPr>
        <w:t xml:space="preserve">”). </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On September 6, 2024, YA and Rezolve amended and restated the YA Agreement (the “</w:t>
      </w:r>
      <w:r>
        <w:rPr>
          <w:rFonts w:ascii="Times New Roman" w:hAnsi="Times New Roman"/>
          <w:b/>
          <w:i/>
          <w:color w:val="000000"/>
          <w:sz w:val="20"/>
        </w:rPr>
        <w:t>Second A&amp;R YA Agreement</w:t>
      </w:r>
      <w:r>
        <w:rPr>
          <w:rFonts w:ascii="Times New Roman" w:hAnsi="Times New Roman"/>
          <w:color w:val="000000"/>
          <w:sz w:val="20"/>
        </w:rPr>
        <w:t xml:space="preserve">”)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 </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In connection with the execution of the Second A&amp;R YA Agreement, YA and Rezolve also entered into a second amendment to convertible promissory note and acknowledgement (the “</w:t>
      </w:r>
      <w:r>
        <w:rPr>
          <w:rFonts w:ascii="Times New Roman" w:hAnsi="Times New Roman"/>
          <w:b/>
          <w:i/>
          <w:color w:val="000000"/>
          <w:sz w:val="20"/>
        </w:rPr>
        <w:t>YA Note Amendment</w:t>
      </w:r>
      <w:r>
        <w:rPr>
          <w:rFonts w:ascii="Times New Roman" w:hAnsi="Times New Roman"/>
          <w:color w:val="000000"/>
          <w:sz w:val="20"/>
        </w:rPr>
        <w:t>” and the YA Note, as amended by the YA Note Amendment, the “</w:t>
      </w:r>
      <w:r>
        <w:rPr>
          <w:rFonts w:ascii="Times New Roman" w:hAnsi="Times New Roman"/>
          <w:b/>
          <w:i/>
          <w:color w:val="000000"/>
          <w:sz w:val="20"/>
        </w:rPr>
        <w:t>Amended YA Note</w:t>
      </w:r>
      <w:r>
        <w:rPr>
          <w:rFonts w:ascii="Times New Roman" w:hAnsi="Times New Roman"/>
          <w:color w:val="000000"/>
          <w:sz w:val="2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Also in connection with the Second A&amp;R YA Agreement, on September 9, 2024, Rezolve issued YA a promissory note in the principal amount of $5,000,000 (the “</w:t>
      </w:r>
      <w:r>
        <w:rPr>
          <w:rFonts w:ascii="Times New Roman" w:hAnsi="Times New Roman"/>
          <w:b/>
          <w:i/>
          <w:color w:val="000000"/>
          <w:sz w:val="20"/>
        </w:rPr>
        <w:t>Second YA Note</w:t>
      </w:r>
      <w:r>
        <w:rPr>
          <w:rFonts w:ascii="Times New Roman" w:hAnsi="Times New Roman"/>
          <w:color w:val="000000"/>
          <w:sz w:val="20"/>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hAnsi="Times New Roman"/>
          <w:b/>
          <w:i/>
          <w:color w:val="000000"/>
          <w:sz w:val="20"/>
        </w:rPr>
        <w:t>Third YA Note</w:t>
      </w:r>
      <w:r>
        <w:rPr>
          <w:rFonts w:ascii="Times New Roman" w:hAnsi="Times New Roman"/>
          <w:color w:val="000000"/>
          <w:sz w:val="20"/>
        </w:rPr>
        <w:t>", and together with the Amended YA Note and Second YA Note, the "</w:t>
      </w:r>
      <w:r>
        <w:rPr>
          <w:rFonts w:ascii="Times New Roman" w:hAnsi="Times New Roman"/>
          <w:b/>
          <w:i/>
          <w:color w:val="000000"/>
          <w:sz w:val="20"/>
        </w:rPr>
        <w:t>YA Notes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As of December 30, 2024, the Company satisfied all of the the principal and interest outstanding under the YA Notes. In connection therewith, the Company issued an aggregate of 5,724,154 Ordinary Shares (including in payment of a fee to YA). As of the date hereof, no amount remains outstanding under the YA Notes.</w:t>
      </w:r>
    </w:p>
    <w:p>
      <w:pPr>
        <w:pStyle w:val="TextBody"/>
        <w:bidi w:val="0"/>
        <w:spacing w:before="0" w:after="180"/>
        <w:ind w:left="0" w:right="0" w:firstLine="720"/>
        <w:jc w:val="left"/>
        <w:rPr/>
      </w:pPr>
      <w:r>
        <w:rPr/>
        <w:t> </w:t>
      </w:r>
    </w:p>
    <w:p>
      <w:pPr>
        <w:pStyle w:val="TextBody"/>
        <w:bidi w:val="0"/>
        <w:spacing w:before="0" w:after="180"/>
        <w:ind w:left="0" w:right="0" w:firstLine="720"/>
        <w:jc w:val="left"/>
        <w:rPr>
          <w:rFonts w:ascii="Times New Roman" w:hAnsi="Times New Roman"/>
          <w:color w:val="000000"/>
          <w:sz w:val="20"/>
        </w:rPr>
      </w:pPr>
      <w:r>
        <w:rPr>
          <w:rFonts w:ascii="Times New Roman" w:hAnsi="Times New Roman"/>
          <w:color w:val="000000"/>
          <w:sz w:val="20"/>
        </w:rPr>
        <w:t xml:space="preserve">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Securities and Exchange Commission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obligation to direct YA to purchase a specified number of ordinary shares (each such sale, an “Advance”) by delivering written notice to YA (each, an “Advance Notice”). While there is no mandatory minimum amount for any Advance, it may not to exceed the greater of (i) 2,000,000;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volume weighted average price of our ordinary shares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pStyle w:val="TextBody"/>
        <w:bidi w:val="0"/>
        <w:spacing w:before="0" w:after="180"/>
        <w:ind w:left="0" w:right="0" w:firstLine="720"/>
        <w:jc w:val="left"/>
        <w:rPr>
          <w:rFonts w:ascii="Times New Roman" w:hAnsi="Times New Roman"/>
          <w:sz w:val="20"/>
        </w:rPr>
      </w:pPr>
      <w:r>
        <w:rPr>
          <w:rFonts w:ascii="Times New Roman" w:hAnsi="Times New Roman"/>
          <w:color w:val="000000"/>
          <w:sz w:val="20"/>
        </w:rPr>
        <w:t xml:space="preserve">Under the applicable rules of The Nasdaq Stock Market LLC (“Nasdaq”), in no event may we issue to YA under the Second A&amp;R YA Agreement more than </w:t>
      </w:r>
      <w:r>
        <w:rPr>
          <w:rFonts w:ascii="Times New Roman" w:hAnsi="Times New Roman"/>
          <w:color w:val="212529"/>
          <w:sz w:val="20"/>
        </w:rPr>
        <w:t>34,419,336 ordinary shares</w:t>
      </w:r>
      <w:r>
        <w:rPr>
          <w:rFonts w:ascii="Times New Roman" w:hAnsi="Times New Roman"/>
          <w:color w:val="000000"/>
          <w:sz w:val="20"/>
        </w:rPr>
        <w:t>, which number of shares is equal to 19.99% of the aggregate number of shares of ordinary shares issued and outstanding</w:t>
      </w:r>
      <w:r>
        <w:rPr>
          <w:rFonts w:ascii="Times New Roman" w:hAnsi="Times New Roman"/>
          <w:color w:val="212529"/>
          <w:sz w:val="20"/>
        </w:rPr>
        <w:t xml:space="preserve"> as of the "Effective Date", as such term is defined in the Second A&amp;R YA Agreement </w:t>
      </w:r>
      <w:r>
        <w:rPr>
          <w:rFonts w:ascii="Times New Roman" w:hAnsi="Times New Roman"/>
          <w:color w:val="000000"/>
          <w:sz w:val="20"/>
        </w:rPr>
        <w:t>(the “Exchange Cap”),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U.S. Securities Exchange Act of 1934, as amended (the “Exchange Act”), and Rule 13d-3 promulgated thereunder), would result in YA beneficially owning more than 4.99% of the outstanding voting power or number of ordinary shares (the “Ownership Limitation”).</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pStyle w:val="TextBody"/>
        <w:bidi w:val="0"/>
        <w:spacing w:before="0" w:after="180"/>
        <w:ind w:left="0" w:right="0" w:firstLine="720"/>
        <w:jc w:val="left"/>
        <w:rPr>
          <w:rFonts w:ascii="Times New Roman" w:hAnsi="Times New Roman"/>
          <w:color w:val="000000"/>
          <w:sz w:val="20"/>
        </w:rPr>
      </w:pPr>
      <w:r>
        <w:rPr>
          <w:rFonts w:ascii="Times New Roman" w:hAnsi="Times New Roman"/>
          <w:color w:val="000000"/>
          <w:sz w:val="20"/>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pStyle w:val="TextBody"/>
        <w:bidi w:val="0"/>
        <w:spacing w:before="0" w:after="180"/>
        <w:ind w:left="0" w:right="0" w:firstLine="720"/>
        <w:jc w:val="left"/>
        <w:rPr>
          <w:rFonts w:ascii="Times New Roman" w:hAnsi="Times New Roman"/>
          <w:color w:val="000000"/>
          <w:sz w:val="20"/>
        </w:rPr>
      </w:pPr>
      <w:r>
        <w:rPr>
          <w:rFonts w:ascii="Times New Roman" w:hAnsi="Times New Roman"/>
          <w:color w:val="000000"/>
          <w:sz w:val="20"/>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jc w:val="left"/>
        <w:rPr>
          <w:rFonts w:ascii="Times New Roman" w:hAnsi="Times New Roman"/>
          <w:i/>
          <w:color w:val="000000"/>
          <w:sz w:val="20"/>
        </w:rPr>
      </w:pPr>
      <w:r>
        <w:rPr>
          <w:rFonts w:ascii="Times New Roman" w:hAnsi="Times New Roman"/>
          <w:i/>
          <w:color w:val="000000"/>
          <w:sz w:val="20"/>
        </w:rPr>
        <w:t>Investor Rights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Lock-In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Exchange controls.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Under English law, there are no exchange control restrictions on investments in, or payments on, the Ordinary Shares. There are no special restrictions in the Articles of Association of the Company or English law that limit the right of shareholders who are not citizens or residents of the United Kingdom to hold or vote the Ordinary Shares.</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left"/>
        <w:rPr/>
      </w:pPr>
      <w:r>
        <w:rPr>
          <w:rFonts w:ascii="Times New Roman" w:hAnsi="Times New Roman"/>
          <w:b/>
          <w:color w:val="000000"/>
          <w:sz w:val="20"/>
        </w:rPr>
        <w:t>Taxation.</w:t>
      </w:r>
      <w:r>
        <w:rPr>
          <w:color w:val="00000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Material United Kingdom Tax Considerations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The following statements are based on current UK law as applied in England and HMRC published practice (which may not be binding on HMRC) as at the date of this document, both of which are subject to change, possibly with retrospective effect.</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statements are not directed at and do not apply to persons who are resident, or in the case of individuals, domiciled for tax purposes in the UK.</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IF YOU ARE IN ANY DOUBT AS TO YOUR TAX POSITION, YOU SHOULD CONSULT YOUR PROFESSIONAL TAX ADVISER.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Taxation of Rezolve</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Rezolve is subject to UK corporation tax on its taxable profits and gains, as it is tax resident in the UK. The Business Combination will not give rise to any taxable profits or gains for Rezolve.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Taxation of Disposals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Taxation of Dividends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Rezolve is not required to withhold UK tax when paying a dividend.</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Stamp Duty and Stamp Duty Reserve Tax (“SDRT”)</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No UK stamp duty or UK SDRT should arise on the issue of Ordinary Shares.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0"/>
        </w:rPr>
        <w:t>An agreement to transfer Ordinary Shares or Warrants other than to a depository trust company (“</w:t>
      </w:r>
      <w:r>
        <w:rPr>
          <w:rFonts w:ascii="Times New Roman" w:hAnsi="Times New Roman"/>
          <w:b/>
          <w:i/>
          <w:color w:val="000000"/>
          <w:sz w:val="20"/>
        </w:rPr>
        <w:t>DTC</w:t>
      </w:r>
      <w:r>
        <w:rPr>
          <w:rFonts w:ascii="Times New Roman" w:hAnsi="Times New Roman"/>
          <w:color w:val="000000"/>
          <w:sz w:val="20"/>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U.S. Federal Tax Considerations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brokers, dealers and other investors that do not own their Ordinary Shares or Warrants as capital assets;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traders in securities that elect to use a mark-to-market method of accounting for their securities holdings;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tax-exempt organizations, qualified retirement plans, individual retirement accounts or other tax deferred accounts;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banks or other financial institutions, underwriters, insurance companies, real estate investment trusts or regulated investment companies;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expatriates or former long-term residents of the United States;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that own (directly, indirectly, or by attribution) 5% or more (by vote or value) of the Armada Common Stock or Ordinary Shares;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partnerships or other pass-through entities for U.S. federal income tax purposes, or beneficial owners of partnerships or other pass-through entities;persons holding Ordinary Shares or Warrants as part of a straddle, hedging or conversion transaction, constructive sale, or other arrangement involving more than one position;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required to accelerate the recognition of any item of gross income with respect to Ordinary Shares or Warrants as a result of such income being recognized on an applicable financial statement;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whose functional currency is not the U.S. dollar;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persons that received Ordinary Shares or Warrants as compensation for services; orcontrolled foreign corporations or passive foreign investment companies.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0"/>
        </w:rPr>
        <w:t>This discussion is based on the Code, its legislative history, existing and proposed Treasury regulations promulgated under the Code (the “</w:t>
      </w:r>
      <w:r>
        <w:rPr>
          <w:rFonts w:ascii="Times New Roman" w:hAnsi="Times New Roman"/>
          <w:b/>
          <w:i/>
          <w:color w:val="000000"/>
          <w:sz w:val="20"/>
        </w:rPr>
        <w:t>Treasury Regulations</w:t>
      </w:r>
      <w:r>
        <w:rPr>
          <w:rFonts w:ascii="Times New Roman" w:hAnsi="Times New Roman"/>
          <w:color w:val="000000"/>
          <w:sz w:val="20"/>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Except as specifically provided, the discussion below applies only to U.S. holders. For purposes of this discussion, a U.S. holder means a beneficial owner of Ordinary Shares or Warrants that is, for U.S. federal income tax purposes: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corporation (or other entity taxable as a corporation for U.S. federal income tax purposes) created or organized in or under the laws of the United States, any state thereof or the District of Columbia;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estate whose income is subject to U.S. federal income tax regardless of its source;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Holders who are not U.S. holders should consult with their own tax advisors regarding the U.S. federal income tax consequences of holding Rezolve Securities.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Distributions on Ordinary Shares</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w:t>
      </w:r>
      <w:r>
        <w:rPr>
          <w:rFonts w:ascii="Times New Roman" w:hAnsi="Times New Roman"/>
          <w:color w:val="000000"/>
          <w:sz w:val="20"/>
        </w:rPr>
        <w:t xml:space="preserve"> — </w:t>
      </w:r>
      <w:r>
        <w:rPr>
          <w:rFonts w:ascii="Times New Roman" w:hAnsi="Times New Roman"/>
          <w:i/>
          <w:color w:val="000000"/>
          <w:sz w:val="20"/>
        </w:rPr>
        <w:t>Passive Foreign Investment Company Rules</w:t>
      </w:r>
      <w:r>
        <w:rPr>
          <w:rFonts w:ascii="Times New Roman" w:hAnsi="Times New Roman"/>
          <w:color w:val="000000"/>
          <w:sz w:val="20"/>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 xml:space="preserve">,” dividends received by non-corporate U.S. holders (including individuals) from a “qualified foreign corporation” may be eligible for reduced rates of taxation, provided that certain holding period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Exchange, Redemption or Other Taxable Disposition of Ordinary Shares and Warrants</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Exercise or Lapse of a Warrant</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Possible Constructive Distributions</w:t>
      </w:r>
    </w:p>
    <w:p>
      <w:pPr>
        <w:pStyle w:val="TextBody"/>
        <w:bidi w:val="0"/>
        <w:spacing w:before="120" w:after="283"/>
        <w:ind w:left="0" w:right="0" w:firstLine="720"/>
        <w:jc w:val="left"/>
        <w:rPr>
          <w:rFonts w:ascii="Times New Roman" w:hAnsi="Times New Roman"/>
          <w:sz w:val="20"/>
        </w:rPr>
      </w:pPr>
      <w:r>
        <w:rPr>
          <w:rFonts w:ascii="Times New Roman" w:hAnsi="Times New Roman"/>
          <w:color w:val="000000"/>
          <w:sz w:val="20"/>
        </w:rPr>
        <w:t>The terms of each Warrant provide for an adjustment to the number of Ordinary Shares for which the Warrant may be exercised or to the exercise price of the Warrant in certain events, as discussed in the section entitled “</w:t>
      </w:r>
      <w:r>
        <w:rPr>
          <w:rFonts w:ascii="Times New Roman" w:hAnsi="Times New Roman"/>
          <w:i/>
          <w:color w:val="000000"/>
          <w:sz w:val="20"/>
        </w:rPr>
        <w:t>Description of Rezolve Securities</w:t>
      </w:r>
      <w:r>
        <w:rPr>
          <w:rFonts w:ascii="Times New Roman" w:hAnsi="Times New Roman"/>
          <w:color w:val="000000"/>
          <w:sz w:val="20"/>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hAnsi="Times New Roman"/>
          <w:i/>
          <w:color w:val="000000"/>
          <w:sz w:val="20"/>
        </w:rPr>
        <w:t>Material Tax Considerations — Material U.S. Federal Income Tax Considerations — Distributions on Ordinary Shares.</w:t>
      </w:r>
      <w:r>
        <w:rPr>
          <w:rFonts w:ascii="Times New Roman" w:hAnsi="Times New Roman"/>
          <w:color w:val="000000"/>
          <w:sz w:val="20"/>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Passive Foreign Investment Company Rules</w:t>
      </w:r>
    </w:p>
    <w:p>
      <w:pPr>
        <w:pStyle w:val="TextBody"/>
        <w:bidi w:val="0"/>
        <w:spacing w:before="120" w:after="283"/>
        <w:ind w:left="0" w:right="0" w:firstLine="720"/>
        <w:jc w:val="left"/>
        <w:rPr>
          <w:rFonts w:ascii="Times New Roman" w:hAnsi="Times New Roman"/>
          <w:sz w:val="20"/>
        </w:rPr>
      </w:pPr>
      <w:r>
        <w:rPr>
          <w:rFonts w:ascii="Times New Roman" w:hAnsi="Times New Roman"/>
          <w:i/>
          <w:color w:val="000000"/>
          <w:sz w:val="20"/>
        </w:rPr>
        <w:t>Generally.</w:t>
      </w:r>
      <w:r>
        <w:rPr>
          <w:rFonts w:ascii="Times New Roman" w:hAnsi="Times New Roman"/>
          <w:color w:val="000000"/>
          <w:sz w:val="20"/>
        </w:rPr>
        <w:t xml:space="preserve"> The treatment of U.S. holders of the Ordinary Shares could be materially different from that described above if Rezolve is 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pStyle w:val="TextBody"/>
        <w:bidi w:val="0"/>
        <w:spacing w:before="240" w:after="283"/>
        <w:ind w:left="0" w:right="0" w:firstLine="720"/>
        <w:jc w:val="left"/>
        <w:rPr>
          <w:rFonts w:ascii="Times New Roman" w:hAnsi="Times New Roman"/>
          <w:sz w:val="20"/>
        </w:rPr>
      </w:pPr>
      <w:r>
        <w:rPr>
          <w:rFonts w:ascii="Times New Roman" w:hAnsi="Times New Roman"/>
          <w:i/>
          <w:color w:val="000000"/>
          <w:sz w:val="20"/>
        </w:rPr>
        <w:t>Excess Distribution Regime.</w:t>
      </w:r>
      <w:r>
        <w:rPr>
          <w:rFonts w:ascii="Times New Roman" w:hAnsi="Times New Roman"/>
          <w:color w:val="000000"/>
          <w:sz w:val="20"/>
        </w:rPr>
        <w:t xml:space="preserve"> If a U.S. holder does not make a mark-to-market election, as described below, the U.S. holder will be subject to the 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gain or excess distribution will be allocated ratably over the period during which the U.S. holder held Ordinary Shares;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allocated to the current taxable year, will be treated as ordinary income;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allocated to prior taxable years will be subject to the highest tax rate in effect for that taxable year and the interest charge generally applicable to underpayments of tax will be imposed on the resulting tax attributable to each such year.</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pStyle w:val="TextBody"/>
        <w:bidi w:val="0"/>
        <w:spacing w:before="240" w:after="283"/>
        <w:ind w:left="0" w:right="0" w:firstLine="720"/>
        <w:jc w:val="left"/>
        <w:rPr>
          <w:rFonts w:ascii="Times New Roman" w:hAnsi="Times New Roman"/>
          <w:sz w:val="20"/>
        </w:rPr>
      </w:pPr>
      <w:r>
        <w:rPr>
          <w:rFonts w:ascii="Times New Roman" w:hAnsi="Times New Roman"/>
          <w:i/>
          <w:color w:val="000000"/>
          <w:sz w:val="20"/>
        </w:rPr>
        <w:t>Mark-to-Market Regime.</w:t>
      </w:r>
      <w:r>
        <w:rPr>
          <w:rFonts w:ascii="Times New Roman" w:hAnsi="Times New Roman"/>
          <w:color w:val="000000"/>
          <w:sz w:val="20"/>
        </w:rPr>
        <w:t xml:space="preserve"> Alternatively, a U.S. holder may make an election to mark marketable shares in a PFIC to market on an annual basis. 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pStyle w:val="TextBody"/>
        <w:bidi w:val="0"/>
        <w:spacing w:before="240" w:after="283"/>
        <w:ind w:left="0" w:right="0" w:firstLine="720"/>
        <w:jc w:val="left"/>
        <w:rPr>
          <w:rFonts w:ascii="Times New Roman" w:hAnsi="Times New Roman"/>
          <w:sz w:val="20"/>
        </w:rPr>
      </w:pPr>
      <w:r>
        <w:rPr>
          <w:rFonts w:ascii="Times New Roman" w:hAnsi="Times New Roman"/>
          <w:i/>
          <w:color w:val="000000"/>
          <w:sz w:val="20"/>
        </w:rPr>
        <w:t>QEF Regime.</w:t>
      </w:r>
      <w:r>
        <w:rPr>
          <w:rFonts w:ascii="Times New Roman" w:hAnsi="Times New Roman"/>
          <w:color w:val="000000"/>
          <w:sz w:val="20"/>
        </w:rPr>
        <w:t xml:space="preserve"> Alternatively, a U.S. holder of a PFIC may avoid the adverse PFIC tax consequences described above in respect of stock of the 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pStyle w:val="TextBody"/>
        <w:bidi w:val="0"/>
        <w:spacing w:before="240" w:after="283"/>
        <w:ind w:left="0" w:right="0" w:firstLine="720"/>
        <w:jc w:val="left"/>
        <w:rPr>
          <w:rFonts w:ascii="Times New Roman" w:hAnsi="Times New Roman"/>
          <w:sz w:val="20"/>
        </w:rPr>
      </w:pPr>
      <w:r>
        <w:rPr>
          <w:rFonts w:ascii="Times New Roman" w:hAnsi="Times New Roman"/>
          <w:i/>
          <w:color w:val="000000"/>
          <w:sz w:val="20"/>
        </w:rPr>
        <w:t>PFIC Reporting Requirements.</w:t>
      </w:r>
      <w:r>
        <w:rPr>
          <w:rFonts w:ascii="Times New Roman" w:hAnsi="Times New Roman"/>
          <w:color w:val="000000"/>
          <w:sz w:val="20"/>
        </w:rPr>
        <w:t xml:space="preserve"> A U.S. holder of Ordinary Shares will be required to file an annual report on IRS Form 8621 containing 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Additional Reporting Requirements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Information Reporting and Backup Withholding</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 xml:space="preserve">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F.</w:t>
      </w:r>
    </w:p>
    <w:p>
      <w:pPr>
        <w:pStyle w:val="TextBody"/>
        <w:bidi w:val="0"/>
        <w:spacing w:before="360" w:after="283"/>
        <w:jc w:val="left"/>
        <w:rPr/>
      </w:pPr>
      <w:r>
        <w:rPr>
          <w:rFonts w:ascii="Times New Roman" w:hAnsi="Times New Roman"/>
          <w:b/>
          <w:color w:val="000000"/>
          <w:sz w:val="20"/>
        </w:rPr>
        <w:t>Dividends and paying agents.</w:t>
      </w:r>
      <w:r>
        <w:rPr>
          <w:color w:val="000000"/>
        </w:rPr>
        <w:t xml:space="preserve">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Statement by experts.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Documents on display.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979" w:right="0" w:hanging="0"/>
        <w:jc w:val="left"/>
        <w:rPr>
          <w:rFonts w:ascii="Times New Roman" w:hAnsi="Times New Roman"/>
          <w:color w:val="000000"/>
          <w:sz w:val="20"/>
        </w:rPr>
      </w:pPr>
      <w:r>
        <w:rPr>
          <w:rFonts w:ascii="Times New Roman" w:hAnsi="Times New Roman"/>
          <w:color w:val="000000"/>
          <w:sz w:val="20"/>
        </w:rPr>
        <w:t>Documents concerning the Company referred to in this Report may be inspected at the principal executive offices of the Company at 21 Sackville Street, London, W1S 3DN, United Kingdom.</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Subsidiary Information.</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color w:val="000000"/>
          <w:sz w:val="20"/>
        </w:rPr>
        <w:t>Annual Report to Security Holders.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ind w:left="979" w:right="0" w:hanging="0"/>
        <w:jc w:val="left"/>
        <w:rPr/>
      </w:pPr>
      <w:r>
        <w:rPr/>
        <w:t> </w:t>
      </w:r>
    </w:p>
    <w:p>
      <w:pPr>
        <w:pStyle w:val="TextBody"/>
        <w:bidi w:val="0"/>
        <w:spacing w:before="360" w:after="283"/>
        <w:jc w:val="left"/>
        <w:rPr>
          <w:rFonts w:ascii="Times New Roman" w:hAnsi="Times New Roman"/>
          <w:sz w:val="20"/>
        </w:rPr>
      </w:pPr>
      <w:bookmarkStart w:id="17" w:name="item_11"/>
      <w:bookmarkEnd w:id="17"/>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exposed to market risks primarily from changes in foreign currency exchange rates, credit risk and revenue risk. The information required under this Item 11 is set forth in Note 2.20 to our audited consolidated financial statements as of and for the year ended December 31, 2024 included elsewhere in this Report.</w:t>
      </w:r>
    </w:p>
    <w:p>
      <w:pPr>
        <w:pStyle w:val="TextBody"/>
        <w:bidi w:val="0"/>
        <w:spacing w:before="120" w:after="283"/>
        <w:ind w:left="0" w:right="0" w:firstLine="490"/>
        <w:jc w:val="left"/>
        <w:rPr/>
      </w:pPr>
      <w:r>
        <w:rPr/>
        <w:t> </w:t>
      </w:r>
    </w:p>
    <w:p>
      <w:pPr>
        <w:pStyle w:val="TextBody"/>
        <w:bidi w:val="0"/>
        <w:spacing w:before="360" w:after="283"/>
        <w:jc w:val="left"/>
        <w:rPr>
          <w:rFonts w:ascii="Times New Roman" w:hAnsi="Times New Roman"/>
          <w:sz w:val="20"/>
        </w:rPr>
      </w:pPr>
      <w:bookmarkStart w:id="18" w:name="item_11a"/>
      <w:bookmarkEnd w:id="18"/>
      <w:r>
        <w:rPr>
          <w:rFonts w:ascii="Times New Roman" w:hAnsi="Times New Roman"/>
          <w:b/>
          <w:color w:val="000000"/>
          <w:sz w:val="20"/>
        </w:rPr>
        <w:t>I</w:t>
      </w:r>
      <w:bookmarkStart w:id="19" w:name="item_12"/>
      <w:bookmarkEnd w:id="19"/>
      <w:r>
        <w:rPr>
          <w:rFonts w:ascii="Times New Roman" w:hAnsi="Times New Roman"/>
          <w:b/>
          <w:color w:val="000000"/>
          <w:sz w:val="20"/>
        </w:rPr>
        <w:t>tem 12. Description of Securities Other than Equity Securities.</w:t>
      </w:r>
      <w:r>
        <w:rPr>
          <w:rFonts w:ascii="Times New Roman" w:hAnsi="Times New Roman"/>
          <w:color w:val="000000"/>
          <w:sz w:val="20"/>
        </w:rPr>
        <w:t xml:space="preserve"> </w:t>
      </w:r>
    </w:p>
    <w:p>
      <w:pPr>
        <w:pStyle w:val="TextBody"/>
        <w:bidi w:val="0"/>
        <w:spacing w:before="120" w:after="283"/>
        <w:ind w:left="979" w:right="0" w:hanging="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Debt Securities</w:t>
      </w:r>
    </w:p>
    <w:p>
      <w:pPr>
        <w:pStyle w:val="TextBody"/>
        <w:bidi w:val="0"/>
        <w:spacing w:before="120" w:after="283"/>
        <w:ind w:left="900"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ind w:left="900" w:right="0" w:hanging="0"/>
        <w:jc w:val="left"/>
        <w:rPr/>
      </w:pPr>
      <w:r>
        <w:rPr/>
        <w:t> </w:t>
      </w:r>
    </w:p>
    <w:p>
      <w:pPr>
        <w:pStyle w:val="TextBody"/>
        <w:bidi w:val="0"/>
        <w:spacing w:before="120" w:after="283"/>
        <w:ind w:left="979" w:right="0" w:hanging="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Warrants and Rights</w:t>
      </w:r>
    </w:p>
    <w:p>
      <w:pPr>
        <w:pStyle w:val="TextBody"/>
        <w:bidi w:val="0"/>
        <w:ind w:left="490" w:right="0" w:hanging="0"/>
        <w:jc w:val="left"/>
        <w:rPr/>
      </w:pPr>
      <w:r>
        <w:rPr/>
        <w:t>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Public Warrants (Rezolve Warrants)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August 15, 2024, under the terms of the Business Combination,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 The are 7,499,994 Rezolve Warrants outstanding at December 31,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Rezolve Warrants trade under the symbol on the Nasdaq Stock Market LLC under the symbol RZLV.W. and are therefore Public Warrants.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 Each pre-funded warrant to purchase Ordinary Shares (the “Pre-Funded Warrants”), will be exercisable for one Ordinary Share. The exercise price of each Pre-Funded Warrant will be $0.001 per share. For each Pre-Funded Warrant sold, the number of Ordinary Shares that we offered was decreased on a one-for-one basis.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We have filed with the SEC a registration statement for the registration, under the Securities Act, of the Ordinary Shares issuable upon exercise of the warrants and we agreed we will use our best efforts to maintain the effectiveness of such registration statement, and a current prospectus relating thereto, until the expiration of the warrants in accordance with the provisions of the warrant agreement which will then apply to the Public Warrants.</w:t>
      </w:r>
    </w:p>
    <w:p>
      <w:pPr>
        <w:pStyle w:val="TextBody"/>
        <w:bidi w:val="0"/>
        <w:spacing w:before="240" w:after="283"/>
        <w:ind w:left="0" w:right="0" w:firstLine="720"/>
        <w:jc w:val="left"/>
        <w:rPr>
          <w:rFonts w:ascii="Times New Roman" w:hAnsi="Times New Roman"/>
          <w:sz w:val="20"/>
        </w:rPr>
      </w:pPr>
      <w:r>
        <w:rPr>
          <w:rFonts w:ascii="Times New Roman" w:hAnsi="Times New Roman"/>
          <w:i/>
          <w:color w:val="000000"/>
          <w:sz w:val="20"/>
        </w:rPr>
        <w:t>Redemption of Public Warrants when the price per Ordinary Share equals or exceeds $18.00.</w:t>
      </w:r>
      <w:r>
        <w:rPr>
          <w:rFonts w:ascii="Times New Roman" w:hAnsi="Times New Roman"/>
          <w:color w:val="000000"/>
          <w:sz w:val="20"/>
        </w:rPr>
        <w:t xml:space="preserve"> Once the warrants become exercisable, we may redeem the outstanding warrants (subject to any restrictions under the UK Companies Act):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 price of $0.01 per warrant;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 minimum of 30 days’ prior written notice of redemption;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720"/>
        <w:jc w:val="left"/>
        <w:rPr>
          <w:rFonts w:ascii="Times New Roman" w:hAnsi="Times New Roman"/>
          <w:sz w:val="20"/>
        </w:rPr>
      </w:pPr>
      <w:r>
        <w:rPr>
          <w:rFonts w:ascii="Times New Roman" w:hAnsi="Times New Roman"/>
          <w:i/>
          <w:color w:val="000000"/>
          <w:sz w:val="20"/>
        </w:rPr>
        <w:t>Holder Election to Limit Exercise</w:t>
      </w:r>
      <w:r>
        <w:rPr>
          <w:rFonts w:ascii="Times New Roman" w:hAnsi="Times New Roman"/>
          <w:color w:val="000000"/>
          <w:sz w:val="20"/>
        </w:rPr>
        <w:t>.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pStyle w:val="TextBody"/>
        <w:bidi w:val="0"/>
        <w:spacing w:before="240" w:after="283"/>
        <w:ind w:left="0" w:right="0" w:firstLine="720"/>
        <w:jc w:val="left"/>
        <w:rPr>
          <w:rFonts w:ascii="Times New Roman" w:hAnsi="Times New Roman"/>
          <w:sz w:val="20"/>
        </w:rPr>
      </w:pPr>
      <w:r>
        <w:rPr>
          <w:rFonts w:ascii="Times New Roman" w:hAnsi="Times New Roman"/>
          <w:i/>
          <w:color w:val="000000"/>
          <w:sz w:val="20"/>
        </w:rPr>
        <w:t>Anti-Dilution Adjustments</w:t>
      </w:r>
      <w:r>
        <w:rPr>
          <w:rFonts w:ascii="Times New Roman" w:hAnsi="Times New Roman"/>
          <w:color w:val="000000"/>
          <w:sz w:val="20"/>
        </w:rPr>
        <w:t>. If the number of outstanding Ordinary Shares is increased by a stock dividend payable in Ordinary Shares, or by a split 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Subscription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1, 2024, pursuant to the Promissory notes issued to certain institutional investors (refer to the Liquidity and Resources section in Item 5 in this Report), each holder of a Promissory note was also granted a freely transferable warrant (“Subscription Agreement Warrants”) by Rezolve upon completion of the Business Combination. There are 569,982 Subscription Agreement Warrants outstanding at December 31, 2024.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Each Subscription Agreement Warrant entitles the holder(s) to subscribe for up to the number of Ordinary Shares set out in the Warrant Certificate for that Warrant at the "Exercise Price". The Exercise Price means $8.00 dollars per Ordinary Share. The Exercise Price shall be payable in full on subscription.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Subscription Agreement Warrants have a three year term ending on January 31, 2027 ("Final Exercise 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Subscription Agreement Warrant holder may exercise any of his Warrant Subscription Rights which have not lapsed under the conditions in the Subscription Agreement at any time on or before the Final Exercise Date.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No fractional Ordinary Shares will be issued upon exercise.The Company will make payment to the relevant Subscription Agreement Warrant holder of such sum as the Auditors certify to be the fair value of any fractional entitlement</w:t>
      </w:r>
      <w:r>
        <w:rPr>
          <w:rFonts w:ascii="Arial" w:hAnsi="Arial"/>
          <w:color w:val="000000"/>
          <w:sz w:val="20"/>
        </w:rPr>
        <w: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before the Final Exercise Date the Company becomes aware of the expected occurrence of an Exercise Event, it shall give each Subscription Agreement Warrant holder at least 21 days' notice (the "Notice") specifying the date (the "Specified Date") of such expected occurrence(the period between the giving of the Notice and the Specified Date being referred to below as the "Notice Period") and each Subscription Agreement Warrant holder shall be entitled during the Notice Period to exercise his Warrant Subscription Rights.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"Exercise Event" means any of the following events:(a) an invitation or offer being made to all holders of equity share capital of the Company (as defined in section 548 of the Companies Act 2006) (or all such holders other than the offer or and/or any company controlled by the offer or and/or person acting in concert with the offer or) to acquire the whole or any part of such equity share capital of the Company and the Company becoming aware that as a result of that offer the right to cast a majority of the votes which may ordinarily be cast on a poll at a general meeting of the Company has or may become vested in the offer or and/or such persons or companies and for this purpose, the publication of a scheme of arrangement under the Companies Act 2006 providing for the acquisition by any person any of the issued ordinary share capital of the Company shall be deemed to be the making of an offer for which shall become unconditional upon its approval; or (b) an offer or invitation being made by the Company to all the holders of its Ordinary Shares for the purchase by the Company of any of its Ordinary Shares.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a Subscription Agreement Warrant holder has not exercised his Warrant Subscription Rights within 14 days of the Specified Date when an offer is made as referred to paragraph (a) of the definition of Exercise Event under which the consideration consists solely of the issue of ordinary shares of the offer or and the offer or makes available an offer of warrants to subscribe for ordinary shares of the offer or in exchange for the Subscription Agreement Warrants which the financial advisers to the Company consider in their opinion (acting as experts and not as arbitrators) is fair and reasonable (having regard to the terms of the offer and any other circumstances which may appear to the financial advisers to be relevant), then upon the offer becoming unconditional and the offer or being in a position compulsorily to acquire the whole of the ordinary share capital of the Company, any director of the Company is authorized as attorney for each Subscription Agreement Warrant holder to execute a transfer of his Subscription Agreement Warrants in favor of the offer or in consideration of the issue of warrants to subscribe for ordinary shares of the offer or whereupon his Subscription Agreement Warrants shall lapse.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the Company alters its share capital (or grants any rights over it) by: (a) capitalizing profits; (b) consolidating or subdividing shares; or (c) reducing its capital(each an "Adjustment Event"), the Company shall within 10 Business Days after the occurrence of an Adjustment Event give written notice to the Subscription Agreement Warrant holders including the material details of the relevant Adjustment Event and deliver a certificate to the Subscription Agreement Warrant holders setting out the adjustment which is to be made to the number of shares subject to the Subscription Agreement Warrant and/or to the Exercise Price for each of those shares (as applicable)but so that:(a) the aggregate amount payable on the exercise of the Subscription Agreement Warrants in full is not increased; and(b) the Exercise Price for a share is not reduced below its nominal value.</w:t>
      </w:r>
    </w:p>
    <w:p>
      <w:pPr>
        <w:pStyle w:val="TextBody"/>
        <w:bidi w:val="0"/>
        <w:spacing w:before="120" w:after="283"/>
        <w:ind w:left="0" w:right="0" w:firstLine="490"/>
        <w:jc w:val="left"/>
        <w:rPr/>
      </w:pPr>
      <w:r>
        <w:rPr/>
        <w:t>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Warrants issued to institutional investors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offering price of each Ordinary Share and accompanying Offering Warrant was $3.00.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Ordinary Shares and Offering Warrants were offered pursuant to a registration statement on Form F-1 (File No. 333-283622), as amended, which was declared effective by the Securities and Exchange Commission on December 19,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are 5,000,000 Offering Warrants outstanding at December 31, 2024 . The Offering Warrants have a remaining term of five years as of December 31, 2024. </w:t>
      </w:r>
    </w:p>
    <w:p>
      <w:pPr>
        <w:pStyle w:val="TextBody"/>
        <w:bidi w:val="0"/>
        <w:spacing w:before="240" w:after="283"/>
        <w:ind w:left="0" w:right="0" w:firstLine="720"/>
        <w:jc w:val="left"/>
        <w:rPr/>
      </w:pPr>
      <w:r>
        <w:rPr/>
        <w:t> </w:t>
      </w:r>
    </w:p>
    <w:p>
      <w:pPr>
        <w:pStyle w:val="TextBody"/>
        <w:bidi w:val="0"/>
        <w:spacing w:before="120" w:after="283"/>
        <w:ind w:left="979" w:right="0" w:hanging="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Securities</w:t>
      </w:r>
    </w:p>
    <w:p>
      <w:pPr>
        <w:pStyle w:val="TextBody"/>
        <w:bidi w:val="0"/>
        <w:spacing w:before="120" w:after="283"/>
        <w:ind w:left="720"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ind w:left="979" w:right="0" w:hanging="0"/>
        <w:jc w:val="left"/>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American Depositary Shares</w:t>
      </w:r>
    </w:p>
    <w:p>
      <w:pPr>
        <w:pStyle w:val="TextBody"/>
        <w:bidi w:val="0"/>
        <w:spacing w:before="120" w:after="283"/>
        <w:ind w:left="720"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00" w:after="283"/>
        <w:jc w:val="left"/>
        <w:rPr>
          <w:rFonts w:ascii="Times New Roman" w:hAnsi="Times New Roman"/>
          <w:sz w:val="20"/>
        </w:rPr>
      </w:pPr>
      <w:bookmarkStart w:id="20" w:name="part_2_20f"/>
      <w:bookmarkEnd w:id="20"/>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1" w:name="item_13"/>
      <w:bookmarkEnd w:id="21"/>
      <w:r>
        <w:rPr>
          <w:rFonts w:ascii="Times New Roman" w:hAnsi="Times New Roman"/>
          <w:b/>
          <w:color w:val="000000"/>
          <w:sz w:val="20"/>
        </w:rPr>
        <w:t>Item 13. Defaults, Dividend Arrearages and Delinquencies.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22" w:name="item_14"/>
      <w:bookmarkEnd w:id="22"/>
      <w:r>
        <w:rPr>
          <w:rFonts w:ascii="Times New Roman" w:hAnsi="Times New Roman"/>
          <w:b/>
          <w:color w:val="000000"/>
          <w:sz w:val="20"/>
        </w:rPr>
        <w:t>Item 14. Material Modifications to the Rights of Security Holders and Use of Proceeds.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23" w:name="item_15"/>
      <w:bookmarkEnd w:id="23"/>
      <w:r>
        <w:rPr>
          <w:rFonts w:ascii="Times New Roman" w:hAnsi="Times New Roman"/>
          <w:b/>
          <w:color w:val="000000"/>
          <w:sz w:val="20"/>
        </w:rPr>
        <w:t>Item 15.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Disclosure Controls and Procedures</w:t>
      </w:r>
    </w:p>
    <w:p>
      <w:pPr>
        <w:pStyle w:val="TextBody"/>
        <w:bidi w:val="0"/>
        <w:ind w:left="0" w:right="0" w:firstLine="720"/>
        <w:jc w:val="both"/>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We have carried out an evaluation of the effectiveness of the design and operation of our disclosure controls and procedures (as such term is defined in </w:t>
      </w:r>
      <w:r>
        <w:rPr>
          <w:rFonts w:ascii="Times New Roman" w:hAnsi="Times New Roman"/>
          <w:color w:val="0067B1"/>
          <w:sz w:val="20"/>
          <w:u w:val="single"/>
        </w:rPr>
        <w:t>Rules 13a-15</w:t>
      </w:r>
      <w:r>
        <w:rPr>
          <w:rFonts w:ascii="Times New Roman" w:hAnsi="Times New Roman"/>
          <w:color w:val="000000"/>
          <w:sz w:val="20"/>
        </w:rPr>
        <w:t xml:space="preserve">(e) and 15d-15(e) under the </w:t>
      </w:r>
      <w:r>
        <w:rPr>
          <w:rFonts w:ascii="Times New Roman" w:hAnsi="Times New Roman"/>
          <w:color w:val="0067B1"/>
          <w:sz w:val="20"/>
          <w:u w:val="single"/>
        </w:rPr>
        <w:t>Exchange Act</w:t>
      </w:r>
      <w:r>
        <w:rPr>
          <w:rFonts w:ascii="Times New Roman" w:hAnsi="Times New Roman"/>
          <w:color w:val="000000"/>
          <w:sz w:val="20"/>
        </w:rPr>
        <w:t xml:space="preserve">) under the supervision and the participation of the Group’s management, which is responsible for the management of the internal controls, and which includes our Chief Executive Officer and Chief Financial Officer (our principal executive officer and principal financial officer, respectively). The term “disclosure controls and procedures,” as defined in </w:t>
      </w:r>
      <w:r>
        <w:rPr>
          <w:rFonts w:ascii="Times New Roman" w:hAnsi="Times New Roman"/>
          <w:color w:val="0067B1"/>
          <w:sz w:val="20"/>
          <w:u w:val="single"/>
        </w:rPr>
        <w:t>Rules 13a-15</w:t>
      </w:r>
      <w:r>
        <w:rPr>
          <w:rFonts w:ascii="Times New Roman" w:hAnsi="Times New Roman"/>
          <w:color w:val="000000"/>
          <w:sz w:val="20"/>
        </w:rPr>
        <w:t xml:space="preserve">(e) and </w:t>
      </w:r>
      <w:r>
        <w:rPr>
          <w:rFonts w:ascii="Times New Roman" w:hAnsi="Times New Roman"/>
          <w:color w:val="0067B1"/>
          <w:sz w:val="20"/>
          <w:u w:val="single"/>
        </w:rPr>
        <w:t>15d-15</w:t>
      </w:r>
      <w:r>
        <w:rPr>
          <w:rFonts w:ascii="Times New Roman" w:hAnsi="Times New Roman"/>
          <w:color w:val="000000"/>
          <w:sz w:val="20"/>
        </w:rPr>
        <w:t xml:space="preserve">(e) under the </w:t>
      </w:r>
      <w:r>
        <w:rPr>
          <w:rFonts w:ascii="Times New Roman" w:hAnsi="Times New Roman"/>
          <w:color w:val="0067B1"/>
          <w:sz w:val="20"/>
          <w:u w:val="single"/>
        </w:rPr>
        <w:t>Exchange Act</w:t>
      </w:r>
      <w:r>
        <w:rPr>
          <w:rFonts w:ascii="Times New Roman" w:hAnsi="Times New Roman"/>
          <w:color w:val="000000"/>
          <w:sz w:val="20"/>
        </w:rPr>
        <w:t xml:space="preserve"> means controls and other procedures of a company that are designed to ensure that information required to be disclosed by a company in the reports that it files or submits under the </w:t>
      </w:r>
      <w:r>
        <w:rPr>
          <w:rFonts w:ascii="Times New Roman" w:hAnsi="Times New Roman"/>
          <w:color w:val="0067B1"/>
          <w:sz w:val="20"/>
          <w:u w:val="single"/>
        </w:rPr>
        <w:t>Exchange Act</w:t>
      </w:r>
      <w:r>
        <w:rPr>
          <w:rFonts w:ascii="Times New Roman" w:hAnsi="Times New Roman"/>
          <w:color w:val="000000"/>
          <w:sz w:val="20"/>
        </w:rPr>
        <w:t xml:space="preserve"> is recorded, processed, summarized and reported within the time periods specified in the SEC’s rules and forms.</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Disclosure controls and procedures include, without limitation, controls and procedures designed to ensure that information required to be disclosed by a company in the reports that it files or submits under the </w:t>
      </w:r>
      <w:r>
        <w:rPr>
          <w:rFonts w:ascii="Times New Roman" w:hAnsi="Times New Roman"/>
          <w:color w:val="0067B1"/>
          <w:sz w:val="20"/>
          <w:u w:val="single"/>
        </w:rPr>
        <w:t>Exchange Act</w:t>
      </w:r>
      <w:r>
        <w:rPr>
          <w:rFonts w:ascii="Times New Roman" w:hAnsi="Times New Roman"/>
          <w:color w:val="000000"/>
          <w:sz w:val="20"/>
        </w:rPr>
        <w:t xml:space="preserve"> is accumulated and communicated to Rezolve’s management, including its principal executive and principal financial officers,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Based upon our evaluation of our disclosure controls and procedures as of December 31, 2024, our Chief Executive Officer and Chief Financial Officer concluded that, as of such date, our disclosure controls and procedures were effective at a reasonable level of assurance.</w:t>
      </w:r>
    </w:p>
    <w:p>
      <w:pPr>
        <w:pStyle w:val="TextBody"/>
        <w:bidi w:val="0"/>
        <w:ind w:left="0" w:right="0" w:firstLine="72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Management’s Annual Report on Internal Control over Financial Reporting</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This annual report on Form 20-F does not include a report of management’s assessment regarding internal control over financial reporting due to a transition period established by rules of the SEC for newly public companies. We will be required to provide an annual management report on the effectiveness of our internal control over financial reporting commencing with our second annual report on Form 20-F, which we expect to file in 2026 with respect to the fiscal year ending December 31, 2025.</w:t>
      </w:r>
    </w:p>
    <w:p>
      <w:pPr>
        <w:pStyle w:val="TextBody"/>
        <w:bidi w:val="0"/>
        <w:ind w:left="0" w:right="0" w:firstLine="72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 Attestation Report of the Registered Public Accounting Firm</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This annual report on Form 20-F does not include an attestation report of the company’s registered public accounting firm due to a transition period established by rules of the SEC for newly public companies.</w:t>
      </w:r>
    </w:p>
    <w:p>
      <w:pPr>
        <w:pStyle w:val="TextBody"/>
        <w:bidi w:val="0"/>
        <w:ind w:left="0" w:right="0" w:firstLine="72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 Changes in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br/>
        <w:t xml:space="preserve">There have been no changes in Rezolve's internal control over financial reporting that have occurred during the period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covered by this annual report on Form 20-F, that have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24" w:name="item_15a"/>
      <w:bookmarkEnd w:id="24"/>
      <w:r>
        <w:rPr>
          <w:rFonts w:ascii="Times New Roman" w:hAnsi="Times New Roman"/>
          <w:b/>
          <w:color w:val="000000"/>
          <w:sz w:val="20"/>
        </w:rPr>
        <w:t>I</w:t>
      </w:r>
      <w:bookmarkStart w:id="25" w:name="item_16"/>
      <w:bookmarkEnd w:id="25"/>
      <w:r>
        <w:rPr>
          <w:rFonts w:ascii="Times New Roman" w:hAnsi="Times New Roman"/>
          <w:b/>
          <w:color w:val="000000"/>
          <w:sz w:val="20"/>
        </w:rPr>
        <w:t>tem 16. [Reserved]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6" w:name="item_16_a"/>
      <w:bookmarkEnd w:id="26"/>
      <w:r>
        <w:rPr>
          <w:rFonts w:ascii="Times New Roman" w:hAnsi="Times New Roman"/>
          <w:b/>
          <w:color w:val="000000"/>
          <w:sz w:val="20"/>
        </w:rPr>
        <w:t>Item 16A. Audit Committee Financial Expert.</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Board has determined that Sir David Wright (the chairperson of the Audit Committee) qualifies as an “audit committee financial expert.” Mr. Wright is an independent director under the applicable Nasdaq rules and Rule 10A-3 under the Exchange Act.</w:t>
      </w:r>
    </w:p>
    <w:p>
      <w:pPr>
        <w:pStyle w:val="TextBody"/>
        <w:bidi w:val="0"/>
        <w:ind w:left="0" w:right="0" w:firstLine="720"/>
        <w:jc w:val="left"/>
        <w:rPr/>
      </w:pPr>
      <w:r>
        <w:rPr/>
        <w:t> </w:t>
      </w:r>
    </w:p>
    <w:p>
      <w:pPr>
        <w:pStyle w:val="TextBody"/>
        <w:bidi w:val="0"/>
        <w:jc w:val="left"/>
        <w:rPr>
          <w:rFonts w:ascii="Times New Roman" w:hAnsi="Times New Roman"/>
          <w:sz w:val="20"/>
        </w:rPr>
      </w:pPr>
      <w:bookmarkStart w:id="27" w:name="item_16_b"/>
      <w:bookmarkEnd w:id="27"/>
      <w:r>
        <w:rPr>
          <w:rFonts w:ascii="Times New Roman" w:hAnsi="Times New Roman"/>
          <w:b/>
          <w:color w:val="000000"/>
          <w:sz w:val="20"/>
        </w:rPr>
        <w:t>Item 16B. Code of Ethics.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adopted a Code of Ethics that applies to all of our employees, officers and directors, including those officers responsible for financial reporting. Our Code of Ethics is available on our website. We intend to disclose any amendment to our Code of Ethics, or any waivers of its requirements, in our annual report on Form 20-F. For the year ended December 31, 2024, we did not grant any waivers of the Code of Ethics.</w:t>
      </w:r>
    </w:p>
    <w:p>
      <w:pPr>
        <w:pStyle w:val="TextBody"/>
        <w:bidi w:val="0"/>
        <w:spacing w:before="360" w:after="283"/>
        <w:jc w:val="left"/>
        <w:rPr>
          <w:rFonts w:ascii="Times New Roman" w:hAnsi="Times New Roman"/>
          <w:b/>
          <w:color w:val="000000"/>
          <w:sz w:val="20"/>
        </w:rPr>
      </w:pPr>
      <w:bookmarkStart w:id="28" w:name="item_16_c"/>
      <w:bookmarkEnd w:id="28"/>
      <w:r>
        <w:rPr>
          <w:rFonts w:ascii="Times New Roman" w:hAnsi="Times New Roman"/>
          <w:b/>
          <w:color w:val="000000"/>
          <w:sz w:val="20"/>
        </w:rPr>
        <w:t>Item 16C. Principal Accountant Fees and Services.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Audit and Non</w:t>
        <w:noBreakHyphen/>
        <w:t>Audit Fees</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the fees billed to us by our independent registered public accounting firms Grassi &amp; Co., CPAs, P.C (PCAOB firm ID 606) in the fiscal years ended December 31, 2024 and 2023:</w:t>
      </w:r>
    </w:p>
    <w:p>
      <w:pPr>
        <w:pStyle w:val="TextBody"/>
        <w:bidi w:val="0"/>
        <w:ind w:left="0" w:right="0" w:firstLine="720"/>
        <w:jc w:val="left"/>
        <w:rPr/>
      </w:pPr>
      <w:r>
        <w:rPr/>
        <w:t> </w:t>
      </w:r>
    </w:p>
    <w:tbl>
      <w:tblPr>
        <w:tblW w:w="4159" w:type="dxa"/>
        <w:jc w:val="left"/>
        <w:tblInd w:w="0" w:type="dxa"/>
        <w:tblLayout w:type="fixed"/>
        <w:tblCellMar>
          <w:top w:w="28" w:type="dxa"/>
          <w:left w:w="28" w:type="dxa"/>
          <w:bottom w:w="28" w:type="dxa"/>
          <w:right w:w="28" w:type="dxa"/>
        </w:tblCellMar>
      </w:tblPr>
      <w:tblGrid>
        <w:gridCol w:w="1546"/>
        <w:gridCol w:w="211"/>
        <w:gridCol w:w="146"/>
        <w:gridCol w:w="781"/>
        <w:gridCol w:w="146"/>
        <w:gridCol w:w="211"/>
        <w:gridCol w:w="146"/>
        <w:gridCol w:w="781"/>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fees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spacing w:before="160" w:after="283"/>
        <w:jc w:val="left"/>
        <w:rPr>
          <w:rFonts w:ascii="Times New Roman" w:hAnsi="Times New Roman"/>
          <w:sz w:val="20"/>
        </w:rPr>
      </w:pPr>
      <w:bookmarkStart w:id="29" w:name="item_16_d"/>
      <w:bookmarkEnd w:id="29"/>
      <w:r>
        <w:rPr>
          <w:rFonts w:ascii="Times New Roman" w:hAnsi="Times New Roman"/>
          <w:b/>
          <w:color w:val="000000"/>
          <w:sz w:val="20"/>
        </w:rPr>
        <w:t>Item 16D. Exemptions from the Listing Standards for Audit Committees.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30" w:name="item_16_e"/>
      <w:bookmarkEnd w:id="30"/>
      <w:r>
        <w:rPr>
          <w:rFonts w:ascii="Times New Roman" w:hAnsi="Times New Roman"/>
          <w:b/>
          <w:color w:val="000000"/>
          <w:sz w:val="20"/>
        </w:rPr>
        <w:t>Item 16E Purchases of Equity Securities by the Issuer and Affiliated Purchasers.</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During the year ended December 31, 2024, no purchases of our equity securities registered pursuant to Section 12 of the Exchange Act were made by or on behalf of us or any affiliated purchaser.</w:t>
      </w:r>
    </w:p>
    <w:p>
      <w:pPr>
        <w:pStyle w:val="TextBody"/>
        <w:bidi w:val="0"/>
        <w:ind w:left="0" w:right="0" w:firstLine="720"/>
        <w:jc w:val="left"/>
        <w:rPr/>
      </w:pPr>
      <w:r>
        <w:rPr/>
        <w:t> </w:t>
      </w:r>
    </w:p>
    <w:p>
      <w:pPr>
        <w:pStyle w:val="TextBody"/>
        <w:bidi w:val="0"/>
        <w:jc w:val="left"/>
        <w:rPr>
          <w:rFonts w:ascii="Times New Roman" w:hAnsi="Times New Roman"/>
          <w:sz w:val="20"/>
        </w:rPr>
      </w:pPr>
      <w:bookmarkStart w:id="31" w:name="item_16_f"/>
      <w:bookmarkEnd w:id="31"/>
      <w:r>
        <w:rPr>
          <w:rFonts w:ascii="Times New Roman" w:hAnsi="Times New Roman"/>
          <w:b/>
          <w:color w:val="000000"/>
          <w:sz w:val="20"/>
        </w:rPr>
        <w:t>Item 16F. Change in Registrant’s Certifying Accountant.</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32" w:name="item_16_g"/>
      <w:bookmarkEnd w:id="32"/>
      <w:r>
        <w:rPr>
          <w:rFonts w:ascii="Times New Roman" w:hAnsi="Times New Roman"/>
          <w:b/>
          <w:color w:val="000000"/>
          <w:sz w:val="20"/>
        </w:rPr>
        <w:t>Item 16G. Corporate Governance.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Nasdaq Rule 5635</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December 18, 2024, we notified Nasdaq that we intend to follow our home country practice in lieu of following Nasdaq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Private Issuer Exemption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filing quarterly reports on Form 10-Q containing unaudited financial and other specified information or current reports on Form 8-K upon the occurrence of specified significant events;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Section 16 under the Exchange Act, which requires insiders to file public reports of their securities ownership and trading activities and provides for liability for insiders who profit from trades in a short period of time;</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Nasdaq rules applicable to domestic issuers requiring disclosure within four business days of any determination to grant a waiver of the code of business conduct and ethics to directors and officers;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 to obtain shareholder approval for certain issuances of securities, including shareholder approval of share option plans;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 that our board have a compensation committee that is composed entirely of independent directors with a written charter addressing the committee’s purpose and responsibilities; and</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Controlled Company Exemption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a majority of the board of directors consist of independent directors;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we have a compensation committee that is composed entirely of independent directors with a written charter addressing the committee’s purpose and responsibilities;</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we have a nominating and corporate governance committee that is composed entirely of independent directors with a written charter addressing the committee’s purpose and responsibilities; and</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for an annual performance evaluation of the nominating and corporate governance and compensation committees.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event that we cease to be a “controlled company” and our shares continue to be listed on the Nasdaq, we will be required to comply with these provisions within the applicable transition periods.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Governance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we are an “emerging growth company” as defined in the JOBS Act and have elected to comply with certain reduced public company reporting requirements.</w:t>
      </w:r>
    </w:p>
    <w:p>
      <w:pPr>
        <w:pStyle w:val="TextBody"/>
        <w:bidi w:val="0"/>
        <w:spacing w:before="360" w:after="283"/>
        <w:jc w:val="left"/>
        <w:rPr>
          <w:rFonts w:ascii="Times New Roman" w:hAnsi="Times New Roman"/>
          <w:b/>
          <w:color w:val="000000"/>
          <w:sz w:val="20"/>
        </w:rPr>
      </w:pPr>
      <w:bookmarkStart w:id="33" w:name="item_16_h"/>
      <w:bookmarkEnd w:id="33"/>
      <w:r>
        <w:rPr>
          <w:rFonts w:ascii="Times New Roman" w:hAnsi="Times New Roman"/>
          <w:b/>
          <w:color w:val="000000"/>
          <w:sz w:val="20"/>
        </w:rPr>
        <w:t>Item 16H. Mine Safety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34" w:name="item_16_i"/>
      <w:bookmarkEnd w:id="34"/>
      <w:r>
        <w:rPr>
          <w:rFonts w:ascii="Times New Roman" w:hAnsi="Times New Roman"/>
          <w:b/>
          <w:color w:val="000000"/>
          <w:sz w:val="20"/>
        </w:rPr>
        <w:t>Item 16I. Disclosure Regarding Foreign Jurisdictions that Prevent Inspections</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35" w:name="item_16_j"/>
      <w:bookmarkEnd w:id="35"/>
      <w:r>
        <w:rPr>
          <w:rFonts w:ascii="Times New Roman" w:hAnsi="Times New Roman"/>
          <w:b/>
          <w:color w:val="000000"/>
          <w:sz w:val="20"/>
        </w:rPr>
        <w:t>Item 16J. Insider Trading Policies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adopted an insider trading policy governing the purchase, sale, and other dispositions of our securities by officers (which includes directors) and employees that is reasonably designed to promote compliance with applicable insider trading laws, rules and regulations, and any listing standards applicable to us. A copy of our insider trading policy is attached as Exhibit 11.1 to this Annual Report. </w:t>
      </w:r>
    </w:p>
    <w:p>
      <w:pPr>
        <w:pStyle w:val="TextBody"/>
        <w:bidi w:val="0"/>
        <w:spacing w:before="360" w:after="283"/>
        <w:jc w:val="left"/>
        <w:rPr>
          <w:rFonts w:ascii="Times New Roman" w:hAnsi="Times New Roman"/>
          <w:sz w:val="20"/>
        </w:rPr>
      </w:pPr>
      <w:bookmarkStart w:id="36" w:name="item_16k"/>
      <w:bookmarkEnd w:id="36"/>
      <w:r>
        <w:rPr>
          <w:rFonts w:ascii="Times New Roman" w:hAnsi="Times New Roman"/>
          <w:b/>
          <w:color w:val="000000"/>
          <w:sz w:val="20"/>
        </w:rPr>
        <w:t>Item 16K. Cybersecurity.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processes for assessing, identifying, and managing material risks from cybersecurity threats. The Company has designed and implemented a cybersecurity incident response plan and related processes, which are overseen by cybersecurity professionals.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Cybersecurity threats are identified and escalated to the audit committee or member thereof pursuant to criteria set forth in these processes. These processes also include overseeing and identifying risks from cybersecurity threats associated with the use of third-party service providers, if 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implemented third-party risk management processes to manage material risks from cybersecurity threats associated with reliance on vendors, critical service providers, and other third parties we engage, such as software-as-a-service providers, data hosting companies, and contract research organizations. These processes include, for example, conducting risk assessment for certain vendors, reviewing vendor security assessments and questionnaires, and conducting annual reviews of vendor audits and reports. Depending on the nature of the services provided, the sensitivity of the Information Systems and Data at issue, and the identity of the provider, our third-party risk management process may involve different levels of assessment designed to help identify cybersecurity risks associated with a provider.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audit committee is responsible for establishing and monitoring the integrity and effectiveness of controls and other procedures, which are designed to ensure that (1) all information required to be disclosed is recorded, processed, summarized, and reported accurately and on a timely basis, and (2) all such information is accumulated and communicated to management and the audit committee, as appropriate, to allow for timely decisions regarding such disclosures. The controls and procedures subject to the audit committee’s oversight include processes related to managing material risks from cybersecurity threats. Accordingly, the Company’s cybersecurity processes have been integrated into the Company’s overall processes.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 additional information, see “Item 1.D. Risk Factors - A denial of service attack or security breach or incident could delay or interrupt service to Rezolve’s merchants and their customers, harm Rezolve’s reputation and subject Rezolve to significant liability.”</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20"/>
        </w:rPr>
      </w:pPr>
      <w:r>
        <w:rPr>
          <w:rFonts w:ascii="Times New Roman" w:hAnsi="Times New Roman"/>
          <w:b/>
          <w:i/>
          <w:color w:val="000000"/>
          <w:sz w:val="20"/>
        </w:rPr>
        <w:t>Governance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audit committee operates under a written charter adopted by the Company’s Board of Directors. The audit committee of the Company’s Board of Directors oversees, among other things, a system of internal controls, including internal controls designed to assess, identify, and manage material risks from cybersecurity threats. The audit committee is also responsible for the adequacy and effectiveness of the Company’s internal controls, including those internal controls that are designed to assess, identify, and manage material risks from cybersecurity threats.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audit committee is informed of material risks, if any, from cybersecurity threats pursuant to escalation criteria set forth in the Company’s disclosure controls and procedures. Further, at least once per quarter, the Company’s CISO reports material risks, if any, from cybersecurity threats to the Company’s audit committee and/or Board of Directors.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management, including members of its audit committee and the Company’s Chief Information Security Officer ("CISO"), also assess and manage material risks, if any, from cybersecurity threats.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audit committee is composed entirely of non-employee directors. The audit committee is responsible for establishing and monitoring the integrity and effectiveness of controls and other procedures, including controls and procedures related to managing material risks from cybersecurity threats, which are designed to ensure that (1) all information required to be disclosed is recorded, processed, summarized, and reported accurately and on a timely basis, and (2) all such information is accumulated and communicated to management and the Board of Directors, as appropriate, to allow for timely decisions regarding such disclosures.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CISO oversees the Company’s incident response plan and related processes designed to assess and manage material risks, if any, from cybersecurity threats. The Company’s CISO also coordinates with consultants and other third parties to assess and manage material risks, if any, from cybersecurity threats. The Company’s CISO oversees the Company’s incident response plan and related processes designed to assess and manage material risks, if any, from cybersecurity threats.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CISO's relevant cybersecurity expertise is comprised of 15+ years' experience within IT and Cyber Security; 1st Class BSc Hons Degree, Computer Science, ISO27001 Lead Auditor and Implementor; detailed knowledge of Security Frameworks including PCI DSS, ISO27001 and SOC. Risk Management and mitigation.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CISO is informed about and monitors the prevention, detection, mitigation, and remediation of cybersecurity incidents pursuant to criteria set forth in the Company’s incident response plan and related processes. The Company’s CISO is also informed about and monitors the prevention, detection, mitigation, and remediation of cybersecurity incidents pursuant to notification criteria set forth in the Company’s contracts with third-party service providers. Further, the Company’s CISO is informed about and monitors the prevention, detection, mitigation, and remediation of cybersecurity incidents pursuant to reports prepared by consultants, auditors, and other third parties retained by the Company, if necessary, to investigate cybersecurity incidents.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CISO or a delegate thereof informs the audit committee of cybersecurity incidents that may be material pursuant to escalation criteria set forth in the Company’s incident response plan and related processes.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CISO or a delegate thereof also prepares a report for the audit committee and the Board of Directors, concerning material risks, if any, from cybersecurity threats at least once per quarter, and more often to the extent necessary pursuant to the escalation criteria set forth in the Company’s processes described herein.</w:t>
      </w:r>
    </w:p>
    <w:p>
      <w:pPr>
        <w:pStyle w:val="TextBody"/>
        <w:bidi w:val="0"/>
        <w:spacing w:before="240" w:after="283"/>
        <w:ind w:left="0" w:right="0" w:firstLine="49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7" w:name="part_3_20f"/>
      <w:bookmarkEnd w:id="37"/>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38" w:name="item_17"/>
      <w:bookmarkEnd w:id="38"/>
      <w:r>
        <w:rPr>
          <w:rFonts w:ascii="Times New Roman" w:hAnsi="Times New Roman"/>
          <w:b/>
          <w:color w:val="000000"/>
          <w:sz w:val="20"/>
        </w:rPr>
        <w:t>Item 17. Financial Statements.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responded to Item 18 in lieu of this item.</w:t>
      </w:r>
    </w:p>
    <w:p>
      <w:pPr>
        <w:pStyle w:val="TextBody"/>
        <w:bidi w:val="0"/>
        <w:spacing w:before="360" w:after="283"/>
        <w:jc w:val="left"/>
        <w:rPr>
          <w:rFonts w:ascii="Times New Roman" w:hAnsi="Times New Roman"/>
          <w:b/>
          <w:color w:val="000000"/>
          <w:sz w:val="20"/>
        </w:rPr>
      </w:pPr>
      <w:bookmarkStart w:id="39" w:name="item_18"/>
      <w:bookmarkEnd w:id="39"/>
      <w:r>
        <w:rPr>
          <w:rFonts w:ascii="Times New Roman" w:hAnsi="Times New Roman"/>
          <w:b/>
          <w:color w:val="000000"/>
          <w:sz w:val="20"/>
        </w:rPr>
        <w:t>Item 18. Financial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audited consolidated financial statements of the Company as of and for the years ended December 31, 2024 and December 31, 2023 are included in pages F-2 to F-40 of this Report.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audited combined consolidated financial statements of GroupBy Inc. and subsidiaries as of and for the years ended December 31, 2024 and December 31, 2023 are included in pages F-41 to F-66 of this Report.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unaudited pro forma condensed combined financial information of the Company, GroupBy Inc. and subsidiaries and Bluedot Industries, Inc., Bluedot Industries Pty. Ltd. and Bluedot Innovation Pty. Ltd as of and for the year ended December 31, 2024 are attached as Exhibit 15.1 to this Report.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center"/>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240" w:after="283"/>
        <w:ind w:left="0" w:right="0" w:firstLine="490"/>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REZOLVE AI plc</w:t>
      </w:r>
      <w:r>
        <w:rPr>
          <w:rFonts w:ascii="Times New Roman" w:hAnsi="Times New Roman"/>
          <w:color w:val="000000"/>
          <w:sz w:val="20"/>
        </w:rPr>
        <w:t xml:space="preserve"> </w:t>
      </w:r>
    </w:p>
    <w:p>
      <w:pPr>
        <w:pStyle w:val="TextBody"/>
        <w:bidi w:val="0"/>
        <w:ind w:left="0" w:right="0" w:firstLine="490"/>
        <w:jc w:val="center"/>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As of and for the years ended December 31, 2024 and 2023</w:t>
      </w:r>
    </w:p>
    <w:p>
      <w:pPr>
        <w:pStyle w:val="TextBody"/>
        <w:bidi w:val="0"/>
        <w:ind w:left="0" w:right="0" w:firstLine="490"/>
        <w:jc w:val="center"/>
        <w:rPr/>
      </w:pPr>
      <w:r>
        <w:rPr/>
        <w:t> </w:t>
      </w:r>
    </w:p>
    <w:p>
      <w:pPr>
        <w:pStyle w:val="TextBody"/>
        <w:bidi w:val="0"/>
        <w:ind w:left="0" w:right="0" w:firstLine="490"/>
        <w:jc w:val="center"/>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80"/>
                  <w:sz w:val="20"/>
                  <w:u w:val="single"/>
                </w:rPr>
                <w:t>Report of Independent Registered Public Accounting Firm</w:t>
              </w:r>
            </w:hyperlink>
            <w:r>
              <w:rPr>
                <w:rFonts w:ascii="Times New Roman" w:hAnsi="Times New Roman"/>
                <w:color w:val="0000FF"/>
                <w:sz w:val="20"/>
                <w:u w:val="single"/>
              </w:rPr>
              <w:t> (PCAOB firm ID 606)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20f">
              <w:r>
                <w:rPr>
                  <w:rStyle w:val="InternetLink"/>
                  <w:rFonts w:ascii="Times New Roman" w:hAnsi="Times New Roman"/>
                  <w:color w:val="0000FF"/>
                  <w:sz w:val="20"/>
                  <w:u w:val="single"/>
                </w:rPr>
                <w:t>Consolidated Balance Sheets as of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perations_20f">
              <w:r>
                <w:rPr>
                  <w:rStyle w:val="InternetLink"/>
                  <w:rFonts w:ascii="Times New Roman" w:hAnsi="Times New Roman"/>
                  <w:color w:val="0000FF"/>
                  <w:sz w:val="20"/>
                  <w:u w:val="single"/>
                </w:rPr>
                <w:t>Consolidated Statements of Operations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Consolidated Statement of Comprehensive Loss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20f">
              <w:r>
                <w:rPr>
                  <w:rStyle w:val="InternetLink"/>
                  <w:rFonts w:ascii="Times New Roman" w:hAnsi="Times New Roman"/>
                  <w:color w:val="0000FF"/>
                  <w:sz w:val="20"/>
                  <w:u w:val="single"/>
                </w:rPr>
                <w:t>Consolidated Statements of Stockholders’ Deficit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20f">
              <w:r>
                <w:rPr>
                  <w:rStyle w:val="InternetLink"/>
                  <w:rFonts w:ascii="Times New Roman" w:hAnsi="Times New Roman"/>
                  <w:color w:val="0000FF"/>
                  <w:sz w:val="20"/>
                  <w:u w:val="single"/>
                </w:rPr>
                <w:t>Consolidated Statements of Cash Flows for the Years ended December 31, 2024 and December 31, 2023</w:t>
              </w:r>
            </w:hyperlink>
            <w:hyperlink w:anchor="cash_flows_20f">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nt">
              <w:r>
                <w:rPr>
                  <w:rStyle w:val="InternetLink"/>
                  <w:rFonts w:ascii="Times New Roman" w:hAnsi="Times New Roman"/>
                  <w:color w:val="0000FF"/>
                  <w:sz w:val="20"/>
                  <w:u w:val="single"/>
                </w:rPr>
                <w:t>Notes to the Consolidated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GROUPBY INC.</w:t>
      </w:r>
    </w:p>
    <w:p>
      <w:pPr>
        <w:pStyle w:val="TextBody"/>
        <w:bidi w:val="0"/>
        <w:jc w:val="center"/>
        <w:rPr>
          <w:rFonts w:ascii="Times New Roman" w:hAnsi="Times New Roman"/>
          <w:sz w:val="20"/>
        </w:rPr>
      </w:pPr>
      <w:r>
        <w:rPr>
          <w:rFonts w:ascii="Times New Roman" w:hAnsi="Times New Roman"/>
          <w:b/>
          <w:color w:val="000000"/>
          <w:sz w:val="20"/>
        </w:rPr>
        <w:t>Combined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As of and for the years ended December 31, 2024 and 2023</w:t>
      </w:r>
    </w:p>
    <w:p>
      <w:pPr>
        <w:pStyle w:val="TextBody"/>
        <w:bidi w:val="0"/>
        <w:jc w:val="center"/>
        <w:rPr/>
      </w:pPr>
      <w:r>
        <w:rPr/>
        <w:t> </w:t>
      </w:r>
    </w:p>
    <w:tbl>
      <w:tblPr>
        <w:tblW w:w="7044" w:type="dxa"/>
        <w:jc w:val="left"/>
        <w:tblInd w:w="0" w:type="dxa"/>
        <w:tblLayout w:type="fixed"/>
        <w:tblCellMar>
          <w:top w:w="28" w:type="dxa"/>
          <w:left w:w="28" w:type="dxa"/>
          <w:bottom w:w="28" w:type="dxa"/>
          <w:right w:w="28" w:type="dxa"/>
        </w:tblCellMar>
      </w:tblPr>
      <w:tblGrid>
        <w:gridCol w:w="5986"/>
        <w:gridCol w:w="146"/>
        <w:gridCol w:w="146"/>
        <w:gridCol w:w="766"/>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98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groupby_audit_mnp_report">
              <w:r>
                <w:rPr>
                  <w:rStyle w:val="InternetLink"/>
                  <w:rFonts w:ascii="Times New Roman" w:hAnsi="Times New Roman"/>
                  <w:color w:val="0000FF"/>
                  <w:sz w:val="20"/>
                  <w:u w:val="single"/>
                </w:rPr>
                <w:t>Independent Auditor's Report</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F-42</w:t>
            </w:r>
          </w:p>
        </w:tc>
      </w:tr>
      <w:tr>
        <w:trPr/>
        <w:tc>
          <w:tcPr>
            <w:tcW w:w="598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Combined Consolidated Statement of Financial Position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F-44</w:t>
            </w:r>
          </w:p>
        </w:tc>
      </w:tr>
      <w:tr>
        <w:trPr/>
        <w:tc>
          <w:tcPr>
            <w:tcW w:w="598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operations">
              <w:r>
                <w:rPr>
                  <w:rStyle w:val="InternetLink"/>
                  <w:rFonts w:ascii="Times New Roman" w:hAnsi="Times New Roman"/>
                  <w:color w:val="0000FF"/>
                  <w:sz w:val="20"/>
                  <w:u w:val="single"/>
                </w:rPr>
                <w:t>Combined Consolidated Statements of Loss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F-45</w:t>
            </w:r>
          </w:p>
        </w:tc>
      </w:tr>
      <w:tr>
        <w:trPr/>
        <w:tc>
          <w:tcPr>
            <w:tcW w:w="598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hanges_in">
              <w:r>
                <w:rPr>
                  <w:rStyle w:val="InternetLink"/>
                  <w:rFonts w:ascii="Times New Roman" w:hAnsi="Times New Roman"/>
                  <w:color w:val="0000FF"/>
                  <w:sz w:val="20"/>
                  <w:u w:val="single"/>
                </w:rPr>
                <w:t>Combined Consolidated Statements of Changes in Stockholders’ Deficit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F-46</w:t>
            </w:r>
          </w:p>
        </w:tc>
      </w:tr>
      <w:tr>
        <w:trPr/>
        <w:tc>
          <w:tcPr>
            <w:tcW w:w="598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ash_flows">
              <w:r>
                <w:rPr>
                  <w:rStyle w:val="InternetLink"/>
                  <w:rFonts w:ascii="Times New Roman" w:hAnsi="Times New Roman"/>
                  <w:color w:val="0000FF"/>
                  <w:sz w:val="20"/>
                  <w:u w:val="single"/>
                </w:rPr>
                <w:t>Combined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F-47</w:t>
            </w:r>
          </w:p>
        </w:tc>
      </w:tr>
      <w:tr>
        <w:trPr/>
        <w:tc>
          <w:tcPr>
            <w:tcW w:w="598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notes_to_financial_statements_">
              <w:r>
                <w:rPr>
                  <w:rStyle w:val="InternetLink"/>
                  <w:rFonts w:ascii="Times New Roman" w:hAnsi="Times New Roman"/>
                  <w:color w:val="0000FF"/>
                  <w:sz w:val="20"/>
                  <w:u w:val="single"/>
                </w:rPr>
                <w:t>Notes to Combined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40" w:name="report_independent_registered_public_acc"/>
      <w:bookmarkEnd w:id="40"/>
      <w:r>
        <w:rPr>
          <w:rFonts w:ascii="Times New Roman" w:hAnsi="Times New Roman"/>
          <w:b/>
          <w:smallCaps/>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Board of Directors and Stockholders of Rezolve AI plc and Subsidiaries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year period ended December 31, 2024,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Grassi &amp; Co., CPAs, P.C.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Jericho, New York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April 23,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41" w:name="balance_sheet_20f"/>
      <w:bookmarkEnd w:id="41"/>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82"/>
        <w:gridCol w:w="199"/>
        <w:gridCol w:w="148"/>
        <w:gridCol w:w="1085"/>
        <w:gridCol w:w="166"/>
        <w:gridCol w:w="199"/>
        <w:gridCol w:w="148"/>
        <w:gridCol w:w="1085"/>
        <w:gridCol w:w="393"/>
      </w:tblGrid>
      <w:tr>
        <w:trPr/>
        <w:tc>
          <w:tcPr>
            <w:tcW w:w="67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Current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Cash</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9,450,944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Accounts receivable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299,013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Derivative asset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 current assets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13,020,647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321,988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Non-current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79,593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6,750,178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2,134,903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 non-current assets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6,767,510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2,214,496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19,788,157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2,536,484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Shareholders’ deficit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Current liabilities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Accounts payable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7,303,060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4,569,703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Due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777,576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Accrued expenses and other payables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9,513,932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4,492,790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Short term debt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6,225,815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Short term convertible debt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10,288,123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31,088,259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Short term convertible debt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Convertible promissory notes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6,428,825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Ordinary Shares Payable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8,223,928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Share-based payment liability</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1,311,028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Advisors loans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Derivative liabilities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 current liabilities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57,784,739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56,821,368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57,784,739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56,821,368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Commitments</w:t>
            </w:r>
            <w:r>
              <w:rPr>
                <w:rFonts w:ascii="Times New Roman" w:hAnsi="Times New Roman"/>
                <w:color w:val="000000"/>
                <w:sz w:val="20"/>
              </w:rPr>
              <w:t> </w:t>
            </w:r>
            <w:r>
              <w:rPr>
                <w:rFonts w:ascii="Times New Roman" w:hAnsi="Times New Roman"/>
                <w:b/>
                <w:color w:val="000000"/>
                <w:sz w:val="18"/>
              </w:rPr>
              <w:t>(refer to note 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deficit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8"/>
              </w:rPr>
              <w:t>Ordinary shares, £0.0001</w:t>
            </w:r>
            <w:r>
              <w:rPr>
                <w:rFonts w:ascii="Times New Roman" w:hAnsi="Times New Roman"/>
                <w:color w:val="000000"/>
                <w:sz w:val="20"/>
              </w:rPr>
              <w:t> </w:t>
            </w:r>
            <w:r>
              <w:rPr>
                <w:rFonts w:ascii="Times New Roman" w:hAnsi="Times New Roman"/>
                <w:color w:val="000000"/>
                <w:sz w:val="18"/>
              </w:rPr>
              <w:t>nominal value 208,260,754</w:t>
            </w:r>
            <w:r>
              <w:rPr>
                <w:rFonts w:ascii="Times New Roman" w:hAnsi="Times New Roman"/>
                <w:color w:val="000000"/>
                <w:sz w:val="20"/>
              </w:rPr>
              <w:t> </w:t>
            </w:r>
            <w:r>
              <w:rPr>
                <w:rFonts w:ascii="Times New Roman" w:hAnsi="Times New Roman"/>
                <w:color w:val="000000"/>
                <w:sz w:val="18"/>
              </w:rPr>
              <w:t>shares issued and outstanding as of December 31, 2024; 152,262,295</w:t>
            </w:r>
            <w:r>
              <w:rPr>
                <w:rFonts w:ascii="Times New Roman" w:hAnsi="Times New Roman"/>
                <w:color w:val="000000"/>
                <w:sz w:val="20"/>
              </w:rPr>
              <w:t> </w:t>
            </w:r>
            <w:r>
              <w:rPr>
                <w:rFonts w:ascii="Times New Roman" w:hAnsi="Times New Roman"/>
                <w:color w:val="000000"/>
                <w:sz w:val="18"/>
              </w:rPr>
              <w:t>shares issued and outstanding as of December 31, 2023; 256,365,817</w:t>
            </w:r>
            <w:r>
              <w:rPr>
                <w:rFonts w:ascii="Times New Roman" w:hAnsi="Times New Roman"/>
                <w:color w:val="000000"/>
                <w:sz w:val="20"/>
              </w:rPr>
              <w:t> </w:t>
            </w:r>
            <w:r>
              <w:rPr>
                <w:rFonts w:ascii="Times New Roman" w:hAnsi="Times New Roman"/>
                <w:color w:val="000000"/>
                <w:sz w:val="18"/>
              </w:rPr>
              <w:t>and 161,710,480</w:t>
            </w:r>
            <w:r>
              <w:rPr>
                <w:rFonts w:ascii="Times New Roman" w:hAnsi="Times New Roman"/>
                <w:color w:val="000000"/>
                <w:sz w:val="20"/>
              </w:rPr>
              <w:t> </w:t>
            </w:r>
            <w:r>
              <w:rPr>
                <w:rFonts w:ascii="Times New Roman" w:hAnsi="Times New Roman"/>
                <w:color w:val="000000"/>
                <w:sz w:val="18"/>
              </w:rPr>
              <w:t>shares authorized as of December 31, 2024 and 2023 (refer to note 2.19)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127,310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8"/>
              </w:rPr>
              <w:t>Series A shares, £0.0001</w:t>
            </w:r>
            <w:r>
              <w:rPr>
                <w:rFonts w:ascii="Times New Roman" w:hAnsi="Times New Roman"/>
                <w:color w:val="000000"/>
                <w:sz w:val="20"/>
              </w:rPr>
              <w:t> </w:t>
            </w:r>
            <w:r>
              <w:rPr>
                <w:rFonts w:ascii="Times New Roman" w:hAnsi="Times New Roman"/>
                <w:color w:val="000000"/>
                <w:sz w:val="18"/>
              </w:rPr>
              <w:t>nominal value 4,575,983</w:t>
            </w:r>
            <w:r>
              <w:rPr>
                <w:rFonts w:ascii="Times New Roman" w:hAnsi="Times New Roman"/>
                <w:color w:val="000000"/>
                <w:sz w:val="20"/>
              </w:rPr>
              <w:t> </w:t>
            </w:r>
            <w:r>
              <w:rPr>
                <w:rFonts w:ascii="Times New Roman" w:hAnsi="Times New Roman"/>
                <w:color w:val="000000"/>
                <w:sz w:val="18"/>
              </w:rPr>
              <w:t>shares issued, authorized and outstanding as of December 31, 2023 (refer to note 2.19)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194,062,767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172,204,832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 subscription receivable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(178,720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Accumulated deficit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(232,075,815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(226,291,430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Accumulated other comprehensive loss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(150,744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(37,996,582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(54,284,884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deficit</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19,788,157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2,536,484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42" w:name="operations_20f"/>
      <w:bookmarkEnd w:id="42"/>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ind w:left="49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6453"/>
        <w:gridCol w:w="146"/>
        <w:gridCol w:w="218"/>
        <w:gridCol w:w="1245"/>
        <w:gridCol w:w="166"/>
        <w:gridCol w:w="146"/>
        <w:gridCol w:w="224"/>
        <w:gridCol w:w="1214"/>
        <w:gridCol w:w="393"/>
      </w:tblGrid>
      <w:tr>
        <w:trPr/>
        <w:tc>
          <w:tcPr>
            <w:tcW w:w="6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revenue (see note 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and marketing expenses (including related party transactions of $1,011,119 and $2,072,224,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 expenses (including related party transactions of $68,413,399 and $4,830,987, see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(138,042,786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(26,006,274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(172,601,857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(30,672,690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(172,646,790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(30,736,098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162,855,146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151,256,853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bookmarkStart w:id="43" w:name="consolidated_statements_of_comprehensive"/>
      <w:bookmarkEnd w:id="43"/>
      <w:r>
        <w:rPr>
          <w:rFonts w:ascii="Times New Roman" w:hAnsi="Times New Roman"/>
          <w:b/>
          <w:color w:val="000000"/>
          <w:sz w:val="20"/>
        </w:rPr>
        <w:t>Consolidated Statements of Comprehensive Loss</w:t>
      </w:r>
    </w:p>
    <w:p>
      <w:pPr>
        <w:pStyle w:val="TextBody"/>
        <w:bidi w:val="0"/>
        <w:spacing w:before="40" w:after="283"/>
        <w:ind w:left="490" w:right="0" w:hanging="0"/>
        <w:jc w:val="left"/>
        <w:rPr/>
      </w:pPr>
      <w:r>
        <w:rPr/>
        <w:t> </w:t>
      </w:r>
    </w:p>
    <w:tbl>
      <w:tblPr>
        <w:tblW w:w="6985" w:type="dxa"/>
        <w:jc w:val="left"/>
        <w:tblInd w:w="0" w:type="dxa"/>
        <w:tblLayout w:type="fixed"/>
        <w:tblCellMar>
          <w:top w:w="28" w:type="dxa"/>
          <w:left w:w="28" w:type="dxa"/>
          <w:bottom w:w="28" w:type="dxa"/>
          <w:right w:w="28" w:type="dxa"/>
        </w:tblCellMar>
      </w:tblPr>
      <w:tblGrid>
        <w:gridCol w:w="3316"/>
        <w:gridCol w:w="146"/>
        <w:gridCol w:w="224"/>
        <w:gridCol w:w="1276"/>
        <w:gridCol w:w="166"/>
        <w:gridCol w:w="146"/>
        <w:gridCol w:w="242"/>
        <w:gridCol w:w="1258"/>
        <w:gridCol w:w="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(172,506,316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(30,805,663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44" w:name="stockholders_equity_20f"/>
      <w:bookmarkEnd w:id="44"/>
      <w:r>
        <w:rPr>
          <w:rFonts w:ascii="Times New Roman" w:hAnsi="Times New Roman"/>
          <w:b/>
          <w:color w:val="000000"/>
          <w:sz w:val="20"/>
        </w:rPr>
        <w:t>Consolidated Statements of Stockholders’ Deficit</w:t>
      </w:r>
      <w:r>
        <w:rPr>
          <w:rFonts w:ascii="Times New Roman" w:hAnsi="Times New Roman"/>
          <w:color w:val="000000"/>
          <w:sz w:val="20"/>
        </w:rPr>
        <w:t xml:space="preserve"> </w:t>
      </w:r>
    </w:p>
    <w:p>
      <w:pPr>
        <w:pStyle w:val="TextBody"/>
        <w:bidi w:val="0"/>
        <w:jc w:val="left"/>
        <w:rPr/>
      </w:pPr>
      <w:r>
        <w:rPr/>
        <w:t> </w:t>
      </w:r>
    </w:p>
    <w:tbl>
      <w:tblPr>
        <w:tblW w:w="13389" w:type="dxa"/>
        <w:jc w:val="left"/>
        <w:tblInd w:w="0" w:type="dxa"/>
        <w:tblLayout w:type="fixed"/>
        <w:tblCellMar>
          <w:top w:w="28" w:type="dxa"/>
          <w:left w:w="28" w:type="dxa"/>
          <w:bottom w:w="28" w:type="dxa"/>
          <w:right w:w="28" w:type="dxa"/>
        </w:tblCellMar>
      </w:tblPr>
      <w:tblGrid>
        <w:gridCol w:w="1066"/>
        <w:gridCol w:w="146"/>
        <w:gridCol w:w="146"/>
        <w:gridCol w:w="841"/>
        <w:gridCol w:w="146"/>
        <w:gridCol w:w="146"/>
        <w:gridCol w:w="241"/>
        <w:gridCol w:w="146"/>
        <w:gridCol w:w="631"/>
        <w:gridCol w:w="151"/>
        <w:gridCol w:w="146"/>
        <w:gridCol w:w="146"/>
        <w:gridCol w:w="736"/>
        <w:gridCol w:w="151"/>
        <w:gridCol w:w="146"/>
        <w:gridCol w:w="241"/>
        <w:gridCol w:w="146"/>
        <w:gridCol w:w="481"/>
        <w:gridCol w:w="151"/>
        <w:gridCol w:w="146"/>
        <w:gridCol w:w="241"/>
        <w:gridCol w:w="146"/>
        <w:gridCol w:w="886"/>
        <w:gridCol w:w="151"/>
        <w:gridCol w:w="146"/>
        <w:gridCol w:w="241"/>
        <w:gridCol w:w="146"/>
        <w:gridCol w:w="886"/>
        <w:gridCol w:w="151"/>
        <w:gridCol w:w="146"/>
        <w:gridCol w:w="241"/>
        <w:gridCol w:w="146"/>
        <w:gridCol w:w="631"/>
        <w:gridCol w:w="151"/>
        <w:gridCol w:w="146"/>
        <w:gridCol w:w="241"/>
        <w:gridCol w:w="146"/>
        <w:gridCol w:w="631"/>
        <w:gridCol w:w="151"/>
        <w:gridCol w:w="146"/>
        <w:gridCol w:w="241"/>
        <w:gridCol w:w="146"/>
        <w:gridCol w:w="886"/>
        <w:gridCol w:w="19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w:t>
              <w:br/>
              <w:t>subscription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receivable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151,419,672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126,677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4,575,983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163,165,083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(195,555,332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(178,720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(81,179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(32,519,603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from exercise of share-options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in lieu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3,646,017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5,079,201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5,079,201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(30,736,098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(30,736,098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152,262,295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127,310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4,575,983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172,204,832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(226,291,430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(178,720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(150,744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(54,284,884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in lieu of cash payment for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304,137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304,152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issued with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Recapitalization upon demerger of Rezolve Limited to Rezolve AI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(4,575,983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(176,274,941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176,207,457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178,720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 employees shares restrictions lifted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18,834,889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18,836,099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63,001,392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63,001,392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4,314,649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4,314,649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payments for consultancy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217,365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in lieu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ordinary shares upon acquisition of Armada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5,826,796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(9,345,052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(9,344,318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574,993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advisors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1,930,036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17,949,335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17,949,589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16,241,547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16,242,944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under the rights issue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9,009,884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9,011,193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senior secured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12,035,025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52,399,823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52,401,332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convertible promissory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14,008,078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14,008,437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(172,646,790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(172,646,790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140,474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208,260,754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26,816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194,062,767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(232,075,815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(10,270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(37,996,582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45" w:name="cash_flows_20f"/>
      <w:bookmarkEnd w:id="45"/>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40" w:after="283"/>
        <w:jc w:val="center"/>
        <w:rPr/>
      </w:pPr>
      <w:r>
        <w:rPr/>
        <w:t> </w:t>
      </w:r>
    </w:p>
    <w:tbl>
      <w:tblPr>
        <w:tblW w:w="9870" w:type="dxa"/>
        <w:jc w:val="left"/>
        <w:tblInd w:w="0" w:type="dxa"/>
        <w:tblLayout w:type="fixed"/>
        <w:tblCellMar>
          <w:top w:w="28" w:type="dxa"/>
          <w:left w:w="28" w:type="dxa"/>
          <w:bottom w:w="28" w:type="dxa"/>
          <w:right w:w="28" w:type="dxa"/>
        </w:tblCellMar>
      </w:tblPr>
      <w:tblGrid>
        <w:gridCol w:w="5721"/>
        <w:gridCol w:w="196"/>
        <w:gridCol w:w="180"/>
        <w:gridCol w:w="1320"/>
        <w:gridCol w:w="166"/>
        <w:gridCol w:w="196"/>
        <w:gridCol w:w="195"/>
        <w:gridCol w:w="1305"/>
        <w:gridCol w:w="591"/>
      </w:tblGrid>
      <w:tr>
        <w:trPr/>
        <w:tc>
          <w:tcPr>
            <w:tcW w:w="5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(172,646,790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(30,736,098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loans receivable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1,156,316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Share-based compensation - employees shares restrictions lifted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18,836,099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 based compensation for employees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5,079,201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 based compensation issued to related parties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3,646,017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 based compensation for consultancy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Ordinary shares issued in lieu of cash payment for 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Advisor loan issued for services - Northlands Securities (refer to note 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Advisor loan issued for services - J.V.B. Financial Group (refer to note 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Advisor loan issued for services- Cantor Fitzgerald (refer to note 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4,791,782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Gain on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extinguishment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foreign exchange (gain)/loss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non-cash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operating assets and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(Increase) in accounts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(Increase) in prepaid expense and other current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Increase in accounts payable, accrued expenses and other payables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2,310,465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Increase in payables due to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552,456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(21,642,715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(13,001,875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Development of intangible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(3,523,852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(1,767,148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(3,528,626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(1,781,524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merger with Armada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rights issuance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7,767,674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short-term debt from related party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4,369,413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 of short-term debt obligation from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convertible promissory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11,859,249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 of promissory notes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promissory notes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common stock to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Repayments of rights issue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ordinary shares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warrants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long-term debt obligation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Net cash flow generated from financing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34,585,896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14,712,061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change in 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9,440,503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 beginning of year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year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9,450,944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Share-based payment for development of intangible asset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Cash paid for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interest payable converted to principal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4,040,989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jc w:val="center"/>
        <w:rPr/>
      </w:pPr>
      <w:bookmarkStart w:id="46" w:name="notes_to_consolidated_financial_statemnt"/>
      <w:bookmarkEnd w:id="46"/>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0"/>
        </w:rPr>
        <w:t>Organization</w:t>
      </w:r>
      <w:r>
        <w:rPr>
          <w:color w:val="000000"/>
        </w:rPr>
        <w:t xml:space="preserve"> </w:t>
      </w:r>
      <w:r>
        <w:rPr>
          <w:rFonts w:ascii="Times New Roman" w:hAnsi="Times New Roman"/>
          <w:b/>
          <w:color w:val="000000"/>
          <w:sz w:val="20"/>
        </w:rPr>
        <w:t xml:space="preserve">and nature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Rezolve is a mobile commerce and engagement platform that enables retailers and brands to deliver rich and engaging mobile experiences to consumers. The mailing address of Rezolve’s registered office is 21 Sackville Street, London, W1S 3DN, United Kingdom. </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Basis of presentation and summary of significant accounting policies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accounting purposes the Business Combination, accounted for as a reverse merger, was treated as the equivalent of Rezolve AI plc issuing 5,827,796 ordinary shares to acquire the net liabilities of Armada. The excess amount paid by an investor over the par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net liabilities of Armada are recorded at their acquisition-date fair value in the Consolidated Financial Statements as follows:</w:t>
      </w:r>
    </w:p>
    <w:p>
      <w:pPr>
        <w:pStyle w:val="TextBody"/>
        <w:bidi w:val="0"/>
        <w:spacing w:before="240" w:after="283"/>
        <w:ind w:left="0" w:right="0" w:firstLine="490"/>
        <w:jc w:val="left"/>
        <w:rPr/>
      </w:pPr>
      <w:r>
        <w:rPr/>
        <w:t> </w:t>
      </w:r>
    </w:p>
    <w:tbl>
      <w:tblPr>
        <w:tblW w:w="4935" w:type="dxa"/>
        <w:jc w:val="left"/>
        <w:tblInd w:w="0" w:type="dxa"/>
        <w:tblLayout w:type="fixed"/>
        <w:tblCellMar>
          <w:top w:w="28" w:type="dxa"/>
          <w:left w:w="28" w:type="dxa"/>
          <w:bottom w:w="28" w:type="dxa"/>
          <w:right w:w="28" w:type="dxa"/>
        </w:tblCellMar>
      </w:tblPr>
      <w:tblGrid>
        <w:gridCol w:w="3376"/>
        <w:gridCol w:w="211"/>
        <w:gridCol w:w="146"/>
        <w:gridCol w:w="99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(4,873,019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(1,499,936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liabilities acquired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(9,345,052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Deficit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(9,345,052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Consolidated Financial Statements of Rezolve AI plc and subsidiaries have been prepared on the following basis: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hAnsi="Times New Roman"/>
          <w:i/>
          <w:color w:val="000000"/>
          <w:sz w:val="20"/>
        </w:rPr>
        <w:t>Staff Accounting Bulletin Topic 1-B1, Costs Reflected in Historical Financial Statements</w:t>
      </w:r>
      <w:r>
        <w:rPr>
          <w:rFonts w:ascii="Times New Roman" w:hAnsi="Times New Roman"/>
          <w:color w:val="000000"/>
          <w:sz w:val="20"/>
        </w:rPr>
        <w:t xml:space="preserve"> (“SAB 1-B1”). Management asserts that this method used is reasonable.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r>
        <w:rPr>
          <w:color w:val="00000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consolidation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All intercompany balances and transactions have been eliminated.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list of subsidiaries and Rezolve AI plc’s holding as of December 31, 2024 and 2023 is as follows: </w:t>
      </w:r>
    </w:p>
    <w:p>
      <w:pPr>
        <w:pStyle w:val="TextBody"/>
        <w:bidi w:val="0"/>
        <w:jc w:val="left"/>
        <w:rPr/>
      </w:pPr>
      <w:r>
        <w:rPr/>
        <w:t> </w:t>
      </w:r>
    </w:p>
    <w:tbl>
      <w:tblPr>
        <w:tblW w:w="9037" w:type="dxa"/>
        <w:jc w:val="left"/>
        <w:tblInd w:w="0" w:type="dxa"/>
        <w:tblLayout w:type="fixed"/>
        <w:tblCellMar>
          <w:top w:w="28" w:type="dxa"/>
          <w:left w:w="28" w:type="dxa"/>
          <w:bottom w:w="28" w:type="dxa"/>
          <w:right w:w="28" w:type="dxa"/>
        </w:tblCellMar>
      </w:tblPr>
      <w:tblGrid>
        <w:gridCol w:w="3721"/>
        <w:gridCol w:w="146"/>
        <w:gridCol w:w="1681"/>
        <w:gridCol w:w="146"/>
        <w:gridCol w:w="2116"/>
        <w:gridCol w:w="146"/>
        <w:gridCol w:w="108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the 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Group</w:t>
              <w:br/>
              <w:t>shareholding</w:t>
              <w:b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Taiwan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9, 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Taiwan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Technology (India)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Mobile Commerce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Technology S.L.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25,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AI IP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Armada Acquisition Corp.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Consolidated Financial Statements have been prepared using the United Stated Dollar ($) as its reporting currency.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 or equity securities.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Generating revenue by execution of successful trials and long-term partner arrangements.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generate revenue from our technology.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Assumptions underlying the Company’s business plan are highly sensitive to the signing of revenue generating contracts, the successful outcome of trials for our services and the ability to control expenses.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Foreign currency translation and transactions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Cash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Accounts receivable, net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Property and equipment are stated at cost of acquisition less accumulated depreciation and accumulated impairment provisions, however, there have been no indicators identified during the reporting periods.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Depreciation on property and equipment is charged to expense on a systematic basis over the useful life of assets as estimated by the management. Depreciation is computed using the straight-line method. The useful lives estimated by the management are as follows: </w:t>
      </w:r>
    </w:p>
    <w:p>
      <w:pPr>
        <w:pStyle w:val="TextBody"/>
        <w:bidi w:val="0"/>
        <w:jc w:val="left"/>
        <w:rPr/>
      </w:pPr>
      <w:r>
        <w:rPr/>
        <w:t> </w:t>
      </w:r>
    </w:p>
    <w:tbl>
      <w:tblPr>
        <w:tblW w:w="2548" w:type="dxa"/>
        <w:jc w:val="left"/>
        <w:tblInd w:w="0" w:type="dxa"/>
        <w:tblLayout w:type="fixed"/>
        <w:tblCellMar>
          <w:top w:w="28" w:type="dxa"/>
          <w:left w:w="28" w:type="dxa"/>
          <w:bottom w:w="28" w:type="dxa"/>
          <w:right w:w="28" w:type="dxa"/>
        </w:tblCellMar>
      </w:tblPr>
      <w:tblGrid>
        <w:gridCol w:w="1531"/>
        <w:gridCol w:w="146"/>
        <w:gridCol w:w="87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Repairs and maintenance of property and equipment are expensed as incurred; enhancements and improvements that extend the life of property and equipment are capitalized into their cost.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Intangible assets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Intangible assets consist of computer software and internal-use software. </w:t>
      </w:r>
    </w:p>
    <w:p>
      <w:pPr>
        <w:pStyle w:val="TextBody"/>
        <w:bidi w:val="0"/>
        <w:spacing w:before="360" w:after="283"/>
        <w:ind w:left="0" w:right="0" w:firstLine="490"/>
        <w:jc w:val="left"/>
        <w:rPr>
          <w:rFonts w:ascii="Times New Roman" w:hAnsi="Times New Roman"/>
          <w:sz w:val="20"/>
        </w:rPr>
      </w:pPr>
      <w:r>
        <w:rPr>
          <w:rFonts w:ascii="Times New Roman" w:hAnsi="Times New Roman"/>
          <w:i/>
          <w:color w:val="000000"/>
          <w:sz w:val="20"/>
        </w:rPr>
        <w:t>Computer software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initial useful lives of computer software assets as estimated by management are summarized as follows: </w:t>
      </w:r>
    </w:p>
    <w:p>
      <w:pPr>
        <w:pStyle w:val="TextBody"/>
        <w:bidi w:val="0"/>
        <w:jc w:val="left"/>
        <w:rPr/>
      </w:pPr>
      <w:r>
        <w:rPr/>
        <w:t> </w:t>
      </w:r>
    </w:p>
    <w:tbl>
      <w:tblPr>
        <w:tblW w:w="1843" w:type="dxa"/>
        <w:jc w:val="left"/>
        <w:tblInd w:w="0" w:type="dxa"/>
        <w:tblLayout w:type="fixed"/>
        <w:tblCellMar>
          <w:top w:w="28" w:type="dxa"/>
          <w:left w:w="28" w:type="dxa"/>
          <w:bottom w:w="28" w:type="dxa"/>
          <w:right w:w="28" w:type="dxa"/>
        </w:tblCellMar>
      </w:tblPr>
      <w:tblGrid>
        <w:gridCol w:w="826"/>
        <w:gridCol w:w="146"/>
        <w:gridCol w:w="87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jc w:val="left"/>
        <w:rPr/>
      </w:pPr>
      <w:r>
        <w:rPr/>
        <w:t> </w:t>
      </w:r>
    </w:p>
    <w:p>
      <w:pPr>
        <w:pStyle w:val="TextBody"/>
        <w:bidi w:val="0"/>
        <w:spacing w:before="160" w:after="283"/>
        <w:ind w:left="0" w:right="0" w:firstLine="490"/>
        <w:jc w:val="left"/>
        <w:rPr>
          <w:rFonts w:ascii="Times New Roman" w:hAnsi="Times New Roman"/>
          <w:sz w:val="20"/>
        </w:rPr>
      </w:pPr>
      <w:r>
        <w:rPr>
          <w:rFonts w:ascii="Times New Roman" w:hAnsi="Times New Roman"/>
          <w:i/>
          <w:color w:val="000000"/>
          <w:sz w:val="20"/>
        </w:rPr>
        <w:t>Internal-use software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 of the asset may not be fully recoverable. There were no indicators of impairment for internal-use software as of December 31, 2024 and December 31, 2023 and the years then ended.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Impairment of assets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were no indicators of impairment for any of the long-lived assets as of December 31, 2024 and December 31, 2023 and the years then ended.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Convertible Debt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Convertible notes are regarded as hybrid instruments, consisting of a liability component and an equity component.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also considers the impact, if any, of the dilutive effect of the shares of its common stock issuable upon conversion of the outstanding convertible debt in its diluted income per share, see note 2.20.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Deferred financing costs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Revenue recognition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ASC 606, the Company determines revenue recognition through the following steps: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contract, or contracts, with the customer;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performance obligations in the contract;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the transaction price;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Allocating the transaction price to performance obligations in the contract;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Recognizing revenue when, or as, the Company satisfies performance obligations by transferring the promised goods or services. </w:t>
      </w:r>
    </w:p>
    <w:p>
      <w:pPr>
        <w:pStyle w:val="TextBody"/>
        <w:bidi w:val="0"/>
        <w:spacing w:before="360" w:after="283"/>
        <w:jc w:val="left"/>
        <w:rPr>
          <w:rFonts w:ascii="Times New Roman" w:hAnsi="Times New Roman"/>
          <w:sz w:val="20"/>
        </w:rPr>
      </w:pPr>
      <w:r>
        <w:rPr>
          <w:rFonts w:ascii="Times New Roman" w:hAnsi="Times New Roman"/>
          <w:i/>
          <w:color w:val="000000"/>
          <w:sz w:val="20"/>
        </w:rPr>
        <w:t>Ticketing Commissions (Spain)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single source of revenue is for the commission from sales of football tickets for La Liga in Spain through our platform technology. La Liga pays a commission for each football ticket sold through our platform technology.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Revenue is recognized in accordance with ASC 606 “Revenue from Contracts with Customers” at the point in time when a football ticket is sold on our platform technology.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Cost of revenue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revenues consists of expenses incurred directly in relation to the earning of revenues such as partner’s fees and the impairment of current assets (see note 2.11).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Operating segments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the Company operates as one operating segment, financial data provided in the consolidated financial statements, including total revenues of $187,788 (2023:$145,051), total operating expenses of $138,230,574 (2023:$26,151,325), consolidated net loss of $172,646,790 (2023: $30,736,098), and total assets of $19,788,157 (2023: $2,536,484), represent the performance of our single reportable segment. The consolidated statements of operations reflect the same level of significant expense categories regularly provided to the CODM for decision-making purposes. Sales and marketing expenses reported in the consolidated statements of operations includes advertising expenses, payroll expenses, and consultancy charges (see note 12). General and administrative expenses reported in the consolidated statements of operations includes IT expenses, legal and professional expenses, payroll expenses and consultancy charges (see note 12).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CODM does not review segment assets at a different level or category than those disclosed in the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Research and development credits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Share-based compensation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Shareholders’ deficit and reserves </w:t>
      </w:r>
    </w:p>
    <w:p>
      <w:pPr>
        <w:pStyle w:val="TextBody"/>
        <w:bidi w:val="0"/>
        <w:spacing w:before="120" w:after="283"/>
        <w:jc w:val="left"/>
        <w:rPr>
          <w:rFonts w:ascii="Times New Roman" w:hAnsi="Times New Roman"/>
          <w:sz w:val="20"/>
        </w:rPr>
      </w:pPr>
      <w:r>
        <w:rPr>
          <w:rFonts w:ascii="Times New Roman" w:hAnsi="Times New Roman"/>
          <w:b/>
          <w:color w:val="000000"/>
          <w:sz w:val="20"/>
        </w:rPr>
        <w:t>Authorized and Outstanding Shares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authorized and outstanding shares as of December 31, 2024 and December 31, 2023 as are follows, reflecting the impact of the Pre-Closing Demerger transaction whereby one share in Rezolve AI plc was issued to shareholders of Rezolve Limited for each 6.13 shares held (see note 2.1):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Ordinary shares: £0.0001 nominal value 208,260,754 shares issued and outstanding as of December 31, 2024; 152,262,295 shares issued and outstanding as of December 31, 2023; 256,365,817 and 161,710,480 shares authorized as of December 31, 2024 and 2023.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Series A shares: £0.0001 nominal value 4,575,983 shares issued, authorized and outstanding as of December 31, 2023.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measurement and concentration of credit risk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1—Inputs are quoted prices (unadjusted) in active markets for identical assets or liabilities that the Company has the ability to access at the measurement date.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3—Inputs are unobservable inputs for the asset or liability.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level in the fair value hierarchy within which a fair value measurement in its entirety falls is based on the lowest-level input that is significant to the fair value measurement in its entirety.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Fair value measurement at reporting date: </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211"/>
        <w:gridCol w:w="631"/>
        <w:gridCol w:w="211"/>
        <w:gridCol w:w="146"/>
        <w:gridCol w:w="931"/>
        <w:gridCol w:w="146"/>
        <w:gridCol w:w="211"/>
        <w:gridCol w:w="146"/>
        <w:gridCol w:w="93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fair value of the share-based payment liability was valued using a discounted cash flow method using a risk adjusted discount rate of 10.8%. See note 7.5.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Senior secured convertible notes (note 7.3);</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YA notes (note 7.6);</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Promissory notes (note 7.6)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 of the Company’s cash, accounts receivable, accounts payable and accrued expenses approximated their fair values due to their short term to maturity.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ind w:left="489" w:right="0" w:hanging="0"/>
        <w:jc w:val="left"/>
        <w:rPr>
          <w:rFonts w:ascii="Times New Roman" w:hAnsi="Times New Roman"/>
          <w:sz w:val="20"/>
        </w:rPr>
      </w:pPr>
      <w:r>
        <w:rPr>
          <w:rFonts w:ascii="Times New Roman" w:hAnsi="Times New Roman"/>
          <w:b/>
          <w:color w:val="000000"/>
          <w:sz w:val="20"/>
        </w:rPr>
        <w:t>Credit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Accounts payable include balances for work incurred by third parties for the benefit of the company. At December 31, 2024 and 2023, the following vendors represented more than 10% of total accounts payable. </w:t>
      </w:r>
    </w:p>
    <w:p>
      <w:pPr>
        <w:pStyle w:val="TextBody"/>
        <w:bidi w:val="0"/>
        <w:jc w:val="left"/>
        <w:rPr/>
      </w:pPr>
      <w:r>
        <w:rPr/>
        <w:t> </w:t>
      </w:r>
    </w:p>
    <w:tbl>
      <w:tblPr>
        <w:tblW w:w="6278" w:type="dxa"/>
        <w:jc w:val="left"/>
        <w:tblInd w:w="0" w:type="dxa"/>
        <w:tblLayout w:type="fixed"/>
        <w:tblCellMar>
          <w:top w:w="28" w:type="dxa"/>
          <w:left w:w="28" w:type="dxa"/>
          <w:bottom w:w="28" w:type="dxa"/>
          <w:right w:w="28" w:type="dxa"/>
        </w:tblCellMar>
      </w:tblPr>
      <w:tblGrid>
        <w:gridCol w:w="2941"/>
        <w:gridCol w:w="146"/>
        <w:gridCol w:w="1215"/>
        <w:gridCol w:w="285"/>
        <w:gridCol w:w="146"/>
        <w:gridCol w:w="1214"/>
        <w:gridCol w:w="33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DLA Piper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Donnelley Financial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KPMG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Taylor Wessing LLP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Wilson Sonsini Goodrich &amp; Rosati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ind w:left="490" w:right="0" w:hanging="0"/>
        <w:jc w:val="left"/>
        <w:rPr>
          <w:rFonts w:ascii="Times New Roman" w:hAnsi="Times New Roman"/>
          <w:sz w:val="20"/>
        </w:rPr>
      </w:pPr>
      <w:r>
        <w:rPr>
          <w:rFonts w:ascii="Times New Roman" w:hAnsi="Times New Roman"/>
          <w:b/>
          <w:color w:val="000000"/>
          <w:sz w:val="20"/>
        </w:rPr>
        <w:t>Foreign currency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 </w:t>
      </w:r>
    </w:p>
    <w:p>
      <w:pPr>
        <w:pStyle w:val="TextBody"/>
        <w:bidi w:val="0"/>
        <w:spacing w:before="360" w:after="283"/>
        <w:ind w:left="489" w:right="0" w:hanging="0"/>
        <w:jc w:val="left"/>
        <w:rPr>
          <w:rFonts w:ascii="Times New Roman" w:hAnsi="Times New Roman"/>
          <w:sz w:val="20"/>
        </w:rPr>
      </w:pPr>
      <w:r>
        <w:rPr>
          <w:rFonts w:ascii="Times New Roman" w:hAnsi="Times New Roman"/>
          <w:b/>
          <w:color w:val="000000"/>
          <w:sz w:val="20"/>
        </w:rPr>
        <w:t>Revenue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operating losses in most of the geographies where the Company operates, we concluded that our deferred tax assets on unutilized tax losses were not more likely than not to be realized in the future and a full valuation allowance has been recorded.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Loss and earnings per share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potential shares of ordinary shares outstanding that were excluded from the computation of diluted net loss per share of ordinary shares as of the periods presented because including them would have been antidilutive: </w:t>
      </w:r>
    </w:p>
    <w:p>
      <w:pPr>
        <w:pStyle w:val="TextBody"/>
        <w:bidi w:val="0"/>
        <w:jc w:val="left"/>
        <w:rPr/>
      </w:pPr>
      <w:r>
        <w:rPr/>
        <w:t> </w:t>
      </w:r>
    </w:p>
    <w:tbl>
      <w:tblPr>
        <w:tblW w:w="6150" w:type="dxa"/>
        <w:jc w:val="left"/>
        <w:tblInd w:w="0" w:type="dxa"/>
        <w:tblLayout w:type="fixed"/>
        <w:tblCellMar>
          <w:top w:w="28" w:type="dxa"/>
          <w:left w:w="28" w:type="dxa"/>
          <w:bottom w:w="28" w:type="dxa"/>
          <w:right w:w="28" w:type="dxa"/>
        </w:tblCellMar>
      </w:tblPr>
      <w:tblGrid>
        <w:gridCol w:w="2521"/>
        <w:gridCol w:w="146"/>
        <w:gridCol w:w="185"/>
        <w:gridCol w:w="1315"/>
        <w:gridCol w:w="146"/>
        <w:gridCol w:w="146"/>
        <w:gridCol w:w="185"/>
        <w:gridCol w:w="1315"/>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payable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3,521,846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48,042,040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13,013,845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w:t>
      </w:r>
    </w:p>
    <w:p>
      <w:pPr>
        <w:pStyle w:val="TextBody"/>
        <w:bidi w:val="0"/>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Recently issued and adopted accounting pronouncements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December 2023, the FASB issued Accounting Standards Update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requires additional disclosures related to rate reconciliation, income taxes paid, and other disclosures. Under 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basis with an option to apply the standard retrospectively. Early adoption is permitted. The Company is currently evaluating the impact of ASU 2023-09 on its consolidated financial statements and related disclosures.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November 2023, the FASB issued Accounting Standards Update 2023-07, </w:t>
      </w:r>
      <w:r>
        <w:rPr>
          <w:rFonts w:ascii="Times New Roman" w:hAnsi="Times New Roman"/>
          <w:i/>
          <w:color w:val="000000"/>
          <w:sz w:val="20"/>
        </w:rPr>
        <w:t>Segment Reporting—Improvements to Reportable Segment Disclosures</w:t>
      </w:r>
      <w:r>
        <w:rPr>
          <w:rFonts w:ascii="Times New Roman" w:hAnsi="Times New Roman"/>
          <w:color w:val="000000"/>
          <w:sz w:val="20"/>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Prepayments and other current assets </w:t>
      </w:r>
    </w:p>
    <w:p>
      <w:pPr>
        <w:pStyle w:val="TextBody"/>
        <w:bidi w:val="0"/>
        <w:jc w:val="left"/>
        <w:rPr/>
      </w:pPr>
      <w:r>
        <w:rPr/>
        <w:t> </w:t>
      </w:r>
    </w:p>
    <w:tbl>
      <w:tblPr>
        <w:tblW w:w="7020" w:type="dxa"/>
        <w:jc w:val="left"/>
        <w:tblInd w:w="0" w:type="dxa"/>
        <w:tblLayout w:type="fixed"/>
        <w:tblCellMar>
          <w:top w:w="28" w:type="dxa"/>
          <w:left w:w="28" w:type="dxa"/>
          <w:bottom w:w="28" w:type="dxa"/>
          <w:right w:w="28" w:type="dxa"/>
        </w:tblCellMar>
      </w:tblPr>
      <w:tblGrid>
        <w:gridCol w:w="3391"/>
        <w:gridCol w:w="146"/>
        <w:gridCol w:w="278"/>
        <w:gridCol w:w="192"/>
        <w:gridCol w:w="1030"/>
        <w:gridCol w:w="146"/>
        <w:gridCol w:w="146"/>
        <w:gridCol w:w="278"/>
        <w:gridCol w:w="192"/>
        <w:gridCol w:w="1030"/>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government authorities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299,013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net </w:t>
      </w:r>
    </w:p>
    <w:p>
      <w:pPr>
        <w:pStyle w:val="TextBody"/>
        <w:bidi w:val="0"/>
        <w:jc w:val="left"/>
        <w:rPr/>
      </w:pPr>
      <w:r>
        <w:rPr/>
        <w:t> </w:t>
      </w:r>
    </w:p>
    <w:tbl>
      <w:tblPr>
        <w:tblW w:w="6912" w:type="dxa"/>
        <w:jc w:val="left"/>
        <w:tblInd w:w="0" w:type="dxa"/>
        <w:tblLayout w:type="fixed"/>
        <w:tblCellMar>
          <w:top w:w="28" w:type="dxa"/>
          <w:left w:w="28" w:type="dxa"/>
          <w:bottom w:w="28" w:type="dxa"/>
          <w:right w:w="28" w:type="dxa"/>
        </w:tblCellMar>
      </w:tblPr>
      <w:tblGrid>
        <w:gridCol w:w="2821"/>
        <w:gridCol w:w="146"/>
        <w:gridCol w:w="211"/>
        <w:gridCol w:w="222"/>
        <w:gridCol w:w="1278"/>
        <w:gridCol w:w="166"/>
        <w:gridCol w:w="146"/>
        <w:gridCol w:w="211"/>
        <w:gridCol w:w="222"/>
        <w:gridCol w:w="1278"/>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79,593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Depreciation expense for the years ended December 31, 2024 and 2023 was $41,673 and $44,556 respectively. </w:t>
      </w:r>
    </w:p>
    <w:p>
      <w:pPr>
        <w:pStyle w:val="TextBody"/>
        <w:bidi w:val="0"/>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Intangible assets, net </w:t>
      </w:r>
    </w:p>
    <w:p>
      <w:pPr>
        <w:pStyle w:val="TextBody"/>
        <w:bidi w:val="0"/>
        <w:jc w:val="left"/>
        <w:rPr/>
      </w:pPr>
      <w:r>
        <w:rPr/>
        <w:t> </w:t>
      </w:r>
    </w:p>
    <w:tbl>
      <w:tblPr>
        <w:tblW w:w="7523" w:type="dxa"/>
        <w:jc w:val="left"/>
        <w:tblInd w:w="0" w:type="dxa"/>
        <w:tblLayout w:type="fixed"/>
        <w:tblCellMar>
          <w:top w:w="28" w:type="dxa"/>
          <w:left w:w="28" w:type="dxa"/>
          <w:bottom w:w="28" w:type="dxa"/>
          <w:right w:w="28" w:type="dxa"/>
        </w:tblCellMar>
      </w:tblPr>
      <w:tblGrid>
        <w:gridCol w:w="3856"/>
        <w:gridCol w:w="146"/>
        <w:gridCol w:w="245"/>
        <w:gridCol w:w="170"/>
        <w:gridCol w:w="1084"/>
        <w:gridCol w:w="166"/>
        <w:gridCol w:w="146"/>
        <w:gridCol w:w="245"/>
        <w:gridCol w:w="170"/>
        <w:gridCol w:w="1084"/>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In-development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7,670,590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2,871,737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amortization for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6,750,178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2,134,903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Amortization expense for software for the years ended December 31, 2024 and 2023 was $183,578 and $197,800 respectively. The Company has not commenced amortizing the in-development intangible asset as it not yet ready for its intended use.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2024, expected amortization expense for Software over its remaining life is as follows: </w:t>
      </w:r>
    </w:p>
    <w:p>
      <w:pPr>
        <w:pStyle w:val="TextBody"/>
        <w:bidi w:val="0"/>
        <w:jc w:val="left"/>
        <w:rPr/>
      </w:pPr>
      <w:r>
        <w:rPr/>
        <w:t> </w:t>
      </w:r>
    </w:p>
    <w:tbl>
      <w:tblPr>
        <w:tblW w:w="2316" w:type="dxa"/>
        <w:jc w:val="left"/>
        <w:tblInd w:w="0" w:type="dxa"/>
        <w:tblLayout w:type="fixed"/>
        <w:tblCellMar>
          <w:top w:w="28" w:type="dxa"/>
          <w:left w:w="28" w:type="dxa"/>
          <w:bottom w:w="28" w:type="dxa"/>
          <w:right w:w="28" w:type="dxa"/>
        </w:tblCellMar>
      </w:tblPr>
      <w:tblGrid>
        <w:gridCol w:w="946"/>
        <w:gridCol w:w="146"/>
        <w:gridCol w:w="211"/>
        <w:gridCol w:w="146"/>
        <w:gridCol w:w="6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Debt and other liabilities </w:t>
      </w:r>
    </w:p>
    <w:p>
      <w:pPr>
        <w:pStyle w:val="TextBody"/>
        <w:bidi w:val="0"/>
        <w:jc w:val="left"/>
        <w:rPr/>
      </w:pPr>
      <w:r>
        <w:rPr/>
        <w:t> </w:t>
      </w:r>
    </w:p>
    <w:tbl>
      <w:tblPr>
        <w:tblW w:w="7373" w:type="dxa"/>
        <w:jc w:val="left"/>
        <w:tblInd w:w="0" w:type="dxa"/>
        <w:tblLayout w:type="fixed"/>
        <w:tblCellMar>
          <w:top w:w="28" w:type="dxa"/>
          <w:left w:w="28" w:type="dxa"/>
          <w:bottom w:w="28" w:type="dxa"/>
          <w:right w:w="28" w:type="dxa"/>
        </w:tblCellMar>
      </w:tblPr>
      <w:tblGrid>
        <w:gridCol w:w="4036"/>
        <w:gridCol w:w="227"/>
        <w:gridCol w:w="157"/>
        <w:gridCol w:w="1116"/>
        <w:gridCol w:w="146"/>
        <w:gridCol w:w="227"/>
        <w:gridCol w:w="157"/>
        <w:gridCol w:w="111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 and other liabilities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parties (7.1)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 (7.2)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8,223,928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(7.3)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 (7.4)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 (7.5)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 (7.6)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(7.7)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37,333,443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46,981,299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62" w:type="dxa"/>
        <w:jc w:val="left"/>
        <w:tblInd w:w="0" w:type="dxa"/>
        <w:tblLayout w:type="fixed"/>
        <w:tblCellMar>
          <w:top w:w="28" w:type="dxa"/>
          <w:left w:w="28" w:type="dxa"/>
          <w:bottom w:w="28" w:type="dxa"/>
          <w:right w:w="28" w:type="dxa"/>
        </w:tblCellMar>
      </w:tblPr>
      <w:tblGrid>
        <w:gridCol w:w="3106"/>
        <w:gridCol w:w="227"/>
        <w:gridCol w:w="157"/>
        <w:gridCol w:w="1116"/>
        <w:gridCol w:w="166"/>
        <w:gridCol w:w="448"/>
        <w:gridCol w:w="310"/>
        <w:gridCol w:w="741"/>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(Gain)/loss on extinguishment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(7.3)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39,658,290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convertible debt (7.3)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 (7.6)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(7.7)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44,332,819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7.1</w:t>
      </w:r>
    </w:p>
    <w:p>
      <w:pPr>
        <w:pStyle w:val="TextBody"/>
        <w:bidi w:val="0"/>
        <w:jc w:val="left"/>
        <w:rPr/>
      </w:pPr>
      <w:r>
        <w:rPr>
          <w:rFonts w:ascii="Times New Roman" w:hAnsi="Times New Roman"/>
          <w:color w:val="000000"/>
          <w:sz w:val="20"/>
        </w:rPr>
        <w:t>Unsecured interest free loans taken from related parties DBLP Sea Cow Ltd of $447,067</w:t>
      </w:r>
      <w:r>
        <w:rPr>
          <w:color w:val="000000"/>
        </w:rPr>
        <w:t xml:space="preserve"> </w:t>
      </w:r>
      <w:r>
        <w:rPr>
          <w:rFonts w:ascii="Times New Roman" w:hAnsi="Times New Roman"/>
          <w:color w:val="000000"/>
          <w:sz w:val="20"/>
        </w:rPr>
        <w:t>and Daniel Wagner of $4,655,144</w:t>
      </w:r>
      <w:r>
        <w:rPr>
          <w:color w:val="000000"/>
        </w:rPr>
        <w:t xml:space="preserve"> </w:t>
      </w:r>
      <w:r>
        <w:rPr>
          <w:rFonts w:ascii="Times New Roman" w:hAnsi="Times New Roman"/>
          <w:color w:val="000000"/>
          <w:sz w:val="20"/>
        </w:rPr>
        <w:t xml:space="preserve">are repayable on demand.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conversion price has been amended to seventy</w:t>
      </w:r>
      <w:r>
        <w:rPr>
          <w:color w:val="000000"/>
        </w:rPr>
        <w:t xml:space="preserve"> </w:t>
      </w:r>
      <w:r>
        <w:rPr>
          <w:rFonts w:ascii="Times New Roman" w:hAnsi="Times New Roman"/>
          <w:color w:val="000000"/>
          <w:sz w:val="20"/>
        </w:rPr>
        <w:t xml:space="preserve">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the loan amendment and addition to the Company’s senior secured convertible notes, the default was remediated.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7.2.</w:t>
      </w:r>
    </w:p>
    <w:p>
      <w:pPr>
        <w:pStyle w:val="TextBody"/>
        <w:bidi w:val="0"/>
        <w:spacing w:before="120" w:after="283"/>
        <w:jc w:val="left"/>
        <w:rPr/>
      </w:pPr>
      <w:r>
        <w:rPr>
          <w:rFonts w:ascii="Times New Roman" w:hAnsi="Times New Roman"/>
          <w:color w:val="000000"/>
          <w:sz w:val="20"/>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w:t>
      </w:r>
      <w:r>
        <w:rPr>
          <w:color w:val="000000"/>
        </w:rPr>
        <w:t xml:space="preserve"> </w:t>
      </w:r>
      <w:r>
        <w:rPr>
          <w:rFonts w:ascii="Times New Roman" w:hAnsi="Times New Roman"/>
          <w:color w:val="000000"/>
          <w:sz w:val="20"/>
        </w:rPr>
        <w:t>ordinary shares in December 2024 to subscribers of the rights issue. On January 24, 2025, the Company issued a further 171,429</w:t>
      </w:r>
      <w:r>
        <w:rPr>
          <w:color w:val="000000"/>
        </w:rPr>
        <w:t xml:space="preserve"> </w:t>
      </w:r>
      <w:r>
        <w:rPr>
          <w:rFonts w:ascii="Times New Roman" w:hAnsi="Times New Roman"/>
          <w:color w:val="000000"/>
          <w:sz w:val="20"/>
        </w:rPr>
        <w:t xml:space="preserve">ordinary shares to a subscriber of the rights issue to whom they were owed ordinary shares payable as at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7.3.</w:t>
      </w:r>
    </w:p>
    <w:p>
      <w:pPr>
        <w:pStyle w:val="TextBody"/>
        <w:bidi w:val="0"/>
        <w:spacing w:before="120" w:after="283"/>
        <w:jc w:val="left"/>
        <w:rPr/>
      </w:pPr>
      <w:r>
        <w:rPr>
          <w:rFonts w:ascii="Times New Roman" w:hAnsi="Times New Roman"/>
          <w:color w:val="000000"/>
          <w:sz w:val="20"/>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w:t>
      </w:r>
      <w:r>
        <w:rPr>
          <w:color w:val="000000"/>
        </w:rPr>
        <w:t xml:space="preserve"> </w:t>
      </w:r>
      <w:r>
        <w:rPr>
          <w:rFonts w:ascii="Times New Roman" w:hAnsi="Times New Roman"/>
          <w:color w:val="000000"/>
          <w:sz w:val="20"/>
        </w:rPr>
        <w:t>million fully committed private placement of ordinary shares of the combined company (the “PIPE”), $20</w:t>
      </w:r>
      <w:r>
        <w:rPr>
          <w:color w:val="000000"/>
        </w:rPr>
        <w:t xml:space="preserve"> </w:t>
      </w:r>
      <w:r>
        <w:rPr>
          <w:rFonts w:ascii="Times New Roman" w:hAnsi="Times New Roman"/>
          <w:color w:val="000000"/>
          <w:sz w:val="20"/>
        </w:rPr>
        <w:t xml:space="preserve">million of which has been advanced to Rezolve pursuant to a secured convertible loan note as further described below.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maturity, with interest accrued at 20% per annum,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Immediately prior to an IPO or SPAC transaction, the principal amount and accrued interest is converted into ordinary shares at a 30% discount to the pre-close equity value of the Company.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interest rate is 20% per annum, and is reduced in the following events to: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 per annum if the IPO or SPAC transaction occurred prior to December 16, 2022,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15% per annum if the IPO or SPAC transaction occurs between December 16, 2022 and June 16, 2023.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Upon the issuance of the notes, the amount pre-funded by each participating investor reduces their remaining respective commitment in the PIPE.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not incurred any significant debt issuance costs and has expensed them as incurred.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May 23, 2023, the Company executed a further amendment to the secured convertible loan notes.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amendments are as follows: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additional $15,625,000</w:t>
      </w:r>
      <w:r>
        <w:rPr>
          <w:color w:val="000000"/>
        </w:rPr>
        <w:t xml:space="preserve"> </w:t>
      </w:r>
      <w:r>
        <w:rPr>
          <w:rFonts w:ascii="Times New Roman" w:hAnsi="Times New Roman"/>
          <w:color w:val="000000"/>
          <w:sz w:val="20"/>
        </w:rPr>
        <w:t xml:space="preserve">commitment has been added to the principal amount of the notes, split between a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Conversion of accrued interest of $3,000,000</w:t>
      </w:r>
      <w:r>
        <w:rPr>
          <w:color w:val="000000"/>
        </w:rPr>
        <w:t xml:space="preserve"> </w:t>
      </w:r>
      <w:r>
        <w:rPr>
          <w:rFonts w:ascii="Times New Roman" w:hAnsi="Times New Roman"/>
          <w:color w:val="000000"/>
          <w:sz w:val="20"/>
        </w:rPr>
        <w:t>into loan principal. Additionally $1.5m of Loans for no value , plus $1,040,989</w:t>
      </w:r>
      <w:r>
        <w:rPr>
          <w:color w:val="000000"/>
        </w:rPr>
        <w:t xml:space="preserve"> </w:t>
      </w:r>
      <w:r>
        <w:rPr>
          <w:rFonts w:ascii="Times New Roman" w:hAnsi="Times New Roman"/>
          <w:color w:val="000000"/>
          <w:sz w:val="20"/>
        </w:rPr>
        <w:t>of interest foregone giving total of $4,041,989</w:t>
      </w:r>
      <w:r>
        <w:rPr>
          <w:color w:val="000000"/>
        </w:rPr>
        <w:t xml:space="preserve"> </w:t>
      </w:r>
      <w:r>
        <w:rPr>
          <w:rFonts w:ascii="Times New Roman" w:hAnsi="Times New Roman"/>
          <w:color w:val="000000"/>
          <w:sz w:val="20"/>
        </w:rPr>
        <w:t xml:space="preserve">of total interest capitalized.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$1,250,000</w:t>
      </w:r>
      <w:r>
        <w:rPr>
          <w:color w:val="000000"/>
        </w:rPr>
        <w:t xml:space="preserve"> </w:t>
      </w:r>
      <w:r>
        <w:rPr>
          <w:rFonts w:ascii="Times New Roman" w:hAnsi="Times New Roman"/>
          <w:color w:val="000000"/>
          <w:sz w:val="20"/>
        </w:rPr>
        <w:t xml:space="preserve">of loan principal previously advanced in February 2023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$125,000</w:t>
      </w:r>
      <w:r>
        <w:rPr>
          <w:color w:val="000000"/>
        </w:rPr>
        <w:t xml:space="preserve"> </w:t>
      </w:r>
      <w:r>
        <w:rPr>
          <w:rFonts w:ascii="Times New Roman" w:hAnsi="Times New Roman"/>
          <w:color w:val="000000"/>
          <w:sz w:val="20"/>
        </w:rPr>
        <w:t xml:space="preserve">of loan principal advanced by a director and related party in February 2023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additional $2,750,000</w:t>
      </w:r>
      <w:r>
        <w:rPr>
          <w:color w:val="000000"/>
        </w:rPr>
        <w:t xml:space="preserve"> </w:t>
      </w:r>
      <w:r>
        <w:rPr>
          <w:rFonts w:ascii="Times New Roman" w:hAnsi="Times New Roman"/>
          <w:color w:val="000000"/>
          <w:sz w:val="20"/>
        </w:rPr>
        <w:t xml:space="preserve">of loan notes to be advanced,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$8,500,000</w:t>
      </w:r>
      <w:r>
        <w:rPr>
          <w:color w:val="000000"/>
        </w:rPr>
        <w:t xml:space="preserve"> </w:t>
      </w:r>
      <w:r>
        <w:rPr>
          <w:rFonts w:ascii="Times New Roman" w:hAnsi="Times New Roman"/>
          <w:color w:val="000000"/>
          <w:sz w:val="20"/>
        </w:rPr>
        <w:t xml:space="preserve">in notes upon completion of the Demerger, for which no monetary consideration will be received by the Company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conversion price has been amended to seventy</w:t>
      </w:r>
      <w:r>
        <w:rPr>
          <w:color w:val="000000"/>
        </w:rPr>
        <w:t xml:space="preserve"> </w:t>
      </w:r>
      <w:r>
        <w:rPr>
          <w:rFonts w:ascii="Times New Roman" w:hAnsi="Times New Roman"/>
          <w:color w:val="000000"/>
          <w:sz w:val="20"/>
        </w:rPr>
        <w:t xml:space="preserve">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w:t>
      </w:r>
      <w:r>
        <w:rPr>
          <w:color w:val="000000"/>
        </w:rPr>
        <w:t xml:space="preserve"> </w:t>
      </w:r>
      <w:r>
        <w:rPr>
          <w:rFonts w:ascii="Times New Roman" w:hAnsi="Times New Roman"/>
          <w:color w:val="000000"/>
          <w:sz w:val="20"/>
        </w:rPr>
        <w:t xml:space="preserve">in aggregate of the principal amount of the Convertible Notes from time to time, the Rezolve group shall not enter into any Extraordinary Transactions (as defined below) without the prior consent of a Noteholder Majority.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Upon execution of the amendment the secured convertible notes are then referred to as “the senior secured convertible notes”.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execution of the senior secured convertible note has been accounted for as a troubled debt restructuring since May 23, 2023. No gain has been recognized.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On December 17, 2024, the Company, Apeiron Investment Group Ltd. and Bradley Wickens, the beneficial holders of the majority of Senior Secured Convertible Notes entered into an agreement (the “</w:t>
      </w:r>
      <w:r>
        <w:rPr>
          <w:rFonts w:ascii="Times New Roman" w:hAnsi="Times New Roman"/>
          <w:b/>
          <w:i/>
          <w:color w:val="000000"/>
          <w:sz w:val="20"/>
        </w:rPr>
        <w:t>Agreement</w:t>
      </w:r>
      <w:r>
        <w:rPr>
          <w:rFonts w:ascii="Times New Roman" w:hAnsi="Times New Roman"/>
          <w:color w:val="000000"/>
          <w:sz w:val="20"/>
        </w:rPr>
        <w:t>”) to amend the Loan Note Instrument (the “</w:t>
      </w:r>
      <w:r>
        <w:rPr>
          <w:rFonts w:ascii="Times New Roman" w:hAnsi="Times New Roman"/>
          <w:b/>
          <w:i/>
          <w:color w:val="000000"/>
          <w:sz w:val="20"/>
        </w:rPr>
        <w:t>Amendment</w:t>
      </w:r>
      <w:r>
        <w:rPr>
          <w:rFonts w:ascii="Times New Roman" w:hAnsi="Times New Roman"/>
          <w:color w:val="000000"/>
          <w:sz w:val="20"/>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 of the convertible debt was as follows: </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4876"/>
        <w:gridCol w:w="227"/>
        <w:gridCol w:w="157"/>
        <w:gridCol w:w="1116"/>
        <w:gridCol w:w="166"/>
        <w:gridCol w:w="227"/>
        <w:gridCol w:w="157"/>
        <w:gridCol w:w="1116"/>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on convertible debt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under troubled debt restructuring</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convertible debt under troubled debt restructuring</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10,383,432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31,220,528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Company has not incurred any material debt issuance costs.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the interest expense recognized related to the senior secured convertible notes and unsecured convertible loans: </w:t>
      </w:r>
    </w:p>
    <w:p>
      <w:pPr>
        <w:pStyle w:val="TextBody"/>
        <w:bidi w:val="0"/>
        <w:jc w:val="left"/>
        <w:rPr/>
      </w:pPr>
      <w:r>
        <w:rPr/>
        <w:t> </w:t>
      </w:r>
    </w:p>
    <w:tbl>
      <w:tblPr>
        <w:tblW w:w="5901" w:type="dxa"/>
        <w:jc w:val="left"/>
        <w:tblInd w:w="0" w:type="dxa"/>
        <w:tblLayout w:type="fixed"/>
        <w:tblCellMar>
          <w:top w:w="28" w:type="dxa"/>
          <w:left w:w="28" w:type="dxa"/>
          <w:bottom w:w="28" w:type="dxa"/>
          <w:right w:w="28" w:type="dxa"/>
        </w:tblCellMar>
      </w:tblPr>
      <w:tblGrid>
        <w:gridCol w:w="2566"/>
        <w:gridCol w:w="245"/>
        <w:gridCol w:w="170"/>
        <w:gridCol w:w="1084"/>
        <w:gridCol w:w="146"/>
        <w:gridCol w:w="245"/>
        <w:gridCol w:w="170"/>
        <w:gridCol w:w="1084"/>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3,067,309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6,986,248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3,559,237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7.4</w:t>
      </w:r>
    </w:p>
    <w:p>
      <w:pPr>
        <w:pStyle w:val="TextBody"/>
        <w:bidi w:val="0"/>
        <w:spacing w:before="0" w:after="0"/>
        <w:jc w:val="left"/>
        <w:rPr/>
      </w:pPr>
      <w:r>
        <w:rPr>
          <w:rFonts w:ascii="Times New Roman" w:hAnsi="Times New Roman"/>
          <w:color w:val="000000"/>
          <w:sz w:val="20"/>
        </w:rPr>
        <w:t>A Short term convertible debt to a related party of $132,269</w:t>
      </w:r>
      <w:r>
        <w:rPr>
          <w:color w:val="000000"/>
        </w:rPr>
        <w:t xml:space="preserve"> </w:t>
      </w:r>
      <w:r>
        <w:rPr>
          <w:rFonts w:ascii="Times New Roman" w:hAnsi="Times New Roman"/>
          <w:color w:val="000000"/>
          <w:sz w:val="20"/>
        </w:rPr>
        <w:t>was also added to the Company’s senior secured convertible note including $125,000</w:t>
      </w:r>
      <w:r>
        <w:rPr>
          <w:color w:val="000000"/>
        </w:rPr>
        <w:t xml:space="preserve"> </w:t>
      </w:r>
      <w:r>
        <w:rPr>
          <w:rFonts w:ascii="Times New Roman" w:hAnsi="Times New Roman"/>
          <w:color w:val="000000"/>
          <w:sz w:val="20"/>
        </w:rPr>
        <w:t>of convertible debt and $7,269</w:t>
      </w:r>
      <w:r>
        <w:rPr>
          <w:color w:val="000000"/>
        </w:rPr>
        <w:t xml:space="preserve"> </w:t>
      </w:r>
      <w:r>
        <w:rPr>
          <w:rFonts w:ascii="Times New Roman" w:hAnsi="Times New Roman"/>
          <w:color w:val="000000"/>
          <w:sz w:val="20"/>
        </w:rPr>
        <w:t xml:space="preserve">of interest.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7.5</w:t>
      </w:r>
    </w:p>
    <w:p>
      <w:pPr>
        <w:pStyle w:val="TextBody"/>
        <w:bidi w:val="0"/>
        <w:spacing w:before="240" w:after="283"/>
        <w:jc w:val="left"/>
        <w:rPr/>
      </w:pPr>
      <w:r>
        <w:rPr>
          <w:rFonts w:ascii="Times New Roman" w:hAnsi="Times New Roman"/>
          <w:color w:val="000000"/>
          <w:sz w:val="20"/>
        </w:rPr>
        <w:t>On October 7, 2021, the Group acquired Jaymax International Service Inc. (“Jaymax”) (later renamed to “Rezolve Taiwan Limited”). As part of the acquisition of Jaymax, the Company agreed to issue $1,400,000</w:t>
      </w:r>
      <w:r>
        <w:rPr>
          <w:color w:val="000000"/>
        </w:rPr>
        <w:t xml:space="preserve"> </w:t>
      </w:r>
      <w:r>
        <w:rPr>
          <w:rFonts w:ascii="Times New Roman" w:hAnsi="Times New Roman"/>
          <w:color w:val="000000"/>
          <w:sz w:val="20"/>
        </w:rPr>
        <w:t>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w:t>
      </w:r>
      <w:r>
        <w:rPr>
          <w:color w:val="000000"/>
        </w:rPr>
        <w:t xml:space="preserve"> </w:t>
      </w:r>
      <w:r>
        <w:rPr>
          <w:rFonts w:ascii="Times New Roman" w:hAnsi="Times New Roman"/>
          <w:color w:val="000000"/>
          <w:sz w:val="20"/>
        </w:rPr>
        <w:t>the liability is equal its present value of $1,400,000</w:t>
      </w:r>
      <w:r>
        <w:rPr>
          <w:color w:val="000000"/>
        </w:rPr>
        <w:t xml:space="preserve"> </w:t>
      </w:r>
      <w:r>
        <w:rPr>
          <w:rFonts w:ascii="Times New Roman" w:hAnsi="Times New Roman"/>
          <w:color w:val="000000"/>
          <w:sz w:val="20"/>
        </w:rPr>
        <w:t xml:space="preserve">as the term of the non-compete agreement ended on October 7, 2024. The Company has yet to settle it in ordinary shares as at December 31,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Convertible Promissory notes</w:t>
      </w:r>
    </w:p>
    <w:p>
      <w:pPr>
        <w:pStyle w:val="TextBody"/>
        <w:bidi w:val="0"/>
        <w:spacing w:before="240" w:after="283"/>
        <w:ind w:left="490" w:right="0" w:hanging="0"/>
        <w:jc w:val="left"/>
        <w:rPr/>
      </w:pPr>
      <w:r>
        <w:rPr/>
        <w:t> </w:t>
      </w:r>
    </w:p>
    <w:tbl>
      <w:tblPr>
        <w:tblW w:w="5961" w:type="dxa"/>
        <w:jc w:val="left"/>
        <w:tblInd w:w="0" w:type="dxa"/>
        <w:tblLayout w:type="fixed"/>
        <w:tblCellMar>
          <w:top w:w="28" w:type="dxa"/>
          <w:left w:w="28" w:type="dxa"/>
          <w:bottom w:w="28" w:type="dxa"/>
          <w:right w:w="28" w:type="dxa"/>
        </w:tblCellMar>
      </w:tblPr>
      <w:tblGrid>
        <w:gridCol w:w="2626"/>
        <w:gridCol w:w="245"/>
        <w:gridCol w:w="170"/>
        <w:gridCol w:w="1084"/>
        <w:gridCol w:w="146"/>
        <w:gridCol w:w="448"/>
        <w:gridCol w:w="310"/>
        <w:gridCol w:w="7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 notes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 from sponsor</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6,428,825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ind w:left="838" w:right="0" w:hanging="0"/>
        <w:jc w:val="left"/>
        <w:rPr>
          <w:rFonts w:ascii="Times New Roman" w:hAnsi="Times New Roman"/>
          <w:sz w:val="20"/>
        </w:rPr>
      </w:pPr>
      <w:r>
        <w:rPr>
          <w:rFonts w:ascii="Times New Roman" w:hAnsi="Times New Roman"/>
          <w:b/>
          <w:color w:val="000000"/>
          <w:sz w:val="20"/>
          <w:u w:val="single"/>
        </w:rPr>
        <w:t>Yorkville Standby Equity Purchase Agreement (“SEPA”)</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hAnsi="Times New Roman"/>
          <w:b/>
          <w:i/>
          <w:color w:val="000000"/>
          <w:sz w:val="20"/>
        </w:rPr>
        <w:t>Third YA</w:t>
      </w:r>
      <w:r>
        <w:rPr>
          <w:rFonts w:ascii="Times New Roman" w:hAnsi="Times New Roman"/>
          <w:color w:val="000000"/>
          <w:sz w:val="20"/>
        </w:rPr>
        <w:t xml:space="preserve"> </w:t>
      </w:r>
      <w:r>
        <w:rPr>
          <w:rFonts w:ascii="Times New Roman" w:hAnsi="Times New Roman"/>
          <w:b/>
          <w:i/>
          <w:color w:val="000000"/>
          <w:sz w:val="20"/>
        </w:rPr>
        <w:t>Note</w:t>
      </w:r>
      <w:r>
        <w:rPr>
          <w:rFonts w:ascii="Times New Roman" w:hAnsi="Times New Roman"/>
          <w:color w:val="000000"/>
          <w:sz w:val="20"/>
        </w:rPr>
        <w:t xml:space="preserve">”, and together with the </w:t>
      </w:r>
      <w:r>
        <w:rPr>
          <w:rFonts w:ascii="Times New Roman" w:hAnsi="Times New Roman"/>
          <w:b/>
          <w:i/>
          <w:color w:val="000000"/>
          <w:sz w:val="20"/>
        </w:rPr>
        <w:t>First YA Note</w:t>
      </w:r>
      <w:r>
        <w:rPr>
          <w:rFonts w:ascii="Times New Roman" w:hAnsi="Times New Roman"/>
          <w:color w:val="000000"/>
          <w:sz w:val="20"/>
        </w:rPr>
        <w:t xml:space="preserve"> and </w:t>
      </w:r>
      <w:r>
        <w:rPr>
          <w:rFonts w:ascii="Times New Roman" w:hAnsi="Times New Roman"/>
          <w:b/>
          <w:i/>
          <w:color w:val="000000"/>
          <w:sz w:val="20"/>
        </w:rPr>
        <w:t>Second YA Note</w:t>
      </w:r>
      <w:r>
        <w:rPr>
          <w:rFonts w:ascii="Times New Roman" w:hAnsi="Times New Roman"/>
          <w:color w:val="000000"/>
          <w:sz w:val="20"/>
        </w:rPr>
        <w:t>, the "</w:t>
      </w:r>
      <w:r>
        <w:rPr>
          <w:rFonts w:ascii="Times New Roman" w:hAnsi="Times New Roman"/>
          <w:b/>
          <w:i/>
          <w:color w:val="000000"/>
          <w:sz w:val="20"/>
        </w:rPr>
        <w:t>YA Notes</w:t>
      </w:r>
      <w:r>
        <w:rPr>
          <w:rFonts w:ascii="Times New Roman" w:hAnsi="Times New Roman"/>
          <w:color w:val="000000"/>
          <w:sz w:val="20"/>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pStyle w:val="TextBody"/>
        <w:bidi w:val="0"/>
        <w:spacing w:before="120" w:after="283"/>
        <w:ind w:left="0" w:right="0" w:firstLine="490"/>
        <w:jc w:val="left"/>
        <w:rPr>
          <w:rFonts w:ascii="Times New Roman" w:hAnsi="Times New Roman"/>
          <w:b/>
          <w:color w:val="000000"/>
          <w:sz w:val="20"/>
        </w:rPr>
      </w:pPr>
      <w:r>
        <w:rPr>
          <w:rFonts w:ascii="Times New Roman" w:hAnsi="Times New Roman"/>
          <w:b/>
          <w:color w:val="000000"/>
          <w:sz w:val="20"/>
        </w:rPr>
        <w:t>Promissory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Promissory Notes were issued during the course of February, 2024, pursuant to the terms of the Promissory Note Instruments.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With effect from the completion of the Pre-Closing Demerger, the rights and obligations of Rezolve Limited under the Subscription Agreements and the Promissory Note Instruments were novated to Rezolve AI plc.</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Cohen &amp; Company Financial Management LLC</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Advisors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issued the following promissory notes to financial advisors for fees payable contingent on the close of the Business Combination with Armada: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Northland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J.V.B. Financial Group</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Cantor Fitzgerald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5, 2024 the Company issued 17,354,231 ordinary shares to Cantor to settle the Armada fee. A loss on extinguishment of $1,804,814 was recognized. No further amounts remain outstanding.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amounts for advisors loans remain outstanding as of December 31, 2024:</w:t>
      </w:r>
    </w:p>
    <w:p>
      <w:pPr>
        <w:pStyle w:val="TextBody"/>
        <w:bidi w:val="0"/>
        <w:spacing w:before="120" w:after="283"/>
        <w:jc w:val="left"/>
        <w:rPr/>
      </w:pPr>
      <w:r>
        <w:rPr/>
        <w:t> </w:t>
      </w:r>
    </w:p>
    <w:tbl>
      <w:tblPr>
        <w:tblW w:w="5257" w:type="dxa"/>
        <w:jc w:val="left"/>
        <w:tblInd w:w="0" w:type="dxa"/>
        <w:tblLayout w:type="fixed"/>
        <w:tblCellMar>
          <w:top w:w="28" w:type="dxa"/>
          <w:left w:w="28" w:type="dxa"/>
          <w:bottom w:w="28" w:type="dxa"/>
          <w:right w:w="28" w:type="dxa"/>
        </w:tblCellMar>
      </w:tblPr>
      <w:tblGrid>
        <w:gridCol w:w="1921"/>
        <w:gridCol w:w="227"/>
        <w:gridCol w:w="157"/>
        <w:gridCol w:w="1116"/>
        <w:gridCol w:w="146"/>
        <w:gridCol w:w="448"/>
        <w:gridCol w:w="310"/>
        <w:gridCol w:w="74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Advisors loans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Northland Securities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J.V.B Financial Group</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Warrants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Subscription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Armada warrants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Warrants issued to institutional investors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offering price of each Ordinary Share and accompanying Offering Warrant was $3.00.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Ordinary Shares and Offering Warrants were offered pursuant to a registration statement on Form F-1 (File No. 333-283622), as amended, which was declared effective by the Securities and Exchange Commission on December 19, 2024.</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Ordinary shares issued in lieu of cash payment for services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February 2024, the Company issued 4,514 ordinary shares to Sales Force in lieu of a cash payment for customer relationship platform services provided to the Company.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2024, the Company issued 50,000 shares to D. Boral Capital LLC in lieu of a cash payment for financial and capital raising advisory services provided to the Company.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2024, the Company issued 50,000 shares to the Maxim Group in lieu of a cash payment for advisory services provided to the Company.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 </w:t>
      </w:r>
    </w:p>
    <w:p>
      <w:pPr>
        <w:pStyle w:val="TextBody"/>
        <w:bidi w:val="0"/>
        <w:spacing w:before="120" w:after="283"/>
        <w:ind w:left="0" w:right="0" w:firstLine="490"/>
        <w:jc w:val="left"/>
        <w:rPr/>
      </w:pPr>
      <w:r>
        <w:rPr/>
        <w:t> </w:t>
      </w:r>
    </w:p>
    <w:p>
      <w:pPr>
        <w:pStyle w:val="TextBody"/>
        <w:bidi w:val="0"/>
        <w:spacing w:before="12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Share-based Compensation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LTIP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tbl>
      <w:tblPr>
        <w:tblW w:w="4921" w:type="dxa"/>
        <w:jc w:val="left"/>
        <w:tblInd w:w="0" w:type="dxa"/>
        <w:tblLayout w:type="fixed"/>
        <w:tblCellMar>
          <w:top w:w="28" w:type="dxa"/>
          <w:left w:w="28" w:type="dxa"/>
          <w:bottom w:w="28" w:type="dxa"/>
          <w:right w:w="28" w:type="dxa"/>
        </w:tblCellMar>
      </w:tblPr>
      <w:tblGrid>
        <w:gridCol w:w="2116"/>
        <w:gridCol w:w="379"/>
        <w:gridCol w:w="2426"/>
      </w:tblGrid>
      <w:tr>
        <w:trPr/>
        <w:tc>
          <w:tcPr>
            <w:tcW w:w="21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 in 2022 under the 2022 LTIP</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Expected term—years </w:t>
            </w:r>
            <w:r>
              <w:rPr>
                <w:rFonts w:ascii="Times New Roman" w:hAnsi="Times New Roman"/>
                <w:color w:val="000000"/>
                <w:sz w:val="13"/>
              </w:rPr>
              <w:t>(1)</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 – 5.1</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share value</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Expected volatility </w:t>
            </w:r>
            <w:r>
              <w:rPr>
                <w:rFonts w:ascii="Times New Roman" w:hAnsi="Times New Roman"/>
                <w:color w:val="000000"/>
                <w:sz w:val="13"/>
              </w:rPr>
              <w:t>(2)</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 - 63.5%</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(4)</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The expected term is the length of time the grant is expected to be outstanding before it is exercised or terminated. This number is calculated as the midpoint between the end of the vesting term and the contractual period to exercise.</w:t>
      </w:r>
      <w:r>
        <w:rPr>
          <w:color w:val="000000"/>
        </w:rPr>
        <w:t xml:space="preser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Volatility, or the standard deviation of annualized returns, was calculated based on comparable companies’ reported volatilities.</w:t>
      </w:r>
      <w:r>
        <w:rPr>
          <w:color w:val="000000"/>
        </w:rPr>
        <w:t xml:space="preser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rate was obtained from US treasury notes for the expected terms noted as of the valuation date.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assumed a dividend yield of zero as it has no plans to declare dividends in the foreseeable future.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2023 LTIP Plan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granted 13,611,563 share options in the year ended December 31, 2024 including 4,876,969 share options issued to DBLP Sea Cow Ltd. (principal shareholder, and company owned by founder, chairman and CEO Dan Wagner).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2023 LTIP also amends the 2022 LTIP (issued in November 2022) to: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 any who grantees whose requisite service period completes in the year 2024 to complete in the month of September 2024, and therefore consolidate the end vesting date to the month of September,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whose share options whose requisite service period was meant to complete in 2025 and 2026, vest in September of those years,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 the vesting profile from a cliff vesting to a graded vesting.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share options under the terms of the 2023 LTIP have an exercise price equal to the nominal value of £0.0001 per option. Option holders have a 5-year period to exercise the options before they expire. Forfeitures are recognized in the period of occurrence. </w:t>
      </w:r>
    </w:p>
    <w:p>
      <w:pPr>
        <w:pStyle w:val="TextBody"/>
        <w:bidi w:val="0"/>
        <w:jc w:val="left"/>
        <w:rPr/>
      </w:pPr>
      <w:r>
        <w:rPr/>
        <w:t> </w:t>
      </w:r>
    </w:p>
    <w:tbl>
      <w:tblPr>
        <w:tblW w:w="5787" w:type="dxa"/>
        <w:jc w:val="left"/>
        <w:tblInd w:w="0" w:type="dxa"/>
        <w:tblLayout w:type="fixed"/>
        <w:tblCellMar>
          <w:top w:w="28" w:type="dxa"/>
          <w:left w:w="28" w:type="dxa"/>
          <w:bottom w:w="28" w:type="dxa"/>
          <w:right w:w="28" w:type="dxa"/>
        </w:tblCellMar>
      </w:tblPr>
      <w:tblGrid>
        <w:gridCol w:w="2116"/>
        <w:gridCol w:w="892"/>
        <w:gridCol w:w="617"/>
        <w:gridCol w:w="1971"/>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 in 2023 and 2024 under the 2023 LTIP</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term—years </w:t>
            </w:r>
            <w:r>
              <w:rPr>
                <w:rFonts w:ascii="Times New Roman" w:hAnsi="Times New Roman"/>
                <w:color w:val="000000"/>
                <w:sz w:val="13"/>
              </w:rPr>
              <w:t>(1)</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share value</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volatility </w:t>
            </w:r>
            <w:r>
              <w:rPr>
                <w:rFonts w:ascii="Times New Roman" w:hAnsi="Times New Roman"/>
                <w:color w:val="000000"/>
                <w:sz w:val="13"/>
              </w:rPr>
              <w:t>(2)</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 - 63.5%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(4)</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expected term is the length of time the grant is expected to be outstanding before it is exercised or terminated. This number is calculated as the midpoint between the end of the vesting term and the contractual period to exercise.</w:t>
      </w:r>
      <w:r>
        <w:rPr>
          <w:color w:val="00000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or the standard deviation of annualized returns, was calculated based on comparable companies’ reported volatilities.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rate was obtained from US treasury notes for the expected terms noted as of the valuation date.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assumed a dividend yield of zero as it has no plans to declare dividends in the foreseeable future.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Share option activity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share option activity for the year ended December 31, 2024 was as follows: </w:t>
      </w:r>
    </w:p>
    <w:p>
      <w:pPr>
        <w:pStyle w:val="TextBody"/>
        <w:bidi w:val="0"/>
        <w:jc w:val="left"/>
        <w:rPr/>
      </w:pPr>
      <w:r>
        <w:rPr/>
        <w:t> </w:t>
      </w:r>
    </w:p>
    <w:tbl>
      <w:tblPr>
        <w:tblW w:w="8566" w:type="dxa"/>
        <w:jc w:val="left"/>
        <w:tblInd w:w="0" w:type="dxa"/>
        <w:tblLayout w:type="fixed"/>
        <w:tblCellMar>
          <w:top w:w="28" w:type="dxa"/>
          <w:left w:w="28" w:type="dxa"/>
          <w:bottom w:w="28" w:type="dxa"/>
          <w:right w:w="28" w:type="dxa"/>
        </w:tblCellMar>
      </w:tblPr>
      <w:tblGrid>
        <w:gridCol w:w="3256"/>
        <w:gridCol w:w="146"/>
        <w:gridCol w:w="146"/>
        <w:gridCol w:w="1036"/>
        <w:gridCol w:w="166"/>
        <w:gridCol w:w="146"/>
        <w:gridCol w:w="211"/>
        <w:gridCol w:w="146"/>
        <w:gridCol w:w="676"/>
        <w:gridCol w:w="146"/>
        <w:gridCol w:w="146"/>
        <w:gridCol w:w="285"/>
        <w:gridCol w:w="706"/>
        <w:gridCol w:w="146"/>
        <w:gridCol w:w="146"/>
        <w:gridCol w:w="255"/>
        <w:gridCol w:w="177"/>
        <w:gridCol w:w="439"/>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23,636,916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23,636,916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31,2024, the Company had $6.1 million of unrecognized share-based compensation expense related to share options. This cost is expected to be recognized over a weighted-average period of 3 years and 9 months.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Accrued expenses and other payables </w:t>
      </w:r>
    </w:p>
    <w:p>
      <w:pPr>
        <w:pStyle w:val="TextBody"/>
        <w:bidi w:val="0"/>
        <w:jc w:val="left"/>
        <w:rPr/>
      </w:pPr>
      <w:r>
        <w:rPr/>
        <w:t> </w:t>
      </w:r>
    </w:p>
    <w:tbl>
      <w:tblPr>
        <w:tblW w:w="6216" w:type="dxa"/>
        <w:jc w:val="left"/>
        <w:tblInd w:w="0" w:type="dxa"/>
        <w:tblLayout w:type="fixed"/>
        <w:tblCellMar>
          <w:top w:w="28" w:type="dxa"/>
          <w:left w:w="28" w:type="dxa"/>
          <w:bottom w:w="28" w:type="dxa"/>
          <w:right w:w="28" w:type="dxa"/>
        </w:tblCellMar>
      </w:tblPr>
      <w:tblGrid>
        <w:gridCol w:w="2881"/>
        <w:gridCol w:w="245"/>
        <w:gridCol w:w="170"/>
        <w:gridCol w:w="1084"/>
        <w:gridCol w:w="146"/>
        <w:gridCol w:w="245"/>
        <w:gridCol w:w="170"/>
        <w:gridCol w:w="1084"/>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payables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duty and excise tax liability</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9,513,932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4,492,790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Expenses and other non-operating income/(expense), net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Sales and marketing expenses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tbl>
      <w:tblPr>
        <w:tblW w:w="6943" w:type="dxa"/>
        <w:jc w:val="left"/>
        <w:tblInd w:w="0" w:type="dxa"/>
        <w:tblLayout w:type="fixed"/>
        <w:tblCellMar>
          <w:top w:w="28" w:type="dxa"/>
          <w:left w:w="28" w:type="dxa"/>
          <w:bottom w:w="28" w:type="dxa"/>
          <w:right w:w="28" w:type="dxa"/>
        </w:tblCellMar>
      </w:tblPr>
      <w:tblGrid>
        <w:gridCol w:w="3316"/>
        <w:gridCol w:w="146"/>
        <w:gridCol w:w="245"/>
        <w:gridCol w:w="170"/>
        <w:gridCol w:w="1084"/>
        <w:gridCol w:w="146"/>
        <w:gridCol w:w="146"/>
        <w:gridCol w:w="245"/>
        <w:gridCol w:w="170"/>
        <w:gridCol w:w="1084"/>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Advertisement and publicity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6,285,446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6,731,254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pPr>
      <w:r>
        <w:rPr/>
        <w:t> </w:t>
      </w:r>
    </w:p>
    <w:p>
      <w:pPr>
        <w:pStyle w:val="TextBody"/>
        <w:bidi w:val="0"/>
        <w:ind w:left="0" w:right="0" w:firstLine="49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3316"/>
        <w:gridCol w:w="146"/>
        <w:gridCol w:w="211"/>
        <w:gridCol w:w="146"/>
        <w:gridCol w:w="1143"/>
        <w:gridCol w:w="146"/>
        <w:gridCol w:w="146"/>
        <w:gridCol w:w="227"/>
        <w:gridCol w:w="157"/>
        <w:gridCol w:w="1116"/>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36,486,915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4,340,558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2,543,621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for consultancy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131,430,412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17,986,528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sz w:val="20"/>
        </w:rPr>
      </w:pPr>
      <w:r>
        <w:rPr>
          <w:rFonts w:ascii="Times New Roman" w:hAnsi="Times New Roman"/>
          <w:i/>
          <w:color w:val="000000"/>
          <w:sz w:val="20"/>
        </w:rPr>
        <w:t>Other non-operating income (expense), net</w:t>
      </w:r>
      <w:r>
        <w:rPr>
          <w:rFonts w:ascii="Times New Roman" w:hAnsi="Times New Roman"/>
          <w:color w:val="000000"/>
          <w:sz w:val="20"/>
        </w:rPr>
        <w:t xml:space="preserve"> </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2476"/>
        <w:gridCol w:w="146"/>
        <w:gridCol w:w="245"/>
        <w:gridCol w:w="170"/>
        <w:gridCol w:w="1084"/>
        <w:gridCol w:w="146"/>
        <w:gridCol w:w="146"/>
        <w:gridCol w:w="264"/>
        <w:gridCol w:w="182"/>
        <w:gridCol w:w="1053"/>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1,329,781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party disclosures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u w:val="single"/>
        </w:rPr>
        <w:t>Key managerial personnel (KMP) and Members of their immediate families</w:t>
      </w:r>
      <w:r>
        <w:rPr>
          <w:rFonts w:ascii="Times New Roman" w:hAnsi="Times New Roman"/>
          <w:color w:val="000000"/>
          <w:sz w:val="20"/>
        </w:rPr>
        <w:t xml:space="preserve"> </w:t>
      </w:r>
    </w:p>
    <w:p>
      <w:pPr>
        <w:pStyle w:val="TextBody"/>
        <w:bidi w:val="0"/>
        <w:spacing w:before="120" w:after="283"/>
        <w:ind w:left="0" w:right="0" w:firstLine="490"/>
        <w:jc w:val="left"/>
        <w:rPr/>
      </w:pPr>
      <w:r>
        <w:rPr/>
        <w:t> </w:t>
      </w:r>
    </w:p>
    <w:tbl>
      <w:tblPr>
        <w:tblW w:w="6223" w:type="dxa"/>
        <w:jc w:val="left"/>
        <w:tblInd w:w="0" w:type="dxa"/>
        <w:tblLayout w:type="fixed"/>
        <w:tblCellMar>
          <w:top w:w="28" w:type="dxa"/>
          <w:left w:w="28" w:type="dxa"/>
          <w:bottom w:w="28" w:type="dxa"/>
          <w:right w:w="28" w:type="dxa"/>
        </w:tblCellMar>
      </w:tblPr>
      <w:tblGrid>
        <w:gridCol w:w="1351"/>
        <w:gridCol w:w="146"/>
        <w:gridCol w:w="4726"/>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chief executive officer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Burchill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Banerjjee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products, technology and digital services</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technical officer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commercial officer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Rezolve China</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deputy chairman</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Sir David Wright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 (resigned May 19, 2023)</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Susan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Member</w:t>
            </w:r>
          </w:p>
        </w:tc>
      </w:tr>
    </w:tbl>
    <w:p>
      <w:pPr>
        <w:pStyle w:val="TextBody"/>
        <w:bidi w:val="0"/>
        <w:spacing w:before="120" w:after="283"/>
        <w:ind w:left="0" w:right="0" w:firstLine="490"/>
        <w:jc w:val="left"/>
        <w:rPr/>
      </w:pPr>
      <w:r>
        <w:rPr/>
        <w:t> </w:t>
      </w:r>
    </w:p>
    <w:p>
      <w:pPr>
        <w:pStyle w:val="TextBody"/>
        <w:bidi w:val="0"/>
        <w:spacing w:before="120" w:after="283"/>
        <w:ind w:left="0" w:right="0" w:firstLine="490"/>
        <w:jc w:val="left"/>
        <w:rPr/>
      </w:pPr>
      <w:r>
        <w:rPr/>
        <w:t> </w:t>
      </w:r>
    </w:p>
    <w:p>
      <w:pPr>
        <w:pStyle w:val="TextBody"/>
        <w:bidi w:val="0"/>
        <w:spacing w:before="12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Transactions and outstanding balances of related parties were as follows: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u w:val="single"/>
        </w:rPr>
        <w:t>Transactions during the year</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tbl>
      <w:tblPr>
        <w:tblW w:w="6298" w:type="dxa"/>
        <w:jc w:val="left"/>
        <w:tblInd w:w="0" w:type="dxa"/>
        <w:tblLayout w:type="fixed"/>
        <w:tblCellMar>
          <w:top w:w="28" w:type="dxa"/>
          <w:left w:w="28" w:type="dxa"/>
          <w:bottom w:w="28" w:type="dxa"/>
          <w:right w:w="28" w:type="dxa"/>
        </w:tblCellMar>
      </w:tblPr>
      <w:tblGrid>
        <w:gridCol w:w="3061"/>
        <w:gridCol w:w="146"/>
        <w:gridCol w:w="210"/>
        <w:gridCol w:w="169"/>
        <w:gridCol w:w="925"/>
        <w:gridCol w:w="146"/>
        <w:gridCol w:w="146"/>
        <w:gridCol w:w="225"/>
        <w:gridCol w:w="181"/>
        <w:gridCol w:w="898"/>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Share Capital Issued at nominal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Brooks Newmark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promissory notes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Adam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John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Loans Repaid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promissory notes taken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Adam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John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converted into shares, including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3,559,380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Loans taken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Loans Taken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4,463,322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5,587,343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Managerial remuneration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Key Management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Sauvik Banerjee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393,440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393,440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789,997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61,230,453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756,944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1,153,439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1,326,703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Sauvik Banerjee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842,746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63,001,392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3,270,040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963,858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62,611,948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2,306,182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63,001,392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3,270,040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1,014,926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714,926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1,014,926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Director remuneration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Sir David Wright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Anthony Sharp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380,084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Management remuneration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2,072,224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64,400,841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4,053,826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65,411,960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6,126,050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Business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Rezolve China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4,750,430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paid to Arthur Yao were paid out of Rezolve Limited in the UK. The Company’s operations in China have since been liquidated through the Demerger (Refer to Note 2.1—Basis of presentation).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Sea Cow Ltd. (a company incorporated in the Seychelles) (“DBLP Sea Cow”) is wholly legally owned by Dan Wagner, Chief Executive Officer of Rezolve.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expensed all cash transferred to its former subsidiary Rezolve China (Refer to Note 2.1—Basis of presentation).</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Outstanding balances as at reporting date</w:t>
      </w:r>
      <w:r>
        <w:rPr>
          <w:rFonts w:ascii="Times New Roman" w:hAnsi="Times New Roman"/>
          <w:color w:val="000000"/>
          <w:sz w:val="20"/>
        </w:rPr>
        <w:t xml:space="preserve"> </w:t>
      </w:r>
    </w:p>
    <w:p>
      <w:pPr>
        <w:pStyle w:val="TextBody"/>
        <w:bidi w:val="0"/>
        <w:jc w:val="left"/>
        <w:rPr/>
      </w:pPr>
      <w:r>
        <w:rPr/>
        <w:t> </w:t>
      </w:r>
    </w:p>
    <w:tbl>
      <w:tblPr>
        <w:tblW w:w="6208" w:type="dxa"/>
        <w:jc w:val="left"/>
        <w:tblInd w:w="0" w:type="dxa"/>
        <w:tblLayout w:type="fixed"/>
        <w:tblCellMar>
          <w:top w:w="28" w:type="dxa"/>
          <w:left w:w="28" w:type="dxa"/>
          <w:bottom w:w="28" w:type="dxa"/>
          <w:right w:w="28" w:type="dxa"/>
        </w:tblCellMar>
      </w:tblPr>
      <w:tblGrid>
        <w:gridCol w:w="2581"/>
        <w:gridCol w:w="146"/>
        <w:gridCol w:w="251"/>
        <w:gridCol w:w="187"/>
        <w:gridCol w:w="1061"/>
        <w:gridCol w:w="146"/>
        <w:gridCol w:w="146"/>
        <w:gridCol w:w="251"/>
        <w:gridCol w:w="187"/>
        <w:gridCol w:w="106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Short term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5,587,343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Due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Short term convertible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 Subscription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Sea Cow Ltd. (a company incorporated in the Seychelles) (“DBLP Sea Cow”) is wholly legally owned by Dan Wagner, Chief Executive Officer of Rezolve.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Operating leases as lessee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All of the Company's lease arrangements in place during the years ended December 31, 2024 and 2023 are short-term leases as they have lease 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 </w:t>
      </w:r>
    </w:p>
    <w:p>
      <w:pPr>
        <w:pStyle w:val="TextBody"/>
        <w:bidi w:val="0"/>
        <w:spacing w:before="12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files its primary tax return in the United Kingdom (“the UK”). Its subsidiaries file income tax returns in the United States (“the US”), Spain, India and Taiwan. The income taxes of the Company are presented on a separate return basis for each tax-paying entity.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components of the Company's loss (income) before income taxes are as follows: </w:t>
      </w:r>
    </w:p>
    <w:p>
      <w:pPr>
        <w:pStyle w:val="TextBody"/>
        <w:bidi w:val="0"/>
        <w:jc w:val="left"/>
        <w:rPr/>
      </w:pPr>
      <w:r>
        <w:rPr/>
        <w:t> </w:t>
      </w:r>
    </w:p>
    <w:tbl>
      <w:tblPr>
        <w:tblW w:w="4098" w:type="dxa"/>
        <w:jc w:val="left"/>
        <w:tblInd w:w="0" w:type="dxa"/>
        <w:tblLayout w:type="fixed"/>
        <w:tblCellMar>
          <w:top w:w="28" w:type="dxa"/>
          <w:left w:w="28" w:type="dxa"/>
          <w:bottom w:w="28" w:type="dxa"/>
          <w:right w:w="28" w:type="dxa"/>
        </w:tblCellMar>
      </w:tblPr>
      <w:tblGrid>
        <w:gridCol w:w="721"/>
        <w:gridCol w:w="211"/>
        <w:gridCol w:w="146"/>
        <w:gridCol w:w="1143"/>
        <w:gridCol w:w="166"/>
        <w:gridCol w:w="227"/>
        <w:gridCol w:w="157"/>
        <w:gridCol w:w="1116"/>
        <w:gridCol w:w="211"/>
      </w:tblGrid>
      <w:tr>
        <w:trPr/>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171,670,156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Taiwan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172,601,857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30,672,690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Current and deferred income tax expense consist of: </w:t>
      </w:r>
    </w:p>
    <w:p>
      <w:pPr>
        <w:pStyle w:val="TextBody"/>
        <w:bidi w:val="0"/>
        <w:jc w:val="left"/>
        <w:rPr/>
      </w:pPr>
      <w:r>
        <w:rPr/>
        <w:t> </w:t>
      </w:r>
    </w:p>
    <w:tbl>
      <w:tblPr>
        <w:tblW w:w="4073" w:type="dxa"/>
        <w:jc w:val="left"/>
        <w:tblInd w:w="0" w:type="dxa"/>
        <w:tblLayout w:type="fixed"/>
        <w:tblCellMar>
          <w:top w:w="28" w:type="dxa"/>
          <w:left w:w="28" w:type="dxa"/>
          <w:bottom w:w="28" w:type="dxa"/>
          <w:right w:w="28" w:type="dxa"/>
        </w:tblCellMar>
      </w:tblPr>
      <w:tblGrid>
        <w:gridCol w:w="736"/>
        <w:gridCol w:w="306"/>
        <w:gridCol w:w="212"/>
        <w:gridCol w:w="982"/>
        <w:gridCol w:w="146"/>
        <w:gridCol w:w="306"/>
        <w:gridCol w:w="212"/>
        <w:gridCol w:w="982"/>
        <w:gridCol w:w="191"/>
      </w:tblGrid>
      <w:tr>
        <w:trPr/>
        <w:tc>
          <w:tcPr>
            <w:tcW w:w="7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Income tax benefit attributable to our loss before income taxes differs from the amounts computed using the applicable income tax rate as a result of the following factors: </w:t>
      </w:r>
    </w:p>
    <w:p>
      <w:pPr>
        <w:pStyle w:val="TextBody"/>
        <w:bidi w:val="0"/>
        <w:jc w:val="left"/>
        <w:rPr/>
      </w:pPr>
      <w:r>
        <w:rPr/>
        <w:t> </w:t>
      </w:r>
    </w:p>
    <w:tbl>
      <w:tblPr>
        <w:tblW w:w="9200" w:type="dxa"/>
        <w:jc w:val="left"/>
        <w:tblInd w:w="0" w:type="dxa"/>
        <w:tblLayout w:type="fixed"/>
        <w:tblCellMar>
          <w:top w:w="28" w:type="dxa"/>
          <w:left w:w="28" w:type="dxa"/>
          <w:bottom w:w="28" w:type="dxa"/>
          <w:right w:w="28" w:type="dxa"/>
        </w:tblCellMar>
      </w:tblPr>
      <w:tblGrid>
        <w:gridCol w:w="5401"/>
        <w:gridCol w:w="211"/>
        <w:gridCol w:w="162"/>
        <w:gridCol w:w="1338"/>
        <w:gridCol w:w="166"/>
        <w:gridCol w:w="211"/>
        <w:gridCol w:w="176"/>
        <w:gridCol w:w="1324"/>
        <w:gridCol w:w="211"/>
      </w:tblGrid>
      <w:tr>
        <w:trPr/>
        <w:tc>
          <w:tcPr>
            <w:tcW w:w="5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at statutory tax rates (a)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43,150,464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or non-taxable foreign currency exchange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rate differences (b)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(29,893,933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(2,050,426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(12,858,776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(4,996,208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reflect adjustments (either a benefit or expense) to the “expected” tax expense for statutory rates in jurisdictions in which we operate outside of the UK.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and its subsidiaries are liable to income taxes in their respective jurisdiction. The Company has unused tax losses as follows as at December 31, 2024: </w:t>
      </w:r>
    </w:p>
    <w:p>
      <w:pPr>
        <w:pStyle w:val="TextBody"/>
        <w:bidi w:val="0"/>
        <w:jc w:val="left"/>
        <w:rPr/>
      </w:pPr>
      <w:r>
        <w:rPr/>
        <w:t> </w:t>
      </w:r>
    </w:p>
    <w:tbl>
      <w:tblPr>
        <w:tblW w:w="3697" w:type="dxa"/>
        <w:jc w:val="left"/>
        <w:tblInd w:w="0" w:type="dxa"/>
        <w:tblLayout w:type="fixed"/>
        <w:tblCellMar>
          <w:top w:w="28" w:type="dxa"/>
          <w:left w:w="28" w:type="dxa"/>
          <w:bottom w:w="28" w:type="dxa"/>
          <w:right w:w="28" w:type="dxa"/>
        </w:tblCellMar>
      </w:tblPr>
      <w:tblGrid>
        <w:gridCol w:w="721"/>
        <w:gridCol w:w="211"/>
        <w:gridCol w:w="146"/>
        <w:gridCol w:w="1036"/>
        <w:gridCol w:w="146"/>
        <w:gridCol w:w="146"/>
        <w:gridCol w:w="1291"/>
      </w:tblGrid>
      <w:tr>
        <w:trPr/>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loss</w:t>
              <w:br/>
              <w:t>carryforward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UK (1)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41,980,917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6,238,596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Indefinite</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Spain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Indefinite</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India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N/A</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Taiwan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2,421,606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 years</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changes in our unrecognized tax benefits for the indicated periods are summarized below: </w:t>
      </w:r>
    </w:p>
    <w:p>
      <w:pPr>
        <w:pStyle w:val="TextBody"/>
        <w:bidi w:val="0"/>
        <w:jc w:val="left"/>
        <w:rPr/>
      </w:pPr>
      <w:r>
        <w:rPr/>
        <w:t> </w:t>
      </w:r>
    </w:p>
    <w:tbl>
      <w:tblPr>
        <w:tblW w:w="7809" w:type="dxa"/>
        <w:jc w:val="left"/>
        <w:tblInd w:w="0" w:type="dxa"/>
        <w:tblLayout w:type="fixed"/>
        <w:tblCellMar>
          <w:top w:w="28" w:type="dxa"/>
          <w:left w:w="28" w:type="dxa"/>
          <w:bottom w:w="28" w:type="dxa"/>
          <w:right w:w="28" w:type="dxa"/>
        </w:tblCellMar>
      </w:tblPr>
      <w:tblGrid>
        <w:gridCol w:w="4606"/>
        <w:gridCol w:w="211"/>
        <w:gridCol w:w="146"/>
        <w:gridCol w:w="1096"/>
        <w:gridCol w:w="166"/>
        <w:gridCol w:w="211"/>
        <w:gridCol w:w="146"/>
        <w:gridCol w:w="1036"/>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24,388,433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rate changes: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current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(based on tax return)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16,505,726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lost on demerger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No assurance can be given that any of these tax benefits will be recognized or realized.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2025, we do not expect any material reductions to our unrecognized tax benefits related to tax positions taken as of December 31, 2024. No assurance can be given as to the nature or impact of any changes in our unrecognized tax positions during 2024.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tax effects of temporary differences that give rise to the significant portions of our deferred tax assets and liabilities are presented below: </w:t>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276"/>
        <w:gridCol w:w="217"/>
        <w:gridCol w:w="150"/>
        <w:gridCol w:w="1132"/>
        <w:gridCol w:w="166"/>
        <w:gridCol w:w="227"/>
        <w:gridCol w:w="157"/>
        <w:gridCol w:w="1116"/>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and other carryforwards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PP&amp;E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party</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8,110,222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43,748,501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(20,869,428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 net of valuation allowance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not recognized any uncertain tax position for the year ended December 31, 2024 and December 31, 2023, respectively. </w:t>
      </w:r>
    </w:p>
    <w:p>
      <w:pPr>
        <w:pStyle w:val="TextBody"/>
        <w:bidi w:val="0"/>
        <w:spacing w:before="240" w:after="283"/>
        <w:ind w:left="0" w:right="0" w:firstLine="490"/>
        <w:jc w:val="left"/>
        <w:rPr/>
      </w:pPr>
      <w:r>
        <w:rPr/>
        <w:t> </w:t>
      </w:r>
    </w:p>
    <w:p>
      <w:pPr>
        <w:pStyle w:val="TextBody"/>
        <w:pBdr/>
        <w:bidi w:val="0"/>
        <w:spacing w:before="360" w:after="283"/>
        <w:ind w:left="0" w:right="0" w:hanging="490"/>
        <w:jc w:val="left"/>
        <w:rPr>
          <w:rFonts w:ascii="Times New Roman" w:hAnsi="Times New Roman"/>
          <w:b/>
          <w:color w:val="000000"/>
          <w:sz w:val="20"/>
        </w:rPr>
      </w:pPr>
      <w:r>
        <w:rPr>
          <w:rFonts w:ascii="Times New Roman" w:hAnsi="Times New Roman"/>
          <w:b/>
          <w:color w:val="000000"/>
          <w:sz w:val="20"/>
        </w:rPr>
        <w:t>16. Commitments</w:t>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pStyle w:val="TextBody"/>
        <w:bidi w:val="0"/>
        <w:spacing w:before="120" w:after="283"/>
        <w:ind w:left="0" w:right="0" w:firstLine="490"/>
        <w:jc w:val="left"/>
        <w:rPr/>
      </w:pPr>
      <w:r>
        <w:rPr/>
        <w:t> </w:t>
      </w:r>
    </w:p>
    <w:tbl>
      <w:tblPr>
        <w:tblW w:w="4163" w:type="dxa"/>
        <w:jc w:val="left"/>
        <w:tblInd w:w="0" w:type="dxa"/>
        <w:tblLayout w:type="fixed"/>
        <w:tblCellMar>
          <w:top w:w="28" w:type="dxa"/>
          <w:left w:w="28" w:type="dxa"/>
          <w:bottom w:w="28" w:type="dxa"/>
          <w:right w:w="28" w:type="dxa"/>
        </w:tblCellMar>
      </w:tblPr>
      <w:tblGrid>
        <w:gridCol w:w="2176"/>
        <w:gridCol w:w="146"/>
        <w:gridCol w:w="250"/>
        <w:gridCol w:w="173"/>
        <w:gridCol w:w="1227"/>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1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2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3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The period starting on November 15, 2024 and continuing for 12 months.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 The period starting at the end of Commitment Period 1 and continuing for 12 months.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 The period starting at the end of Commitment Period 2 and continuing for 12 months.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financial statements as of December 31, 2024, we have evaluated subsequent events through April 23, 2025, which is the date such financial statements are available to be issued. </w:t>
      </w:r>
    </w:p>
    <w:p>
      <w:pPr>
        <w:pStyle w:val="TextBody"/>
        <w:bidi w:val="0"/>
        <w:spacing w:before="360" w:after="283"/>
        <w:jc w:val="left"/>
        <w:rPr>
          <w:rFonts w:ascii="Times New Roman" w:hAnsi="Times New Roman"/>
          <w:sz w:val="20"/>
        </w:rPr>
      </w:pPr>
      <w:r>
        <w:rPr>
          <w:rFonts w:ascii="Times New Roman" w:hAnsi="Times New Roman"/>
          <w:i/>
          <w:color w:val="000000"/>
          <w:sz w:val="20"/>
        </w:rPr>
        <w:t>Senior-secured term-loan facility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committed amount of the Facility is $30,000,000 (the “Committed Amount”). The Company may draw the Committed Amount, in full but not in part, until February 20, 2025 upon the satisfaction or waiver of certain customary conditions precedent.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Lender or its affiliates have in the past provided and may from time to time in the future provide, investment banking and other services to the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4, 2025, the Company entered into a purchase agreement with DBLP Sea Cow Ltd (“DBLP”), to acquire the entire issued and to be issued share capital of each of Bluedot Industries, Inc.and Bluedot Industries Pty. Ltd. As consideration for this acquisition, the Company issued 819,737 ordinary shares of the Company to DBLP.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DBLP is is a related party and is wholly legally owned by Daniel Wagner and beneficially owned by John Wagner. Both Daniel Wagner and John Wagner are directors of DBLP.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Bluedot Industries, Inc., Bluedot Industries Pty. Ltd.and Bluedot Innovation Pty. Ltd, together “Bluedot”, is a developer of mobile location technology to enhance customer experiences.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20, 2025 and March 17, 2025, the Company closed the Bluedot Acquisition and issued the above mentioned ordinary shares as consideration to DBLP and the Tanist Group,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acquisition of Bluedot was not deemed significant under Rule 3-05 of Regulation S-X (“Rule 3-05”).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GroupBy is an eCommerce Search and Product Discovery SaaS technology provider that powers some of the largest B2B and B2C brands.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acquisition of GroupBy was deemed significant under Rule 3-05 and separate financial statements for GroupBy are included elsewhere in this Report.</w:t>
      </w:r>
    </w:p>
    <w:p>
      <w:pPr>
        <w:pStyle w:val="TextBody"/>
        <w:bidi w:val="0"/>
        <w:jc w:val="left"/>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Certain of the Buyers or their affiliates have in the past provided and may from time to time in the future provide investment banking and other services to the Company.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Reduction of additional paid-in-capital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26, 2025, the board of the directors of the Company passed a resolution to reduce the additional paid-in-capital of the Company by $200,000,000. A recapitalization occurred capitalizing $200,000,000 to accumulated deficit.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 and other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 </w:t>
      </w:r>
    </w:p>
    <w:p>
      <w:pPr>
        <w:pStyle w:val="TextBody"/>
        <w:bidi w:val="0"/>
        <w:spacing w:before="12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smallCaps/>
          <w:color w:val="000000"/>
          <w:sz w:val="20"/>
        </w:rPr>
      </w:pPr>
      <w:bookmarkStart w:id="47" w:name="groupby_audit_mnp_report"/>
      <w:bookmarkEnd w:id="47"/>
      <w:r>
        <w:rPr>
          <w:rFonts w:ascii="Times New Roman" w:hAnsi="Times New Roman"/>
          <w:b/>
          <w:smallCaps/>
          <w:color w:val="000000"/>
          <w:sz w:val="20"/>
        </w:rPr>
        <w:t>INDEPENDENT AUDITOR'S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To the Board of Directors and Shareholders of GroupBy Group of Companies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Material Uncertainty Related to Going Concern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Responsibilities of Management for the Combined Consolidated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Auditor’s Responsibilities for the Audit of the Combined Consolidated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performing an audit in accordance with generally accepted auditing standards, we: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professional judgment and maintain professional skepticism throughout the audit.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 the appropriateness of accounting policies used and the reasonableness of significant accounting estimates made by management, as well as evaluate the overall presentation of the combined consolidated financial statements.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jc w:val="left"/>
        <w:rPr/>
      </w:pPr>
      <w:r>
        <w:rPr/>
        <w:t> </w:t>
      </w:r>
    </w:p>
    <w:p>
      <w:pPr>
        <w:pStyle w:val="TextBody"/>
        <w:bidi w:val="0"/>
        <w:jc w:val="left"/>
        <w:rPr/>
      </w:pPr>
      <w:bookmarkStart w:id="48" w:name="independent_auditors_report_groupby"/>
      <w:bookmarkEnd w:id="48"/>
      <w:r>
        <w:rPr/>
        <w:t> </w:t>
      </w:r>
    </w:p>
    <w:p>
      <w:pPr>
        <w:pStyle w:val="TextBody"/>
        <w:bidi w:val="0"/>
        <w:jc w:val="left"/>
        <w:rPr>
          <w:rFonts w:ascii="Times New Roman" w:hAnsi="Times New Roman"/>
          <w:color w:val="000000"/>
          <w:sz w:val="20"/>
        </w:rPr>
      </w:pPr>
      <w:r>
        <w:rPr>
          <w:rFonts w:ascii="Times New Roman" w:hAnsi="Times New Roman"/>
          <w:color w:val="000000"/>
          <w:sz w:val="20"/>
        </w:rPr>
        <w:t>/s/ MNP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Chartered Professional Accountants</w:t>
      </w:r>
    </w:p>
    <w:p>
      <w:pPr>
        <w:pStyle w:val="TextBody"/>
        <w:bidi w:val="0"/>
        <w:jc w:val="left"/>
        <w:rPr>
          <w:rFonts w:ascii="Times New Roman" w:hAnsi="Times New Roman"/>
          <w:color w:val="000000"/>
          <w:sz w:val="20"/>
        </w:rPr>
      </w:pPr>
      <w:r>
        <w:rPr>
          <w:rFonts w:ascii="Times New Roman" w:hAnsi="Times New Roman"/>
          <w:color w:val="000000"/>
          <w:sz w:val="20"/>
        </w:rPr>
        <w:t>Licensed Public Accountants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Toronto, Ontario </w:t>
      </w:r>
    </w:p>
    <w:p>
      <w:pPr>
        <w:pStyle w:val="TextBody"/>
        <w:bidi w:val="0"/>
        <w:jc w:val="left"/>
        <w:rPr>
          <w:rFonts w:ascii="Times New Roman" w:hAnsi="Times New Roman"/>
          <w:color w:val="000000"/>
          <w:sz w:val="20"/>
        </w:rPr>
      </w:pPr>
      <w:r>
        <w:rPr>
          <w:rFonts w:ascii="Times New Roman" w:hAnsi="Times New Roman"/>
          <w:color w:val="000000"/>
          <w:sz w:val="20"/>
        </w:rPr>
        <w:t>April 14,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49" w:name="consolidated_balance_sheets"/>
      <w:bookmarkEnd w:id="49"/>
      <w:r>
        <w:rPr>
          <w:rFonts w:ascii="Times New Roman" w:hAnsi="Times New Roman"/>
          <w:b/>
          <w:color w:val="000000"/>
          <w:sz w:val="20"/>
        </w:rPr>
        <w:t>COMBINED CONSOLIDATED STATEMENT OF FINANCIAL POSITION</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9088" w:type="dxa"/>
        <w:jc w:val="left"/>
        <w:tblInd w:w="0" w:type="dxa"/>
        <w:tblLayout w:type="fixed"/>
        <w:tblCellMar>
          <w:top w:w="28" w:type="dxa"/>
          <w:left w:w="28" w:type="dxa"/>
          <w:bottom w:w="28" w:type="dxa"/>
          <w:right w:w="28" w:type="dxa"/>
        </w:tblCellMar>
      </w:tblPr>
      <w:tblGrid>
        <w:gridCol w:w="4698"/>
        <w:gridCol w:w="567"/>
        <w:gridCol w:w="242"/>
        <w:gridCol w:w="1258"/>
        <w:gridCol w:w="166"/>
        <w:gridCol w:w="146"/>
        <w:gridCol w:w="242"/>
        <w:gridCol w:w="1258"/>
        <w:gridCol w:w="511"/>
      </w:tblGrid>
      <w:tr>
        <w:trPr/>
        <w:tc>
          <w:tcPr>
            <w:tcW w:w="469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Cash</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6,482,298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3,376,896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Accounts receivable </w:t>
            </w:r>
            <w:r>
              <w:rPr>
                <w:rFonts w:ascii="Times New Roman" w:hAnsi="Times New Roman"/>
                <w:i/>
                <w:color w:val="000000"/>
                <w:sz w:val="20"/>
              </w:rPr>
              <w:t>(Note 5, Note 15)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1,148,861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Investment tax credits receivable </w:t>
            </w:r>
            <w:r>
              <w:rPr>
                <w:rFonts w:ascii="Times New Roman" w:hAnsi="Times New Roman"/>
                <w:i/>
                <w:color w:val="000000"/>
                <w:sz w:val="20"/>
              </w:rPr>
              <w:t>(Note 7)</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Prepaid expenses and deposits </w:t>
            </w:r>
            <w:r>
              <w:rPr>
                <w:rFonts w:ascii="Times New Roman" w:hAnsi="Times New Roman"/>
                <w:i/>
                <w:color w:val="000000"/>
                <w:sz w:val="20"/>
              </w:rPr>
              <w:t>(Note 19)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1,146,327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1,153,536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taxes receivable</w:t>
            </w:r>
          </w:p>
        </w:tc>
        <w:tc>
          <w:tcPr>
            <w:tcW w:w="567"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8,999,708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6,273,772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Non-current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Property and equipment </w:t>
            </w:r>
            <w:r>
              <w:rPr>
                <w:rFonts w:ascii="Times New Roman" w:hAnsi="Times New Roman"/>
                <w:i/>
                <w:color w:val="000000"/>
                <w:sz w:val="20"/>
              </w:rPr>
              <w:t>(Note 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Right-of-use asset </w:t>
            </w:r>
            <w:r>
              <w:rPr>
                <w:rFonts w:ascii="Times New Roman" w:hAnsi="Times New Roman"/>
                <w:i/>
                <w:color w:val="000000"/>
                <w:sz w:val="20"/>
              </w:rPr>
              <w:t>(Note 8)</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 Assets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374,938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9,174,276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6,648,710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Current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Bank indebtedness </w:t>
            </w:r>
            <w:r>
              <w:rPr>
                <w:rFonts w:ascii="Times New Roman" w:hAnsi="Times New Roman"/>
                <w:i/>
                <w:color w:val="000000"/>
                <w:sz w:val="20"/>
              </w:rPr>
              <w:t>(Note 9)</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Accounts Payable and accrued liabilities </w:t>
            </w:r>
            <w:r>
              <w:rPr>
                <w:rFonts w:ascii="Times New Roman" w:hAnsi="Times New Roman"/>
                <w:i/>
                <w:color w:val="000000"/>
                <w:sz w:val="20"/>
              </w:rPr>
              <w:t>(Note 10, Note 15)</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21,598,041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10,416,166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Income taxes payable</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216,876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Deferred revenue </w:t>
            </w:r>
            <w:r>
              <w:rPr>
                <w:rFonts w:ascii="Times New Roman" w:hAnsi="Times New Roman"/>
                <w:i/>
                <w:color w:val="000000"/>
                <w:sz w:val="20"/>
              </w:rPr>
              <w:t>(Note 19)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8,584,886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8,118,419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Current portion of lease liabilities </w:t>
            </w:r>
            <w:r>
              <w:rPr>
                <w:rFonts w:ascii="Times New Roman" w:hAnsi="Times New Roman"/>
                <w:i/>
                <w:color w:val="000000"/>
                <w:sz w:val="20"/>
              </w:rPr>
              <w:t>(Note 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Warrant liability </w:t>
            </w:r>
            <w:r>
              <w:rPr>
                <w:rFonts w:ascii="Times New Roman" w:hAnsi="Times New Roman"/>
                <w:i/>
                <w:color w:val="000000"/>
                <w:sz w:val="20"/>
              </w:rPr>
              <w:t>(Note 11)</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42,246,145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30,823,750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Lease liabilities </w:t>
            </w:r>
            <w:r>
              <w:rPr>
                <w:rFonts w:ascii="Times New Roman" w:hAnsi="Times New Roman"/>
                <w:i/>
                <w:color w:val="000000"/>
                <w:sz w:val="20"/>
              </w:rPr>
              <w:t>(Note 8)</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42,395,090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31,012,719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b/>
                <w:color w:val="000000"/>
                <w:sz w:val="20"/>
              </w:rPr>
              <w:t xml:space="preserve">Contingencies </w:t>
            </w:r>
            <w:r>
              <w:rPr>
                <w:rFonts w:ascii="Times New Roman" w:hAnsi="Times New Roman"/>
                <w:i/>
                <w:color w:val="000000"/>
                <w:sz w:val="20"/>
              </w:rPr>
              <w:t>(Note 21)</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Deficit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Share capital </w:t>
            </w:r>
            <w:r>
              <w:rPr>
                <w:rFonts w:ascii="Times New Roman" w:hAnsi="Times New Roman"/>
                <w:i/>
                <w:color w:val="000000"/>
                <w:sz w:val="20"/>
              </w:rPr>
              <w:t>(Note 13)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14,005,728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Warrants </w:t>
            </w:r>
            <w:r>
              <w:rPr>
                <w:rFonts w:ascii="Times New Roman" w:hAnsi="Times New Roman"/>
                <w:i/>
                <w:color w:val="000000"/>
                <w:sz w:val="20"/>
              </w:rPr>
              <w:t>(Note 14)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Deficit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(58,196,350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(49,263,493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Contributed surplus </w:t>
            </w:r>
            <w:r>
              <w:rPr>
                <w:rFonts w:ascii="Times New Roman" w:hAnsi="Times New Roman"/>
                <w:i/>
                <w:color w:val="000000"/>
                <w:sz w:val="20"/>
              </w:rPr>
              <w:t>(Note 20)</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6,291,080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6,215,028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Deficit</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(33,220,814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(24,364,009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Deficit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9,174,276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6,648,710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ind w:left="1080" w:right="0" w:hanging="0"/>
        <w:jc w:val="center"/>
        <w:rPr>
          <w:rFonts w:ascii="Times New Roman" w:hAnsi="Times New Roman"/>
          <w:b/>
          <w:color w:val="000000"/>
          <w:sz w:val="20"/>
        </w:rPr>
      </w:pPr>
      <w:bookmarkStart w:id="50" w:name="consolidated_statements_of_operations"/>
      <w:bookmarkEnd w:id="50"/>
      <w:r>
        <w:rPr>
          <w:rFonts w:ascii="Times New Roman" w:hAnsi="Times New Roman"/>
          <w:b/>
          <w:color w:val="000000"/>
          <w:sz w:val="20"/>
        </w:rPr>
        <w:t>COMBINED CONSOLIDATED STATEMENTS OF LOSS AND COMPREHENSIVE LOSS</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ind w:left="1080" w:right="0" w:hanging="0"/>
        <w:jc w:val="left"/>
        <w:rPr/>
      </w:pPr>
      <w:r>
        <w:rPr/>
        <w:t> </w:t>
      </w:r>
    </w:p>
    <w:tbl>
      <w:tblPr>
        <w:tblW w:w="8375" w:type="dxa"/>
        <w:jc w:val="left"/>
        <w:tblInd w:w="0" w:type="dxa"/>
        <w:tblLayout w:type="fixed"/>
        <w:tblCellMar>
          <w:top w:w="28" w:type="dxa"/>
          <w:left w:w="28" w:type="dxa"/>
          <w:bottom w:w="28" w:type="dxa"/>
          <w:right w:w="28" w:type="dxa"/>
        </w:tblCellMar>
      </w:tblPr>
      <w:tblGrid>
        <w:gridCol w:w="4606"/>
        <w:gridCol w:w="246"/>
        <w:gridCol w:w="253"/>
        <w:gridCol w:w="1247"/>
        <w:gridCol w:w="166"/>
        <w:gridCol w:w="146"/>
        <w:gridCol w:w="253"/>
        <w:gridCol w:w="1247"/>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Revenue </w:t>
            </w:r>
            <w:r>
              <w:rPr>
                <w:rFonts w:ascii="Times New Roman" w:hAnsi="Times New Roman"/>
                <w:i/>
                <w:color w:val="000000"/>
                <w:sz w:val="20"/>
              </w:rPr>
              <w:t>(Note 19)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18,890,934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19,848,821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Costs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11,874,137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9,596,739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Gross profit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7,016,797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10,252,082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i/>
                <w:color w:val="000000"/>
                <w:sz w:val="20"/>
              </w:rPr>
              <w:t>(Note 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6,835,367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i/>
                <w:color w:val="000000"/>
                <w:sz w:val="20"/>
              </w:rPr>
              <w:t>(Note 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4,906,824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administration </w:t>
            </w:r>
            <w:r>
              <w:rPr>
                <w:rFonts w:ascii="Times New Roman" w:hAnsi="Times New Roman"/>
                <w:i/>
                <w:color w:val="000000"/>
                <w:sz w:val="20"/>
              </w:rPr>
              <w:t>(Note 12, Note 15, Note 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2,789,811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i/>
                <w:color w:val="000000"/>
                <w:sz w:val="20"/>
              </w:rPr>
              <w:t>(Note 6, Note 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14,732,372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14,401,283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the undernoted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(7,715,575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(4,149,201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expenses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and accretion </w:t>
            </w:r>
            <w:r>
              <w:rPr>
                <w:rFonts w:ascii="Times New Roman" w:hAnsi="Times New Roman"/>
                <w:i/>
                <w:color w:val="000000"/>
                <w:sz w:val="20"/>
              </w:rPr>
              <w:t>(Note 8, Note 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1,152,396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Gain on revaluation of warrant liability </w:t>
            </w:r>
            <w:r>
              <w:rPr>
                <w:rFonts w:ascii="Times New Roman" w:hAnsi="Times New Roman"/>
                <w:i/>
                <w:color w:val="000000"/>
                <w:sz w:val="20"/>
              </w:rPr>
              <w:t>(Note 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expenses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1,183,758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1,227,816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Loss before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(5,377,017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Provision for income taxes </w:t>
            </w:r>
            <w:r>
              <w:rPr>
                <w:rFonts w:ascii="Times New Roman" w:hAnsi="Times New Roman"/>
                <w:i/>
                <w:color w:val="000000"/>
                <w:sz w:val="20"/>
              </w:rPr>
              <w:t>(Note 18)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(5,697,931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1080" w:right="0" w:hanging="0"/>
        <w:jc w:val="left"/>
        <w:rPr/>
      </w:pPr>
      <w:r>
        <w:rPr/>
        <w:t> </w:t>
      </w:r>
    </w:p>
    <w:p>
      <w:pPr>
        <w:pStyle w:val="TextBody"/>
        <w:bidi w:val="0"/>
        <w:ind w:left="1080" w:right="0" w:hanging="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51" w:name="consolidated_statements_of_changes_in"/>
      <w:bookmarkEnd w:id="51"/>
      <w:r>
        <w:rPr>
          <w:rFonts w:ascii="Times New Roman" w:hAnsi="Times New Roman"/>
          <w:b/>
          <w:color w:val="000000"/>
          <w:sz w:val="20"/>
        </w:rPr>
        <w:t>COMBINED CONSOLIDATED STATEMENTS OF CHANGES IN STOCKHOLDERS’ DEFICIT</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0"/>
        <w:gridCol w:w="146"/>
        <w:gridCol w:w="196"/>
        <w:gridCol w:w="916"/>
        <w:gridCol w:w="146"/>
        <w:gridCol w:w="146"/>
        <w:gridCol w:w="196"/>
        <w:gridCol w:w="826"/>
        <w:gridCol w:w="146"/>
        <w:gridCol w:w="146"/>
        <w:gridCol w:w="196"/>
        <w:gridCol w:w="826"/>
        <w:gridCol w:w="146"/>
        <w:gridCol w:w="146"/>
        <w:gridCol w:w="196"/>
        <w:gridCol w:w="976"/>
        <w:gridCol w:w="166"/>
        <w:gridCol w:w="146"/>
        <w:gridCol w:w="196"/>
        <w:gridCol w:w="976"/>
        <w:gridCol w:w="211"/>
      </w:tblGrid>
      <w:tr>
        <w:trPr/>
        <w:tc>
          <w:tcPr>
            <w:tcW w:w="3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Contributed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Surplus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6,085,161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(43,565,562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(18,795,945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(5,697,931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(5,697,931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Recognition of share-based payments </w:t>
            </w:r>
            <w:r>
              <w:rPr>
                <w:rFonts w:ascii="Times New Roman" w:hAnsi="Times New Roman"/>
                <w:i/>
                <w:color w:val="000000"/>
                <w:sz w:val="16"/>
              </w:rPr>
              <w:t>(Note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6,215,028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(49,263,493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(24,364,009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Recognition of share-based payments </w:t>
            </w:r>
            <w:r>
              <w:rPr>
                <w:rFonts w:ascii="Times New Roman" w:hAnsi="Times New Roman"/>
                <w:i/>
                <w:color w:val="000000"/>
                <w:sz w:val="16"/>
              </w:rPr>
              <w:t>(Note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6,291,080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(58,196,350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(33,220,814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52" w:name="consolidated_statements_of_cash_flows"/>
      <w:bookmarkEnd w:id="52"/>
      <w:r>
        <w:rPr>
          <w:rFonts w:ascii="Times New Roman" w:hAnsi="Times New Roman"/>
          <w:b/>
          <w:color w:val="000000"/>
          <w:sz w:val="20"/>
        </w:rPr>
        <w:t>COMBINED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8064" w:type="dxa"/>
        <w:jc w:val="left"/>
        <w:tblInd w:w="0" w:type="dxa"/>
        <w:tblLayout w:type="fixed"/>
        <w:tblCellMar>
          <w:top w:w="28" w:type="dxa"/>
          <w:left w:w="28" w:type="dxa"/>
          <w:bottom w:w="28" w:type="dxa"/>
          <w:right w:w="28" w:type="dxa"/>
        </w:tblCellMar>
      </w:tblPr>
      <w:tblGrid>
        <w:gridCol w:w="4396"/>
        <w:gridCol w:w="146"/>
        <w:gridCol w:w="227"/>
        <w:gridCol w:w="157"/>
        <w:gridCol w:w="1116"/>
        <w:gridCol w:w="166"/>
        <w:gridCol w:w="146"/>
        <w:gridCol w:w="234"/>
        <w:gridCol w:w="162"/>
        <w:gridCol w:w="1103"/>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provided by (used for) the following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foreign exchange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revaluation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tax credits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10,415,075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1,233,267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3,264,176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 of 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1,909,370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3,105,402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2,730,930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3,376,896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6,482,298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3,376,896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Supplementary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additions to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additions to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sz w:val="20"/>
        </w:rPr>
      </w:pPr>
      <w:bookmarkStart w:id="53" w:name="notes_to_financial_statements_"/>
      <w:bookmarkEnd w:id="53"/>
      <w:r>
        <w:rPr>
          <w:rFonts w:ascii="Times New Roman" w:hAnsi="Times New Roman"/>
          <w:b/>
          <w:color w:val="000000"/>
          <w:sz w:val="20"/>
        </w:rPr>
        <w:t>NOTES TO</w:t>
      </w:r>
      <w:r>
        <w:rPr>
          <w:rFonts w:ascii="Times New Roman" w:hAnsi="Times New Roman"/>
          <w:color w:val="000000"/>
          <w:sz w:val="20"/>
        </w:rPr>
        <w:t xml:space="preserve"> </w:t>
      </w:r>
      <w:r>
        <w:rPr>
          <w:rFonts w:ascii="Times New Roman" w:hAnsi="Times New Roman"/>
          <w:b/>
          <w:color w:val="000000"/>
          <w:sz w:val="20"/>
        </w:rPr>
        <w:t>COMBINED CONSOLIDIDATED FINANCIAL STATEMENTS</w:t>
      </w:r>
    </w:p>
    <w:p>
      <w:pPr>
        <w:pStyle w:val="TextBody"/>
        <w:bidi w:val="0"/>
        <w:jc w:val="center"/>
        <w:rPr>
          <w:rFonts w:ascii="Times New Roman" w:hAnsi="Times New Roman"/>
          <w:i/>
          <w:color w:val="000000"/>
          <w:sz w:val="18"/>
        </w:rPr>
      </w:pPr>
      <w:r>
        <w:rPr>
          <w:rFonts w:ascii="Times New Roman" w:hAnsi="Times New Roman"/>
          <w:i/>
          <w:color w:val="000000"/>
          <w:sz w:val="18"/>
        </w:rPr>
        <w:t>For the year ended December 31, 2024</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GroupBy Group of Companies (the “Group”) provides e-commerce software solutions that help their customers better connect with their customers by creating a more relevant user experience.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principal and registered address of the Group’s registered office is 250 The Esplanade, Suite 500, Toronto, ON M5A 4J6.</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Statement of Compliance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combined consolidated financial statements were approved by the Group’s board of directors on April 12, 2025.</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combined consolidated financial statements were prepared on a going concern basis under the historical cost basis except for the revaluation of certain financial instruments. The principal accounting policies are set out in Note 4.</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year ended December 31, 2024, the Group incurred a net loss before other expenses and income taxes of $ 7,715,575 (2023 - $4,149,201 ) 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Functional and presentation currency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financial statements are presented in United States dollars, which is the functional currency of each entity within the Group.</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Significant accounting judgments, estimates and assumptions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ind w:left="0" w:right="0" w:firstLine="490"/>
        <w:jc w:val="left"/>
        <w:rPr>
          <w:rFonts w:ascii="Times New Roman" w:hAnsi="Times New Roman"/>
          <w:b/>
          <w:color w:val="000000"/>
          <w:sz w:val="20"/>
          <w:u w:val="single"/>
        </w:rPr>
      </w:pPr>
      <w:r>
        <w:rPr>
          <w:rFonts w:ascii="Times New Roman" w:hAnsi="Times New Roman"/>
          <w:b/>
          <w:color w:val="000000"/>
          <w:sz w:val="20"/>
          <w:u w:val="single"/>
        </w:rPr>
        <w:t>Judgments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Embedded derivative and warrant liability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Functional currency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Recoverability of the carrying values of property and equipment</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Identification of cash-generating units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assesses its current liquidity and operational environment to determine if the going concern assumption is appropriate.</w:t>
      </w:r>
    </w:p>
    <w:p>
      <w:pPr>
        <w:pStyle w:val="TextBody"/>
        <w:bidi w:val="0"/>
        <w:spacing w:before="240" w:after="283"/>
        <w:ind w:left="0" w:right="0" w:firstLine="490"/>
        <w:jc w:val="left"/>
        <w:rPr>
          <w:rFonts w:ascii="Times New Roman" w:hAnsi="Times New Roman"/>
          <w:b/>
          <w:color w:val="000000"/>
          <w:sz w:val="20"/>
          <w:u w:val="single"/>
        </w:rPr>
      </w:pPr>
      <w:r>
        <w:rPr>
          <w:rFonts w:ascii="Times New Roman" w:hAnsi="Times New Roman"/>
          <w:b/>
          <w:color w:val="000000"/>
          <w:sz w:val="20"/>
          <w:u w:val="single"/>
        </w:rPr>
        <w:t>Key sources of estimation uncertainty</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Depreciation of the Group's property and equipment involves estimating their useful lives and residual values. These estimates may change as more experience is obtained, thereby impacting the value of the Group's property and equipment.</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Share-based payments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Deferred taxes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estimates and assumptions are reviewed periodically and as adjustments become necessary, they are reported in net loss in the years in which they become known. Actual results may differ significantly from management estimates.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Investment tax credits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Valuation of financial instruments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Expected credit losses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pStyle w:val="TextBody"/>
        <w:bidi w:val="0"/>
        <w:spacing w:before="240" w:after="283"/>
        <w:ind w:left="0" w:right="0" w:firstLine="490"/>
        <w:jc w:val="left"/>
        <w:rPr/>
      </w:pPr>
      <w:r>
        <w:rPr/>
        <w:t> </w:t>
      </w:r>
    </w:p>
    <w:p>
      <w:pPr>
        <w:pStyle w:val="TextBody"/>
        <w:pBdr/>
        <w:bidi w:val="0"/>
        <w:spacing w:before="360" w:after="283"/>
        <w:ind w:left="0" w:right="0" w:hanging="490"/>
        <w:jc w:val="left"/>
        <w:rPr>
          <w:rFonts w:ascii="Times New Roman" w:hAnsi="Times New Roman"/>
          <w:b/>
          <w:color w:val="000000"/>
          <w:sz w:val="20"/>
        </w:rPr>
      </w:pPr>
      <w:r>
        <w:rPr>
          <w:rFonts w:ascii="Times New Roman" w:hAnsi="Times New Roman"/>
          <w:b/>
          <w:color w:val="000000"/>
          <w:sz w:val="20"/>
        </w:rPr>
        <w:t>4. Material accounting policy information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principle accounting policies adopted in the preparation of the combined consolidated financial statements are set out below. The policies have been consistently applied to all the years presented, unless otherwise stated.</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Basis of consolidation and combination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Foreign currency translation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combined consolidated financial statements have been presented in United States ("US") dollars, the functional currency of the Group's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pStyle w:val="TextBody"/>
        <w:bidi w:val="0"/>
        <w:jc w:val="left"/>
        <w:rPr/>
      </w:pPr>
      <w:r>
        <w:rPr/>
        <w:t> </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1. Identifying the contract with a customer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2. Identifying the performance obligations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3. Determining the transaction price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4. Allocating the transaction price to the performance obligations.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5. Recognizing revenue when (or as) performance obligations are satisfied.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Income taxes and deferred taxes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Current tax is the expected taxes payable on the taxable income for the year, using tax rates enacted, or substantively enacted, at the end of the reporting period, and any adjustment to tax payable in respect of previous years.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Investment tax credits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Depreciation is provided using the declining balance method at rates intended to depreciate the cost of assets over their estimated useful lives.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methods of depreciation and depreciation rates applicable for each class of asset during the current and comparative years are as follows:</w:t>
      </w:r>
    </w:p>
    <w:p>
      <w:pPr>
        <w:pStyle w:val="TextBody"/>
        <w:bidi w:val="0"/>
        <w:spacing w:before="240" w:after="283"/>
        <w:ind w:left="0" w:right="0" w:firstLine="490"/>
        <w:jc w:val="left"/>
        <w:rPr/>
      </w:pPr>
      <w:r>
        <w:rPr/>
        <w:t> </w:t>
      </w:r>
    </w:p>
    <w:tbl>
      <w:tblPr>
        <w:tblW w:w="4567" w:type="dxa"/>
        <w:jc w:val="left"/>
        <w:tblInd w:w="0" w:type="dxa"/>
        <w:tblLayout w:type="fixed"/>
        <w:tblCellMar>
          <w:top w:w="28" w:type="dxa"/>
          <w:left w:w="28" w:type="dxa"/>
          <w:bottom w:w="28" w:type="dxa"/>
          <w:right w:w="28" w:type="dxa"/>
        </w:tblCellMar>
      </w:tblPr>
      <w:tblGrid>
        <w:gridCol w:w="1876"/>
        <w:gridCol w:w="146"/>
        <w:gridCol w:w="1621"/>
        <w:gridCol w:w="146"/>
        <w:gridCol w:w="146"/>
        <w:gridCol w:w="316"/>
        <w:gridCol w:w="31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Residual values, method of depreciation and useful lives of the assets are reviewed annually and adjusted, if required.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Gains and losses on disposals of property and equipment are determined by comparing the proceeds with the carrying amount of the asset and are included in the combined consolidated statement of loss and comprehensive loss.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Share-based payments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the equity instruments granted is recognized as an expense over the vesting period, based on the Group's estimate of the number of equity instruments that will eventually vest, with a corresponding increase to contributed surplus.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Transaction costs, other than those related to financial instruments classified as FVTPL, which are expensed as incurred,are capitalized to the carrying amount of the instrument and amortized using the effective interest method.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summary of the Group's classification of their financial instruments is disclosed below: </w:t>
      </w:r>
    </w:p>
    <w:p>
      <w:pPr>
        <w:pStyle w:val="TextBody"/>
        <w:bidi w:val="0"/>
        <w:spacing w:before="240" w:after="283"/>
        <w:ind w:left="0" w:right="0" w:firstLine="490"/>
        <w:jc w:val="left"/>
        <w:rPr/>
      </w:pPr>
      <w:r>
        <w:rPr/>
        <w:t> </w:t>
      </w:r>
    </w:p>
    <w:tbl>
      <w:tblPr>
        <w:tblW w:w="5139" w:type="dxa"/>
        <w:jc w:val="left"/>
        <w:tblInd w:w="0" w:type="dxa"/>
        <w:tblLayout w:type="fixed"/>
        <w:tblCellMar>
          <w:top w:w="28" w:type="dxa"/>
          <w:left w:w="28" w:type="dxa"/>
          <w:bottom w:w="28" w:type="dxa"/>
          <w:right w:w="28" w:type="dxa"/>
        </w:tblCellMar>
      </w:tblPr>
      <w:tblGrid>
        <w:gridCol w:w="3421"/>
        <w:gridCol w:w="146"/>
        <w:gridCol w:w="1381"/>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FVTPL</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tax credits and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FVTPL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Compound financial instruments and embedded derivatives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Group had the following receivables at the end of each reporting year: </w:t>
      </w:r>
    </w:p>
    <w:p>
      <w:pPr>
        <w:pStyle w:val="TextBody"/>
        <w:bidi w:val="0"/>
        <w:jc w:val="left"/>
        <w:rPr/>
      </w:pPr>
      <w:r>
        <w:rPr/>
        <w:t> </w:t>
      </w:r>
    </w:p>
    <w:tbl>
      <w:tblPr>
        <w:tblW w:w="8036" w:type="dxa"/>
        <w:jc w:val="left"/>
        <w:tblInd w:w="0" w:type="dxa"/>
        <w:tblLayout w:type="fixed"/>
        <w:tblCellMar>
          <w:top w:w="28" w:type="dxa"/>
          <w:left w:w="28" w:type="dxa"/>
          <w:bottom w:w="28" w:type="dxa"/>
          <w:right w:w="28" w:type="dxa"/>
        </w:tblCellMar>
      </w:tblPr>
      <w:tblGrid>
        <w:gridCol w:w="4261"/>
        <w:gridCol w:w="146"/>
        <w:gridCol w:w="277"/>
        <w:gridCol w:w="1223"/>
        <w:gridCol w:w="146"/>
        <w:gridCol w:w="146"/>
        <w:gridCol w:w="277"/>
        <w:gridCol w:w="1223"/>
        <w:gridCol w:w="14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Harmonized sales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2,398,367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provision for expected credit losses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1,148,861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1,594,710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66"/>
        <w:gridCol w:w="211"/>
        <w:gridCol w:w="188"/>
        <w:gridCol w:w="1084"/>
        <w:gridCol w:w="166"/>
        <w:gridCol w:w="211"/>
        <w:gridCol w:w="187"/>
        <w:gridCol w:w="946"/>
        <w:gridCol w:w="166"/>
        <w:gridCol w:w="211"/>
        <w:gridCol w:w="189"/>
        <w:gridCol w:w="1090"/>
        <w:gridCol w:w="166"/>
        <w:gridCol w:w="211"/>
        <w:gridCol w:w="179"/>
        <w:gridCol w:w="908"/>
        <w:gridCol w:w="166"/>
        <w:gridCol w:w="211"/>
        <w:gridCol w:w="146"/>
        <w:gridCol w:w="841"/>
        <w:gridCol w:w="166"/>
        <w:gridCol w:w="496"/>
      </w:tblGrid>
      <w:tr>
        <w:trPr/>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Computer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Computer sofware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Funiture and fixtures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12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Tax Credits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pStyle w:val="TextBody"/>
        <w:bidi w:val="0"/>
        <w:spacing w:before="12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Right-of-use assets and lease liabilities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at December 31, 2024, the Group's right-of-use assets and lease liabilities include a lease agreement for office premises in Toronto, Ontario.</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Right-of-use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illustrates the right-of-use assets balance during the year:</w:t>
      </w:r>
    </w:p>
    <w:p>
      <w:pPr>
        <w:pStyle w:val="TextBody"/>
        <w:bidi w:val="0"/>
        <w:spacing w:before="240" w:after="283"/>
        <w:ind w:left="0" w:right="0" w:firstLine="490"/>
        <w:jc w:val="left"/>
        <w:rPr/>
      </w:pPr>
      <w:r>
        <w:rPr/>
        <w:t> </w:t>
      </w:r>
    </w:p>
    <w:tbl>
      <w:tblPr>
        <w:tblW w:w="5158" w:type="dxa"/>
        <w:jc w:val="left"/>
        <w:tblInd w:w="0" w:type="dxa"/>
        <w:tblLayout w:type="fixed"/>
        <w:tblCellMar>
          <w:top w:w="28" w:type="dxa"/>
          <w:left w:w="28" w:type="dxa"/>
          <w:bottom w:w="28" w:type="dxa"/>
          <w:right w:w="28" w:type="dxa"/>
        </w:tblCellMar>
      </w:tblPr>
      <w:tblGrid>
        <w:gridCol w:w="3021"/>
        <w:gridCol w:w="211"/>
        <w:gridCol w:w="179"/>
        <w:gridCol w:w="1036"/>
        <w:gridCol w:w="711"/>
      </w:tblGrid>
      <w:tr>
        <w:trPr/>
        <w:tc>
          <w:tcPr>
            <w:tcW w:w="3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 premises</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466,165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Derecognition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Derecognition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58,190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Additions to the right-of-use assets during the year were $nil (2023 - $232,758).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right-of-use assets are depreciated on a straight-line basis over the term of the respective leases.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Lease liabilities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sets out the maturity analysis of the lease liabilities:</w:t>
      </w:r>
    </w:p>
    <w:p>
      <w:pPr>
        <w:pStyle w:val="TextBody"/>
        <w:bidi w:val="0"/>
        <w:spacing w:before="240" w:after="283"/>
        <w:ind w:left="0" w:right="0" w:firstLine="490"/>
        <w:jc w:val="left"/>
        <w:rPr/>
      </w:pPr>
      <w:r>
        <w:rPr/>
        <w:t> </w:t>
      </w:r>
    </w:p>
    <w:tbl>
      <w:tblPr>
        <w:tblW w:w="9334" w:type="dxa"/>
        <w:jc w:val="left"/>
        <w:tblInd w:w="0" w:type="dxa"/>
        <w:tblLayout w:type="fixed"/>
        <w:tblCellMar>
          <w:top w:w="28" w:type="dxa"/>
          <w:left w:w="28" w:type="dxa"/>
          <w:bottom w:w="28" w:type="dxa"/>
          <w:right w:w="28" w:type="dxa"/>
        </w:tblCellMar>
      </w:tblPr>
      <w:tblGrid>
        <w:gridCol w:w="6721"/>
        <w:gridCol w:w="146"/>
        <w:gridCol w:w="211"/>
        <w:gridCol w:w="781"/>
        <w:gridCol w:w="146"/>
        <w:gridCol w:w="146"/>
        <w:gridCol w:w="211"/>
        <w:gridCol w:w="781"/>
        <w:gridCol w:w="1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analysis - contractual undiscounted 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undiscounted lease liabilities as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included in the statement of financial position as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year ended December 31, 2024, the Group incurred interest expense of $nil (2023 - $2,783) on the lease liabilities, which was included in interest and accretion in the combined consolidated statement of loss and other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Bank indebtedness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year, the Group recognized interest expense of $1,147,083 (2023 - $1,140,563) related to the above facilities, which is included in interest and accretion expense on the combined consolidated statement of loss and other comprehensive loss.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remittances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Government remittances payable of $12,662 (2023 - $4,374) related to United States sales taxes and United Kingdom value added taxes are included in accounts payable and accrued liabilities as at December 31, 2024.</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Warrant liability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pStyle w:val="TextBody"/>
        <w:bidi w:val="0"/>
        <w:spacing w:before="240" w:after="283"/>
        <w:ind w:left="0" w:right="0" w:firstLine="49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payments</w:t>
      </w:r>
    </w:p>
    <w:p>
      <w:pPr>
        <w:pStyle w:val="TextBody"/>
        <w:bidi w:val="0"/>
        <w:jc w:val="left"/>
        <w:rPr/>
      </w:pPr>
      <w:r>
        <w:rPr/>
        <w:t> </w:t>
      </w:r>
    </w:p>
    <w:tbl>
      <w:tblPr>
        <w:tblW w:w="8068" w:type="dxa"/>
        <w:jc w:val="left"/>
        <w:tblInd w:w="0" w:type="dxa"/>
        <w:tblLayout w:type="fixed"/>
        <w:tblCellMar>
          <w:top w:w="28" w:type="dxa"/>
          <w:left w:w="28" w:type="dxa"/>
          <w:bottom w:w="28" w:type="dxa"/>
          <w:right w:w="28" w:type="dxa"/>
        </w:tblCellMar>
      </w:tblPr>
      <w:tblGrid>
        <w:gridCol w:w="3526"/>
        <w:gridCol w:w="146"/>
        <w:gridCol w:w="146"/>
        <w:gridCol w:w="1036"/>
        <w:gridCol w:w="166"/>
        <w:gridCol w:w="146"/>
        <w:gridCol w:w="609"/>
        <w:gridCol w:w="1956"/>
        <w:gridCol w:w="14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Exercise Price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F-57</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8579" w:type="dxa"/>
        <w:jc w:val="left"/>
        <w:tblInd w:w="0" w:type="dxa"/>
        <w:tblLayout w:type="fixed"/>
        <w:tblCellMar>
          <w:top w:w="28" w:type="dxa"/>
          <w:left w:w="28" w:type="dxa"/>
          <w:bottom w:w="28" w:type="dxa"/>
          <w:right w:w="28" w:type="dxa"/>
        </w:tblCellMar>
      </w:tblPr>
      <w:tblGrid>
        <w:gridCol w:w="1741"/>
        <w:gridCol w:w="146"/>
        <w:gridCol w:w="194"/>
        <w:gridCol w:w="1381"/>
        <w:gridCol w:w="146"/>
        <w:gridCol w:w="146"/>
        <w:gridCol w:w="152"/>
        <w:gridCol w:w="1078"/>
        <w:gridCol w:w="146"/>
        <w:gridCol w:w="146"/>
        <w:gridCol w:w="264"/>
        <w:gridCol w:w="846"/>
        <w:gridCol w:w="146"/>
        <w:gridCol w:w="146"/>
        <w:gridCol w:w="407"/>
        <w:gridCol w:w="1303"/>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br/>
              <w:t>exercisable at</w:t>
              <w:br/>
              <w:t>Liquidity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17, 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13, 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25, 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25,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21,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27,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15,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27,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28,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25,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15,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5,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Below are the assumptions that were used to value the options issued during the year ended December 31, 2024:</w:t>
      </w:r>
    </w:p>
    <w:p>
      <w:pPr>
        <w:pStyle w:val="TextBody"/>
        <w:bidi w:val="0"/>
        <w:spacing w:before="240" w:after="283"/>
        <w:jc w:val="left"/>
        <w:rPr/>
      </w:pPr>
      <w:r>
        <w:rPr/>
        <w:t> </w:t>
      </w:r>
    </w:p>
    <w:tbl>
      <w:tblPr>
        <w:tblW w:w="7215" w:type="dxa"/>
        <w:jc w:val="left"/>
        <w:tblInd w:w="0" w:type="dxa"/>
        <w:tblLayout w:type="fixed"/>
        <w:tblCellMar>
          <w:top w:w="28" w:type="dxa"/>
          <w:left w:w="28" w:type="dxa"/>
          <w:bottom w:w="28" w:type="dxa"/>
          <w:right w:w="28" w:type="dxa"/>
        </w:tblCellMar>
      </w:tblPr>
      <w:tblGrid>
        <w:gridCol w:w="3916"/>
        <w:gridCol w:w="146"/>
        <w:gridCol w:w="424"/>
        <w:gridCol w:w="941"/>
        <w:gridCol w:w="146"/>
        <w:gridCol w:w="146"/>
        <w:gridCol w:w="406"/>
        <w:gridCol w:w="899"/>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2.79% - 4.39%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 - 4.96%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 capital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Group's authorized capital consists of:- An unlimited number of Class A common shares in the capital of GroupBy Inc. and GroupBy International Ltd.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An unlimited number of Class B common shares in the capital of GroupBy Inc. and GroupBy International Ltd.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An unlimited number of Class C common shares in the capital of GroupBy Inc. and GroupBy International Ltd.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An unlimited number of Class D common shares in the capital of GroupBy Inc. and GroupBy International Ltd.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An unlimited number of Class A preferred shares in the capital of GroupBy Inc. and GroupBy International Ltd.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An unlimited number of Class A-1 preferred shares in the capital of GroupBy Inc. and GroupBy International Ltd.</w:t>
      </w:r>
    </w:p>
    <w:p>
      <w:pPr>
        <w:pStyle w:val="TextBody"/>
        <w:bidi w:val="0"/>
        <w:spacing w:before="240" w:after="283"/>
        <w:ind w:left="0" w:right="0" w:firstLine="490"/>
        <w:jc w:val="left"/>
        <w:rPr>
          <w:rFonts w:ascii="Times New Roman" w:hAnsi="Times New Roman"/>
          <w:color w:val="000000"/>
          <w:sz w:val="20"/>
          <w:u w:val="single"/>
        </w:rPr>
      </w:pPr>
      <w:r>
        <w:rPr>
          <w:rFonts w:ascii="Times New Roman" w:hAnsi="Times New Roman"/>
          <w:color w:val="000000"/>
          <w:sz w:val="20"/>
          <w:u w:val="single"/>
        </w:rPr>
        <w:t>Class A common shares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pStyle w:val="TextBody"/>
        <w:bidi w:val="0"/>
        <w:spacing w:before="240" w:after="283"/>
        <w:ind w:left="0" w:right="0" w:firstLine="490"/>
        <w:jc w:val="left"/>
        <w:rPr>
          <w:rFonts w:ascii="Times New Roman" w:hAnsi="Times New Roman"/>
          <w:color w:val="000000"/>
          <w:sz w:val="20"/>
          <w:u w:val="single"/>
        </w:rPr>
      </w:pPr>
      <w:r>
        <w:rPr>
          <w:rFonts w:ascii="Times New Roman" w:hAnsi="Times New Roman"/>
          <w:color w:val="000000"/>
          <w:sz w:val="20"/>
          <w:u w:val="single"/>
        </w:rPr>
        <w:t>Class B common shares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pStyle w:val="TextBody"/>
        <w:bidi w:val="0"/>
        <w:spacing w:before="240" w:after="283"/>
        <w:ind w:left="0" w:right="0" w:firstLine="490"/>
        <w:jc w:val="left"/>
        <w:rPr>
          <w:rFonts w:ascii="Times New Roman" w:hAnsi="Times New Roman"/>
          <w:color w:val="000000"/>
          <w:sz w:val="20"/>
          <w:u w:val="single"/>
        </w:rPr>
      </w:pPr>
      <w:r>
        <w:rPr>
          <w:rFonts w:ascii="Times New Roman" w:hAnsi="Times New Roman"/>
          <w:color w:val="000000"/>
          <w:sz w:val="20"/>
          <w:u w:val="single"/>
        </w:rPr>
        <w:t>Class C common shares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u w:val="single"/>
        </w:rPr>
        <w:t>Class D common shares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 to receive notice of and attend any meeting of the shareholders of the Group and shall be entitled to 1.0000000000003 votes in respect of each Class D common share held at all meetings of shareholders of the Group.</w:t>
      </w:r>
    </w:p>
    <w:p>
      <w:pPr>
        <w:pStyle w:val="TextBody"/>
        <w:bidi w:val="0"/>
        <w:spacing w:before="240" w:after="283"/>
        <w:ind w:left="0" w:right="0" w:firstLine="490"/>
        <w:jc w:val="left"/>
        <w:rPr>
          <w:rFonts w:ascii="Times New Roman" w:hAnsi="Times New Roman"/>
          <w:color w:val="000000"/>
          <w:sz w:val="20"/>
          <w:u w:val="single"/>
        </w:rPr>
      </w:pPr>
      <w:r>
        <w:rPr>
          <w:rFonts w:ascii="Times New Roman" w:hAnsi="Times New Roman"/>
          <w:color w:val="000000"/>
          <w:sz w:val="20"/>
          <w:u w:val="single"/>
        </w:rPr>
        <w:t>Class A preferred shares and Class A-1 preferred shares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pStyle w:val="TextBody"/>
        <w:bidi w:val="0"/>
        <w:spacing w:before="240" w:after="283"/>
        <w:ind w:left="0" w:right="0" w:firstLine="490"/>
        <w:jc w:val="left"/>
        <w:rPr/>
      </w:pPr>
      <w:r>
        <w:rPr/>
        <w:t> </w:t>
      </w:r>
    </w:p>
    <w:tbl>
      <w:tblPr>
        <w:tblW w:w="7804" w:type="dxa"/>
        <w:jc w:val="left"/>
        <w:tblInd w:w="0" w:type="dxa"/>
        <w:tblLayout w:type="fixed"/>
        <w:tblCellMar>
          <w:top w:w="28" w:type="dxa"/>
          <w:left w:w="28" w:type="dxa"/>
          <w:bottom w:w="28" w:type="dxa"/>
          <w:right w:w="28" w:type="dxa"/>
        </w:tblCellMar>
      </w:tblPr>
      <w:tblGrid>
        <w:gridCol w:w="4681"/>
        <w:gridCol w:w="146"/>
        <w:gridCol w:w="211"/>
        <w:gridCol w:w="1036"/>
        <w:gridCol w:w="146"/>
        <w:gridCol w:w="146"/>
        <w:gridCol w:w="211"/>
        <w:gridCol w:w="1036"/>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6,075,633 Class A common shares (2023 - 6,075,633)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28,188,792 Class B common shares (2023 - 28,188,792)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4,533,882 Class D common shares (2023 - 4,533,882)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14,492,467 Class A preferred shares (2023 - 14,492,467)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13,168,946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13,168,946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008"/>
        <w:gridCol w:w="146"/>
        <w:gridCol w:w="265"/>
        <w:gridCol w:w="1304"/>
        <w:gridCol w:w="146"/>
        <w:gridCol w:w="146"/>
        <w:gridCol w:w="753"/>
        <w:gridCol w:w="1664"/>
        <w:gridCol w:w="146"/>
        <w:gridCol w:w="146"/>
        <w:gridCol w:w="211"/>
        <w:gridCol w:w="931"/>
        <w:gridCol w:w="146"/>
        <w:gridCol w:w="193"/>
      </w:tblGrid>
      <w:tr>
        <w:trPr/>
        <w:tc>
          <w:tcPr>
            <w:tcW w:w="4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Weigthed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included in equity,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expired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included in equity,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warrants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expired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included in equity,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11,429,093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as part of its operations carries a number of financial instruments. It is management's opinion that the Group is not exposed to significant interest, currency or credit risks arising from these financial instruments except as otherwise disclosed.</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Fair value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is exposed to interest rate cash flow risk on its bank indebtedness as it is subject to a floating interest rate.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is exposed to interest rate price risk on its lease liabilities as they are subject to fixed interest rates.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Liquidity risk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shows the Group's financial liabilities that would be settled by cash resources and contractual maturities as follows:</w:t>
      </w:r>
    </w:p>
    <w:p>
      <w:pPr>
        <w:pStyle w:val="TextBody"/>
        <w:bidi w:val="0"/>
        <w:spacing w:before="240" w:after="283"/>
        <w:ind w:left="0" w:right="0" w:firstLine="490"/>
        <w:jc w:val="left"/>
        <w:rPr/>
      </w:pPr>
      <w:r>
        <w:rPr/>
        <w:t> </w:t>
      </w:r>
    </w:p>
    <w:tbl>
      <w:tblPr>
        <w:tblW w:w="8673" w:type="dxa"/>
        <w:jc w:val="left"/>
        <w:tblInd w:w="0" w:type="dxa"/>
        <w:tblLayout w:type="fixed"/>
        <w:tblCellMar>
          <w:top w:w="28" w:type="dxa"/>
          <w:left w:w="28" w:type="dxa"/>
          <w:bottom w:w="28" w:type="dxa"/>
          <w:right w:w="28" w:type="dxa"/>
        </w:tblCellMar>
      </w:tblPr>
      <w:tblGrid>
        <w:gridCol w:w="3421"/>
        <w:gridCol w:w="146"/>
        <w:gridCol w:w="211"/>
        <w:gridCol w:w="1036"/>
        <w:gridCol w:w="146"/>
        <w:gridCol w:w="146"/>
        <w:gridCol w:w="231"/>
        <w:gridCol w:w="549"/>
        <w:gridCol w:w="146"/>
        <w:gridCol w:w="146"/>
        <w:gridCol w:w="227"/>
        <w:gridCol w:w="538"/>
        <w:gridCol w:w="146"/>
        <w:gridCol w:w="146"/>
        <w:gridCol w:w="211"/>
        <w:gridCol w:w="103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20,831,240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Note 8 describes the contractual maturities of the Group's lease liabilities.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pStyle w:val="TextBody"/>
        <w:bidi w:val="0"/>
        <w:spacing w:before="240" w:after="28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146"/>
        <w:gridCol w:w="211"/>
        <w:gridCol w:w="931"/>
        <w:gridCol w:w="146"/>
        <w:gridCol w:w="146"/>
        <w:gridCol w:w="327"/>
        <w:gridCol w:w="1448"/>
        <w:gridCol w:w="146"/>
        <w:gridCol w:w="146"/>
        <w:gridCol w:w="146"/>
        <w:gridCol w:w="421"/>
        <w:gridCol w:w="301"/>
        <w:gridCol w:w="146"/>
        <w:gridCol w:w="211"/>
        <w:gridCol w:w="931"/>
        <w:gridCol w:w="146"/>
        <w:gridCol w:w="146"/>
        <w:gridCol w:w="322"/>
        <w:gridCol w:w="1421"/>
        <w:gridCol w:w="146"/>
        <w:gridCol w:w="146"/>
        <w:gridCol w:w="146"/>
        <w:gridCol w:w="421"/>
        <w:gridCol w:w="319"/>
      </w:tblGrid>
      <w:tr>
        <w:trPr/>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 receivable aging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Lifetime expected credit loss 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Lifetime expected credit loss 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90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pStyle w:val="TextBody"/>
        <w:bidi w:val="0"/>
        <w:spacing w:before="240" w:after="283"/>
        <w:ind w:left="0" w:right="0" w:firstLine="490"/>
        <w:jc w:val="left"/>
        <w:rPr/>
      </w:pPr>
      <w:r>
        <w:rPr/>
        <w:t> </w:t>
      </w:r>
    </w:p>
    <w:tbl>
      <w:tblPr>
        <w:tblW w:w="6825" w:type="dxa"/>
        <w:jc w:val="left"/>
        <w:tblInd w:w="0" w:type="dxa"/>
        <w:tblLayout w:type="fixed"/>
        <w:tblCellMar>
          <w:top w:w="28" w:type="dxa"/>
          <w:left w:w="28" w:type="dxa"/>
          <w:bottom w:w="28" w:type="dxa"/>
          <w:right w:w="28" w:type="dxa"/>
        </w:tblCellMar>
      </w:tblPr>
      <w:tblGrid>
        <w:gridCol w:w="3721"/>
        <w:gridCol w:w="146"/>
        <w:gridCol w:w="211"/>
        <w:gridCol w:w="781"/>
        <w:gridCol w:w="146"/>
        <w:gridCol w:w="146"/>
        <w:gridCol w:w="211"/>
        <w:gridCol w:w="826"/>
        <w:gridCol w:w="146"/>
        <w:gridCol w:w="4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Canadian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Investment tax credits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British pound 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color w:val="000000"/>
              </w:rPr>
            </w:pPr>
            <w:r>
              <w:rPr>
                <w:color w:val="000000"/>
              </w:rPr>
              <w:t> </w:t>
            </w: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 and balances</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Key management compensation of the Group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Key management personnel are comprised of four (2023 - four) of the Group’s directors and executive officers. In addition to salaries and benefits, key management personnel also receive share-based payments, which are further described in Note 12, and management fees.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Key management personnel compensation is as follows:</w:t>
      </w:r>
    </w:p>
    <w:p>
      <w:pPr>
        <w:pStyle w:val="TextBody"/>
        <w:bidi w:val="0"/>
        <w:spacing w:before="240" w:after="283"/>
        <w:ind w:left="0" w:right="0" w:firstLine="490"/>
        <w:jc w:val="left"/>
        <w:rPr/>
      </w:pPr>
      <w:r>
        <w:rPr/>
        <w:t> </w:t>
      </w:r>
    </w:p>
    <w:tbl>
      <w:tblPr>
        <w:tblW w:w="8625" w:type="dxa"/>
        <w:jc w:val="left"/>
        <w:tblInd w:w="0" w:type="dxa"/>
        <w:tblLayout w:type="fixed"/>
        <w:tblCellMar>
          <w:top w:w="28" w:type="dxa"/>
          <w:left w:w="28" w:type="dxa"/>
          <w:bottom w:w="28" w:type="dxa"/>
          <w:right w:w="28" w:type="dxa"/>
        </w:tblCellMar>
      </w:tblPr>
      <w:tblGrid>
        <w:gridCol w:w="5866"/>
        <w:gridCol w:w="146"/>
        <w:gridCol w:w="211"/>
        <w:gridCol w:w="781"/>
        <w:gridCol w:w="146"/>
        <w:gridCol w:w="146"/>
        <w:gridCol w:w="211"/>
        <w:gridCol w:w="781"/>
        <w:gridCol w:w="146"/>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benefits (included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(included in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943,942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Capital management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reconciliation of the combined Canadian federal and provincial statutory income tax rate of 26.5% (2023- 26.5%) to the effective tax rate is as follows:</w:t>
      </w:r>
    </w:p>
    <w:p>
      <w:pPr>
        <w:pStyle w:val="TextBody"/>
        <w:bidi w:val="0"/>
        <w:spacing w:before="240" w:after="283"/>
        <w:ind w:left="0" w:right="0" w:firstLine="490"/>
        <w:jc w:val="left"/>
        <w:rPr/>
      </w:pPr>
      <w:r>
        <w:rPr/>
        <w:t> </w:t>
      </w:r>
    </w:p>
    <w:tbl>
      <w:tblPr>
        <w:tblW w:w="7889" w:type="dxa"/>
        <w:jc w:val="left"/>
        <w:tblInd w:w="0" w:type="dxa"/>
        <w:tblLayout w:type="fixed"/>
        <w:tblCellMar>
          <w:top w:w="28" w:type="dxa"/>
          <w:left w:w="28" w:type="dxa"/>
          <w:bottom w:w="28" w:type="dxa"/>
          <w:right w:w="28" w:type="dxa"/>
        </w:tblCellMar>
      </w:tblPr>
      <w:tblGrid>
        <w:gridCol w:w="4606"/>
        <w:gridCol w:w="196"/>
        <w:gridCol w:w="146"/>
        <w:gridCol w:w="1111"/>
        <w:gridCol w:w="166"/>
        <w:gridCol w:w="196"/>
        <w:gridCol w:w="146"/>
        <w:gridCol w:w="1111"/>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recovery of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(8,899,333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income tax recovery at 26.5%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(2,358,330.00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(1,424,909.00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Difference in tax rates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adjustments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FX translation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compensation and non-deductible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 to filing adjustment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tax benefits not recognized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1,225,375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Group's income tax is allocated as follows: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following table summarizes the components of deferred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obligations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SR&amp;ED pool from T661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Federal ITCs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assets and lease receivables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(58,599.00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12(1)(x) Inducement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Deferred tax assets and liabilities: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pStyle w:val="TextBody"/>
        <w:bidi w:val="0"/>
        <w:spacing w:before="240" w:after="283"/>
        <w:ind w:left="0" w:right="0" w:firstLine="490"/>
        <w:jc w:val="left"/>
        <w:rPr>
          <w:rFonts w:ascii="Times New Roman" w:hAnsi="Times New Roman"/>
          <w:b/>
          <w:i/>
          <w:color w:val="000000"/>
          <w:sz w:val="20"/>
        </w:rPr>
      </w:pPr>
      <w:r>
        <w:rPr>
          <w:rFonts w:ascii="Times New Roman" w:hAnsi="Times New Roman"/>
          <w:b/>
          <w:i/>
          <w:color w:val="000000"/>
          <w:sz w:val="20"/>
        </w:rPr>
        <w:t>Unrecognized deferred tax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F-64</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6769" w:type="dxa"/>
        <w:jc w:val="left"/>
        <w:tblInd w:w="0" w:type="dxa"/>
        <w:tblLayout w:type="fixed"/>
        <w:tblCellMar>
          <w:top w:w="28" w:type="dxa"/>
          <w:left w:w="28" w:type="dxa"/>
          <w:bottom w:w="28" w:type="dxa"/>
          <w:right w:w="28" w:type="dxa"/>
        </w:tblCellMar>
      </w:tblPr>
      <w:tblGrid>
        <w:gridCol w:w="3646"/>
        <w:gridCol w:w="211"/>
        <w:gridCol w:w="146"/>
        <w:gridCol w:w="1036"/>
        <w:gridCol w:w="146"/>
        <w:gridCol w:w="211"/>
        <w:gridCol w:w="146"/>
        <w:gridCol w:w="1036"/>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reserves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issuance costs - 20(1)(e)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Non-capital losses carried forward - Canada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39,585,210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37,762,917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Non-capital losses carried forward - Foreign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SR&amp;ED pool from T661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Costs - US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ORDTC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donations carryforward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46,418,316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41,731,303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Group's unused Canadian non-capital income tax losses, for which no deferred tax has been recognized, expires as follows:</w:t>
      </w:r>
    </w:p>
    <w:p>
      <w:pPr>
        <w:pStyle w:val="TextBody"/>
        <w:bidi w:val="0"/>
        <w:spacing w:before="240" w:after="283"/>
        <w:ind w:left="0" w:right="0" w:firstLine="490"/>
        <w:jc w:val="left"/>
        <w:rPr/>
      </w:pPr>
      <w:r>
        <w:rPr/>
        <w:t> </w:t>
      </w:r>
    </w:p>
    <w:tbl>
      <w:tblPr>
        <w:tblW w:w="2316" w:type="dxa"/>
        <w:jc w:val="left"/>
        <w:tblInd w:w="0" w:type="dxa"/>
        <w:tblLayout w:type="fixed"/>
        <w:tblCellMar>
          <w:top w:w="28" w:type="dxa"/>
          <w:left w:w="28" w:type="dxa"/>
          <w:bottom w:w="28" w:type="dxa"/>
          <w:right w:w="28" w:type="dxa"/>
        </w:tblCellMar>
      </w:tblPr>
      <w:tblGrid>
        <w:gridCol w:w="586"/>
        <w:gridCol w:w="211"/>
        <w:gridCol w:w="146"/>
        <w:gridCol w:w="1036"/>
        <w:gridCol w:w="146"/>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1,275,928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3,580,452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4,935,279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4,948,348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2,178,411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3,157,169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8,197,548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5,312,888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5,014,108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39,585,210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F-65</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8264" w:type="dxa"/>
        <w:jc w:val="left"/>
        <w:tblInd w:w="0" w:type="dxa"/>
        <w:tblLayout w:type="fixed"/>
        <w:tblCellMar>
          <w:top w:w="28" w:type="dxa"/>
          <w:left w:w="28" w:type="dxa"/>
          <w:bottom w:w="28" w:type="dxa"/>
          <w:right w:w="28" w:type="dxa"/>
        </w:tblCellMar>
      </w:tblPr>
      <w:tblGrid>
        <w:gridCol w:w="4981"/>
        <w:gridCol w:w="211"/>
        <w:gridCol w:w="146"/>
        <w:gridCol w:w="1096"/>
        <w:gridCol w:w="166"/>
        <w:gridCol w:w="211"/>
        <w:gridCol w:w="146"/>
        <w:gridCol w:w="1096"/>
        <w:gridCol w:w="211"/>
      </w:tblGrid>
      <w:tr>
        <w:trPr/>
        <w:tc>
          <w:tcPr>
            <w:tcW w:w="4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geography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18,890,934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19,848,821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costs (included in prepaid expenses and deposits)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(included in 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666,994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8,118,419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19,785,348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22,719,505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recognized to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(18,552,081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(19,455,329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9,351,686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8,118,419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Contributed surplus</w:t>
      </w:r>
    </w:p>
    <w:p>
      <w:pPr>
        <w:pStyle w:val="TextBody"/>
        <w:bidi w:val="0"/>
        <w:spacing w:before="360" w:after="283"/>
        <w:jc w:val="left"/>
        <w:rPr/>
      </w:pPr>
      <w:r>
        <w:rPr/>
        <w:t> </w:t>
      </w:r>
    </w:p>
    <w:tbl>
      <w:tblPr>
        <w:tblW w:w="5644" w:type="dxa"/>
        <w:jc w:val="left"/>
        <w:tblInd w:w="0" w:type="dxa"/>
        <w:tblLayout w:type="fixed"/>
        <w:tblCellMar>
          <w:top w:w="28" w:type="dxa"/>
          <w:left w:w="28" w:type="dxa"/>
          <w:bottom w:w="28" w:type="dxa"/>
          <w:right w:w="28" w:type="dxa"/>
        </w:tblCellMar>
      </w:tblPr>
      <w:tblGrid>
        <w:gridCol w:w="2731"/>
        <w:gridCol w:w="211"/>
        <w:gridCol w:w="146"/>
        <w:gridCol w:w="931"/>
        <w:gridCol w:w="146"/>
        <w:gridCol w:w="211"/>
        <w:gridCol w:w="146"/>
        <w:gridCol w:w="93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6,215,028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(Note 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end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6,291,080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6,215,028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Statement of claim - July 27, 2021</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July 27, 2021, the Group filed a claim against Wondr Gaming Corp (the "Defendant"), alleging breach of contract and unjust enrichment and seeking $4,136,807 plus interest and costs. The Defendant is contesting the claim.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September 7, 2021, the Defendant filed a Statement of Defence and Counterclaim in the Ontario Superior Court of Justice against GroupBy Inc. The Defendant claims, among other things, the Group's failure to perform the services and misrepresentation and seeks dismissal of the action. Furthermore, the Company is counterclaiming seeking damages of $400,000 plus costs for breach of contract and negligent misrepresentation.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Statement of claim - May 16,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May 16, 2024, the Group was named as a defendant in a case to recover a payment of $2,500,000 made by Bed Bath &amp; Beyond Inc. ("BBB") to the Company on February 20, 2023.</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pStyle w:val="TextBody"/>
        <w:bidi w:val="0"/>
        <w:spacing w:before="240" w:after="283"/>
        <w:ind w:left="0" w:right="0" w:firstLine="49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bookmarkStart w:id="54" w:name="item_19"/>
      <w:bookmarkEnd w:id="54"/>
      <w:r>
        <w:rPr>
          <w:rFonts w:ascii="Times New Roman" w:hAnsi="Times New Roman"/>
          <w:b/>
          <w:color w:val="000000"/>
          <w:sz w:val="20"/>
        </w:rPr>
        <w:t>Item 19. Exhibits.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exhibits are filed as part of this annual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Articles of Association (incorporated by reference to Exhibit 3.1 of Rezolve's Report on Form 6-K, filed with the SEC on March 31, 2025</w:t>
              </w:r>
            </w:hyperlink>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Warrant Agreement, dated August 15, 2024, by and among Rezolve AI Limited and Computershare Inc. and its affiliate, Computershare Trust Company, N.A. (incorporated by reference to Exhibit 4.3 of Rezolve AI Limited’s Shell Company Report on Form 20-F, filed with the SEC on August 21,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Warrant Assignment, Assumption and Amendment Agreement, dated August 15, 2024, by and among Rezolve AI Limited and Computershare Inc. and its affiliate, Computershare Trust Company, N.A. (incorporated by reference to Exhibit 4.4 of Rezolve AI Limited’s Shell Company Report on Form 20-F, filed with the SEC on August 21,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Warrant (incorporated by reference to Exhibit 4.1 of Rezolve AI Limited's Report on Form 6-K, filed with the SEC on December 23,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Description of Securities Registered under Section 12 of the Exchange Act.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"https://www.sec.gov/Archives/edgar/data/1920294/000119312523240685/d309194df4a.htm" \l "anxacov"</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Business Combination Agreement, dated December 17, 2021, as amended on November 10, 2022 and as further amended and restated on June 16, 2023, as amended on August 4, 2023 (incorporated by reference to Exhibit 2.1 of Rezolve AI Limited’s Registration Statement on Form F-4, Amendment No. 2, filed with the SEC on September 25, 2023).</w:t>
            </w:r>
            <w:r>
              <w:rPr>
                <w:rStyle w:val="InternetLink"/>
                <w:sz w:val="20"/>
                <w:u w:val="single"/>
                <w:rFonts w:ascii="Times New Roman" w:hAnsi="Times New Roman"/>
                <w:color w:val="0000FF"/>
              </w:rPr>
              <w:fldChar w:fldCharType="end"/>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"https://www.sec.gov/Archives/edgar/data/1920294/000119312523240685/d309194df4a.htm" \l "anxaa"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First Amendment to the Business Combination Agreement, dated as of August 4, 2023, by and among Armada Rezolve Limited, Rezolve and Rezolve Merger Sub (incorporated by reference to Exhibit 2.2 of Rezolve AI Limited’s Registration Statement on Form F-4, Amendment No. 2, filed with the SEC on September 25, 2023).</w:t>
            </w:r>
            <w:r>
              <w:rPr>
                <w:rStyle w:val="InternetLink"/>
                <w:sz w:val="20"/>
                <w:u w:val="single"/>
                <w:rFonts w:ascii="Times New Roman" w:hAnsi="Times New Roman"/>
                <w:color w:val="0000FF"/>
              </w:rPr>
              <w:fldChar w:fldCharType="end"/>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Investor Rights Agreement, dated August 15, 2024, by and among Rezolve AI Limited and the holders party thereto (incorporated by reference to Exhibit 4.6 of Rezolve AI Limited’s Shell Company Report on Form 20-F, filed with the SEC on August 22,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Lock-In Agreement, dated August 15, 2024, by and among Rezolve AI Limited and the holders party thereto (incorporated by reference to Exhibit 4.7 of Rezolve AI Limited’s Shell Company Report on Form 20-F, filed with the SEC on August 22,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Loan Note Instrument dated December 16, 2021, as amended and restated on November 21, 2022, and as further amended and restated on May 23, 2023 (incorporated by reference to Exhibit 10.17 of Rezolve AI Limited’s Registration Statement on Form F-4, Amendment No. 6, filed with the SEC on June 11,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Binding Term Sheet, dated August 30, 2021, by and among Rezolve, Radio Group and the other parties thereto (incorporated by reference to Exhibit 10.18 of Rezolve AI Limited’s Registration Statement on Form F-4, Amendment No. 5, filed with the SEC on May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80"/>
                  <w:sz w:val="20"/>
                  <w:u w:val="single"/>
                </w:rPr>
                <w:t>Amendment to Binding Term Sheet, dated May 24, 2023, by and among Rezolve, Radio Group and the other parties thereto (incorporated by reference to Exhibit 10.19 of Rezolve AI Limited’s Registration Statement on Form F-4, Amendment No. 5, filed with the SEC on May 20, 2024)</w:t>
              </w:r>
            </w:hyperlink>
            <w:r>
              <w:rPr>
                <w:rFonts w:ascii="Times New Roman" w:hAnsi="Times New Roman"/>
                <w:color w:val="0000FF"/>
                <w:sz w:val="20"/>
                <w:u w:val="single"/>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Contractual Relationship, dated April 30, 2023 (incorporated by reference to Exhibit 10.22 of Rezolve AI Limited’s Registration Statement on Form F-4, Amendment No. 5, filed with the SEC on May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Power of Disposal over ANY Lifestyle Marketing GmbH, dated November 17, 2023 (incorporated by reference to Exhibit 10.23 of Rezolve AI Limited’s Registration Statement on Form F-4, filed with the SEC on May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Loan Agreement, dated September 28, 2023, by and among Rezolve, Radio Group and the other parties thereto (incorporated by reference to Exhibit 10.24 of Rezolve AI Limited’s Registration Statement on Form F-4, filed with the SEC on May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Amended and Restated Standby Equity Purchase Agreement, dated as of February 2, 2024, by and between YA II PN, Ltd., Armada Acquisition Corp. I, Rezolve Limited and Rezolve AI Limited (incorporated by reference to Exhibit 2.1 of Aramada's Current Report on Form 8-K, filed with the SEC on February 9, 2024).</w:t>
              </w:r>
            </w:hyperlink>
            <w:hyperlink r:id="rId23">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Second Amended and Restated Standby Equity Purchase Agreement, dated as of September 6, 2024, by and between YA II PN, Ltd. and Rezolve AI Limited (incorporated by reference to Exhibit 99.1 of Rezolve's Report on Form 6-K, filed with the SEC on September 13,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Promissory Note, dated as of September 9, 2024, by and among YA II PN, Ltd. and Rezolve AI Limited (incorporated by reference to Exhibit 99.2 of Rezolve’s Report on Form 6-K, filed with the SEC on September 13,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80"/>
                  <w:sz w:val="20"/>
                  <w:u w:val="single"/>
                </w:rPr>
                <w:t>Promissory Note, dated as of November 29, 2024, by and among YA II PN, Ltd. and Rezolve AI Limited (incorporated by reference to Exhibit 99.1 of Rezolve's Report on Form 6-K, filed December 5, 2024</w:t>
              </w:r>
            </w:hyperlink>
            <w:r>
              <w:rPr>
                <w:rFonts w:ascii="Times New Roman" w:hAnsi="Times New Roman"/>
                <w:color w:val="0000FF"/>
                <w:sz w:val="20"/>
                <w:u w:val="single"/>
              </w:rPr>
              <w:t>).</w:t>
            </w:r>
            <w:r>
              <w:rPr>
                <w:rFonts w:ascii="Times New Roman" w:hAnsi="Times New Roman"/>
                <w:color w:val="0000FF"/>
                <w:sz w:val="20"/>
              </w:rPr>
              <w:t xml:space="preserve">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Letter Agreement, dated as of December 17, 2024, by and among the Company, Apeiron Investment Group Ltd. and Bradley Wickens (incorporated by reference to Exhibit 10.2 of Rezolve's Report on Form 6-K, filed December 18,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Deed of Amendment (incorporated by reference to Exhibit 10.3 of Rezolve's Report on Form 6-K, filed December 18, 2024).</w:t>
              </w:r>
            </w:hyperlink>
            <w:hyperlink r:id="rId29">
              <w:r>
                <w:rPr>
                  <w:rStyle w:val="InternetLink"/>
                  <w:rFonts w:ascii="Times New Roman" w:hAnsi="Times New Roman"/>
                  <w:color w:val="0000FF"/>
                  <w:sz w:val="20"/>
                </w:rPr>
                <w:t xml:space="preserve"> </w:t>
              </w:r>
            </w:hyperlink>
          </w:p>
        </w:tc>
      </w:tr>
    </w:tbl>
    <w:p>
      <w:pPr>
        <w:pStyle w:val="TextBody"/>
        <w:bidi w:val="0"/>
        <w:spacing w:before="240" w:after="283"/>
        <w:ind w:left="0" w:right="3" w:hanging="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0"/>
        <w:gridCol w:w="146"/>
        <w:gridCol w:w="9399"/>
      </w:tblGrid>
      <w:tr>
        <w:trPr/>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99" w:type="dxa"/>
            <w:tcBorders/>
            <w:vAlign w:val="center"/>
          </w:tcPr>
          <w:p>
            <w:pPr>
              <w:pStyle w:val="TableContents"/>
              <w:bidi w:val="0"/>
              <w:spacing w:before="0" w:after="283"/>
              <w:jc w:val="left"/>
              <w:rPr>
                <w:sz w:val="4"/>
                <w:szCs w:val="4"/>
              </w:rPr>
            </w:pPr>
            <w:r>
              <w:rPr>
                <w:sz w:val="4"/>
                <w:szCs w:val="4"/>
              </w:rPr>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Securities Purchase Agreement (incorporated by reference to Exhibit 10.1 of Rezolve's Report on Form 6-K, filed December 23, 2024).</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Loan Agreement, dated January 23, 2025, between Rezolve AI Ltd., as borrower, and Joh. Berenberg, Gossler &amp; Co. KG, as lender (incorporated by reference to Exhibit 10.1 of Rezolve's Report on Form 6-K, filed January 29, 2025.</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Purchase Agreement, dated February 4, 2025, by and between Rezolve AI Limited and DBLP Sea Cow Ltd. (incorporated by reference to Exhibit 10.1 of Rezolve's Report on Form 6-K, filed February 7, 2025).</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Purchase Agreement, dated February 11, 2025, by and among Rezolve AI Limited, GroupBy Inc, GroupBy International Ltd. and Fortis Advisors LLC, as representative of the sellers party thereto (incorporated by reference to Exhibit 10.1 of Rezolve's Report on Form 6-K, filed February 11, 2025).</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Securities Purchase Agreement, dated February 21, 2025, between Rezolve AI Ltd., and each of the investors listed on the Schedule of Buyers attached thereto (incorporated by reference to Exhibit 10.1 of Rezolve's Report on Form 6-K, filed February 25, 2025).</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Convertible Note (incorporated by reference to Exhibit 10.2 of Rezolve's Report on Form 6-K, filed February 25, 2025).</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80"/>
                  <w:sz w:val="20"/>
                  <w:u w:val="single"/>
                </w:rPr>
                <w:t>Amendment to the Purchase Agreement, dated February 28, 2025, by and among Rezolve AI Limited and Fortis Advisors LLC, as representative of the sellers party thereto (incorporated by reference to Exhibit 10.1 of Rezolve's Report on Form 6-K, filed March 6, 2025)</w:t>
              </w:r>
            </w:hyperlink>
            <w:r>
              <w:rPr>
                <w:rFonts w:ascii="Times New Roman" w:hAnsi="Times New Roman"/>
                <w:color w:val="0000FF"/>
                <w:sz w:val="20"/>
                <w:u w:val="single"/>
              </w:rPr>
              <w:t>.</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8_1.htm">
              <w:r>
                <w:rPr>
                  <w:rStyle w:val="InternetLink"/>
                  <w:rFonts w:ascii="Times New Roman" w:hAnsi="Times New Roman"/>
                  <w:color w:val="0000FF"/>
                  <w:sz w:val="20"/>
                  <w:u w:val="single"/>
                </w:rPr>
                <w:t>List of Subsidiaries of Rezolve AI plc</w:t>
              </w:r>
            </w:hyperlink>
            <w:r>
              <w:rPr>
                <w:rFonts w:ascii="Times New Roman" w:hAnsi="Times New Roman"/>
                <w:color w:val="000000"/>
                <w:sz w:val="20"/>
              </w:rPr>
              <w:t>.</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Insider Trading Policy (incorporated by reference to Exhibit 11.1 of Rezolve's Shell Company Report on Form 20-F, filed August 21, 2024).</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Rezolve AI Limited Code of Ethics (incorporated by reference to Exhibit 11.2 of Rezolve's Shell Company Report on Form 20-F, filed August 21, 2024)</w:t>
              </w:r>
            </w:hyperlink>
            <w:r>
              <w:rPr>
                <w:rFonts w:ascii="Times New Roman" w:hAnsi="Times New Roman"/>
                <w:color w:val="000000"/>
                <w:sz w:val="20"/>
              </w:rPr>
              <w:t>.</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12_1.htm">
              <w:r>
                <w:rPr>
                  <w:rStyle w:val="InternetLink"/>
                  <w:rFonts w:ascii="Times New Roman" w:hAnsi="Times New Roman"/>
                  <w:color w:val="0000FF"/>
                  <w:sz w:val="20"/>
                  <w:u w:val="single"/>
                </w:rPr>
                <w:t>Section 302(a) Certification of Principal Executive Officer</w:t>
              </w:r>
            </w:hyperlink>
            <w:r>
              <w:rPr>
                <w:rFonts w:ascii="Times New Roman" w:hAnsi="Times New Roman"/>
                <w:color w:val="000000"/>
                <w:sz w:val="20"/>
              </w:rPr>
              <w:t xml:space="preserve">.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12_2.htm">
              <w:r>
                <w:rPr>
                  <w:rStyle w:val="InternetLink"/>
                  <w:rFonts w:ascii="Times New Roman" w:hAnsi="Times New Roman"/>
                  <w:color w:val="0000FF"/>
                  <w:sz w:val="20"/>
                  <w:u w:val="single"/>
                </w:rPr>
                <w:t>Section 302(a) Certification of Principal Financial Officer</w:t>
              </w:r>
            </w:hyperlink>
            <w:r>
              <w:rPr>
                <w:rFonts w:ascii="Times New Roman" w:hAnsi="Times New Roman"/>
                <w:color w:val="000000"/>
                <w:sz w:val="20"/>
              </w:rPr>
              <w:t xml:space="preserve">.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13_1.htm">
              <w:r>
                <w:rPr>
                  <w:rStyle w:val="InternetLink"/>
                  <w:rFonts w:ascii="Times New Roman" w:hAnsi="Times New Roman"/>
                  <w:color w:val="0000FF"/>
                  <w:sz w:val="20"/>
                  <w:u w:val="single"/>
                </w:rPr>
                <w:t>Section 906 Certification of Principal Executive Officer</w:t>
              </w:r>
            </w:hyperlink>
            <w:r>
              <w:rPr>
                <w:rFonts w:ascii="Times New Roman" w:hAnsi="Times New Roman"/>
                <w:color w:val="000000"/>
                <w:sz w:val="20"/>
              </w:rPr>
              <w:t xml:space="preserve">.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13_2.htm">
              <w:r>
                <w:rPr>
                  <w:rStyle w:val="InternetLink"/>
                  <w:rFonts w:ascii="Times New Roman" w:hAnsi="Times New Roman"/>
                  <w:color w:val="0000FF"/>
                  <w:sz w:val="20"/>
                  <w:u w:val="single"/>
                </w:rPr>
                <w:t>Section 906 Certification of Principal Financial Officer.</w:t>
              </w:r>
            </w:hyperlink>
            <w:r>
              <w:rPr>
                <w:rFonts w:ascii="Times New Roman" w:hAnsi="Times New Roman"/>
                <w:color w:val="000000"/>
                <w:sz w:val="20"/>
              </w:rPr>
              <w:t xml:space="preserve">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15_1.htm">
              <w:r>
                <w:rPr>
                  <w:rStyle w:val="InternetLink"/>
                  <w:rFonts w:ascii="Times New Roman" w:hAnsi="Times New Roman"/>
                  <w:color w:val="0000FF"/>
                  <w:sz w:val="20"/>
                  <w:u w:val="single"/>
                </w:rPr>
                <w:t>Unaudited Pro Forma Condensed Combined Financial Statements of Rezolve.</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15_2.htm">
              <w:r>
                <w:rPr>
                  <w:rStyle w:val="InternetLink"/>
                  <w:rFonts w:ascii="Times New Roman" w:hAnsi="Times New Roman"/>
                  <w:color w:val="0000FF"/>
                  <w:sz w:val="20"/>
                  <w:u w:val="single"/>
                </w:rPr>
                <w:t>Consent of MNP LLP</w:t>
              </w:r>
            </w:hyperlink>
            <w:r>
              <w:rPr>
                <w:rFonts w:ascii="Times New Roman" w:hAnsi="Times New Roman"/>
                <w:color w:val="000000"/>
                <w:sz w:val="20"/>
              </w:rPr>
              <w:t>.</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15_3.htm">
              <w:r>
                <w:rPr>
                  <w:rStyle w:val="InternetLink"/>
                  <w:rFonts w:ascii="Times New Roman" w:hAnsi="Times New Roman"/>
                  <w:color w:val="0000FF"/>
                  <w:sz w:val="20"/>
                  <w:u w:val="single"/>
                </w:rPr>
                <w:t>Consent of Grassi &amp; Co., CPAs, P.C.</w:t>
              </w:r>
            </w:hyperlink>
            <w:r>
              <w:rPr>
                <w:rFonts w:ascii="Times New Roman" w:hAnsi="Times New Roman"/>
                <w:color w:val="000000"/>
                <w:sz w:val="20"/>
              </w:rPr>
              <w:t xml:space="preserve">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zlv-ex97_1.htm">
              <w:r>
                <w:rPr>
                  <w:rStyle w:val="InternetLink"/>
                  <w:rFonts w:ascii="Times New Roman" w:hAnsi="Times New Roman"/>
                  <w:color w:val="0000FF"/>
                  <w:sz w:val="20"/>
                  <w:u w:val="single"/>
                </w:rPr>
                <w:t>Compensation Recovery Policy.</w:t>
              </w:r>
            </w:hyperlink>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ind w:left="0" w:right="9360" w:hanging="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ind w:left="0" w:right="3" w:hanging="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registrant hereby certifies that it meets all of the requirements for filing on Form 20-F and that it has duly caused and authorized the undersigned to sign this annual report on its behalf. </w:t>
      </w:r>
    </w:p>
    <w:p>
      <w:pPr>
        <w:pStyle w:val="TextBody"/>
        <w:bidi w:val="0"/>
        <w:jc w:val="left"/>
        <w:rPr/>
      </w:pPr>
      <w:r>
        <w:rPr/>
        <w:t> </w:t>
      </w:r>
    </w:p>
    <w:tbl>
      <w:tblPr>
        <w:tblW w:w="4469" w:type="dxa"/>
        <w:jc w:val="left"/>
        <w:tblInd w:w="0" w:type="dxa"/>
        <w:tblLayout w:type="fixed"/>
        <w:tblCellMar>
          <w:top w:w="28" w:type="dxa"/>
          <w:left w:w="28" w:type="dxa"/>
          <w:bottom w:w="28" w:type="dxa"/>
          <w:right w:w="28" w:type="dxa"/>
        </w:tblCellMar>
      </w:tblPr>
      <w:tblGrid>
        <w:gridCol w:w="1786"/>
        <w:gridCol w:w="146"/>
        <w:gridCol w:w="406"/>
        <w:gridCol w:w="21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Rezolve AI plc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Wagner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Wagner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5" w:name="rzlv-ex2_4.htm"/>
      <w:bookmarkStart w:id="56" w:name="ksrzlvex2_4"/>
      <w:bookmarkEnd w:id="55"/>
      <w:bookmarkEnd w:id="56"/>
      <w:r>
        <w:rPr>
          <w:rFonts w:ascii="Times New Roman" w:hAnsi="Times New Roman"/>
          <w:b/>
          <w:color w:val="000000"/>
          <w:sz w:val="22"/>
        </w:rPr>
        <w:t>EXHIBIT 2.4</w:t>
      </w:r>
      <w:r>
        <w:br w:type="page"/>
      </w:r>
    </w:p>
    <w:p>
      <w:pPr>
        <w:pStyle w:val="TextBody"/>
        <w:bidi w:val="0"/>
        <w:jc w:val="center"/>
        <w:rPr>
          <w:rFonts w:ascii="Times New Roman" w:hAnsi="Times New Roman"/>
          <w:sz w:val="20"/>
        </w:rPr>
      </w:pPr>
      <w:r>
        <w:rPr>
          <w:rFonts w:ascii="Times New Roman" w:hAnsi="Times New Roman"/>
          <w:b/>
          <w:color w:val="000000"/>
          <w:sz w:val="20"/>
        </w:rPr>
        <w:t>DESCRIPTION OF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ind w:left="0" w:right="0" w:firstLine="555"/>
        <w:jc w:val="left"/>
        <w:rPr>
          <w:rFonts w:ascii="Times New Roman" w:hAnsi="Times New Roman"/>
          <w:sz w:val="20"/>
        </w:rPr>
      </w:pPr>
      <w:r>
        <w:rPr>
          <w:rFonts w:ascii="Times New Roman" w:hAnsi="Times New Roman"/>
          <w:color w:val="000000"/>
          <w:sz w:val="20"/>
        </w:rPr>
        <w:t>Set forth below is (i) a summary of certain information concerning Rezolve’s share capital, (ii) a description of certain provisions of Rezolve’s articles of association (the “</w:t>
      </w:r>
      <w:r>
        <w:rPr>
          <w:rFonts w:ascii="Times New Roman" w:hAnsi="Times New Roman"/>
          <w:b/>
          <w:i/>
          <w:color w:val="000000"/>
          <w:sz w:val="20"/>
        </w:rPr>
        <w:t>Articles</w:t>
      </w:r>
      <w:r>
        <w:rPr>
          <w:rFonts w:ascii="Times New Roman" w:hAnsi="Times New Roman"/>
          <w:color w:val="000000"/>
          <w:sz w:val="20"/>
        </w:rPr>
        <w:t>”), and (iii) a summary of relevant provisions of the UK Companies Act 2006 (as amended) (the “</w:t>
      </w:r>
      <w:r>
        <w:rPr>
          <w:rFonts w:ascii="Times New Roman" w:hAnsi="Times New Roman"/>
          <w:b/>
          <w:i/>
          <w:color w:val="000000"/>
          <w:sz w:val="20"/>
        </w:rPr>
        <w:t>UK Companies Act</w:t>
      </w:r>
      <w:r>
        <w:rPr>
          <w:rFonts w:ascii="Times New Roman" w:hAnsi="Times New Roman"/>
          <w:color w:val="000000"/>
          <w:sz w:val="20"/>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Description of Ordinary Shares</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Ordinary Shares comprise a single class of ordinary shares with a nominal value of £0.0001 each.</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The following information is a summary of Ordinary Shares:</w:t>
      </w:r>
    </w:p>
    <w:p>
      <w:pPr>
        <w:pStyle w:val="TextBody"/>
        <w:bidi w:val="0"/>
        <w:spacing w:before="0" w:after="0"/>
        <w:ind w:left="55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Ordinary Shares carry the right to receive dividends and distributions paid by Rezolve, if any.</w:t>
      </w:r>
    </w:p>
    <w:p>
      <w:pPr>
        <w:pStyle w:val="TextBody"/>
        <w:bidi w:val="0"/>
        <w:spacing w:before="0" w:after="0"/>
        <w:ind w:left="55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pStyle w:val="TextBody"/>
        <w:bidi w:val="0"/>
        <w:spacing w:before="0" w:after="0"/>
        <w:ind w:left="55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Subject to the UK Companies Act, any equity securities issued by Rezolve for cash must first be offered to Rezolve shareholders in proportion to their existing holdings of Ordinary Shares.</w:t>
      </w:r>
    </w:p>
    <w:p>
      <w:pPr>
        <w:pStyle w:val="TextBody"/>
        <w:bidi w:val="0"/>
        <w:spacing w:before="0" w:after="0"/>
        <w:ind w:left="55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UK Companies Act allows for the disapplication of pre-emption rights, which may be waived by a special resolution of not less than three quarters of Rezolve shareholders, either generally or specifically, for a maximum period not exceeding five years.</w:t>
      </w:r>
    </w:p>
    <w:p>
      <w:pPr>
        <w:pStyle w:val="TextBody"/>
        <w:bidi w:val="0"/>
        <w:spacing w:before="0" w:after="0"/>
        <w:ind w:left="555"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pStyle w:val="TextBody"/>
        <w:bidi w:val="0"/>
        <w:spacing w:before="240" w:after="283"/>
        <w:ind w:left="0" w:right="0" w:firstLine="555"/>
        <w:jc w:val="left"/>
        <w:rPr>
          <w:rFonts w:ascii="Times New Roman" w:hAnsi="Times New Roman"/>
          <w:sz w:val="20"/>
        </w:rPr>
      </w:pPr>
      <w:r>
        <w:rPr>
          <w:rFonts w:ascii="Times New Roman" w:hAnsi="Times New Roman"/>
          <w:color w:val="000000"/>
          <w:sz w:val="20"/>
        </w:rPr>
        <w:t>Rezolve may convert Ordinary Shares into deferred shares of £0.0001 each (or other nominal value) in the capital of Rezolve (the “</w:t>
      </w:r>
      <w:r>
        <w:rPr>
          <w:rFonts w:ascii="Times New Roman" w:hAnsi="Times New Roman"/>
          <w:b/>
          <w:i/>
          <w:color w:val="000000"/>
          <w:sz w:val="20"/>
        </w:rPr>
        <w:t>Deferred Shares</w:t>
      </w:r>
      <w:r>
        <w:rPr>
          <w:rFonts w:ascii="Times New Roman" w:hAnsi="Times New Roman"/>
          <w:color w:val="000000"/>
          <w:sz w:val="20"/>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Register</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pStyle w:val="HorizontalLine"/>
        <w:pBdr>
          <w:bottom w:val="double" w:sz="2" w:space="0" w:color="808080"/>
        </w:pBdr>
        <w:bidi w:val="0"/>
        <w:spacing w:before="0" w:after="283"/>
        <w:jc w:val="left"/>
        <w:rPr/>
      </w:pPr>
      <w:r>
        <w:rPr/>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Rezolve, any of its shareholders or any other affected person may apply to the court for rectification of the share register if:</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name of any person, without sufficient cause, is wrongly entered in or omitted from Rezolve’s register of shareholders; or</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Public Warrants</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pStyle w:val="TextBody"/>
        <w:bidi w:val="0"/>
        <w:spacing w:before="240" w:after="283"/>
        <w:ind w:left="0" w:right="0" w:firstLine="555"/>
        <w:jc w:val="left"/>
        <w:rPr>
          <w:rFonts w:ascii="Times New Roman" w:hAnsi="Times New Roman"/>
          <w:sz w:val="20"/>
        </w:rPr>
      </w:pPr>
      <w:r>
        <w:rPr>
          <w:rFonts w:ascii="Times New Roman" w:hAnsi="Times New Roman"/>
          <w:i/>
          <w:color w:val="000000"/>
          <w:sz w:val="20"/>
        </w:rPr>
        <w:t>Redemption of Public Warrants when the price per Ordinary Share equals or exceeds $18.00.</w:t>
      </w:r>
      <w:r>
        <w:rPr>
          <w:rFonts w:ascii="Times New Roman" w:hAnsi="Times New Roman"/>
          <w:color w:val="000000"/>
          <w:sz w:val="20"/>
        </w:rPr>
        <w:t xml:space="preserve"> Once the warrants become exercisable, we may redeem the outstanding warrants (subject to any restrictions under the UK Companies Act):</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at a price of $0.01 per warrant;</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upon a minimum of 30 days’ prior written notice of redemption; and</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 xml:space="preserve">No fractional Ordinary Shares will be issued upon exercise. If, upon exercise, a holder would be entitled to receive a fractional interest in a share, we will round down to the nearest whole number of Ordinary Shares to be issued to the holder. If, at the time of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pStyle w:val="TextBody"/>
        <w:bidi w:val="0"/>
        <w:spacing w:before="240" w:after="283"/>
        <w:ind w:left="0" w:right="0" w:firstLine="555"/>
        <w:jc w:val="left"/>
        <w:rPr>
          <w:rFonts w:ascii="Times New Roman" w:hAnsi="Times New Roman"/>
          <w:sz w:val="20"/>
        </w:rPr>
      </w:pPr>
      <w:r>
        <w:rPr>
          <w:rFonts w:ascii="Times New Roman" w:hAnsi="Times New Roman"/>
          <w:i/>
          <w:color w:val="000000"/>
          <w:sz w:val="20"/>
        </w:rPr>
        <w:t>Holder Election to Limit Exercise</w:t>
      </w:r>
      <w:r>
        <w:rPr>
          <w:rFonts w:ascii="Times New Roman" w:hAnsi="Times New Roman"/>
          <w:color w:val="000000"/>
          <w:sz w:val="20"/>
        </w:rPr>
        <w:t>.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pStyle w:val="TextBody"/>
        <w:bidi w:val="0"/>
        <w:spacing w:before="240" w:after="283"/>
        <w:ind w:left="0" w:right="0" w:firstLine="555"/>
        <w:jc w:val="left"/>
        <w:rPr>
          <w:rFonts w:ascii="Times New Roman" w:hAnsi="Times New Roman"/>
          <w:sz w:val="20"/>
        </w:rPr>
      </w:pPr>
      <w:r>
        <w:rPr>
          <w:rFonts w:ascii="Times New Roman" w:hAnsi="Times New Roman"/>
          <w:i/>
          <w:color w:val="000000"/>
          <w:sz w:val="20"/>
        </w:rPr>
        <w:t>Anti-Dilution Adjustments</w:t>
      </w:r>
      <w:r>
        <w:rPr>
          <w:rFonts w:ascii="Times New Roman" w:hAnsi="Times New Roman"/>
          <w:color w:val="000000"/>
          <w:sz w:val="20"/>
        </w:rPr>
        <w:t>. If the number of outstanding Ordinary Shares is increased by a stock dividend payable in Ordinary Shares, or by a split 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Articles of Association of Rezolve</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The following information is a summary of the material terms of the Ordinary Shares as specified in the Articles. The following summary does not purport to be complete and is qualified in its entirety by reference to the Articles.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rights</w:t>
      </w:r>
    </w:p>
    <w:p>
      <w:pPr>
        <w:pStyle w:val="HorizontalLine"/>
        <w:pBdr>
          <w:bottom w:val="double" w:sz="2" w:space="0" w:color="808080"/>
        </w:pBdr>
        <w:bidi w:val="0"/>
        <w:spacing w:before="0" w:after="283"/>
        <w:jc w:val="left"/>
        <w:rPr/>
      </w:pPr>
      <w:r>
        <w:rPr/>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Subject to the UK Companies Act, any share may be issued which is to be redeemed or is to be liable to be redeemed at the option of Rezolve or the holder, on such terms, conditions and in such manner as Rezolve’s board of directors may determine.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Voting rights and quorum</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The aggregate number of votes attaching to all the shares held by Daniel Wagner as the “Rezolve Founder” or in which he is interested shall be equal to the higher of:</w:t>
      </w:r>
    </w:p>
    <w:p>
      <w:pPr>
        <w:pStyle w:val="TextBody"/>
        <w:bidi w:val="0"/>
        <w:jc w:val="left"/>
        <w:rPr>
          <w:rFonts w:ascii="Times New Roman" w:hAnsi="Times New Roman"/>
          <w:color w:val="000000"/>
          <w:sz w:val="20"/>
        </w:rPr>
      </w:pPr>
      <w:r>
        <w:rPr>
          <w:rFonts w:ascii="Times New Roman" w:hAnsi="Times New Roman"/>
          <w:color w:val="000000"/>
          <w:sz w:val="20"/>
        </w:rPr>
        <w:t>(i)75% of the votes attaching to all shares in the capital of the Company; and</w:t>
      </w:r>
    </w:p>
    <w:p>
      <w:pPr>
        <w:pStyle w:val="TextBody"/>
        <w:bidi w:val="0"/>
        <w:jc w:val="left"/>
        <w:rPr>
          <w:rFonts w:ascii="Times New Roman" w:hAnsi="Times New Roman"/>
          <w:color w:val="000000"/>
          <w:sz w:val="20"/>
        </w:rPr>
      </w:pPr>
      <w:r>
        <w:rPr>
          <w:rFonts w:ascii="Times New Roman" w:hAnsi="Times New Roman"/>
          <w:color w:val="000000"/>
          <w:sz w:val="20"/>
        </w:rPr>
        <w:t>(ii)the total number of votes that would otherwise have been conferred on Daniel Wagner.</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Restrictions on Voting</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Variation of Rights</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transfers</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The Ordinary Shares are in registered form. Any Ordinary Shares may be held in uncertificated form.</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 xml:space="preserve">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registered office or any place the Rezolve board of directors may determine for registration and is accompanied by the relevant share certificate or such other evidence the Rezolve board of directors may reasonably require.</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The transferor of an ordinary share is deemed to remain the holder until the transferee’s name is entered in the share register.</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All dividends on shares are to be paid according to the amounts paid up on their nominal value, or otherwise in accordance with the terms concerning entitlement to dividends on which shares were issued.</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All unclaimed dividends may be made use of by Rezolve’s board of directors for Rezolve’s benefit until claimed.</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Any dividend unclaimed for a period of 10 years from the date when it was declared or became due for payment shall revert to Rezolve.</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Shareholder meetings</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The voting rights of each member at a general meeting are as set out under the heading “Voting Rights and Quorum” above.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Alteration of share capital</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pStyle w:val="HorizontalLine"/>
        <w:pBdr>
          <w:bottom w:val="double" w:sz="2" w:space="0" w:color="808080"/>
        </w:pBdr>
        <w:bidi w:val="0"/>
        <w:spacing w:before="0" w:after="283"/>
        <w:jc w:val="left"/>
        <w:rPr/>
      </w:pPr>
      <w:r>
        <w:rPr/>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Rezolve may agree with any member terms and conditions upon which all or any part of the Ordinary Shares held by such member from time to time shall be automatically converted into deferred shares.</w:t>
      </w:r>
    </w:p>
    <w:p>
      <w:pPr>
        <w:pStyle w:val="TextBody"/>
        <w:bidi w:val="0"/>
        <w:spacing w:before="240" w:after="283"/>
        <w:ind w:left="0" w:right="0" w:firstLine="555"/>
        <w:jc w:val="left"/>
        <w:rPr>
          <w:rFonts w:ascii="Times New Roman" w:hAnsi="Times New Roman"/>
          <w:color w:val="000000"/>
          <w:sz w:val="20"/>
        </w:rPr>
      </w:pPr>
      <w:r>
        <w:rPr>
          <w:rFonts w:ascii="Times New Roman" w:hAnsi="Times New Roman"/>
          <w:color w:val="000000"/>
          <w:sz w:val="20"/>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 of Control</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Distributions on Winding Up</w:t>
      </w:r>
    </w:p>
    <w:p>
      <w:pPr>
        <w:pStyle w:val="TextBody"/>
        <w:bidi w:val="0"/>
        <w:spacing w:before="120" w:after="283"/>
        <w:ind w:left="0" w:right="0" w:firstLine="555"/>
        <w:jc w:val="left"/>
        <w:rPr>
          <w:rFonts w:ascii="Times New Roman" w:hAnsi="Times New Roman"/>
          <w:color w:val="000000"/>
          <w:sz w:val="20"/>
        </w:rPr>
      </w:pPr>
      <w:r>
        <w:rPr>
          <w:rFonts w:ascii="Times New Roman" w:hAnsi="Times New Roman"/>
          <w:color w:val="000000"/>
          <w:sz w:val="20"/>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pStyle w:val="HorizontalLine"/>
        <w:pBdr>
          <w:bottom w:val="double" w:sz="2" w:space="0" w:color="808080"/>
        </w:pBdr>
        <w:bidi w:val="0"/>
        <w:spacing w:before="0" w:after="283"/>
        <w:jc w:val="left"/>
        <w:rPr/>
      </w:pPr>
      <w:r>
        <w:rPr/>
      </w:r>
    </w:p>
    <w:p>
      <w:pPr>
        <w:pStyle w:val="TextBody"/>
        <w:bidi w:val="0"/>
        <w:jc w:val="left"/>
        <w:rPr/>
      </w:pPr>
      <w:bookmarkStart w:id="57" w:name="rzlv-ex8_1.htm"/>
      <w:bookmarkStart w:id="58" w:name="ksrzlvex8_1"/>
      <w:bookmarkEnd w:id="57"/>
      <w:bookmarkEnd w:id="58"/>
      <w:r>
        <w:rPr/>
        <w:t> </w:t>
      </w:r>
      <w:r>
        <w:br w:type="page"/>
      </w:r>
    </w:p>
    <w:p>
      <w:pPr>
        <w:pStyle w:val="TextBody"/>
        <w:bidi w:val="0"/>
        <w:ind w:left="720" w:right="0" w:firstLine="720"/>
        <w:jc w:val="right"/>
        <w:rPr>
          <w:rFonts w:ascii="Times New Roman" w:hAnsi="Times New Roman"/>
          <w:b/>
          <w:color w:val="000000"/>
          <w:sz w:val="24"/>
        </w:rPr>
      </w:pPr>
      <w:r>
        <w:rPr>
          <w:rFonts w:ascii="Times New Roman" w:hAnsi="Times New Roman"/>
          <w:b/>
          <w:color w:val="000000"/>
          <w:sz w:val="24"/>
        </w:rPr>
        <w:t>Exhibit 8.1</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037" w:type="dxa"/>
        <w:jc w:val="left"/>
        <w:tblInd w:w="0" w:type="dxa"/>
        <w:tblLayout w:type="fixed"/>
        <w:tblCellMar>
          <w:top w:w="28" w:type="dxa"/>
          <w:left w:w="28" w:type="dxa"/>
          <w:bottom w:w="28" w:type="dxa"/>
          <w:right w:w="28" w:type="dxa"/>
        </w:tblCellMar>
      </w:tblPr>
      <w:tblGrid>
        <w:gridCol w:w="3721"/>
        <w:gridCol w:w="146"/>
        <w:gridCol w:w="1681"/>
        <w:gridCol w:w="146"/>
        <w:gridCol w:w="2116"/>
        <w:gridCol w:w="146"/>
        <w:gridCol w:w="108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the 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Group</w:t>
              <w:br/>
              <w:t>shareholding</w:t>
              <w:b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Taiwan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9, 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Taiwan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Technology (India)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Mobile Commerce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Technology S.L.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25,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AI IP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Armada Acquisition Corp.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9" w:name="rzlv-ex12_1.htm"/>
      <w:bookmarkStart w:id="60" w:name="ksrzlvex12_1"/>
      <w:bookmarkEnd w:id="59"/>
      <w:bookmarkEnd w:id="60"/>
      <w:r>
        <w:rPr>
          <w:rFonts w:ascii="Times New Roman" w:hAnsi="Times New Roman"/>
          <w:b/>
          <w:color w:val="000000"/>
          <w:sz w:val="20"/>
        </w:rPr>
        <w:t>Exhibit 12.1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Daniel Wagner, certify that: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20-F of Rezolve AI plc;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other certifying officer(s) and I are responsible for establishing and maintaining disclosure controls and procedures (as defined in Exchange Act Rules 13a-15(e) and 15d-15(e))) for the Company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786"/>
        <w:gridCol w:w="109"/>
        <w:gridCol w:w="406"/>
        <w:gridCol w:w="21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Wagner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Wagner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1" w:name="rzlv-ex12_2.htm"/>
      <w:bookmarkStart w:id="62" w:name="ksrzlvex12_2"/>
      <w:bookmarkEnd w:id="61"/>
      <w:bookmarkEnd w:id="62"/>
      <w:r>
        <w:rPr>
          <w:rFonts w:ascii="Times New Roman" w:hAnsi="Times New Roman"/>
          <w:b/>
          <w:color w:val="000000"/>
          <w:sz w:val="20"/>
        </w:rPr>
        <w:t>Exhibit 12.2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Richard Burchill, certify that: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20-F of Rezolve AI plc;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other certifying officer(s) and I are responsible for establishing and maintaining disclosure controls and procedures (as defined in Exchange Act Rules 13a-15(e) and 15d-15(e)) for the Company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p>
      <w:pPr>
        <w:pStyle w:val="TextBody"/>
        <w:bidi w:val="0"/>
        <w:jc w:val="left"/>
        <w:rPr/>
      </w:pPr>
      <w:r>
        <w:rPr/>
        <w:t> </w:t>
      </w:r>
    </w:p>
    <w:tbl>
      <w:tblPr>
        <w:tblW w:w="4402" w:type="dxa"/>
        <w:jc w:val="left"/>
        <w:tblInd w:w="0" w:type="dxa"/>
        <w:tblLayout w:type="fixed"/>
        <w:tblCellMar>
          <w:top w:w="28" w:type="dxa"/>
          <w:left w:w="28" w:type="dxa"/>
          <w:bottom w:w="28" w:type="dxa"/>
          <w:right w:w="28" w:type="dxa"/>
        </w:tblCellMar>
      </w:tblPr>
      <w:tblGrid>
        <w:gridCol w:w="1786"/>
        <w:gridCol w:w="109"/>
        <w:gridCol w:w="406"/>
        <w:gridCol w:w="210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Burchill</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Burchill</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3" w:name="rzlv-ex13_1.htm"/>
      <w:bookmarkStart w:id="64" w:name="ksrzlvex13_1"/>
      <w:bookmarkEnd w:id="63"/>
      <w:bookmarkEnd w:id="64"/>
      <w:r>
        <w:rPr>
          <w:rFonts w:ascii="Times New Roman" w:hAnsi="Times New Roman"/>
          <w:b/>
          <w:color w:val="000000"/>
          <w:sz w:val="20"/>
        </w:rPr>
        <w:t>Exhibit 13.1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certification set forth below is being submitted in connection with the Annual Report on Form 20-F for the year ended December 31, 2024 (the “Report”) for the purpose of complying with Rule 13a-14(b) or Rule 15d-14(b) of the Securities Exchange Act of 1934 (the “Exchange Act”) and Section 1350 of Chapter 63 of Title 18 of the United States Code.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Daniel Wagner, certify that: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786"/>
        <w:gridCol w:w="109"/>
        <w:gridCol w:w="406"/>
        <w:gridCol w:w="21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Wagner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Daniel Wagner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5" w:name="rzlv-ex13_2.htm"/>
      <w:bookmarkStart w:id="66" w:name="ksrzlvex13_2"/>
      <w:bookmarkEnd w:id="65"/>
      <w:bookmarkEnd w:id="6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13.2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certification set forth below is being submitted in connection with the Annual Report on Form 20-F for the year ended December 31, 2024 (the “Report”) for the purpose of complying with Rule 13a-14(b) or Rule 15d-14(b) of the Securities Exchange Act of 1934 (the “Exchange Act”) and Section 1350 of Chapter 63 of Title 18 of the United States Code.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Burchill, certify that: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02" w:type="dxa"/>
        <w:jc w:val="left"/>
        <w:tblInd w:w="0" w:type="dxa"/>
        <w:tblLayout w:type="fixed"/>
        <w:tblCellMar>
          <w:top w:w="28" w:type="dxa"/>
          <w:left w:w="28" w:type="dxa"/>
          <w:bottom w:w="28" w:type="dxa"/>
          <w:right w:w="28" w:type="dxa"/>
        </w:tblCellMar>
      </w:tblPr>
      <w:tblGrid>
        <w:gridCol w:w="1786"/>
        <w:gridCol w:w="109"/>
        <w:gridCol w:w="406"/>
        <w:gridCol w:w="210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Burchill</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Burchill</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4"/>
        </w:rPr>
      </w:pPr>
      <w:bookmarkStart w:id="67" w:name="rzlv-ex15_1.htm"/>
      <w:bookmarkStart w:id="68" w:name="ksrzlvex15_1"/>
      <w:bookmarkEnd w:id="67"/>
      <w:bookmarkEnd w:id="68"/>
      <w:r>
        <w:rPr>
          <w:rFonts w:ascii="Times New Roman" w:hAnsi="Times New Roman"/>
          <w:b/>
          <w:color w:val="000000"/>
          <w:sz w:val="24"/>
        </w:rPr>
        <w:t>Exhibit 15.1</w:t>
      </w:r>
      <w:r>
        <w:br w:type="page"/>
      </w:r>
    </w:p>
    <w:p>
      <w:pPr>
        <w:pStyle w:val="TextBody"/>
        <w:bidi w:val="0"/>
        <w:spacing w:before="120" w:after="283"/>
        <w:ind w:left="0" w:right="0" w:firstLine="49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ind w:left="0" w:right="0" w:firstLine="490"/>
        <w:jc w:val="center"/>
        <w:rPr>
          <w:rFonts w:ascii="Times New Roman" w:hAnsi="Times New Roman"/>
          <w:b/>
          <w:color w:val="000000"/>
          <w:sz w:val="20"/>
        </w:rPr>
      </w:pPr>
      <w:r>
        <w:rPr>
          <w:rFonts w:ascii="Times New Roman" w:hAnsi="Times New Roman"/>
          <w:b/>
          <w:color w:val="000000"/>
          <w:sz w:val="20"/>
        </w:rPr>
        <w:t>Unaudited Pro Forma Condensed Combined Financial Information</w:t>
      </w:r>
    </w:p>
    <w:p>
      <w:pPr>
        <w:pStyle w:val="TextBody"/>
        <w:bidi w:val="0"/>
        <w:spacing w:before="240" w:after="283"/>
        <w:ind w:left="0" w:right="0" w:firstLine="490"/>
        <w:jc w:val="center"/>
        <w:rPr>
          <w:rFonts w:ascii="Times New Roman" w:hAnsi="Times New Roman"/>
          <w:i/>
          <w:color w:val="000000"/>
          <w:sz w:val="20"/>
        </w:rPr>
      </w:pPr>
      <w:r>
        <w:rPr>
          <w:rFonts w:ascii="Times New Roman" w:hAnsi="Times New Roman"/>
          <w:i/>
          <w:color w:val="000000"/>
          <w:sz w:val="20"/>
        </w:rPr>
        <w:t>Defined terms included below have the same meaning as terms defined and included elsewhere in this Report.</w:t>
      </w:r>
    </w:p>
    <w:p>
      <w:pPr>
        <w:pStyle w:val="TextBody"/>
        <w:bidi w:val="0"/>
        <w:spacing w:before="240" w:after="283"/>
        <w:ind w:left="490" w:right="0" w:hanging="0"/>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February 4, 2025, the Company entered into a purchase agreement with DBLP Sea Cow Ltd (“DBLP”), to acquire the entire issued and to be issued share capital of each of Bluedot Industries, Inc.and Bluedot Industries Pty. Ltd. As consideration for this acquisition, the Company issued 819,737 ordinary shares of the Company in a private placement to DBLP.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DBLP is is a related party and is wholly legally owned by Daniel Wagner and beneficially owned by John Wagner. Both Daniel Wagner and John Wagner are directors of DBLP.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Bluedot Industries, Inc., Bluedot Industries Pty. Ltd. and Bluedot Innovation Pty. Ltd, together “Bluedot”, is a developer of mobile location technology to enhance customer experiences.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20, 2025 and March 17, 2025, the Company closed the acquisition of Bluedot and issued the above mentioned ordinary shares as consideration to DBLP and the Tanist Group,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acquisition of Bluedot was not deemed significant under Rule 3-05 of Regulation S-X (“Rule 3-05”).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GroupBy is an eCommerce Search and Product Discovery SaaS technology provider that powers some of the largest B2B and B2C brands.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acquisition of GroupBy was deemed significant under Rule 3-05 and separate financial statements for GroupBy are included elsewhere in this Report.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Unaudited Pro Forma Condensed Combined Financial Information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operations. Future results may vary significantly from the results reflected because of various factors. In Rezolve’s opinion, all adjustments that are necessary to present fairly the unaudited pro forma condensed combined financial information have been made.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unaudited pro forma financial statements have been developed from and should be read in conjunction with: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historical audited consolidated financial statements of Rezolve as of, and for the years ended, December 31, 2024 and 2023, included elsewhere in this Report;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historical audited combined consolidated financial statements for GroupBy as of, and for the years ended, December 31, 2024 and 2023, included elsewhere in this Report;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section entitled “</w:t>
      </w:r>
      <w:r>
        <w:rPr>
          <w:rFonts w:ascii="Times New Roman" w:hAnsi="Times New Roman"/>
          <w:i/>
          <w:color w:val="000000"/>
          <w:sz w:val="20"/>
        </w:rPr>
        <w:t>Management’s Discussion and Analysis of Financial Condition and Results of Operation</w:t>
      </w:r>
      <w:r>
        <w:rPr>
          <w:rFonts w:ascii="Times New Roman" w:hAnsi="Times New Roman"/>
          <w:color w:val="000000"/>
          <w:sz w:val="20"/>
        </w:rPr>
        <w:t xml:space="preserve">s.” included elsewhere in this Report.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REZOLVE AI plc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UNAUDITED PRO FORMA CONDENSED COMBINED BALANCE SHEET</w:t>
      </w:r>
    </w:p>
    <w:p>
      <w:pPr>
        <w:pStyle w:val="TextBody"/>
        <w:bidi w:val="0"/>
        <w:jc w:val="center"/>
        <w:rPr/>
      </w:pPr>
      <w:r>
        <w:rPr/>
        <w:t> </w:t>
      </w:r>
    </w:p>
    <w:tbl>
      <w:tblPr>
        <w:tblW w:w="10440" w:type="dxa"/>
        <w:jc w:val="left"/>
        <w:tblInd w:w="0" w:type="dxa"/>
        <w:tblLayout w:type="fixed"/>
        <w:tblCellMar>
          <w:top w:w="28" w:type="dxa"/>
          <w:left w:w="28" w:type="dxa"/>
          <w:bottom w:w="28" w:type="dxa"/>
          <w:right w:w="28" w:type="dxa"/>
        </w:tblCellMar>
      </w:tblPr>
      <w:tblGrid>
        <w:gridCol w:w="991"/>
        <w:gridCol w:w="146"/>
        <w:gridCol w:w="181"/>
        <w:gridCol w:w="886"/>
        <w:gridCol w:w="151"/>
        <w:gridCol w:w="146"/>
        <w:gridCol w:w="181"/>
        <w:gridCol w:w="811"/>
        <w:gridCol w:w="151"/>
        <w:gridCol w:w="146"/>
        <w:gridCol w:w="181"/>
        <w:gridCol w:w="811"/>
        <w:gridCol w:w="151"/>
        <w:gridCol w:w="146"/>
        <w:gridCol w:w="181"/>
        <w:gridCol w:w="736"/>
        <w:gridCol w:w="151"/>
        <w:gridCol w:w="146"/>
        <w:gridCol w:w="181"/>
        <w:gridCol w:w="811"/>
        <w:gridCol w:w="151"/>
        <w:gridCol w:w="211"/>
        <w:gridCol w:w="181"/>
        <w:gridCol w:w="811"/>
        <w:gridCol w:w="151"/>
        <w:gridCol w:w="241"/>
        <w:gridCol w:w="181"/>
        <w:gridCol w:w="886"/>
        <w:gridCol w:w="151"/>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5" w:type="dxa"/>
            <w:gridSpan w:val="1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Rezolve AI plc and Subsidiaries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GroupBy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Bluedot Industries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Bluedot Innovation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GroupBy</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 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 =</w:t>
              <w:br/>
              <w:t>A+B+C+D+E+F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9,450,944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6,482,298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16,211,876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1,148,861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682,432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1,852,567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960,848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Derivative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13,020,647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8,999,708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961,035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22,991,421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6,750,178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6,276,731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47,495,213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4,580,673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1,093,939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5,674,612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174,568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384,408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384,408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6,767,510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174,568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430,664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72,386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38,990,444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53,806,242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19,788,157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9,174,276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1,391,699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72,417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39,000,444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76,797,663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7,303,060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21,598,041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1,371,844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a,i</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32,065,839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1,054,429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1,054,429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9,513,932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10,602,944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5,102,211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589,940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5,692,151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10,288,123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10,288,123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convertible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payment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Advisors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12,812,366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12,812,366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Bank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8,584,886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1,161,723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9,746,609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k</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57,784,739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42,246,145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4,333,757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(10,648,305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295,846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94,016,148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11,563,051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148,945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108,238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10,335,000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1,228,051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11,820,234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57,784,739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42,395,090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4,333,757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112,204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(313,305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1,523,897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105,836,382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£0.0001 nominal value 208,260,754 shares issued and outstanding as of December 31, 2024; 152,262,295 shares issued and outstanding as of December 31, 2023; 256,365,817 and 161,710,480 shares authorized as of December 31, 2024 and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shares, £0.0001 nominal value 4,575,983 shares issued, authorized and 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14,005,728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(14,005,728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194,062,767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6,291,080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21,626,882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3,324,360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11,767,156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(20,562,772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216,509,473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subscription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(232,075,815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(58,196,350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(24,831,035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(3,285,194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46,229,426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g,h,i</w:t>
              <w:br/>
              <w:t>k,l,p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26,592,332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j,m,p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(245,566,636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261,095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(261,095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4,678,728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(4,678,728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q</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shareholders'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(37,996,582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(33,220,814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(2,942,058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(39,787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39,313,749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5,846,773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(29,038,719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19,788,157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9,174,276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1,391,699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72,417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39,000,444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76,797,663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5"/>
        </w:rPr>
      </w:pPr>
      <w:r>
        <w:rPr>
          <w:rFonts w:ascii="Times New Roman" w:hAnsi="Times New Roman"/>
          <w:i/>
          <w:color w:val="000000"/>
          <w:sz w:val="15"/>
        </w:rPr>
        <w:t>See accompanying notes to the unaudited pro forma condensed combined financial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jc w:val="center"/>
        <w:rPr/>
      </w:pPr>
      <w:r>
        <w:rPr/>
        <w:t> </w:t>
      </w:r>
    </w:p>
    <w:tbl>
      <w:tblPr>
        <w:tblW w:w="10213" w:type="dxa"/>
        <w:jc w:val="left"/>
        <w:tblInd w:w="0" w:type="dxa"/>
        <w:tblLayout w:type="fixed"/>
        <w:tblCellMar>
          <w:top w:w="28" w:type="dxa"/>
          <w:left w:w="28" w:type="dxa"/>
          <w:bottom w:w="28" w:type="dxa"/>
          <w:right w:w="28" w:type="dxa"/>
        </w:tblCellMar>
      </w:tblPr>
      <w:tblGrid>
        <w:gridCol w:w="1036"/>
        <w:gridCol w:w="181"/>
        <w:gridCol w:w="886"/>
        <w:gridCol w:w="151"/>
        <w:gridCol w:w="146"/>
        <w:gridCol w:w="181"/>
        <w:gridCol w:w="766"/>
        <w:gridCol w:w="151"/>
        <w:gridCol w:w="146"/>
        <w:gridCol w:w="181"/>
        <w:gridCol w:w="691"/>
        <w:gridCol w:w="151"/>
        <w:gridCol w:w="146"/>
        <w:gridCol w:w="184"/>
        <w:gridCol w:w="597"/>
        <w:gridCol w:w="151"/>
        <w:gridCol w:w="196"/>
        <w:gridCol w:w="181"/>
        <w:gridCol w:w="811"/>
        <w:gridCol w:w="151"/>
        <w:gridCol w:w="256"/>
        <w:gridCol w:w="181"/>
        <w:gridCol w:w="736"/>
        <w:gridCol w:w="151"/>
        <w:gridCol w:w="226"/>
        <w:gridCol w:w="181"/>
        <w:gridCol w:w="886"/>
        <w:gridCol w:w="151"/>
        <w:gridCol w:w="361"/>
      </w:tblGrid>
      <w:tr>
        <w:trPr/>
        <w:tc>
          <w:tcPr>
            <w:tcW w:w="10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0" w:type="dxa"/>
            <w:gridSpan w:val="1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Proforma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Rezolve AI plc and Subsidiaries</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GroupBy </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 Industries</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 Innovation</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GroupBy</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 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 =</w:t>
              <w:br/>
              <w:t>A+B+C+D+E+F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187,788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18,890,934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2,092,315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485,860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21,656,897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 of 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11,874,137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Sales and marketing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6,285,446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4,906,824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402,441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11,594,711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General and administrative expenses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131,430,412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2,789,811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721,269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135,078,025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operating expenses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 and amortization expenses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200,370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5,652,966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t,u</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7,170,282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Research and development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6,835,367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1,152,807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7,988,174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operating expenses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138,230,574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26,606,509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2,435,293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62,001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5,765,520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1,053,673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174,153,570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loss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(138,042,786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(7,715,575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(342,978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423,859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(5,765,520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(1,053,673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(152,496,673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(expense) income</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(expense)/income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(10,557,714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(1,152,396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(203,053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1,173,596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(10,741,557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Gain/(loss) on derivatives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19,001,681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19,001,681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Gain/(loss) on extinguishment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(44,332,819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w:t>
              <w:br/>
              <w:t>aa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(44,612,670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non-operating income (expense), net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1,329,781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(1,361,844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x</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(348,079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other (expenses) / income, net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(34,559,071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(1,183,758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(191,860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(468,099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(295,847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(loss) before taxes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(172,601,857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(8,899,333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(534,838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421,869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(6,233,619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(1,349,520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(189,197,298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expense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bb</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cc</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(11,712,061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 income</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(172,646,790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(8,932,857</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(555,324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371,802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(16,568,619</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(2,577,571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(200,909,358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Earnings Per Share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3"/>
              </w:rPr>
              <w:t>dd</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 and diluted weighted average shares outstanding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162,855,146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178,157,563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3"/>
              </w:rPr>
              <w:t>dd</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17"/>
        </w:rPr>
      </w:pPr>
      <w:r>
        <w:rPr>
          <w:rFonts w:ascii="Times New Roman" w:hAnsi="Times New Roman"/>
          <w:i/>
          <w:color w:val="000000"/>
          <w:sz w:val="17"/>
        </w:rPr>
        <w:t>See accompanying notes to the unaudited pro forma condensed combined financial information.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REZOLVE AI LIMITED AND SUBSIDIARIESNOTES TO UNAUDITED PRO FORMA CONDENSED COMBINED FINANCIAL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1—Basis of Presentation</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unaudited pro forma condensed combined financial information has been prepared in accordance with Article 11 of Regulation S-X as amended by the final rule, Release No. 33-10786 “Amendments to Financial Disclosures about Acquired and Disposed Businesses.”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Unaudited Pro Forma financial information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does not give effect to any anticipated synergies, operating efficiencies, tax savings, or cost savings that may be associated with the Bluedot acquisition and the GroupBy acquisition.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Report.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2—Unaudited pro forma condensed combined balance sheet adjustments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 forma adjustments to the unaudited pro forma condensed combined balance sheet as of December 31, 2024 are as follows: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adjustments to intangible assets of GroupBy based on the fair values assigned in the preliminary purchase price allocation to: (1)Technology intellectual property and (2) Customer contract and related relationships.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adjustments to intangible assets of acquisition of Bluedot Industries, Inc. and Bluedot Industries Pty. Ltd based on the fair values assigned in the preliminary purchase price allocation to: Customer contract and related relationships.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adjustments to intangible assets of Bluedot Innovation Pty. Ltd based on the preliminary allocation of costs for the asset acquisition.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recognition of goodwill for GroupBy based on the preliminary purchase price allocation.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recognition of goodwill for Bluedot Industries, Inc.and Bluedot Industries Pty. Ltd based on the preliminary purchase price allocation.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GroupBy, including, but not limited to advisory fees and legal fees.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Bluedot Industries, Inc. and Bluedot Industries Pty. Ltd , including, but not limited to advisory fees and legal fees.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 liabilities to which GroupBy is a party as one of the conditions for the closing of the GroupBy acquisition.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issuance of ordinary shares as consideration for the acquisitions of Bluedot: the Company issued 819,737 ordinary shares of the Company to DBLP and 1,941,111 ordinary shares of the Company to the Tanist Group.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elimination of accumulated deficit and other consolidation adjustments as a result of acquisition accounting.</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warrants recognized in equity to which GroupBy is a party as one of the conditions for the closing of the GroupBy acquisition.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3—Unaudited pro forma condensed combined statements of operations adjustments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for Bluedot Innovation Pty. Ltd for the year ended December 31, 2024 represents revenue from a government grant.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add incremental depreciation expense for GroupBy based on the fair values assigned in the preliminary purchase price allocation to technology intellectual property and customer contract and related relationships.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add incremental depreciation expense for Bluedot Industries, Inc. and Bluedot Industries Pty. Ltd based on the fair values assigned in the preliminary purchase price allocation to customer contract and related relationships.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Adjustment to add incremental depreciation expense for Bluedot Innovation Pty. Ltd based on the values assigned to technology intellectual property based on the preliminary allocation of costs for the asset acquisition.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GroupBy including, but not limited to advisory fees and legal fees.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Bluedot Industries, Inc. and Bluedot Industries Pty. Ltd including, but not limited to advisory fees and legal fees.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(z)</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 liabilities to which GroupBy is a party as one of the conditions for the closing of the GroupBy acquisition.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9" w:name="rzlv-ex15_2.htm"/>
      <w:bookmarkStart w:id="70" w:name="ksrzlvex15_2"/>
      <w:bookmarkEnd w:id="69"/>
      <w:bookmarkEnd w:id="70"/>
      <w:r>
        <w:rPr/>
        <w:t> </w:t>
      </w:r>
      <w:r>
        <w:br w:type="page"/>
      </w:r>
    </w:p>
    <w:p>
      <w:pPr>
        <w:pStyle w:val="TextBody"/>
        <w:bidi w:val="0"/>
        <w:ind w:left="460" w:right="0" w:hanging="0"/>
        <w:jc w:val="right"/>
        <w:rPr>
          <w:rFonts w:ascii="Aptos;sans-serif" w:hAnsi="Aptos;sans-serif"/>
          <w:b/>
          <w:color w:val="000000"/>
          <w:sz w:val="24"/>
        </w:rPr>
      </w:pPr>
      <w:r>
        <w:rPr>
          <w:rFonts w:ascii="Aptos;sans-serif" w:hAnsi="Aptos;sans-serif"/>
          <w:b/>
          <w:color w:val="000000"/>
          <w:sz w:val="24"/>
        </w:rPr>
        <w:t>Exhibit 15.2</w:t>
      </w:r>
    </w:p>
    <w:p>
      <w:pPr>
        <w:pStyle w:val="TextBody"/>
        <w:bidi w:val="0"/>
        <w:ind w:left="460" w:right="0" w:hanging="0"/>
        <w:jc w:val="both"/>
        <w:rPr/>
      </w:pPr>
      <w:r>
        <w:rPr/>
        <w:t> </w:t>
      </w:r>
    </w:p>
    <w:p>
      <w:pPr>
        <w:pStyle w:val="TextBody"/>
        <w:bidi w:val="0"/>
        <w:ind w:left="460" w:right="0" w:hanging="0"/>
        <w:jc w:val="center"/>
        <w:rPr>
          <w:rFonts w:ascii="Times New Roman" w:hAnsi="Times New Roman"/>
          <w:sz w:val="20"/>
        </w:rPr>
      </w:pPr>
      <w:r>
        <w:rPr>
          <w:rFonts w:ascii="Times New Roman" w:hAnsi="Times New Roman"/>
          <w:b/>
          <w:color w:val="000000"/>
          <w:sz w:val="21"/>
        </w:rPr>
        <w:t>CONSENT OF INDEPENDENT REGISTERED PUBLIC ACCOUNTING FIRM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We consent to the inclusion in the Annual Report on Form 20-F (the “Form 20-F”) and the incorporation by reference in Registration Statement No. 333-284174 on Form S-8, of our auditor’s report dated April 14, 2025 with respect to the combined consolidated financial statements of GroupBy Group of Companies as at December 31, 2024 and 2023 and for each of the years ended December 31, 2024 and December 31, 2023 as filed with the United States Securities and Exchange Commission.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/s/ MNP LLP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Chartered Professional Accountants Licensed Public Accountants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1"/>
        </w:rPr>
        <w:t>April 23, 2025</w:t>
      </w:r>
      <w:r>
        <w:rPr>
          <w:rFonts w:ascii="Times New Roman" w:hAnsi="Times New Roman"/>
          <w:color w:val="000000"/>
          <w:sz w:val="20"/>
        </w:rPr>
        <w:t xml:space="preserve"> </w:t>
      </w:r>
    </w:p>
    <w:p>
      <w:pPr>
        <w:pStyle w:val="TextBody"/>
        <w:bidi w:val="0"/>
        <w:jc w:val="both"/>
        <w:rPr>
          <w:rFonts w:ascii="Times New Roman" w:hAnsi="Times New Roman"/>
          <w:color w:val="000000"/>
          <w:sz w:val="21"/>
        </w:rPr>
      </w:pPr>
      <w:r>
        <w:rPr>
          <w:rFonts w:ascii="Times New Roman" w:hAnsi="Times New Roman"/>
          <w:color w:val="000000"/>
          <w:sz w:val="21"/>
        </w:rPr>
        <w:t>Toronto, Canada</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ind w:left="460" w:right="0" w:hanging="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71" w:name="rzlv-ex15_3.htm"/>
      <w:bookmarkStart w:id="72" w:name="ksrzlvex15_3"/>
      <w:bookmarkEnd w:id="71"/>
      <w:bookmarkEnd w:id="72"/>
      <w:r>
        <w:rPr>
          <w:rFonts w:ascii="Arial" w:hAnsi="Arial"/>
          <w:b/>
          <w:color w:val="000000"/>
          <w:sz w:val="22"/>
        </w:rPr>
        <w:t>Exhibit 15.3</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9" w:after="283"/>
        <w:jc w:val="left"/>
        <w:rPr/>
      </w:pPr>
      <w:r>
        <w:rPr/>
        <w:t> </w:t>
      </w:r>
    </w:p>
    <w:p>
      <w:pPr>
        <w:pStyle w:val="TextBody"/>
        <w:bidi w:val="0"/>
        <w:ind w:left="1102" w:right="0" w:hanging="0"/>
        <w:jc w:val="left"/>
        <w:rPr>
          <w:rFonts w:ascii="Arial" w:hAnsi="Arial"/>
          <w:color w:val="000000"/>
          <w:sz w:val="22"/>
          <w:u w:val="single"/>
        </w:rPr>
      </w:pPr>
      <w:r>
        <w:rPr>
          <w:rFonts w:ascii="Arial" w:hAnsi="Arial"/>
          <w:color w:val="000000"/>
          <w:sz w:val="22"/>
          <w:u w:val="single"/>
        </w:rPr>
        <w:t>INDEPENDENT REGISTERED PUBLIC ACCOUNTING FIRM’S CONSENT</w:t>
      </w:r>
    </w:p>
    <w:p>
      <w:pPr>
        <w:pStyle w:val="TextBody"/>
        <w:bidi w:val="0"/>
        <w:spacing w:before="106" w:after="283"/>
        <w:jc w:val="left"/>
        <w:rPr/>
      </w:pPr>
      <w:r>
        <w:rPr/>
        <w:t> </w:t>
      </w:r>
    </w:p>
    <w:p>
      <w:pPr>
        <w:pStyle w:val="TextBody"/>
        <w:bidi w:val="0"/>
        <w:jc w:val="left"/>
        <w:rPr>
          <w:rFonts w:ascii="Times New Roman" w:hAnsi="Times New Roman"/>
          <w:sz w:val="20"/>
        </w:rPr>
      </w:pPr>
      <w:r>
        <w:rPr>
          <w:rFonts w:ascii="Arial" w:hAnsi="Arial"/>
          <w:color w:val="000000"/>
          <w:sz w:val="22"/>
        </w:rPr>
        <w:t>We consent to the incorporation by reference in Registration Statement No. 333-284174 on Form S-8 of our report dated April 23, 2025, relating to the audited consolidated financial statements of Rezolve AI plc appearing in this Annual Report on Form 20-F for the year ended December 31, 2024 and December 31,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 Grassi &amp; Co., CPAs, P.C.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Grassi &amp; Co., CPAs, P.C.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Jericho, New York</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April 23, 2025</w:t>
      </w:r>
    </w:p>
    <w:p>
      <w:pPr>
        <w:pStyle w:val="HorizontalLine"/>
        <w:pBdr>
          <w:bottom w:val="double" w:sz="2" w:space="0" w:color="808080"/>
        </w:pBdr>
        <w:bidi w:val="0"/>
        <w:spacing w:before="0" w:after="283"/>
        <w:jc w:val="left"/>
        <w:rPr/>
      </w:pPr>
      <w:r>
        <w:rPr/>
      </w:r>
    </w:p>
    <w:p>
      <w:pPr>
        <w:pStyle w:val="TextBody"/>
        <w:bidi w:val="0"/>
        <w:ind w:left="480" w:right="480" w:hanging="0"/>
        <w:jc w:val="right"/>
        <w:rPr/>
      </w:pPr>
      <w:bookmarkStart w:id="73" w:name="rzlv-ex97_1.htm"/>
      <w:bookmarkStart w:id="74" w:name="ksrzlvex97_1"/>
      <w:bookmarkEnd w:id="73"/>
      <w:bookmarkEnd w:id="74"/>
      <w:r>
        <w:rPr/>
        <w:t> </w:t>
      </w:r>
      <w:r>
        <w:br w:type="page"/>
      </w:r>
    </w:p>
    <w:p>
      <w:pPr>
        <w:pStyle w:val="TextBody"/>
        <w:bidi w:val="0"/>
        <w:ind w:left="480" w:right="480" w:hanging="0"/>
        <w:jc w:val="center"/>
        <w:rPr/>
      </w:pPr>
      <w:r>
        <w:rPr/>
        <w:t> </w:t>
      </w:r>
    </w:p>
    <w:p>
      <w:pPr>
        <w:pStyle w:val="TextBody"/>
        <w:bidi w:val="0"/>
        <w:ind w:left="480" w:right="480" w:hanging="0"/>
        <w:jc w:val="right"/>
        <w:rPr>
          <w:rFonts w:ascii="Times New Roman" w:hAnsi="Times New Roman"/>
          <w:b/>
          <w:caps/>
          <w:color w:val="000000"/>
          <w:sz w:val="22"/>
        </w:rPr>
      </w:pPr>
      <w:r>
        <w:rPr>
          <w:rFonts w:ascii="Times New Roman" w:hAnsi="Times New Roman"/>
          <w:b/>
          <w:caps/>
          <w:color w:val="000000"/>
          <w:sz w:val="22"/>
        </w:rPr>
        <w:t>Exhibit 97.1</w:t>
      </w:r>
    </w:p>
    <w:p>
      <w:pPr>
        <w:pStyle w:val="TextBody"/>
        <w:bidi w:val="0"/>
        <w:ind w:left="480" w:right="480" w:hanging="0"/>
        <w:jc w:val="center"/>
        <w:rPr>
          <w:rFonts w:ascii="Times New Roman" w:hAnsi="Times New Roman"/>
          <w:b/>
          <w:caps/>
          <w:color w:val="000000"/>
          <w:sz w:val="22"/>
        </w:rPr>
      </w:pPr>
      <w:r>
        <w:rPr>
          <w:rFonts w:ascii="Times New Roman" w:hAnsi="Times New Roman"/>
          <w:b/>
          <w:caps/>
          <w:color w:val="000000"/>
          <w:sz w:val="22"/>
        </w:rPr>
        <w:t>Rezolve AI plc</w:t>
      </w:r>
    </w:p>
    <w:p>
      <w:pPr>
        <w:pStyle w:val="TextBody"/>
        <w:bidi w:val="0"/>
        <w:ind w:left="480" w:right="480" w:hanging="0"/>
        <w:jc w:val="center"/>
        <w:rPr>
          <w:rFonts w:ascii="Times New Roman" w:hAnsi="Times New Roman"/>
          <w:b/>
          <w:caps/>
          <w:color w:val="000000"/>
          <w:sz w:val="22"/>
        </w:rPr>
      </w:pPr>
      <w:r>
        <w:rPr>
          <w:rFonts w:ascii="Times New Roman" w:hAnsi="Times New Roman"/>
          <w:b/>
          <w:caps/>
          <w:color w:val="000000"/>
          <w:sz w:val="22"/>
        </w:rPr>
        <w:t>Policy for RECOVERY OF ERRONEOUSLY AWARDED Incentive Compensation</w:t>
      </w:r>
    </w:p>
    <w:p>
      <w:pPr>
        <w:pStyle w:val="TextBody"/>
        <w:bidi w:val="0"/>
        <w:ind w:left="480" w:right="480" w:hanging="0"/>
        <w:jc w:val="center"/>
        <w:rPr/>
      </w:pPr>
      <w:r>
        <w:rPr/>
        <w:t> </w:t>
      </w:r>
    </w:p>
    <w:p>
      <w:pPr>
        <w:pStyle w:val="TextBody"/>
        <w:bidi w:val="0"/>
        <w:spacing w:before="0" w:after="240"/>
        <w:ind w:left="480" w:right="480" w:hanging="0"/>
        <w:jc w:val="left"/>
        <w:rPr>
          <w:rFonts w:ascii="Times New Roman" w:hAnsi="Times New Roman"/>
          <w:b/>
          <w:color w:val="000000"/>
          <w:sz w:val="22"/>
        </w:rPr>
      </w:pPr>
      <w:r>
        <w:rPr>
          <w:rFonts w:ascii="Times New Roman" w:hAnsi="Times New Roman"/>
          <w:b/>
          <w:color w:val="000000"/>
          <w:sz w:val="22"/>
        </w:rPr>
        <w:t>1. INTRODUCTION</w:t>
      </w:r>
    </w:p>
    <w:p>
      <w:pPr>
        <w:pStyle w:val="TextBody"/>
        <w:bidi w:val="0"/>
        <w:spacing w:before="0" w:after="240"/>
        <w:ind w:left="480" w:right="480" w:firstLine="720"/>
        <w:jc w:val="both"/>
        <w:rPr>
          <w:rFonts w:ascii="Times New Roman" w:hAnsi="Times New Roman"/>
          <w:sz w:val="20"/>
        </w:rPr>
      </w:pPr>
      <w:r>
        <w:rPr>
          <w:rFonts w:ascii="Times New Roman" w:hAnsi="Times New Roman"/>
          <w:color w:val="000000"/>
          <w:sz w:val="22"/>
        </w:rPr>
        <w:t>Rezolve AI plc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is adopting this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to provide for the Company’s recovery of certain Incentive Compensation (as defined below) erroneously awarded to Affected Officers (as defined below) under certain circumstances.</w:t>
      </w:r>
      <w:r>
        <w:rPr>
          <w:rFonts w:ascii="Times New Roman" w:hAnsi="Times New Roman"/>
          <w:color w:val="000000"/>
          <w:sz w:val="20"/>
        </w:rPr>
        <w:t xml:space="preserve"> </w:t>
      </w:r>
    </w:p>
    <w:p>
      <w:pPr>
        <w:pStyle w:val="TextBody"/>
        <w:bidi w:val="0"/>
        <w:spacing w:before="0" w:after="240"/>
        <w:ind w:left="480" w:right="480" w:firstLine="720"/>
        <w:jc w:val="both"/>
        <w:rPr>
          <w:rFonts w:ascii="Times New Roman" w:hAnsi="Times New Roman"/>
          <w:sz w:val="20"/>
        </w:rPr>
      </w:pPr>
      <w:r>
        <w:rPr>
          <w:rFonts w:ascii="Times New Roman" w:hAnsi="Times New Roman"/>
          <w:color w:val="000000"/>
          <w:sz w:val="22"/>
        </w:rPr>
        <w:t>This Policy is administered by the Compensation Committee (the “</w:t>
      </w:r>
      <w:r>
        <w:rPr>
          <w:rFonts w:ascii="Times New Roman" w:hAnsi="Times New Roman"/>
          <w:b/>
          <w:i/>
          <w:color w:val="000000"/>
          <w:sz w:val="22"/>
        </w:rPr>
        <w:t>Committee</w:t>
      </w:r>
      <w:r>
        <w:rPr>
          <w:rFonts w:ascii="Times New Roman" w:hAnsi="Times New Roman"/>
          <w:color w:val="000000"/>
          <w:sz w:val="20"/>
        </w:rPr>
        <w:t>”</w:t>
      </w:r>
      <w:r>
        <w:rPr>
          <w:rFonts w:ascii="Times New Roman" w:hAnsi="Times New Roman"/>
          <w:color w:val="000000"/>
          <w:sz w:val="22"/>
        </w:rPr>
        <w:t>) of the Company’s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r>
        <w:rPr>
          <w:rFonts w:ascii="Times New Roman" w:hAnsi="Times New Roman"/>
          <w:color w:val="000000"/>
          <w:sz w:val="20"/>
        </w:rPr>
        <w:t xml:space="preserve"> </w:t>
      </w:r>
    </w:p>
    <w:p>
      <w:pPr>
        <w:pStyle w:val="TextBody"/>
        <w:bidi w:val="0"/>
        <w:spacing w:before="0" w:after="240"/>
        <w:ind w:left="480" w:right="480" w:firstLine="720"/>
        <w:jc w:val="both"/>
        <w:rPr>
          <w:rFonts w:ascii="Times New Roman" w:hAnsi="Times New Roman"/>
          <w:sz w:val="20"/>
        </w:rPr>
      </w:pPr>
      <w:r>
        <w:rPr>
          <w:rFonts w:ascii="Times New Roman" w:hAnsi="Times New Roman"/>
          <w:color w:val="000000"/>
          <w:sz w:val="22"/>
        </w:rPr>
        <w:t>This Policy is intended to comply with Section 10D of the Securities and Exchange Act of 1934, as amended (the “</w:t>
      </w:r>
      <w:r>
        <w:rPr>
          <w:rFonts w:ascii="Times New Roman" w:hAnsi="Times New Roman"/>
          <w:b/>
          <w:i/>
          <w:color w:val="000000"/>
          <w:sz w:val="22"/>
        </w:rPr>
        <w:t>Exchange Act</w:t>
      </w:r>
      <w:r>
        <w:rPr>
          <w:rFonts w:ascii="Times New Roman" w:hAnsi="Times New Roman"/>
          <w:color w:val="000000"/>
          <w:sz w:val="20"/>
        </w:rPr>
        <w:t>”</w:t>
      </w:r>
      <w:r>
        <w:rPr>
          <w:rFonts w:ascii="Times New Roman" w:hAnsi="Times New Roman"/>
          <w:color w:val="000000"/>
          <w:sz w:val="22"/>
        </w:rPr>
        <w:t>), Rule 10D-1 thereunder and the applicable rules of any national securities exchange on which the Company’s securities are listed (the “</w:t>
      </w:r>
      <w:r>
        <w:rPr>
          <w:rFonts w:ascii="Times New Roman" w:hAnsi="Times New Roman"/>
          <w:b/>
          <w:i/>
          <w:color w:val="000000"/>
          <w:sz w:val="22"/>
        </w:rPr>
        <w:t>Exchange</w:t>
      </w:r>
      <w:r>
        <w:rPr>
          <w:rFonts w:ascii="Times New Roman" w:hAnsi="Times New Roman"/>
          <w:color w:val="000000"/>
          <w:sz w:val="20"/>
        </w:rPr>
        <w:t>”</w:t>
      </w:r>
      <w:r>
        <w:rPr>
          <w:rFonts w:ascii="Times New Roman" w:hAnsi="Times New Roman"/>
          <w:color w:val="000000"/>
          <w:sz w:val="22"/>
        </w:rPr>
        <w:t>) and will be interpreted and administered consistent with that intent.</w:t>
      </w:r>
      <w:r>
        <w:rPr>
          <w:rFonts w:ascii="Times New Roman" w:hAnsi="Times New Roman"/>
          <w:color w:val="000000"/>
          <w:sz w:val="20"/>
        </w:rPr>
        <w:t xml:space="preserve"> </w:t>
      </w:r>
    </w:p>
    <w:p>
      <w:pPr>
        <w:pStyle w:val="TextBody"/>
        <w:bidi w:val="0"/>
        <w:spacing w:before="0" w:after="240"/>
        <w:ind w:left="480" w:right="480" w:hanging="0"/>
        <w:jc w:val="left"/>
        <w:rPr>
          <w:rFonts w:ascii="Times New Roman" w:hAnsi="Times New Roman"/>
          <w:b/>
          <w:color w:val="000000"/>
          <w:sz w:val="22"/>
        </w:rPr>
      </w:pPr>
      <w:r>
        <w:rPr>
          <w:rFonts w:ascii="Times New Roman" w:hAnsi="Times New Roman"/>
          <w:b/>
          <w:color w:val="000000"/>
          <w:sz w:val="22"/>
        </w:rPr>
        <w:t>2. EFFECTIVE DATE</w:t>
      </w:r>
    </w:p>
    <w:p>
      <w:pPr>
        <w:pStyle w:val="TextBody"/>
        <w:bidi w:val="0"/>
        <w:spacing w:before="0" w:after="240"/>
        <w:ind w:left="480" w:right="480" w:firstLine="720"/>
        <w:jc w:val="both"/>
        <w:rPr>
          <w:rFonts w:ascii="Times New Roman" w:hAnsi="Times New Roman"/>
          <w:sz w:val="20"/>
        </w:rPr>
      </w:pPr>
      <w:r>
        <w:rPr>
          <w:rFonts w:ascii="Times New Roman" w:hAnsi="Times New Roman"/>
          <w:color w:val="000000"/>
          <w:sz w:val="22"/>
        </w:rPr>
        <w:t>This Policy shall apply to all Incentive Compensation paid or awarded on or after the date of adoption of this Policy, and to the extent permitted or required by applicable law.</w:t>
      </w:r>
      <w:r>
        <w:rPr>
          <w:rFonts w:ascii="Times New Roman" w:hAnsi="Times New Roman"/>
          <w:color w:val="000000"/>
          <w:sz w:val="20"/>
        </w:rPr>
        <w:t xml:space="preserve"> </w:t>
      </w:r>
    </w:p>
    <w:p>
      <w:pPr>
        <w:pStyle w:val="TextBody"/>
        <w:bidi w:val="0"/>
        <w:spacing w:before="0" w:after="240"/>
        <w:ind w:left="480" w:right="480" w:hanging="0"/>
        <w:jc w:val="left"/>
        <w:rPr>
          <w:rFonts w:ascii="Times New Roman" w:hAnsi="Times New Roman"/>
          <w:b/>
          <w:color w:val="000000"/>
          <w:sz w:val="22"/>
        </w:rPr>
      </w:pPr>
      <w:r>
        <w:rPr>
          <w:rFonts w:ascii="Times New Roman" w:hAnsi="Times New Roman"/>
          <w:b/>
          <w:color w:val="000000"/>
          <w:sz w:val="22"/>
        </w:rPr>
        <w:t>3. DEFINITIONS</w:t>
      </w:r>
    </w:p>
    <w:p>
      <w:pPr>
        <w:pStyle w:val="TextBody"/>
        <w:bidi w:val="0"/>
        <w:spacing w:before="0" w:after="240"/>
        <w:ind w:left="480" w:right="480" w:firstLine="720"/>
        <w:jc w:val="both"/>
        <w:rPr>
          <w:rFonts w:ascii="Times New Roman" w:hAnsi="Times New Roman"/>
          <w:sz w:val="20"/>
        </w:rPr>
      </w:pPr>
      <w:r>
        <w:rPr>
          <w:rFonts w:ascii="Times New Roman" w:hAnsi="Times New Roman"/>
          <w:color w:val="000000"/>
          <w:sz w:val="22"/>
        </w:rPr>
        <w:t>For purposes of this Policy, the following terms shall have the meanings set forth below:</w:t>
      </w:r>
      <w:r>
        <w:rPr>
          <w:rFonts w:ascii="Times New Roman" w:hAnsi="Times New Roman"/>
          <w:color w:val="000000"/>
          <w:sz w:val="20"/>
        </w:rPr>
        <w:t xml:space="preserve"> </w:t>
      </w:r>
    </w:p>
    <w:p>
      <w:pPr>
        <w:pStyle w:val="TextBody"/>
        <w:bidi w:val="0"/>
        <w:spacing w:before="0" w:after="240"/>
        <w:ind w:left="480" w:right="480" w:firstLine="720"/>
        <w:jc w:val="both"/>
        <w:rPr/>
      </w:pPr>
      <w:r>
        <w:rPr>
          <w:color w:val="000000"/>
        </w:rPr>
        <w:t>“</w:t>
      </w:r>
      <w:r>
        <w:rPr>
          <w:rFonts w:ascii="Times New Roman" w:hAnsi="Times New Roman"/>
          <w:b/>
          <w:i/>
          <w:color w:val="000000"/>
          <w:sz w:val="22"/>
        </w:rPr>
        <w:t>Affected Officer</w:t>
      </w:r>
      <w:r>
        <w:rPr>
          <w:rFonts w:ascii="Times New Roman" w:hAnsi="Times New Roman"/>
          <w:color w:val="000000"/>
          <w:sz w:val="20"/>
        </w:rPr>
        <w:t xml:space="preserve">” </w:t>
      </w:r>
      <w:r>
        <w:rPr>
          <w:rFonts w:ascii="Times New Roman" w:hAnsi="Times New Roman"/>
          <w:color w:val="000000"/>
          <w:sz w:val="22"/>
        </w:rPr>
        <w:t>means any current or former “officer” as defined in Exchange Act Rule 16a-1, and any other senior executives as determined by the Committee.</w:t>
      </w:r>
    </w:p>
    <w:p>
      <w:pPr>
        <w:pStyle w:val="TextBody"/>
        <w:bidi w:val="0"/>
        <w:spacing w:before="0" w:after="240"/>
        <w:ind w:left="480" w:right="480" w:firstLine="720"/>
        <w:jc w:val="both"/>
        <w:rPr/>
      </w:pPr>
      <w:r>
        <w:rPr>
          <w:color w:val="000000"/>
        </w:rPr>
        <w:t>“</w:t>
      </w:r>
      <w:r>
        <w:rPr>
          <w:rFonts w:ascii="Times New Roman" w:hAnsi="Times New Roman"/>
          <w:b/>
          <w:i/>
          <w:color w:val="000000"/>
          <w:sz w:val="22"/>
        </w:rPr>
        <w:t>Erroneously Awarded Compensation</w:t>
      </w:r>
      <w:r>
        <w:rPr>
          <w:rFonts w:ascii="Times New Roman" w:hAnsi="Times New Roman"/>
          <w:color w:val="000000"/>
          <w:sz w:val="20"/>
        </w:rPr>
        <w:t xml:space="preserve">” </w:t>
      </w:r>
      <w:r>
        <w:rPr>
          <w:rFonts w:ascii="Times New Roman" w:hAnsi="Times New Roman"/>
          <w:color w:val="000000"/>
          <w:sz w:val="22"/>
        </w:rPr>
        <w:t>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r>
    </w:p>
    <w:p>
      <w:pPr>
        <w:pStyle w:val="TextBody"/>
        <w:bidi w:val="0"/>
        <w:spacing w:before="0" w:after="240"/>
        <w:ind w:left="480" w:right="480" w:firstLine="720"/>
        <w:jc w:val="both"/>
        <w:rPr/>
      </w:pPr>
      <w:r>
        <w:rPr>
          <w:color w:val="000000"/>
        </w:rPr>
        <w:t>“</w:t>
      </w:r>
      <w:r>
        <w:rPr>
          <w:rFonts w:ascii="Times New Roman" w:hAnsi="Times New Roman"/>
          <w:b/>
          <w:i/>
          <w:color w:val="000000"/>
          <w:sz w:val="22"/>
        </w:rPr>
        <w:t>Financial Reporting Measure</w:t>
      </w:r>
      <w:r>
        <w:rPr>
          <w:rFonts w:ascii="Times New Roman" w:hAnsi="Times New Roman"/>
          <w:color w:val="000000"/>
          <w:sz w:val="20"/>
        </w:rPr>
        <w:t xml:space="preserve">” </w:t>
      </w:r>
      <w:r>
        <w:rPr>
          <w:rFonts w:ascii="Times New Roman" w:hAnsi="Times New Roman"/>
          <w:color w:val="000000"/>
          <w:sz w:val="22"/>
        </w:rPr>
        <w:t>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Financial Reporting Measures.</w:t>
      </w:r>
      <w:r>
        <w:rPr>
          <w:rFonts w:ascii="Times New Roman" w:hAnsi="Times New Roman"/>
          <w:color w:val="000000"/>
          <w:sz w:val="20"/>
        </w:rPr>
        <w:t xml:space="preserve"> </w:t>
      </w:r>
    </w:p>
    <w:p>
      <w:pPr>
        <w:pStyle w:val="TextBody"/>
        <w:bidi w:val="0"/>
        <w:ind w:left="480" w:right="480" w:hanging="0"/>
        <w:jc w:val="left"/>
        <w:rPr/>
      </w:pPr>
      <w:r>
        <w:rPr/>
        <w:t> </w:t>
      </w:r>
    </w:p>
    <w:p>
      <w:pPr>
        <w:pStyle w:val="HorizontalLine"/>
        <w:pBdr>
          <w:bottom w:val="double" w:sz="2" w:space="0" w:color="808080"/>
        </w:pBdr>
        <w:bidi w:val="0"/>
        <w:spacing w:before="0" w:after="283"/>
        <w:jc w:val="left"/>
        <w:rPr/>
      </w:pPr>
      <w:r>
        <w:rPr/>
      </w:r>
    </w:p>
    <w:p>
      <w:pPr>
        <w:pStyle w:val="TextBody"/>
        <w:bidi w:val="0"/>
        <w:ind w:left="480" w:right="480" w:hanging="0"/>
        <w:jc w:val="left"/>
        <w:rPr/>
      </w:pPr>
      <w:r>
        <w:rPr/>
        <w:t> </w:t>
      </w:r>
    </w:p>
    <w:p>
      <w:pPr>
        <w:pStyle w:val="TextBody"/>
        <w:bidi w:val="0"/>
        <w:spacing w:before="0" w:after="240"/>
        <w:ind w:left="480" w:right="480" w:firstLine="7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pStyle w:val="TextBody"/>
        <w:bidi w:val="0"/>
        <w:spacing w:before="0" w:after="240"/>
        <w:ind w:left="480" w:right="480" w:firstLine="720"/>
        <w:jc w:val="both"/>
        <w:rPr/>
      </w:pPr>
      <w:r>
        <w:rPr>
          <w:color w:val="000000"/>
        </w:rPr>
        <w:t>“</w:t>
      </w:r>
      <w:r>
        <w:rPr>
          <w:rFonts w:ascii="Times New Roman" w:hAnsi="Times New Roman"/>
          <w:b/>
          <w:i/>
          <w:color w:val="000000"/>
          <w:sz w:val="22"/>
        </w:rPr>
        <w:t>Restatement</w:t>
      </w:r>
      <w:r>
        <w:rPr>
          <w:rFonts w:ascii="Times New Roman" w:hAnsi="Times New Roman"/>
          <w:color w:val="000000"/>
          <w:sz w:val="20"/>
        </w:rPr>
        <w:t xml:space="preserve">” </w:t>
      </w:r>
      <w:r>
        <w:rPr>
          <w:rFonts w:ascii="Times New Roman" w:hAnsi="Times New Roman"/>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pStyle w:val="TextBody"/>
        <w:bidi w:val="0"/>
        <w:spacing w:before="0" w:after="240"/>
        <w:ind w:left="480" w:right="480" w:hanging="0"/>
        <w:jc w:val="left"/>
        <w:rPr>
          <w:rFonts w:ascii="Times New Roman" w:hAnsi="Times New Roman"/>
          <w:sz w:val="20"/>
        </w:rPr>
      </w:pPr>
      <w:r>
        <w:rPr>
          <w:rFonts w:ascii="Times New Roman" w:hAnsi="Times New Roman"/>
          <w:b/>
          <w:color w:val="000000"/>
          <w:sz w:val="22"/>
        </w:rPr>
        <w:t>4</w:t>
      </w:r>
      <w:r>
        <w:rPr>
          <w:rFonts w:ascii="Times New Roman" w:hAnsi="Times New Roman"/>
          <w:color w:val="000000"/>
          <w:sz w:val="22"/>
        </w:rPr>
        <w:t xml:space="preserve">. </w:t>
      </w:r>
      <w:r>
        <w:rPr>
          <w:rFonts w:ascii="Times New Roman" w:hAnsi="Times New Roman"/>
          <w:b/>
          <w:color w:val="000000"/>
          <w:sz w:val="22"/>
        </w:rPr>
        <w:t>RECOVERY</w:t>
      </w:r>
      <w:r>
        <w:rPr>
          <w:rFonts w:ascii="Times New Roman" w:hAnsi="Times New Roman"/>
          <w:color w:val="000000"/>
          <w:sz w:val="20"/>
        </w:rPr>
        <w:t xml:space="preserve"> </w:t>
      </w:r>
    </w:p>
    <w:p>
      <w:pPr>
        <w:pStyle w:val="TextBody"/>
        <w:bidi w:val="0"/>
        <w:spacing w:before="0" w:after="240"/>
        <w:ind w:left="480" w:right="480" w:firstLine="720"/>
        <w:jc w:val="both"/>
        <w:rPr>
          <w:rFonts w:ascii="Times New Roman" w:hAnsi="Times New Roman"/>
          <w:sz w:val="20"/>
        </w:rPr>
      </w:pPr>
      <w:r>
        <w:rPr>
          <w:rFonts w:ascii="Times New Roman" w:hAnsi="Times New Roman"/>
          <w:color w:val="000000"/>
          <w:sz w:val="22"/>
        </w:rPr>
        <w:t>If the Company is required to prepare a Restatement, the Company shall seek to recover and claw back from any Affected Officer reasonably promptly the Erroneously Awarded Compensation that is received by the Affected Officer:</w:t>
      </w:r>
      <w:r>
        <w:rPr>
          <w:rFonts w:ascii="Times New Roman" w:hAnsi="Times New Roman"/>
          <w:color w:val="000000"/>
          <w:sz w:val="20"/>
        </w:rPr>
        <w:t xml:space="preserve"> </w:t>
      </w:r>
    </w:p>
    <w:p>
      <w:pPr>
        <w:pStyle w:val="TextBody"/>
        <w:bidi w:val="0"/>
        <w:spacing w:before="0" w:after="240"/>
        <w:ind w:left="1200" w:right="480" w:hanging="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after the person begins service as an Affected Officer;</w:t>
      </w:r>
    </w:p>
    <w:p>
      <w:pPr>
        <w:pStyle w:val="TextBody"/>
        <w:bidi w:val="0"/>
        <w:spacing w:before="0" w:after="240"/>
        <w:ind w:left="1200" w:right="480" w:hanging="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who serves as an Affected Officer at any time during the performance period for that Incentive Compensation; </w:t>
      </w:r>
    </w:p>
    <w:p>
      <w:pPr>
        <w:pStyle w:val="TextBody"/>
        <w:bidi w:val="0"/>
        <w:spacing w:before="0" w:after="240"/>
        <w:ind w:left="1200" w:right="480" w:hanging="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while the Company has a class of securities listed on the Exchange; and</w:t>
      </w:r>
    </w:p>
    <w:p>
      <w:pPr>
        <w:pStyle w:val="TextBody"/>
        <w:bidi w:val="0"/>
        <w:spacing w:before="0" w:after="240"/>
        <w:ind w:left="1200" w:right="480" w:hanging="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 </w:t>
      </w:r>
    </w:p>
    <w:p>
      <w:pPr>
        <w:pStyle w:val="TextBody"/>
        <w:bidi w:val="0"/>
        <w:spacing w:before="0" w:after="240"/>
        <w:ind w:left="480" w:right="480" w:firstLine="720"/>
        <w:jc w:val="both"/>
        <w:rPr>
          <w:rFonts w:ascii="Times New Roman" w:hAnsi="Times New Roman"/>
          <w:color w:val="000000"/>
          <w:sz w:val="22"/>
        </w:rPr>
      </w:pPr>
      <w:r>
        <w:rPr>
          <w:rFonts w:ascii="Times New Roman" w:hAnsi="Times New Roman"/>
          <w:color w:val="000000"/>
          <w:sz w:val="22"/>
        </w:rPr>
        <w:t>If, after the release of earnings for any period for which a Restatement subsequently occurs and prior to the announcement of the Restatement for such period, the Affected Officer sold any securities constituting, or any securities issuable on exercise, settlement or exchange of any equity award constituting, Incentive Compensation, the excess of (a) the actual aggregate sales proceeds from the Affected Officer’s sale of those shares, over (b) the aggregate sales proceeds the Affected Officer would have received from the sale of those shares at a price per share determined appropriate by the Committee in its discretion to reflect what the Company’s common stock price would have been if the Restatement had occurred prior to such sales, shall be deemed to be Erroneously Awarded Compensation; provided, however, that the aggregate sales proceeds determined by the Committee under this clause (b) with respect to shares acquired upon exercise of an option shall not be less than the aggregate exercise price paid for those shares.</w:t>
      </w:r>
    </w:p>
    <w:p>
      <w:pPr>
        <w:pStyle w:val="TextBody"/>
        <w:bidi w:val="0"/>
        <w:spacing w:before="0" w:after="240"/>
        <w:ind w:left="480" w:right="480" w:firstLine="720"/>
        <w:jc w:val="both"/>
        <w:rPr>
          <w:rFonts w:ascii="Times New Roman" w:hAnsi="Times New Roman"/>
          <w:color w:val="000000"/>
          <w:sz w:val="22"/>
        </w:rPr>
      </w:pPr>
      <w:r>
        <w:rPr>
          <w:rFonts w:ascii="Times New Roman" w:hAnsi="Times New Roman"/>
          <w:color w:val="000000"/>
          <w:sz w:val="22"/>
        </w:rPr>
        <w:t>For purposes of this Policy:</w:t>
      </w:r>
    </w:p>
    <w:p>
      <w:pPr>
        <w:pStyle w:val="TextBody"/>
        <w:bidi w:val="0"/>
        <w:spacing w:before="0" w:after="240"/>
        <w:ind w:left="1200" w:right="480" w:hanging="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p>
      <w:pPr>
        <w:pStyle w:val="TextBody"/>
        <w:bidi w:val="0"/>
        <w:ind w:left="480" w:right="480" w:hanging="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ind w:left="480" w:right="480" w:hanging="0"/>
        <w:jc w:val="left"/>
        <w:rPr/>
      </w:pPr>
      <w:r>
        <w:rPr/>
        <w:t> </w:t>
      </w:r>
    </w:p>
    <w:p>
      <w:pPr>
        <w:pStyle w:val="TextBody"/>
        <w:bidi w:val="0"/>
        <w:spacing w:before="0" w:after="240"/>
        <w:ind w:left="1200" w:right="480" w:hanging="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 </w:t>
      </w:r>
    </w:p>
    <w:p>
      <w:pPr>
        <w:pStyle w:val="TextBody"/>
        <w:bidi w:val="0"/>
        <w:spacing w:before="0" w:after="240"/>
        <w:ind w:left="480" w:right="480" w:firstLine="720"/>
        <w:jc w:val="both"/>
        <w:rPr>
          <w:rFonts w:ascii="Times New Roman" w:hAnsi="Times New Roman"/>
          <w:color w:val="000000"/>
          <w:sz w:val="22"/>
        </w:rPr>
      </w:pPr>
      <w:r>
        <w:rPr>
          <w:rFonts w:ascii="Times New Roman" w:hAnsi="Times New Roman"/>
          <w:color w:val="000000"/>
          <w:sz w:val="22"/>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 statement is filed.</w:t>
      </w:r>
    </w:p>
    <w:p>
      <w:pPr>
        <w:pStyle w:val="TextBody"/>
        <w:bidi w:val="0"/>
        <w:spacing w:before="0" w:after="240"/>
        <w:ind w:left="480" w:right="480" w:hanging="0"/>
        <w:jc w:val="left"/>
        <w:rPr>
          <w:rFonts w:ascii="Times New Roman" w:hAnsi="Times New Roman"/>
          <w:sz w:val="20"/>
        </w:rPr>
      </w:pPr>
      <w:r>
        <w:rPr>
          <w:rFonts w:ascii="Times New Roman" w:hAnsi="Times New Roman"/>
          <w:b/>
          <w:color w:val="000000"/>
          <w:sz w:val="22"/>
        </w:rPr>
        <w:t>5.</w:t>
      </w:r>
      <w:r>
        <w:rPr>
          <w:rFonts w:ascii="Times New Roman" w:hAnsi="Times New Roman"/>
          <w:color w:val="000000"/>
          <w:sz w:val="20"/>
        </w:rPr>
        <w:t xml:space="preserve"> </w:t>
      </w:r>
      <w:r>
        <w:rPr>
          <w:rFonts w:ascii="Times New Roman" w:hAnsi="Times New Roman"/>
          <w:b/>
          <w:color w:val="000000"/>
          <w:sz w:val="22"/>
        </w:rPr>
        <w:t>SOURCES OF RECOUPMENT</w:t>
      </w:r>
    </w:p>
    <w:p>
      <w:pPr>
        <w:pStyle w:val="TextBody"/>
        <w:bidi w:val="0"/>
        <w:spacing w:before="0" w:after="240"/>
        <w:ind w:left="480" w:right="480" w:firstLine="720"/>
        <w:jc w:val="both"/>
        <w:rPr>
          <w:rFonts w:ascii="Times New Roman" w:hAnsi="Times New Roman"/>
          <w:sz w:val="20"/>
        </w:rPr>
      </w:pPr>
      <w:r>
        <w:rPr>
          <w:rFonts w:ascii="Times New Roman" w:hAnsi="Times New Roman"/>
          <w:color w:val="000000"/>
          <w:sz w:val="22"/>
        </w:rPr>
        <w:t>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r>
        <w:rPr>
          <w:rFonts w:ascii="Times New Roman" w:hAnsi="Times New Roman"/>
          <w:color w:val="000000"/>
          <w:sz w:val="20"/>
        </w:rPr>
        <w:t xml:space="preserve"> </w:t>
      </w:r>
    </w:p>
    <w:p>
      <w:pPr>
        <w:pStyle w:val="TextBody"/>
        <w:bidi w:val="0"/>
        <w:spacing w:before="0" w:after="240"/>
        <w:ind w:left="480" w:right="480" w:hanging="0"/>
        <w:jc w:val="left"/>
        <w:rPr>
          <w:rFonts w:ascii="Times New Roman" w:hAnsi="Times New Roman"/>
          <w:sz w:val="20"/>
        </w:rPr>
      </w:pPr>
      <w:r>
        <w:rPr>
          <w:rFonts w:ascii="Times New Roman" w:hAnsi="Times New Roman"/>
          <w:b/>
          <w:color w:val="000000"/>
          <w:sz w:val="22"/>
        </w:rPr>
        <w:t>6.</w:t>
      </w:r>
      <w:r>
        <w:rPr>
          <w:rFonts w:ascii="Times New Roman" w:hAnsi="Times New Roman"/>
          <w:color w:val="000000"/>
          <w:sz w:val="20"/>
        </w:rPr>
        <w:t xml:space="preserve"> </w:t>
      </w:r>
      <w:r>
        <w:rPr>
          <w:rFonts w:ascii="Times New Roman" w:hAnsi="Times New Roman"/>
          <w:b/>
          <w:color w:val="000000"/>
          <w:sz w:val="22"/>
        </w:rPr>
        <w:t>LIMITED</w:t>
      </w:r>
      <w:r>
        <w:rPr>
          <w:rFonts w:ascii="Times New Roman" w:hAnsi="Times New Roman"/>
          <w:color w:val="000000"/>
          <w:sz w:val="20"/>
        </w:rPr>
        <w:t xml:space="preserve"> </w:t>
      </w:r>
      <w:r>
        <w:rPr>
          <w:rFonts w:ascii="Times New Roman" w:hAnsi="Times New Roman"/>
          <w:b/>
          <w:color w:val="000000"/>
          <w:sz w:val="22"/>
        </w:rPr>
        <w:t>EXCEPTIONS TO RECOVERY</w:t>
      </w:r>
    </w:p>
    <w:p>
      <w:pPr>
        <w:pStyle w:val="TextBody"/>
        <w:bidi w:val="0"/>
        <w:spacing w:before="0" w:after="240"/>
        <w:ind w:left="480" w:right="480" w:firstLine="720"/>
        <w:jc w:val="both"/>
        <w:rPr>
          <w:rFonts w:ascii="Times New Roman" w:hAnsi="Times New Roman"/>
          <w:color w:val="000000"/>
          <w:sz w:val="22"/>
        </w:rPr>
      </w:pPr>
      <w:r>
        <w:rPr>
          <w:rFonts w:ascii="Times New Roman" w:hAnsi="Times New Roman"/>
          <w:color w:val="000000"/>
          <w:sz w:val="22"/>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pStyle w:val="TextBody"/>
        <w:pBdr/>
        <w:bidi w:val="0"/>
        <w:spacing w:before="0" w:after="240"/>
        <w:ind w:left="1200" w:right="480" w:hanging="720"/>
        <w:jc w:val="both"/>
        <w:rPr>
          <w:rFonts w:ascii="Times New Roman" w:hAnsi="Times New Roman"/>
          <w:sz w:val="20"/>
        </w:rPr>
      </w:pPr>
      <w:r>
        <w:rPr>
          <w:rFonts w:ascii="Times New Roman" w:hAnsi="Times New Roman"/>
          <w:color w:val="000000"/>
          <w:sz w:val="22"/>
        </w:rPr>
        <w:t>(i) 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r>
        <w:rPr>
          <w:rFonts w:ascii="Times New Roman" w:hAnsi="Times New Roman"/>
          <w:color w:val="000000"/>
          <w:sz w:val="20"/>
        </w:rPr>
        <w:t xml:space="preserve"> </w:t>
      </w:r>
    </w:p>
    <w:p>
      <w:pPr>
        <w:pStyle w:val="TextBody"/>
        <w:pBdr/>
        <w:bidi w:val="0"/>
        <w:spacing w:before="0" w:after="240"/>
        <w:ind w:left="1200" w:right="480" w:hanging="720"/>
        <w:jc w:val="both"/>
        <w:rPr>
          <w:rFonts w:ascii="Times New Roman" w:hAnsi="Times New Roman"/>
          <w:color w:val="000000"/>
          <w:sz w:val="22"/>
        </w:rPr>
      </w:pPr>
      <w:r>
        <w:rPr>
          <w:rFonts w:ascii="Times New Roman" w:hAnsi="Times New Roman"/>
          <w:color w:val="000000"/>
          <w:sz w:val="22"/>
        </w:rPr>
        <w:t>(ii) Recovery would violate home country law where the law was adopted prior to November 28, 2022, and the Company provides an opinion of home country counsel to that effect to the Exchange that is acceptable to the Exchange; or</w:t>
      </w:r>
    </w:p>
    <w:p>
      <w:pPr>
        <w:pStyle w:val="TextBody"/>
        <w:pBdr/>
        <w:bidi w:val="0"/>
        <w:spacing w:before="0" w:after="240"/>
        <w:ind w:left="1200" w:right="480" w:hanging="720"/>
        <w:jc w:val="both"/>
        <w:rPr>
          <w:rFonts w:ascii="Times New Roman" w:hAnsi="Times New Roman"/>
          <w:color w:val="000000"/>
          <w:sz w:val="22"/>
        </w:rPr>
      </w:pPr>
      <w:r>
        <w:rPr>
          <w:rFonts w:ascii="Times New Roman" w:hAnsi="Times New Roman"/>
          <w:color w:val="000000"/>
          <w:sz w:val="22"/>
        </w:rPr>
        <w:t>(iii) Recovery would likely cause an otherwise tax-qualified retirement plan to fail to meet the requirements of the Internal Revenue Code of 1986, as amended.</w:t>
      </w:r>
    </w:p>
    <w:p>
      <w:pPr>
        <w:pStyle w:val="TextBody"/>
        <w:bidi w:val="0"/>
        <w:spacing w:before="0" w:after="240"/>
        <w:ind w:left="480" w:right="480" w:hanging="0"/>
        <w:jc w:val="left"/>
        <w:rPr>
          <w:rFonts w:ascii="Times New Roman" w:hAnsi="Times New Roman"/>
          <w:b/>
          <w:color w:val="000000"/>
          <w:sz w:val="22"/>
        </w:rPr>
      </w:pPr>
      <w:r>
        <w:rPr>
          <w:rFonts w:ascii="Times New Roman" w:hAnsi="Times New Roman"/>
          <w:b/>
          <w:color w:val="000000"/>
          <w:sz w:val="22"/>
        </w:rPr>
        <w:t>7. NO INDEMNIFICATION OR INSURANCE</w:t>
      </w:r>
    </w:p>
    <w:p>
      <w:pPr>
        <w:pStyle w:val="TextBody"/>
        <w:bidi w:val="0"/>
        <w:spacing w:before="0" w:after="240"/>
        <w:ind w:left="480" w:right="480" w:firstLine="720"/>
        <w:jc w:val="both"/>
        <w:rPr>
          <w:rFonts w:ascii="Times New Roman" w:hAnsi="Times New Roman"/>
          <w:sz w:val="20"/>
        </w:rPr>
      </w:pPr>
      <w:r>
        <w:rPr>
          <w:rFonts w:ascii="Times New Roman" w:hAnsi="Times New Roman"/>
          <w:color w:val="0E0E0E"/>
          <w:sz w:val="22"/>
        </w:rPr>
        <w:t>The Company will not indemnify, insure or otherwise reimburse any Affected Officer against the recovery of Erroneously Awarded Compensation.</w:t>
      </w:r>
      <w:r>
        <w:rPr>
          <w:rFonts w:ascii="Times New Roman" w:hAnsi="Times New Roman"/>
          <w:color w:val="0E0E0E"/>
          <w:sz w:val="20"/>
        </w:rPr>
        <w:t xml:space="preserve"> </w:t>
      </w:r>
    </w:p>
    <w:p>
      <w:pPr>
        <w:pStyle w:val="TextBody"/>
        <w:bidi w:val="0"/>
        <w:spacing w:before="0" w:after="240"/>
        <w:ind w:left="480" w:right="480" w:hanging="0"/>
        <w:jc w:val="left"/>
        <w:rPr>
          <w:rFonts w:ascii="Times New Roman" w:hAnsi="Times New Roman"/>
          <w:b/>
          <w:color w:val="000000"/>
          <w:sz w:val="22"/>
        </w:rPr>
      </w:pPr>
      <w:r>
        <w:rPr>
          <w:rFonts w:ascii="Times New Roman" w:hAnsi="Times New Roman"/>
          <w:b/>
          <w:color w:val="000000"/>
          <w:sz w:val="22"/>
        </w:rPr>
        <w:t>8. NO IMPAIRMENT OF OTHER REMEDIES</w:t>
      </w:r>
    </w:p>
    <w:p>
      <w:pPr>
        <w:pStyle w:val="TextBody"/>
        <w:bidi w:val="0"/>
        <w:spacing w:before="0" w:after="240"/>
        <w:ind w:left="480" w:right="480" w:firstLine="720"/>
        <w:jc w:val="both"/>
        <w:rPr>
          <w:rFonts w:ascii="Times New Roman" w:hAnsi="Times New Roman"/>
          <w:sz w:val="20"/>
        </w:rPr>
      </w:pPr>
      <w:r>
        <w:rPr>
          <w:rFonts w:ascii="Times New Roman" w:hAnsi="Times New Roman"/>
          <w:color w:val="000000"/>
          <w:sz w:val="22"/>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w:t>
      </w:r>
      <w:r>
        <w:rPr>
          <w:rFonts w:ascii="Times New Roman" w:hAnsi="Times New Roman"/>
          <w:color w:val="000000"/>
          <w:sz w:val="20"/>
        </w:rPr>
        <w:t xml:space="preserve"> </w:t>
      </w:r>
    </w:p>
    <w:p>
      <w:pPr>
        <w:pStyle w:val="TextBody"/>
        <w:bidi w:val="0"/>
        <w:ind w:left="480" w:right="480" w:hanging="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ind w:left="480" w:right="480" w:hanging="0"/>
        <w:jc w:val="left"/>
        <w:rPr/>
      </w:pPr>
      <w:r>
        <w:rPr/>
        <w:t> </w:t>
      </w:r>
    </w:p>
    <w:p>
      <w:pPr>
        <w:pStyle w:val="TextBody"/>
        <w:bidi w:val="0"/>
        <w:spacing w:before="0" w:after="240"/>
        <w:ind w:left="480" w:right="480" w:hanging="0"/>
        <w:jc w:val="both"/>
        <w:rPr>
          <w:rFonts w:ascii="Times New Roman" w:hAnsi="Times New Roman"/>
          <w:sz w:val="20"/>
        </w:rPr>
      </w:pPr>
      <w:r>
        <w:rPr>
          <w:rFonts w:ascii="Times New Roman" w:hAnsi="Times New Roman"/>
          <w:color w:val="000000"/>
          <w:sz w:val="22"/>
        </w:rPr>
        <w:t>addition to the requirements of Section 304 of the Sarbanes-Oxley Act of 2002 that are applicable to the Company’s Chief Executive Officer and Chief Financial Officer.</w:t>
      </w:r>
      <w:r>
        <w:rPr>
          <w:rFonts w:ascii="Times New Roman" w:hAnsi="Times New Roman"/>
          <w:color w:val="000000"/>
          <w:sz w:val="20"/>
        </w:rPr>
        <w:t xml:space="preserve"> </w:t>
      </w:r>
    </w:p>
    <w:p>
      <w:pPr>
        <w:pStyle w:val="TextBody"/>
        <w:bidi w:val="0"/>
        <w:spacing w:before="0" w:after="240"/>
        <w:ind w:left="480" w:right="480" w:firstLine="720"/>
        <w:jc w:val="both"/>
        <w:rPr/>
      </w:pPr>
      <w:r>
        <w:rPr/>
        <w:t> </w:t>
      </w:r>
    </w:p>
    <w:p>
      <w:pPr>
        <w:pStyle w:val="TextBody"/>
        <w:bidi w:val="0"/>
        <w:ind w:left="480" w:right="480" w:hanging="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920294/000095017025047916/rzlv-ex3_1.htm" TargetMode="External"/><Relationship Id="rId11" Type="http://schemas.openxmlformats.org/officeDocument/2006/relationships/hyperlink" Target="https://www.sec.gov/Archives/edgar/data/1920294/000119312524204510/d885107dex43.htm" TargetMode="External"/><Relationship Id="rId12" Type="http://schemas.openxmlformats.org/officeDocument/2006/relationships/hyperlink" Target="https://www.sec.gov/Archives/edgar/data/1920294/000119312524204510/d885107dex44.htm" TargetMode="External"/><Relationship Id="rId13" Type="http://schemas.openxmlformats.org/officeDocument/2006/relationships/hyperlink" Target="https://www.sec.gov/Archives/edgar/data/1920294/000095017024139714/rzlv-ex4_1.htm" TargetMode="External"/><Relationship Id="rId14" Type="http://schemas.openxmlformats.org/officeDocument/2006/relationships/hyperlink" Target="https://www.sec.gov/Archives/edgar/data/1920294/000119312524204510/d885107dex46.htm" TargetMode="External"/><Relationship Id="rId15" Type="http://schemas.openxmlformats.org/officeDocument/2006/relationships/hyperlink" Target="https://www.sec.gov/Archives/edgar/data/1920294/000119312524204510/d885107dex47.htm" TargetMode="External"/><Relationship Id="rId16" Type="http://schemas.openxmlformats.org/officeDocument/2006/relationships/hyperlink" Target="https://www.sec.gov/Archives/edgar/data/1920294/000119312524159410/d309194dex1017.htm" TargetMode="External"/><Relationship Id="rId17" Type="http://schemas.openxmlformats.org/officeDocument/2006/relationships/hyperlink" Target="https://www.sec.gov/Archives/edgar/data/1920294/000119312524143103/d309194dex1018.htm" TargetMode="External"/><Relationship Id="rId18" Type="http://schemas.openxmlformats.org/officeDocument/2006/relationships/hyperlink" Target="https://www.sec.gov/Archives/edgar/data/1920294/000119312524143103/d309194dex1019.htm" TargetMode="External"/><Relationship Id="rId19" Type="http://schemas.openxmlformats.org/officeDocument/2006/relationships/hyperlink" Target="https://www.sec.gov/Archives/edgar/data/1920294/000119312524143103/d309194df4a.htm" TargetMode="External"/><Relationship Id="rId20" Type="http://schemas.openxmlformats.org/officeDocument/2006/relationships/hyperlink" Target="https://www.sec.gov/Archives/edgar/data/1920294/000119312524143103/d309194dex1023.htm" TargetMode="External"/><Relationship Id="rId21" Type="http://schemas.openxmlformats.org/officeDocument/2006/relationships/hyperlink" Target="https://www.sec.gov/Archives/edgar/data/1920294/000119312524143103/d309194dex1024.htm" TargetMode="External"/><Relationship Id="rId22" Type="http://schemas.openxmlformats.org/officeDocument/2006/relationships/hyperlink" Target="https://www.sec.gov/Archives/edgar/data/1844817/000119312524028592/d701134dex21.htm" TargetMode="External"/><Relationship Id="rId23" Type="http://schemas.openxmlformats.org/officeDocument/2006/relationships/hyperlink" Target="https://www.sec.gov/Archives/edgar/data/1844817/000119312524028592/d701134dex21.htm" TargetMode="External"/><Relationship Id="rId24" Type="http://schemas.openxmlformats.org/officeDocument/2006/relationships/hyperlink" Target="https://www.sec.gov/Archives/edgar/data/1920294/000095017024106474/rzlv-ex99_1.htm" TargetMode="External"/><Relationship Id="rId25" Type="http://schemas.openxmlformats.org/officeDocument/2006/relationships/hyperlink" Target="https://www.sec.gov/Archives/edgar/data/1920294/000095017024106474/rzlv-ex99_2.htm" TargetMode="External"/><Relationship Id="rId26" Type="http://schemas.openxmlformats.org/officeDocument/2006/relationships/hyperlink" Target="https://www.sec.gov/Archives/edgar/data/1920294/000095017024133740/rzlv-ex99_1.htm" TargetMode="External"/><Relationship Id="rId27" Type="http://schemas.openxmlformats.org/officeDocument/2006/relationships/hyperlink" Target="https://www.sec.gov/Archives/edgar/data/1920294/000095017024137626/rzlv-ex10_2.htm" TargetMode="External"/><Relationship Id="rId28" Type="http://schemas.openxmlformats.org/officeDocument/2006/relationships/hyperlink" Target="https://www.sec.gov/Archives/edgar/data/1920294/000095017024137626/rzlv-ex10_3.htm" TargetMode="External"/><Relationship Id="rId29" Type="http://schemas.openxmlformats.org/officeDocument/2006/relationships/hyperlink" Target="https://www.sec.gov/Archives/edgar/data/1920294/000095017024137626/rzlv-ex10_3.htm" TargetMode="External"/><Relationship Id="rId30" Type="http://schemas.openxmlformats.org/officeDocument/2006/relationships/hyperlink" Target="https://www.sec.gov/Archives/edgar/data/1920294/000095017024139714/rzlv-ex10_1.htm" TargetMode="External"/><Relationship Id="rId31" Type="http://schemas.openxmlformats.org/officeDocument/2006/relationships/hyperlink" Target="https://www.sec.gov/Archives/edgar/data/1920294/000095017025010226/rzlv-ex10_1.htm" TargetMode="External"/><Relationship Id="rId32" Type="http://schemas.openxmlformats.org/officeDocument/2006/relationships/hyperlink" Target="https://www.sec.gov/Archives/edgar/data/1920294/000095017025016341/rzlv-ex10_1.htm" TargetMode="External"/><Relationship Id="rId33" Type="http://schemas.openxmlformats.org/officeDocument/2006/relationships/hyperlink" Target="https://www.sec.gov/Archives/edgar/data/1920294/000095017025024898/rzlv-ex10_1.htm" TargetMode="External"/><Relationship Id="rId34" Type="http://schemas.openxmlformats.org/officeDocument/2006/relationships/hyperlink" Target="https://www.sec.gov/Archives/edgar/data/1920294/000095017025026125/rzlv-ex10_1.htm" TargetMode="External"/><Relationship Id="rId35" Type="http://schemas.openxmlformats.org/officeDocument/2006/relationships/hyperlink" Target="https://www.sec.gov/Archives/edgar/data/1920294/000095017025026125/rzlv-ex10_2.htm" TargetMode="External"/><Relationship Id="rId36" Type="http://schemas.openxmlformats.org/officeDocument/2006/relationships/hyperlink" Target="https://www.sec.gov/Archives/edgar/data/1920294/000095017025034867/rzlv-ex10_1.htm" TargetMode="External"/><Relationship Id="rId37" Type="http://schemas.openxmlformats.org/officeDocument/2006/relationships/hyperlink" Target="https://www.sec.gov/Archives/edgar/data/1920294/000119312524204510/d885107dex111.htm" TargetMode="External"/><Relationship Id="rId38" Type="http://schemas.openxmlformats.org/officeDocument/2006/relationships/hyperlink" Target="https://www.sec.gov/Archives/edgar/data/1920294/000119312524204510/d885107dex112.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106925</Words>
  <Characters>588300</Characters>
  <CharactersWithSpaces>697331</CharactersWithSpaces>
  <Paragraphs>15712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