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8, 2024 (February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Armada Acquisition Corp. I</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85-3810850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1760 Market Street, Suite 602</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(215) 543-6886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AACI 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AACI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AACI 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previously announced that it entered into Standby Equity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February 23, 2023, with Rezolve Limited, a private limited company registered under the laws of England and Wales, and YA II PN, Ltd., a Cayman Islands exempted company (“</w:t>
      </w:r>
      <w:r>
        <w:rPr>
          <w:rFonts w:ascii="Times New Roman" w:cs="Times New Roman" w:eastAsia="Times New Roman" w:hAnsi="Times New Roman"/>
          <w:sz w:val="18"/>
          <w:szCs w:val="18"/>
          <w:u w:val="single" w:color="auto"/>
          <w:color w:val="auto"/>
        </w:rPr>
        <w:t>YA</w:t>
      </w:r>
      <w:r>
        <w:rPr>
          <w:rFonts w:ascii="Times New Roman" w:cs="Times New Roman" w:eastAsia="Times New Roman" w:hAnsi="Times New Roman"/>
          <w:sz w:val="18"/>
          <w:szCs w:val="18"/>
          <w:color w:val="auto"/>
        </w:rPr>
        <w:t>”) in connection with the business combination agreement, dated as of December 17, 2021, as amended on November 10, 2022 and as further amended and restated on June 16, 2023, as amended on August 4, 2023 (and as may be further amended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xml:space="preserve"> and the business combination contemplated thereby,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by and among Armada, Rezolve Limited, Rezolve AI Limited, a private limited company registered under the laws of England and Wales (“Rezolve”) and Rezolve Merger Sub, Inc., a Delaware corporation.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Limited, Rezolve and YA amended and restated the Purchase Agreement, (the “</w:t>
      </w:r>
      <w:r>
        <w:rPr>
          <w:rFonts w:ascii="Times New Roman" w:cs="Times New Roman" w:eastAsia="Times New Roman" w:hAnsi="Times New Roman"/>
          <w:sz w:val="18"/>
          <w:szCs w:val="18"/>
          <w:u w:val="single" w:color="auto"/>
          <w:color w:val="auto"/>
        </w:rPr>
        <w:t>Amended and Restated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among other things, incorporate a prepaid advance arrangement, whereby YA committed to provide Rezolve Limited with a prepaid advance in an original principal amount of $2,500,000(the “</w:t>
      </w:r>
      <w:r>
        <w:rPr>
          <w:rFonts w:ascii="Times New Roman" w:cs="Times New Roman" w:eastAsia="Times New Roman" w:hAnsi="Times New Roman"/>
          <w:sz w:val="18"/>
          <w:szCs w:val="18"/>
          <w:u w:val="single" w:color="auto"/>
          <w:color w:val="auto"/>
        </w:rPr>
        <w:t>Prepaid Advance</w:t>
      </w:r>
      <w:r>
        <w:rPr>
          <w:rFonts w:ascii="Times New Roman" w:cs="Times New Roman" w:eastAsia="Times New Roman" w:hAnsi="Times New Roman"/>
          <w:sz w:val="18"/>
          <w:szCs w:val="18"/>
          <w:color w:val="auto"/>
        </w:rPr>
        <w:t>”). Upon execution of the Amended and Restated Purchase Agreement, $2,000,000 of the Prepaid Advance was funded to Rezolve Limited.</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Amended and Restated Purchase Agreement replaces the Purchase Agreement in its entirety. Other than making appropriate disclosure of the Amended and Restated Purchase Agreement under the federal securities laws, Armada has no obligations under the Amended and Restated Purchase Agreement.</w:t>
      </w:r>
    </w:p>
    <w:p>
      <w:pPr>
        <w:spacing w:after="0" w:line="17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Amended and Restated Purchase Agreement does not purport to be complete and is qualified in its entirety by the terms and conditions of the Amended and Restated Purchase Agreement, a copy of which is filed as Exhibit 2.1 hereto and is incorporated by reference herein.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Current Report relates to the proposed business combination involving Armada, Rezolve Limited, Rezolve and Rezolve Merger Sub. In connection with the proposed business combination, on June 16, 2023, Rezolve filed with the SEC a Registration Statement on Form F-4 (File No. 333-272751) (as may be amended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preliminary proxy statement of Armada and a preliminary prospectus of Rezolve relating to the securities to be issued in connection with the proposed business combination. The Registration Statement is subject to SEC review and further revision and is not yet effective. This filing is not a</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substitute for the Registration Statement, the definitive proxy statement/final prospectus, when available, or any other document that Rezolve or Armada has filed or will file with the SEC or send to its shareholders in connection with the proposed business combination. This filing does not contain all the information that should be considered concerning the proposed business combination and other matters and is not intended to form the basis for any investment decision or any other decision in respect of such matters.</w:t>
      </w:r>
    </w:p>
    <w:p>
      <w:pPr>
        <w:spacing w:after="0" w:line="180"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BEFORE MAKING ANY VOTING OR INVESTMENT DECISION, ARMADA’S STOCKHOLDERS AND OTHER INTERESTED PARTIES ARE URGED TO READ THE PRELIMINARY PROXY STATEMENT/PROSPECTUS AND THE DEFINITIVE PROXY STATEMENT/PROSPECTUS, WHEN IT BECOMES AVAILABLE, AND ANY AMENDMENTS THERETO AND ANY OTHER DOCUMENTS FILED BY ARMADA OR REZOLVE WITH THE SEC IN CONNECTION WITH THE PROPOSED BUSINESS COMBINATION OR INCORPORATED BY REFERENCE THEREIN IN THEIR ENTIRETY BEFORE MAKING ANY VOTING OR INVESTMENT DECISION WITH RESPECT TO THE PROPOSED BUSINESS COMBINATION BECAUSE THEY CONTAIN IMPORTANT INFORMATION ABOUT THE PROPOSED BUSINESS COMBINATION AND THE PARTIES TO THE PROPOSED BUSINESS COMBINATION.</w:t>
      </w:r>
    </w:p>
    <w:p>
      <w:pPr>
        <w:spacing w:after="0" w:line="189"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 xml:space="preserve">After the Registration Statement is declared effective, the definitive proxy statement will be mailed to stockholders of Armada as of a record date to be established for voting on the proposed business combination. Additionally, Armada and Rezolve will file other relevant materials with the SEC in connection with the proposed business combination. Copies of the Registration Statement, the definitive proxy statement/prospectus and all other relevant materials for the proposed business combination filed or that will be filed with the SEC may be obtained, when available,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Armada’s stockholders may also obtain copies of the definitive proxy statement/prospectus, when available, and other documents filed by Armada with the SEC, without charge, by directing a request to Armada Acquisition Corp. I, 1760 Market Street, Suite 602, Philadelphia, PA 19103 USA; (215) 543-6886.</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7"/>
          <w:szCs w:val="17"/>
          <w:color w:val="auto"/>
        </w:rPr>
        <w:t>This Current Report includes “forward-looking statements” within the meaning of the safe harbor provisions of the U.S. Private Securities Litigation Reform Act of 1995 and within the meaning of Section 27a of the Securities Act and Section 21E of the Exchange Act. Any actual results may differ from expectations, estimates and projections presented or implied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statements regarding the proposed business combination and related transactions, including, without limitation, the Pre-Closing Demerger. These forward-looking statements are subject to a number of risks and uncertainties, including, among others, (1) the occurrence of any event, change or other circumstances that could give rise to the termination of the proposed business combination;</w:t>
      </w:r>
    </w:p>
    <w:p>
      <w:pPr>
        <w:ind w:left="4" w:hanging="4"/>
        <w:spacing w:after="0" w:line="25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Armada, Rezolve Limited, Rezolve or others following the announcement of the proposed business combination and any definitive agreements with respect thereto; (3) the inability to complete the proposed business combination due to the failure to obtain approval of the stockholders of Armada or shareholders of Rezolve Limited or Rezolve, to receive regulatory approvals or to satisfy other conditions to closing of the transactions contemplated under and in connection with the Business Combination Agreement, including, without limitation, with respect to the Pre-Closing Demerger; (4) the ability to meet stock exchange listing standards following the consummation of proposed business combination; (5) the risk that the proposed business combination disrupts current plans and operations of Armada, Rezolve Limited or Rezolve as a result of the announcement and consummation of the proposed business combination; (6) the ability to recognize the anticipated benefits of the proposed business combination, which may be affected by, among other things, competition, the ability of the combined company to grow and manage growth profitably, and retain its management and key employees; (7) costs related to the proposed business combination; (8) changes in applicable laws or regulations and delays in obtaining, adverse conditions contained in, or the inability to obtain regulatory approvals required to complete the proposed business combination; (9) weakness in the economy, market trends, uncertainty and other conditions in the markets in which Rezolve Limited or Rezolve operate, and other factors beyond their control, such as inflation or rising interest rates; (10) the possibility that Armada, Rezolve Limited, Rezolve or the combined company may be adversely affected by other economic, business, and/or competitive factors; (11) the ability of existing investors to redeem and the level of</w:t>
      </w:r>
    </w:p>
    <w:p>
      <w:pPr>
        <w:sectPr>
          <w:pgSz w:w="11900" w:h="16838" w:orient="portrait"/>
          <w:cols w:equalWidth="0" w:num="1">
            <w:col w:w="10984"/>
          </w:cols>
          <w:pgMar w:left="436" w:top="270" w:right="47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redemptions; and (12) additional risks, including those to be included under the header “Risk Factors” in the Registration Statement and those included under the header “Risk Factors” and “Cautionary Note Regarding Forward-Looking Statements” in Armada’s Annual Report on Form 10-K for the year ended September 30, 2023. If any of these risks materialize or Armada’s, Rezolve Limited’s or Rezolve’s assumptions prove incorrect, actual results could differ materially from the results implied by these forward-looking statements. There may be additional risks that none of Armada, Rezolve Limited or Rezolve presently know or that Armada, Rezolve Limited and Rezolve currently believe are immaterial that could also cause actual results to differ from those contained in the forward-looking statements. In addition, forward-looking statements reflect Armada’s, Rezolve Limited’s and/or Rezolve’s expectations, plans or forecasts of future events and views as of the date of this filing. Armada, Rezolve Limited and Rezolve anticipate that subsequent events and developments will cause Armada, Rezolve Limited’s and Rezolve’s assessments to change. However, while Armada, Rezolve Limited and Rezolve may elect to update these forward-looking statements at some point in the future, each of Armada, Rezolve Limited, Rezolve and Rezolve Merger Sub specifically disclaim any obligation to do so, unless required by applicable law. These forward-looking statements should not be relied upon as representing Armada’s, Rezolve Limited’s and Rezolve’s assessments as of any date subsequent to the date of this filing. Accordingly, undue reliance should not be placed upon the forward-looking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Current Report is for informational purposes only and does not constitute an offer or a solicitation of an offer to buy or sell securities, assets or the business described herein or a commitment to Armada, Rezolve Limited or Rezolve, nor is it a solicitation of any vote, consent or approval in any jurisdiction pursuant to or in connection with the proposed business combination or otherwise, nor shall there be any offer, sale, issuance or transfer of securities in any jurisdiction in contravention of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Armada, Rezolve Limited, Rezolve, Rezolve Merger Sub and their respective directors and executive officers may be deemed to be participants in the solicitation of proxies of Armada’s stockholders in connection with the proposed business combination. Information about the directors and executive officers of Armada may be obtained in the Registration Statement, Armada’s filings with the SEC, including Armada’s initial public offering prospectus, which was filed with the SEC on August 16, 2021, and Armada’s subsequent annual report on Form 10-K and quarterly reports on Form 10-Q, all of which is available free of charge at the SEC’s website at www.sec.gov. Information about the directors and executive officers of Rezolve and more detailed information regarding the identity of all potential participants, and their direct and indirect interests by security holdings or otherwise, will be set forth in the definitive proxy statement/prospectus for the proposed business combination when available. Additional information regarding the identity of all potential participants in the solicitation of proxies to Armada’s stockholders in connection with the proposed business combination and other matters to be voted upon at the special meeting, and their direct and indirect interests, by security holdings or otherwise, will be included in the definitive proxy statement/prospectus, when it becomes available.</w:t>
      </w:r>
    </w:p>
    <w:p>
      <w:pPr>
        <w:sectPr>
          <w:pgSz w:w="11900" w:h="16838" w:orient="portrait"/>
          <w:cols w:equalWidth="0" w:num="1">
            <w:col w:w="10980"/>
          </w:cols>
          <w:pgMar w:left="440" w:top="270" w:right="479" w:bottom="1440" w:gutter="0" w:footer="0" w:header="0"/>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ectPr>
          <w:pgSz w:w="11900" w:h="16838" w:orient="portrait"/>
          <w:cols w:equalWidth="0" w:num="2">
            <w:col w:w="700" w:space="500"/>
            <w:col w:w="9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0980"/>
          </w:cols>
          <w:pgMar w:left="440" w:top="270" w:right="47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ectPr>
          <w:pgSz w:w="11900" w:h="16838" w:orient="portrait"/>
          <w:cols w:equalWidth="0" w:num="2">
            <w:col w:w="4860" w:space="720"/>
            <w:col w:w="5400"/>
          </w:cols>
          <w:pgMar w:left="440" w:top="270" w:right="479" w:bottom="1440" w:gutter="0" w:footer="0" w:header="0"/>
          <w:type w:val="continuous"/>
        </w:sectPr>
      </w:pPr>
    </w:p>
    <w:p>
      <w:pPr>
        <w:ind w:left="880" w:right="3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Amended and Restated Standby Equity Purchase Agreement, dated as of February 2, 2024, by and among Armada Acquisition Corp. I, Rezolve Limited, Rezolve AI Limited and YA II PN, Ltd.</w:t>
      </w:r>
    </w:p>
    <w:p>
      <w:pPr>
        <w:spacing w:after="0" w:line="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70" w:right="479" w:bottom="1440" w:gutter="0" w:footer="0" w:header="0"/>
          <w:type w:val="continuous"/>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P. Herbert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ectPr>
          <w:pgSz w:w="11900" w:h="16838" w:orient="portrait"/>
          <w:cols w:equalWidth="0" w:num="1">
            <w:col w:w="10940"/>
          </w:cols>
          <w:pgMar w:left="440" w:top="266"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STANDBY EQUITY PURCHASE AGREEMENT</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2, 2024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by and between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a Cayman Islands exempted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ARMADA ACQUISITION CORP. I</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REZOLVE LIMITED,</w:t>
      </w:r>
      <w:r>
        <w:rPr>
          <w:rFonts w:ascii="Times New Roman" w:cs="Times New Roman" w:eastAsia="Times New Roman" w:hAnsi="Times New Roman"/>
          <w:sz w:val="18"/>
          <w:szCs w:val="18"/>
          <w:color w:val="auto"/>
        </w:rPr>
        <w:t xml:space="preserve"> a company incorporated in England and Wales with registered number 09773823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REZOLVE AI LIMITED,</w:t>
      </w:r>
      <w:r>
        <w:rPr>
          <w:rFonts w:ascii="Times New Roman" w:cs="Times New Roman" w:eastAsia="Times New Roman" w:hAnsi="Times New Roman"/>
          <w:sz w:val="18"/>
          <w:szCs w:val="18"/>
          <w:color w:val="auto"/>
        </w:rPr>
        <w:t xml:space="preserve"> a company incorporated in England and Wales with registered number 14573691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Armada, the Original Company, and the Company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Investor, Armada and the Original Company entered into that certain Standby Equity Purchase Agreement on February 23,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SEPA Agreement</w:t>
      </w:r>
      <w:r>
        <w:rPr>
          <w:rFonts w:ascii="Times New Roman" w:cs="Times New Roman" w:eastAsia="Times New Roman" w:hAnsi="Times New Roman"/>
          <w:sz w:val="18"/>
          <w:szCs w:val="18"/>
          <w:color w:val="auto"/>
        </w:rPr>
        <w:t>”), pursuant to which the Original Company, upon the closing of the Business Combination (as defined below) shall have the right to issue and sell to the Investor, from time to time as provided therein, and the Investor shall purchase from the Company, up to $250 million of ordinary shares of the Company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closing of the Business Combination, the Original Company, the Company and the shareholders of the Original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Original Company Shareholders</w:t>
      </w:r>
      <w:r>
        <w:rPr>
          <w:rFonts w:ascii="Times New Roman" w:cs="Times New Roman" w:eastAsia="Times New Roman" w:hAnsi="Times New Roman"/>
          <w:sz w:val="18"/>
          <w:szCs w:val="18"/>
          <w:color w:val="auto"/>
        </w:rPr>
        <w:t>”) are to enter into a demerger support agreement pursuant to which, among other things, all of the business and assets of the Original Company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Company in exchange for the issue of shares of the same classes in the Company for distribution amongst the Original Company Shareholders in proportion to their holdings of shares in the Original Company of each class (the “</w:t>
      </w:r>
      <w:r>
        <w:rPr>
          <w:rFonts w:ascii="Times New Roman" w:cs="Times New Roman" w:eastAsia="Times New Roman" w:hAnsi="Times New Roman"/>
          <w:sz w:val="18"/>
          <w:szCs w:val="18"/>
          <w:u w:val="single" w:color="auto"/>
          <w:color w:val="auto"/>
        </w:rPr>
        <w:t>Pre-Closing Demerger</w:t>
      </w:r>
      <w:r>
        <w:rPr>
          <w:rFonts w:ascii="Times New Roman" w:cs="Times New Roman" w:eastAsia="Times New Roman" w:hAnsi="Times New Roman"/>
          <w:sz w:val="18"/>
          <w:szCs w:val="18"/>
          <w:color w:val="auto"/>
        </w:rPr>
        <w:t>”). The closing of the Business Combination is conditional upon closing of the Pre-Closing Demerger;</w:t>
      </w:r>
    </w:p>
    <w:p>
      <w:pPr>
        <w:spacing w:after="0" w:line="18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of the Pre-Closing Demerger, the Parties desire to substitute the Company in place of the Original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SEPA Agreement (as amended and restated from time to time);</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addition to the commitment to purchase shares under the SEPA Agreement, the Parties now desire to incorporate a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arrangement, whereby the Investor shall commit to provide the Original Company with a prepaid advance in an original principal amount of Two Million Five Hundred Thousand Dollars ($2,500,000), which shall be funded to the Original Company upon execution of this Agreement;</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and restate the SEPA Agreement as set forth herein to reflect the addition of the prepaid advance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principal amount of Two Million Five Hundred Thousand Dollars ($2,500,000);</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of the Business Combination, the Common Shares will be listed for trading on the Nasdaq Stock Market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nationally recognized stock exchange;</w:t>
      </w:r>
    </w:p>
    <w:p>
      <w:pPr>
        <w:sectPr>
          <w:pgSz w:w="11900" w:h="16838" w:orient="portrait"/>
          <w:cols w:equalWidth="0" w:num="1">
            <w:col w:w="11020"/>
          </w:cols>
          <w:pgMar w:left="440" w:top="266" w:right="439" w:bottom="1440" w:gutter="0" w:footer="0" w:header="0"/>
        </w:sectPr>
      </w:pPr>
    </w:p>
    <w:bookmarkStart w:id="6" w:name="page7"/>
    <w:bookmarkEnd w:id="6"/>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the offer and sale of the Common Shares issuable hereunder will be made in reliance upon Section 4(a)(2)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upon such other exemption from the registration requirements of the Securities Act as may be available with respect to any or all of the transactions to be made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concurrently entering into a Registration Rights Agreement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shall register the resale of the Registrable Securities (as defined in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upon the terms and subject to the conditions set forth therein.</w:t>
      </w:r>
    </w:p>
    <w:p>
      <w:pPr>
        <w:spacing w:after="0" w:line="203"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Subsidiaries of the Company are concurrently entering into a Global Guaranty Agreement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u w:val="single" w:color="auto"/>
          <w:color w:val="auto"/>
        </w:rPr>
        <w:t>Global Guaranty Agreement</w:t>
      </w:r>
      <w:r>
        <w:rPr>
          <w:rFonts w:ascii="Times New Roman" w:cs="Times New Roman" w:eastAsia="Times New Roman" w:hAnsi="Times New Roman"/>
          <w:sz w:val="18"/>
          <w:szCs w:val="18"/>
          <w:color w:val="auto"/>
        </w:rPr>
        <w:t>”), pursuant to which the Subsidiaries party thereto shall guaranty all of the Company’s obligations under the Agreement, the Promissory Note issued hereunder, and all other instruments, agreements or other items executed or delivered.</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Investor is concurrently entering into an Intercreditor Agreement with Apeiron Investment Group Ltd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under which the Promissory Note (as defined below) shall have certain rights and obligations pursuant to the terms and subject to the conditions set forth therein.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shall have the meaning set forth in Section 3.01(e)(ii).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shall have the meaning set forth in Section 3.01(e)(i).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Article III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Trading Day after expiration of the applicable Pricing Period for each Advance.</w:t>
      </w:r>
    </w:p>
    <w:p>
      <w:pPr>
        <w:spacing w:after="0" w:line="13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shall mean a written notice in the form of Exhibit A attached hereto to the Investor executed by an officer of the Company and setting forth a number of Advance Shares that the Company desires to issue and sell to the Investor.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shall mean each date the Company is deemed to have delivered (in accordance with Section 3.01(b) of this Agreement) an Advance Notice to the Investor, subject to the terms of this Agreement.</w:t>
      </w:r>
    </w:p>
    <w:p>
      <w:pPr>
        <w:spacing w:after="0" w:line="162" w:lineRule="exact"/>
        <w:rPr>
          <w:sz w:val="20"/>
          <w:szCs w:val="20"/>
          <w:color w:val="auto"/>
        </w:rPr>
      </w:pPr>
    </w:p>
    <w:p>
      <w:pPr>
        <w:jc w:val="center"/>
        <w:ind w:left="720" w:right="1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Common Shares that the Company shall issue and sell to the Investor pursuant to the terms of this Agreement. - 2 -</w:t>
      </w:r>
    </w:p>
    <w:p>
      <w:pPr>
        <w:sectPr>
          <w:pgSz w:w="11900" w:h="16838" w:orient="portrait"/>
          <w:cols w:equalWidth="0" w:num="1">
            <w:col w:w="10980"/>
          </w:cols>
          <w:pgMar w:left="440" w:top="266" w:right="47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Section 4.07.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shall mean the transactions contemplated by the Business Combination Agreement, dated December 17, 2021, as amended on 10 November 2022 and further amended and restated on 16 June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or “BCA”)), by and among the Company, Armada, the Original Company, Rezolve Group Limited, a company incorporated in the Cayman Islands, and Rezolve Merger Sub, Inc. a Delaware corporation, as amended.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$250,000,000 of Common Shares.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mean the period commencing on the Effective Date and expiring upon the date of termination of this Agreement in accordance with Section 11.01.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shall have the meaning set forth in Section 7.02.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Company’s Common Shares on the Principal Market during regular trading hours as reported by Bloomberg L.P.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of closing of the Business Combination.</w:t>
      </w:r>
    </w:p>
    <w:p>
      <w:pPr>
        <w:spacing w:after="0" w:line="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70"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set forth in Section 5.16.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shall have the meaning set forth in Section 3.01(d)(iii).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have the meaning set forth in Section 3.01(e)(i).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Guaranty 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set forth in Section 5.16.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shall have the meaning set forth in Section 7.01.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shall have the meaning set forth in Section 7.01.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Notice</w:t>
      </w:r>
      <w:r>
        <w:rPr>
          <w:rFonts w:ascii="Times New Roman" w:cs="Times New Roman" w:eastAsia="Times New Roman" w:hAnsi="Times New Roman"/>
          <w:sz w:val="18"/>
          <w:szCs w:val="18"/>
          <w:color w:val="auto"/>
        </w:rPr>
        <w:t xml:space="preserve">” shall mean a written notice to the Company in the form set forth herein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shall have the meaning set forth in Section 4.10.</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lowest of the daily VWAPs of the Common Shares during the relevant Pricing Period, other than the daily VWAP on any Excluded Days.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shall have the meaning set forth in Section 8.08.</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the greater of: (i) an amount equal to 100% of the average of the Daily Traded Amount of Common Shares on the Company’s Principal Market during the three consecutive Trading Days immediately preceding an Advance Notice, or (ii) 2,000,000 Common Shares (being such number of shares after any Pre-closing Reorganization).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880"/>
          </w:cols>
          <w:pgMar w:left="440" w:top="270" w:right="579" w:bottom="1440" w:gutter="0" w:footer="0" w:header="0"/>
        </w:sectPr>
      </w:pPr>
    </w:p>
    <w:bookmarkStart w:id="9" w:name="page10"/>
    <w:bookmarkEnd w:id="9"/>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MAP</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set forth in Section 5.33.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have the meaning set forth in Section 3.01(d)(i).</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Demerger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means a reorganization of the share capital of the Company on or prior to closing of the BCA (including in connection with the Pre-Closing Demerger).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three (3) consecutive Trading Days commencing on the Advance Notice Date.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shall mean the Nasdaq Stock Market; provided however, that in the event the Company’s Common Shares are ever listed or traded on the New York Stock Exchange, or the NYSE American, then the “Principal Market” shall mean such other market or exchange on which the Company’s Common Shares are then listed or traded to the extent such other market or exchange is the principal trading market or exchange for the Common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shall have the meaning set forth in Section 2.01.</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pursuant to Rule 424(b) under the Securities Act, including, without limitation, any prospectus supplement to be filed in accordance with Section 7.01(d)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97%.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shall have the meaning set forth in the preamble of this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840"/>
          </w:cols>
          <w:pgMar w:left="440" w:top="270" w:right="61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have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shall have the meaning set forth in Section 3.01(d)(ii).</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F-1, Form F-3 or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have the meaning set forth in Section 5.33.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shall have the meaning set forth in Section 5.33.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shall have the meaning set forth in Section 5.07.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Debenture</w:t>
      </w:r>
      <w:r>
        <w:rPr>
          <w:rFonts w:ascii="Times New Roman" w:cs="Times New Roman" w:eastAsia="Times New Roman" w:hAnsi="Times New Roman"/>
          <w:sz w:val="18"/>
          <w:szCs w:val="18"/>
          <w:color w:val="auto"/>
        </w:rPr>
        <w:t>” shall have the meaning set forth in Section 2.03.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shall have the meaning set forth in Section 3.02(a).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Common Shares to be issued from time to time hereunder pursuant to an Advance.</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Market shall be open for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have the meaning set forth in Section 5.03.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shall have the meaning set forth in the Promissory Note.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trading prices of or quotations for the Common Shares at any time after the initial issuance of Common Shares or Common Share Equivalents, or</w:t>
      </w:r>
    </w:p>
    <w:p>
      <w:pPr>
        <w:spacing w:after="0" w:line="27" w:lineRule="exact"/>
        <w:rPr>
          <w:sz w:val="20"/>
          <w:szCs w:val="20"/>
          <w:color w:val="auto"/>
        </w:rPr>
      </w:pPr>
    </w:p>
    <w:p>
      <w:pPr>
        <w:ind w:left="4" w:right="20" w:hanging="4"/>
        <w:spacing w:after="0" w:line="251"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(iii) issues or sells any Common Shares or Common Share Equivalents (or any combination thereof) at an implied discount (taking into account all the securities issuable in such offering) to the market price of the Common Shares at the time of the offering in excess of 30% or (iv)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spacing w:after="0" w:line="19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the daily volume weighted average price of the Common Shares for such Trading Day on the Principal Market during regular trading hours as reported by Bloomberg L.P.</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 Pre-Paid Advances</w:t>
      </w:r>
    </w:p>
    <w:p>
      <w:pPr>
        <w:spacing w:after="0" w:line="22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Pre-Paid Advance</w:t>
      </w:r>
      <w:r>
        <w:rPr>
          <w:rFonts w:ascii="Times New Roman" w:cs="Times New Roman" w:eastAsia="Times New Roman" w:hAnsi="Times New Roman"/>
          <w:sz w:val="18"/>
          <w:szCs w:val="18"/>
          <w:color w:val="auto"/>
        </w:rPr>
        <w:t>. Subject to the satisfaction of the conditions set forth in Annex I attached hereto, the Investor shall advance to the Original Company the principal amount of $2,500,000 (the “</w:t>
      </w:r>
      <w:r>
        <w:rPr>
          <w:rFonts w:ascii="Times New Roman" w:cs="Times New Roman" w:eastAsia="Times New Roman" w:hAnsi="Times New Roman"/>
          <w:sz w:val="18"/>
          <w:szCs w:val="18"/>
          <w:u w:val="single" w:color="auto"/>
          <w:color w:val="auto"/>
        </w:rPr>
        <w:t>Pre-Paid Advance</w:t>
      </w:r>
      <w:r>
        <w:rPr>
          <w:rFonts w:ascii="Times New Roman" w:cs="Times New Roman" w:eastAsia="Times New Roman" w:hAnsi="Times New Roman"/>
          <w:sz w:val="18"/>
          <w:szCs w:val="18"/>
          <w:color w:val="auto"/>
        </w:rPr>
        <w:t xml:space="preserve">”), which shall be evidenced by a convertible promissory note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The Pre-Paid Advance shall be in an amount of $2,500,000 and advanced upon the execution of this Agreement (the “</w:t>
      </w:r>
      <w:r>
        <w:rPr>
          <w:rFonts w:ascii="Times New Roman" w:cs="Times New Roman" w:eastAsia="Times New Roman" w:hAnsi="Times New Roman"/>
          <w:sz w:val="18"/>
          <w:szCs w:val="18"/>
          <w:u w:val="single" w:color="auto"/>
          <w:color w:val="auto"/>
        </w:rPr>
        <w:t>Pre-Paid Advance Closing</w:t>
      </w:r>
      <w:r>
        <w:rPr>
          <w:rFonts w:ascii="Times New Roman" w:cs="Times New Roman" w:eastAsia="Times New Roman" w:hAnsi="Times New Roman"/>
          <w:sz w:val="18"/>
          <w:szCs w:val="18"/>
          <w:color w:val="auto"/>
        </w:rPr>
        <w:t>”), subject, however, to the Original Issue Discount as described below.</w:t>
      </w:r>
    </w:p>
    <w:p>
      <w:pPr>
        <w:spacing w:after="0" w:line="18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Pre-Paid Advance Closing</w:t>
      </w:r>
      <w:r>
        <w:rPr>
          <w:rFonts w:ascii="Times New Roman" w:cs="Times New Roman" w:eastAsia="Times New Roman" w:hAnsi="Times New Roman"/>
          <w:sz w:val="18"/>
          <w:szCs w:val="18"/>
          <w:color w:val="auto"/>
        </w:rPr>
        <w:t>. The Pre-Paid Advance Closing shall occur remotely by conference call and electronic delivery of documentation. The Pre-Paid Advance Closing shall take place on the execution date of this Agreement (or such other date as mutually agreed upon by the Parties hereto), provided that the conditions set forth on Annex I have been satisfied. At the Pre-Advance Closing, the Investor shall advance to the Original Company the principal amount of the Pre-Paid Advance, less a discount in the amount equal to 20% of the principal amount of the Pre-Paid Advance netted from the purchase price due and structured as an original issue discount (the “</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in immediately available funds to an account designated by the Original Company in writing, and the Original Company shall deliver the Promissory Note with a principal amount equal to the full amount of the Pre-Paid Advance, duly executed on behalf of the Original Company. The Original Company acknowledges that the Original Issue Discount shall not be funded but shall be deemed to be fully earned on the closing of the Pre-Paid Advance and shall not reduce the principal outstanding under the Pre-Paid Advance. For the avoidance of doubt, the rights and obligations under this Agreement, the Promissory Note and other Transaction Documents (as applicable) shall be novated to the Company immediately upon consummation of the Pre-Closing Demerger (and thereafter all references therein to the Original Company shall be read as the Company, so far as the context requires).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4"/>
          </w:cols>
          <w:pgMar w:left="436" w:top="270" w:right="459" w:bottom="1440" w:gutter="0" w:footer="0" w:header="0"/>
        </w:sectPr>
      </w:pPr>
    </w:p>
    <w:bookmarkStart w:id="12" w:name="page13"/>
    <w:bookmarkEnd w:id="1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Security; Intercreditor Agreement</w:t>
      </w:r>
      <w:r>
        <w:rPr>
          <w:rFonts w:ascii="Times New Roman" w:cs="Times New Roman" w:eastAsia="Times New Roman" w:hAnsi="Times New Roman"/>
          <w:sz w:val="18"/>
          <w:szCs w:val="18"/>
          <w:color w:val="auto"/>
        </w:rPr>
        <w:t xml:space="preserve">. The Original Company’s obligations under a debenture dated as of December 16, 2021, by and between the Original Company and Apeiron Investment Group Ltd. (“Apeiron”), as amended (the a debenture dated as of November 21, 2022, by and between Apeiron and the Original Company are further secured by a first lien on all of the assets owned by the Original Company, as provided in that debenture dated as of May 23, 2023, by and among the Original Company, GLAS Trust Corporation Limited (as security agent) and the other parties thereto. Simultaneously with the execution of this Agreement, the Investor shall enter into an Intercreditor Agreement in the form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under which the Promissory Note shall have certain rights and obligations pursuant to which, among other things, the Investor shall share recoveries enforced under the aforementioned debentures. For the avoidance of doubt, the security granted under the aforementioned debentures shall automatically cease upon closing of the Business Combination Agreement.</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 Advances</w:t>
      </w:r>
    </w:p>
    <w:p>
      <w:pPr>
        <w:spacing w:after="0" w:line="229" w:lineRule="exact"/>
        <w:rPr>
          <w:sz w:val="20"/>
          <w:szCs w:val="20"/>
          <w:color w:val="auto"/>
        </w:rPr>
      </w:pPr>
    </w:p>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Advances; Mechanics</w:t>
      </w:r>
      <w:r>
        <w:rPr>
          <w:rFonts w:ascii="Times New Roman" w:cs="Times New Roman" w:eastAsia="Times New Roman" w:hAnsi="Times New Roman"/>
          <w:sz w:val="17"/>
          <w:szCs w:val="17"/>
          <w:color w:val="auto"/>
        </w:rPr>
        <w:t>. Upon the terms and subject to the conditions of this Agreement, during the Commitment Period, (i) the Company, at its sole discretion, shall have the right, but not the obligation, to issue and sell to the Investor, and the Investor shall subscribe for and purchase from the Company, Advance Shares by the delivery to the Investor of Advance Notices, provided (x) no balance is outstanding under the Promissory Note, or,</w:t>
      </w:r>
    </w:p>
    <w:p>
      <w:pPr>
        <w:spacing w:after="0" w:line="2" w:lineRule="exact"/>
        <w:rPr>
          <w:sz w:val="20"/>
          <w:szCs w:val="20"/>
          <w:color w:val="auto"/>
        </w:rPr>
      </w:pPr>
    </w:p>
    <w:p>
      <w:pPr>
        <w:jc w:val="both"/>
        <w:ind w:left="4" w:right="80" w:hanging="4"/>
        <w:spacing w:after="0" w:line="253"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balance outstanding under the Promissory Note, a Trigger Event has occurred in accordance with Section 3.01(a)(iii) hereof, and (ii) for so long as there is a balance outstanding under the Promissory Note, the Investor, at its sole discretion shall have the right, but not the obligation, by the delivery to the Company of Investor Notices, to cause an Advance Notice to be deemed delivered to the Investor and the issuance and sale of Common Shares to the Investor pursuant to an Advance as set out in Section 3.01(b), on the following terms:</w:t>
      </w:r>
    </w:p>
    <w:p>
      <w:pPr>
        <w:spacing w:after="0" w:line="94" w:lineRule="exact"/>
        <w:rPr>
          <w:rFonts w:ascii="Times New Roman" w:cs="Times New Roman" w:eastAsia="Times New Roman" w:hAnsi="Times New Roman"/>
          <w:sz w:val="18"/>
          <w:szCs w:val="18"/>
          <w:color w:val="auto"/>
        </w:rPr>
      </w:pPr>
    </w:p>
    <w:p>
      <w:pPr>
        <w:ind w:left="964" w:right="22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At any time during the Commitment Period the Company may require the Investor to purchase Shares by delivering an Advance Notice to the Investor, subject to the satisfaction or waiver by the Investor of the conditions set forth in Annex II, and in accordance with the following provisions:</w:t>
      </w:r>
    </w:p>
    <w:p>
      <w:pPr>
        <w:spacing w:after="0" w:line="81"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the number of Advance Shares, not to exceed the Maximum Advance Amount, it desires to issue and sell to the Investor in each Advance Notice and the time it desires to deliver each Advance Notice.</w:t>
      </w:r>
    </w:p>
    <w:p>
      <w:pPr>
        <w:spacing w:after="0" w:line="67" w:lineRule="exact"/>
        <w:rPr>
          <w:rFonts w:ascii="Times New Roman" w:cs="Times New Roman" w:eastAsia="Times New Roman" w:hAnsi="Times New Roman"/>
          <w:sz w:val="18"/>
          <w:szCs w:val="18"/>
          <w:color w:val="auto"/>
        </w:rPr>
      </w:pPr>
    </w:p>
    <w:p>
      <w:pPr>
        <w:ind w:left="1424" w:right="480"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no non-usages fee for not utilizing the Commitment Amount or any part thereof.</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13" w:name="page14"/>
    <w:bookmarkEnd w:id="13"/>
    <w:p>
      <w:pPr>
        <w:ind w:left="992" w:right="20" w:hanging="439"/>
        <w:spacing w:after="0" w:line="255" w:lineRule="auto"/>
        <w:tabs>
          <w:tab w:leader="none" w:pos="9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so long as any amount remains outstanding under a Promissory Note, without the prior written consent of the Investor, (A) the Company may only (other than with respect to a deemed Advance Notice pursuant to an Investor Notice) submit an Advance Notice if a Trigger Event has occurred and the obligation of the Company to make monthly prepayments under the Promissory Note has not ceased, and (B) the Investor shall pay the aggregate purchase price owed to the Company from such Advances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by offsetting the amount of the Advance Proceeds against an equal amount outstanding under the Promissory Note (first towards accrued and unpaid interest, and then towards outstanding principal and the corresponding payment premium (as set forth in the Promissory Note) in respect of such principal amount, if applicable).</w:t>
      </w:r>
    </w:p>
    <w:p>
      <w:pPr>
        <w:spacing w:after="0" w:line="94" w:lineRule="exact"/>
        <w:rPr>
          <w:rFonts w:ascii="Times New Roman" w:cs="Times New Roman" w:eastAsia="Times New Roman" w:hAnsi="Times New Roman"/>
          <w:sz w:val="18"/>
          <w:szCs w:val="18"/>
          <w:color w:val="auto"/>
        </w:rPr>
      </w:pPr>
    </w:p>
    <w:p>
      <w:pPr>
        <w:ind w:left="992" w:right="180" w:hanging="439"/>
        <w:spacing w:after="0" w:line="266" w:lineRule="auto"/>
        <w:tabs>
          <w:tab w:leader="none" w:pos="9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amount remains outstanding under the Commitment Fee, without the prior written consent of the Investor, the Investor shall reduce by half any Advance Proceeds due to the Company by offsetting such amount against the current outstanding amount of the Commitment Fee.</w:t>
      </w:r>
    </w:p>
    <w:p>
      <w:pPr>
        <w:spacing w:after="0" w:line="81" w:lineRule="exact"/>
        <w:rPr>
          <w:rFonts w:ascii="Times New Roman" w:cs="Times New Roman" w:eastAsia="Times New Roman" w:hAnsi="Times New Roman"/>
          <w:sz w:val="18"/>
          <w:szCs w:val="18"/>
          <w:color w:val="auto"/>
        </w:rPr>
      </w:pPr>
    </w:p>
    <w:p>
      <w:pPr>
        <w:jc w:val="both"/>
        <w:ind w:left="532" w:right="220" w:hanging="532"/>
        <w:spacing w:after="0" w:line="266" w:lineRule="auto"/>
        <w:tabs>
          <w:tab w:leader="none" w:pos="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Notice</w:t>
      </w:r>
      <w:r>
        <w:rPr>
          <w:rFonts w:ascii="Times New Roman" w:cs="Times New Roman" w:eastAsia="Times New Roman" w:hAnsi="Times New Roman"/>
          <w:sz w:val="18"/>
          <w:szCs w:val="18"/>
          <w:color w:val="auto"/>
        </w:rPr>
        <w:t>. At any time during the Commitment Period, provided that there is an outstanding balance under a Promissory Note, the Investor may, by delivering an Investor Notice to the Company, cause an Advance Notice to be deemed delivered to the Investor and the issuance and sale of Shares to the Investor pursuant to an Advance, in accordance with the following provisions:</w:t>
      </w:r>
    </w:p>
    <w:p>
      <w:pPr>
        <w:spacing w:after="0" w:line="81" w:lineRule="exact"/>
        <w:rPr>
          <w:rFonts w:ascii="Times New Roman" w:cs="Times New Roman" w:eastAsia="Times New Roman" w:hAnsi="Times New Roman"/>
          <w:sz w:val="18"/>
          <w:szCs w:val="18"/>
          <w:color w:val="auto"/>
        </w:rPr>
      </w:pPr>
    </w:p>
    <w:p>
      <w:pPr>
        <w:ind w:left="992" w:right="160" w:hanging="439"/>
        <w:spacing w:after="0" w:line="266" w:lineRule="auto"/>
        <w:tabs>
          <w:tab w:leader="none" w:pos="9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shall, in its sole discretion, select the amount of the Advance up to the Maximum Advance Amount, and the time it desires to deliver each Investor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the Advance selected shall not exceed the balance owed under all Promissory Notes outstanding on the date of delivery of the Investor Notice.</w:t>
      </w:r>
    </w:p>
    <w:p>
      <w:pPr>
        <w:spacing w:after="0" w:line="81" w:lineRule="exact"/>
        <w:rPr>
          <w:rFonts w:ascii="Times New Roman" w:cs="Times New Roman" w:eastAsia="Times New Roman" w:hAnsi="Times New Roman"/>
          <w:sz w:val="18"/>
          <w:szCs w:val="18"/>
          <w:color w:val="auto"/>
        </w:rPr>
      </w:pPr>
    </w:p>
    <w:p>
      <w:pPr>
        <w:ind w:left="992" w:hanging="439"/>
        <w:spacing w:after="0" w:line="258" w:lineRule="auto"/>
        <w:tabs>
          <w:tab w:leader="none" w:pos="9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Shares in respect of any Advance Notice deemed delivered pursuant to an Investor Notice shall be equal to the Conversion Price (as defined in the Promissory Note) in effect on the date of delivery of the Investor Notice. The Investor shall pay the Purchase Price for the Shares to be issued pursuant to the Investor Notice by offsetting the amount of the Purchase Price to be paid by the Investor against an equal amount outstanding under a Promissory Note (first towards accrued and unpaid interest, if any, then towards principal).</w:t>
      </w:r>
    </w:p>
    <w:p>
      <w:pPr>
        <w:spacing w:after="0" w:line="88" w:lineRule="exact"/>
        <w:rPr>
          <w:rFonts w:ascii="Times New Roman" w:cs="Times New Roman" w:eastAsia="Times New Roman" w:hAnsi="Times New Roman"/>
          <w:sz w:val="18"/>
          <w:szCs w:val="18"/>
          <w:color w:val="auto"/>
        </w:rPr>
      </w:pPr>
    </w:p>
    <w:p>
      <w:pPr>
        <w:ind w:left="992" w:right="60" w:hanging="439"/>
        <w:spacing w:after="0" w:line="274" w:lineRule="auto"/>
        <w:tabs>
          <w:tab w:leader="none" w:pos="99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Investor Notice shall set forth the amount of the Advance requested, the Purchase Price (which shall be equal to the Conversions Price) along with a report by Bloomberg, L.P. indicating the relevant VWAP used in calculating the Conversion Price, the number of Shares to be issued by the Company and purchased by the Investor, the aggregate amount of accrued and unpaid interest of the Promissory Note (if any) that shall be offset by the issuance of Shares, the aggregate amount of principal of the Promissory Note that shall be offset by the issuance of Shares, and the total amount of the Promissory Note that shall be outstanding following the closing of the Advance, and each Investor Notice shall serve as the Settlement Document in respect of such Advance.</w:t>
      </w:r>
    </w:p>
    <w:p>
      <w:pPr>
        <w:spacing w:after="0" w:line="105" w:lineRule="exact"/>
        <w:rPr>
          <w:rFonts w:ascii="Times New Roman" w:cs="Times New Roman" w:eastAsia="Times New Roman" w:hAnsi="Times New Roman"/>
          <w:sz w:val="17"/>
          <w:szCs w:val="17"/>
          <w:color w:val="auto"/>
        </w:rPr>
      </w:pPr>
    </w:p>
    <w:p>
      <w:pPr>
        <w:ind w:left="5032" w:hanging="106"/>
        <w:spacing w:after="0"/>
        <w:tabs>
          <w:tab w:leader="none" w:pos="50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572"/>
          </w:cols>
          <w:pgMar w:left="868" w:top="270" w:right="459" w:bottom="1440" w:gutter="0" w:footer="0" w:header="0"/>
        </w:sectPr>
      </w:pPr>
    </w:p>
    <w:bookmarkStart w:id="14" w:name="page15"/>
    <w:bookmarkEnd w:id="14"/>
    <w:p>
      <w:pPr>
        <w:ind w:left="992" w:right="20" w:hanging="439"/>
        <w:spacing w:after="0" w:line="261" w:lineRule="auto"/>
        <w:tabs>
          <w:tab w:leader="none" w:pos="9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delivery of an Investor Notice, a corresponding Advance Notice shall simultaneously and automatically be deemed to have been delivered by the Company to the Investor requesting the amount of the Advance set forth in the Investor Notice, and any conditions precedent to such Advance Notice under the terms of this Agreement that have not been satisfied shall be deemed to have been waived by the Investor.</w:t>
      </w:r>
    </w:p>
    <w:p>
      <w:pPr>
        <w:spacing w:after="0" w:line="85" w:lineRule="exact"/>
        <w:rPr>
          <w:rFonts w:ascii="Times New Roman" w:cs="Times New Roman" w:eastAsia="Times New Roman" w:hAnsi="Times New Roman"/>
          <w:sz w:val="18"/>
          <w:szCs w:val="18"/>
          <w:color w:val="auto"/>
        </w:rPr>
      </w:pPr>
    </w:p>
    <w:p>
      <w:pPr>
        <w:ind w:left="532" w:right="340" w:hanging="532"/>
        <w:spacing w:after="0" w:line="258" w:lineRule="auto"/>
        <w:tabs>
          <w:tab w:leader="none" w:pos="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Advance Notice</w:t>
      </w:r>
      <w:r>
        <w:rPr>
          <w:rFonts w:ascii="Times New Roman" w:cs="Times New Roman" w:eastAsia="Times New Roman" w:hAnsi="Times New Roman"/>
          <w:sz w:val="18"/>
          <w:szCs w:val="18"/>
          <w:color w:val="auto"/>
        </w:rPr>
        <w:t xml:space="preserve">.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 Advance Notice shall be deemed delivered on (i) the day it is received by the Investor if such notice is received by email at or before 8:30 a.m. Eastern Time (or later if waived by the Investor in its sole discretion), or (ii) the immediately succeeding day if it is received by email after 8:30 a.m. Eastern Time. An Advance Notice deemed delivered pursuant to an Investor Notice shall be deemed delivered on the same date upon which the Investor Notice is received by the Company.</w:t>
      </w:r>
    </w:p>
    <w:p>
      <w:pPr>
        <w:spacing w:after="0" w:line="88" w:lineRule="exact"/>
        <w:rPr>
          <w:rFonts w:ascii="Times New Roman" w:cs="Times New Roman" w:eastAsia="Times New Roman" w:hAnsi="Times New Roman"/>
          <w:sz w:val="18"/>
          <w:szCs w:val="18"/>
          <w:color w:val="auto"/>
        </w:rPr>
      </w:pPr>
    </w:p>
    <w:p>
      <w:pPr>
        <w:ind w:left="532" w:right="40" w:hanging="532"/>
        <w:spacing w:after="0" w:line="266" w:lineRule="auto"/>
        <w:tabs>
          <w:tab w:leader="none" w:pos="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w:t>
      </w:r>
      <w:r>
        <w:rPr>
          <w:rFonts w:ascii="Times New Roman" w:cs="Times New Roman" w:eastAsia="Times New Roman" w:hAnsi="Times New Roman"/>
          <w:sz w:val="18"/>
          <w:szCs w:val="18"/>
          <w:color w:val="auto"/>
        </w:rPr>
        <w:t>. Regardless of the number of Advance Shares requested by the Company in an Advance Notice, including an Advance Notice deemed delivered pursuant to an Investor Notice, the final number of Shares to be issued and sold pursuant to an Advance Notice shall be reduced (if at all) in accordance with each of the following limitations:</w:t>
      </w:r>
    </w:p>
    <w:p>
      <w:pPr>
        <w:spacing w:after="0" w:line="81" w:lineRule="exact"/>
        <w:rPr>
          <w:rFonts w:ascii="Times New Roman" w:cs="Times New Roman" w:eastAsia="Times New Roman" w:hAnsi="Times New Roman"/>
          <w:sz w:val="18"/>
          <w:szCs w:val="18"/>
          <w:color w:val="auto"/>
        </w:rPr>
      </w:pPr>
    </w:p>
    <w:p>
      <w:pPr>
        <w:ind w:left="992" w:hanging="439"/>
        <w:spacing w:after="0" w:line="253" w:lineRule="auto"/>
        <w:tabs>
          <w:tab w:leader="none" w:pos="9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4.99% of the then outstanding voting power or number of Common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119" w:lineRule="exact"/>
        <w:rPr>
          <w:rFonts w:ascii="Times New Roman" w:cs="Times New Roman" w:eastAsia="Times New Roman" w:hAnsi="Times New Roman"/>
          <w:sz w:val="18"/>
          <w:szCs w:val="18"/>
          <w:color w:val="auto"/>
        </w:rPr>
      </w:pPr>
    </w:p>
    <w:p>
      <w:pPr>
        <w:ind w:left="4992" w:hanging="111"/>
        <w:spacing w:after="0"/>
        <w:tabs>
          <w:tab w:leader="none" w:pos="499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72"/>
          </w:cols>
          <w:pgMar w:left="868" w:top="270" w:right="459" w:bottom="1440" w:gutter="0" w:footer="0" w:header="0"/>
        </w:sectPr>
      </w:pPr>
    </w:p>
    <w:bookmarkStart w:id="15" w:name="page16"/>
    <w:bookmarkEnd w:id="15"/>
    <w:p>
      <w:pPr>
        <w:ind w:left="992" w:right="60" w:hanging="439"/>
        <w:spacing w:after="0" w:line="256" w:lineRule="auto"/>
        <w:tabs>
          <w:tab w:leader="none" w:pos="9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Limitation</w:t>
      </w:r>
      <w:r>
        <w:rPr>
          <w:rFonts w:ascii="Times New Roman" w:cs="Times New Roman" w:eastAsia="Times New Roman" w:hAnsi="Times New Roman"/>
          <w:sz w:val="18"/>
          <w:szCs w:val="18"/>
          <w:color w:val="auto"/>
        </w:rPr>
        <w:t>. In no event shall an Advance exceed the amount registered under the Registration Statement then in effect (the “</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in respect of each Advance Notice; provided that in the event of any such automatic withdrawal and automatic modification, Investor will promptly notify the Company of such event.</w:t>
      </w:r>
    </w:p>
    <w:p>
      <w:pPr>
        <w:spacing w:after="0" w:line="92" w:lineRule="exact"/>
        <w:rPr>
          <w:rFonts w:ascii="Times New Roman" w:cs="Times New Roman" w:eastAsia="Times New Roman" w:hAnsi="Times New Roman"/>
          <w:sz w:val="18"/>
          <w:szCs w:val="18"/>
          <w:color w:val="auto"/>
        </w:rPr>
      </w:pPr>
    </w:p>
    <w:p>
      <w:pPr>
        <w:ind w:left="992" w:hanging="439"/>
        <w:spacing w:after="0" w:line="252" w:lineRule="auto"/>
        <w:tabs>
          <w:tab w:leader="none" w:pos="9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Notwithstanding anything to contrary herein, the Company shall not affect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 of the outstanding Common Shares as of the date of this Agreement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the Exchange Cap will not apply if (a) the Company’s stockholders have approved issuances in excess of the Exchange Cap in accordance with the rules of the Principal Market, (b) the Company is permitted to follow its home country practices instead of the stockholder approval requirements of Nasdaq Rule 5635, and has made such election to follow home country practice in accordance with the Nasdaq Rules, or (c) the average price of all applicable sales of Ordinary Shares hereunder (including any sales covered by an Advance Notice that has been delivered prior to the determination of whether this clause (c) applies) equals or exceeds the lower of (i) the Nasdaq Official Closing Price (as reflected on Nasdaq.com) immediately preceding the Effective Date; or (ii) the average Nasdaq Official Closing Price for the five Trading Days immediately preceding the Effective Date. In connection with each 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102"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92" w:right="60" w:hanging="439"/>
        <w:spacing w:after="0" w:line="266" w:lineRule="auto"/>
        <w:tabs>
          <w:tab w:leader="none" w:pos="9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Advance Notice, the Company may notify the Investor of the MAP with respect to such Advance by indicating a MAP on such Advance Notice. If no MAP is specified in an Advance Notice, then no MAP shall be in effect in connection with such Advance. Each Trading Day</w:t>
      </w:r>
    </w:p>
    <w:p>
      <w:pPr>
        <w:spacing w:after="0" w:line="108" w:lineRule="exact"/>
        <w:rPr>
          <w:rFonts w:ascii="Times New Roman" w:cs="Times New Roman" w:eastAsia="Times New Roman" w:hAnsi="Times New Roman"/>
          <w:sz w:val="18"/>
          <w:szCs w:val="18"/>
          <w:color w:val="auto"/>
        </w:rPr>
      </w:pPr>
    </w:p>
    <w:p>
      <w:pPr>
        <w:ind w:left="4992" w:hanging="108"/>
        <w:spacing w:after="0"/>
        <w:tabs>
          <w:tab w:leader="none" w:pos="499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552"/>
          </w:cols>
          <w:pgMar w:left="868" w:top="270" w:right="479" w:bottom="1440" w:gutter="0" w:footer="0" w:header="0"/>
        </w:sectPr>
      </w:pPr>
    </w:p>
    <w:bookmarkStart w:id="16" w:name="page17"/>
    <w:bookmarkEnd w:id="16"/>
    <w:p>
      <w:pPr>
        <w:ind w:left="14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result in an automatic reduction to the number of Advance Shares set forth in such Advance Notice by one-third (the resulting amount of each Advance being the “</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and each Excluded Day shall be excluded from the Pricing Period for purposes of determining the Market Price.</w:t>
      </w:r>
    </w:p>
    <w:p>
      <w:pPr>
        <w:spacing w:after="0" w:line="89" w:lineRule="exact"/>
        <w:rPr>
          <w:sz w:val="20"/>
          <w:szCs w:val="20"/>
          <w:color w:val="auto"/>
        </w:rPr>
      </w:pPr>
    </w:p>
    <w:p>
      <w:pPr>
        <w:ind w:left="1420" w:hanging="439"/>
        <w:spacing w:after="0" w:line="25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 MAP in effect with respect to an Advance Notice and there is an Excluded Day, 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equal to the number of Common Shares sold by the Investor on such Excluded Day, if any, and the price paid per share for each Additional Share shall be equal to the MAP in effect with respect to such Advance Notice multiplied by 97%, provided that this increase shall not cause the total Advance Shares to exceed the amount set forth in the original Advance Notice or any limitations set forth in Section 3.01(d).</w:t>
      </w:r>
    </w:p>
    <w:p>
      <w:pPr>
        <w:spacing w:after="0" w:line="92"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Notwithstanding any other provision in this Agreement, the Company and the Investor acknowledge and agree that upon the Investor’s receipt of a valid Advance Notice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7.18 (Selling Restrictions), the Investor may sell Common Shares during the Pricing Period that that Investor is unconditionally obligated to purchase under a pending Advance Notice but has not yet received from the Company or the transfer agent pursuant to this Agreement.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and purchase of Advance Shares (whether pursuant to an Advance Notice delivered by the Company or in connection with an Advance Notice deemed delivered by the Company in connection with an Investor Notice,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applicable Advance Date in accordance with the procedures set forth below. The parties acknowledge that, other than in connection with an Investor Notice,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94" w:lineRule="exact"/>
        <w:rPr>
          <w:sz w:val="20"/>
          <w:szCs w:val="20"/>
          <w:color w:val="auto"/>
        </w:rPr>
      </w:pPr>
    </w:p>
    <w:p>
      <w:pPr>
        <w:ind w:left="960" w:right="260" w:hanging="532"/>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Advance Date, the Investor shall deliver to the Company a written document, in the form attached hereto as Exhibit B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setting forth the final number of Shares to be issued to and purchased by the Investor (taking into account any adjustments pursuant to Section 3.01), the Market Price, the Purchase Price, the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0"/>
          </w:cols>
          <w:pgMar w:left="440" w:top="270" w:right="459" w:bottom="1440" w:gutter="0" w:footer="0" w:header="0"/>
        </w:sectPr>
      </w:pPr>
    </w:p>
    <w:bookmarkStart w:id="17" w:name="page18"/>
    <w:bookmarkEnd w:id="17"/>
    <w:p>
      <w:pPr>
        <w:ind w:left="560" w:right="3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proceeds to be paid by the Investor to the Company, and a report by Bloomberg, L.P. indicating the VWAP for each of the Trading Days during the Pricing Period or period for determining the Conversion Price (or, if not reported on Bloomberg, L.P., another reporting service reasonably agreed to by the parties), in each case in accordance with the terms and conditions of this Agreement.</w:t>
      </w:r>
    </w:p>
    <w:p>
      <w:pPr>
        <w:spacing w:after="0" w:line="63" w:lineRule="exact"/>
        <w:rPr>
          <w:sz w:val="20"/>
          <w:szCs w:val="20"/>
          <w:color w:val="auto"/>
        </w:rPr>
      </w:pPr>
    </w:p>
    <w:p>
      <w:pPr>
        <w:ind w:left="540" w:hanging="532"/>
        <w:spacing w:after="0" w:line="25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the Company will allot and will, or will cause its transfer agent to, electronically issue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either (i) in the case of an Advance Notice submitted other than after the occurrence of a Trigger Event, in cash in immediately available funds to an account designated by the Company in writing and transmit notification to the Company that such funds transfer has been requested, or (ii) in the case of an Investor Notice or an Advance Notice submitted after the occurrence of a Trigger Event, as an offset of amounts owed under the Promissory Note as described in Section 3.01(b)(iii).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100" w:lineRule="exact"/>
        <w:rPr>
          <w:rFonts w:ascii="Times New Roman" w:cs="Times New Roman" w:eastAsia="Times New Roman" w:hAnsi="Times New Roman"/>
          <w:sz w:val="18"/>
          <w:szCs w:val="18"/>
          <w:color w:val="auto"/>
        </w:rPr>
      </w:pPr>
    </w:p>
    <w:p>
      <w:pPr>
        <w:ind w:left="540" w:right="140" w:hanging="532"/>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81" w:lineRule="exact"/>
        <w:rPr>
          <w:rFonts w:ascii="Times New Roman" w:cs="Times New Roman" w:eastAsia="Times New Roman" w:hAnsi="Times New Roman"/>
          <w:sz w:val="18"/>
          <w:szCs w:val="18"/>
          <w:color w:val="auto"/>
        </w:rPr>
      </w:pPr>
    </w:p>
    <w:p>
      <w:pPr>
        <w:ind w:left="540" w:right="100" w:hanging="532"/>
        <w:spacing w:after="0" w:line="25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other than in respect of Advance Notices deemed to be given pursuant to Investor Notices,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60" w:top="270"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Investor sells Common Shares after receipt, or deemed receipt, of an Advance Notice and the Company fails to perform its obligations as mandated in this Agreement, the Company agrees that in addition to and in no way limiting the rights and obligations set forth in Article VII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other rules of the Principal Market), without the posting of a bond or other security, the terms and provisions of this Agreement.</w:t>
      </w:r>
    </w:p>
    <w:p>
      <w:pPr>
        <w:spacing w:after="0" w:line="97"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an Advance Notice and the Investor fails to perform its obligations as mandated in Section 3.02, the Investor agrees that in addition to and in no way limiting the rights and obligations set forth in Article VII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(x) purchased the full Commitment Amount and has completed the subsequent resale of the full Commitment Amount pursuant to the Registration Statement, and (y) the entirety of the Pre-Paid Advance has been paid back in full, the Investor will notify the Company that all subsequent resales are completed and the Company will be under no further obligation to maintain the effectiveness of the Registration Statement.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Investor</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Investor represents and warrants to the Original Company, as of the date hereof, as of each Advance Notice Date and each Advance Date in the period prior to completion of the Pre-Closing Demerger (and thereafter shall give the same representation and warranties to the Company on each Advance Notice Date and each Advance Date in the period prior to completion of the Pre-Closing Demerger) that: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Cayman Islands and has the requisite corporate power and authority to enter into and perform its obligations under the Transaction Documents to which it is a party and this Agreement and to purchase or acquire Shares in accordance with the terms hereof. The decision to invest and the execution and delivery of the Transaction Documents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960"/>
          </w:cols>
          <w:pgMar w:left="440" w:top="270" w:right="499" w:bottom="1440" w:gutter="0" w:footer="0" w:header="0"/>
        </w:sectPr>
      </w:pPr>
    </w:p>
    <w:bookmarkStart w:id="19" w:name="page20"/>
    <w:bookmarkEnd w:id="1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it is a party and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this Agreement and all other instruments on behalf of the Investor or its shareholders. This Agreement and the Transaction Documents to which it is a party have been duly executed and delivered by the Investor and, assuming the execution and delivery hereof and acceptance thereof by the Original Company and/or the Company (as applicable), will constitute the legal, valid and binding obligations of the Investor, enforceable against the Investor in accordance with its terms.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the Transaction Documents and this Agreement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Common Shares and the Promissory Note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Investor is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501(a)(3) of Regulation D.</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70" w:right="459" w:bottom="1440" w:gutter="0" w:footer="0" w:header="0"/>
        </w:sectPr>
      </w:pPr>
    </w:p>
    <w:bookmarkStart w:id="20" w:name="page21"/>
    <w:bookmarkEnd w:id="2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4.08 General Solicitation.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the Company</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as set forth in the SEC Documents or the Business Combination Agreement,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60" w:right="120" w:hanging="532"/>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representations and warranties to be given to the Investor on the date hereof and each Advance Notice Date and each Advance Date in the period prior to closing of the Pre-Closing Demerger, shall be given by the Original Company (and not the Company) and all references to “Company” in this Article IV should read as the “Original Company”;</w:t>
      </w:r>
    </w:p>
    <w:p>
      <w:pPr>
        <w:spacing w:after="0" w:line="81"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representations and warranties to be given on each Advance Notice Date and each Advance Date on or after closing of the Pre-Closing Demerger, (and on the basis the Original Company will have ceased to be part of the Rezolve Group upon closing of the Pre-Closing Demerger), references to the Company refer to the Company and its subsidiaries after completion of the Pre-Closing Demerger save to the extent that any of the representations and warranties refer back to the position as at the date hereof or before completion of the Pre-Closing Demerger in which case they shall refer to the Original Company and the group companies at that time consisting of the Original Company and its subsidiaries.</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00"/>
          </w:cols>
          <w:pgMar w:left="440" w:top="270" w:right="45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Intercreditor Agreement, the Registration Rights Agreement, the Global Guaranty Agreement, any Promissory Note issued by the Company hereunder, and each of the other agreements and instruments entered into or delivered by any of the parties hereto in connection with the transactions contemplated hereby and thereby, as may be amended from time to time.</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 As of the date of the Pre-Paid Advance Closing, and at all times thereafter, the Company shall have reserved from its duly authorized capital stock not less than the number of Common Shares issuable upon conversion of the Promissory Note (assuming for purposes hereof that (x) such Promissory Note is convertible at a Conversion Price (as defined in the Promissory Note) equal to the Floor Price as of the date of determination, and (y) any such conversion shall not take into account any limitations on the conversion of the Promissory Note set forth therein).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that such violations would not reasonably be expected to have a Material Adverse Effect.</w:t>
      </w:r>
    </w:p>
    <w:p>
      <w:pPr>
        <w:spacing w:after="0" w:line="18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Section 5.06 The Company understands and acknowledges that the number of Common Shares issuable upon conversion of the Promissory Note will increase in certain circumstances. The Company further acknowledges its obligation to issue the Common Shares upon conversion of the Promissory Note in accordance with the terms thereof or upon delivery of an Advance Notice (including upon receipt of an Investor Notice) is absolute and unconditional regardless of the dilutive effect that such issuance may have on the ownership interests of other stockholders of the Company.</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The Company has timely filed (giving effect to permissible extensions in accordance with Rule 12b-25 under the Exchange Act) all reports, schedules, forms, statements and other documents required to be filed by it with the SEC pursuant to the Exchange Act for the two years preceding the date of such representation (or such shorter period as the Company was required by law or regulation to file such material) (all of the foregoing filed within two years preceding the date of such representation or amended or filed after the date of such representation, and all exhibits included therein and financial statements and schedules thereto and documents incorporated by reference therein, and all registration statements filed by the Company under the Securities Act (including any Registration Statements filed hereunder), being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delivered or made available to the Investor through the SEC’s website at http://www.sec.gov, true and complete copies of the SEC Documents. As of their respective dates (or, with respect to any filing that has been amended or superseded, the date of such amendment or superseding filing),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980"/>
          </w:cols>
          <w:pgMar w:left="440" w:top="270" w:right="47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will not have from Listing any material liabilities or obligations, direct or contingent (including any off-balance sheet obligations), not described in the SEC Documents (excluding the exhibits thereto) as at the date to which such SEC Documents are made up; and all disclosures contained or incorporated by reference in the SEC Documents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It is acknowledged that the Company is not listed as at the date of this Agreement.</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meet the requirements of Rule 415 under the Securities Act and comply in all material respects with said Rule. Any statutes, regulations, contracts or other documents that are required to be described in a Registration Statement or a Prospectus, or to be filed as exhibits to a Registration Statement have been so described or filed. Copies of each Registration Statement, any Prospectus, and any such amendments or supplements thereto and all documents incorporated by reference therein that were filed with the Commission on or prior to the date of this Agreement have been delivered, or are publicly available through the SEC’s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and the Prospectus. to which the Investor has consented.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00"/>
          </w:cols>
          <w:pgMar w:left="440" w:top="270" w:right="459" w:bottom="1440" w:gutter="0" w:footer="0" w:header="0"/>
        </w:sectPr>
      </w:pPr>
    </w:p>
    <w:bookmarkStart w:id="24" w:name="page25"/>
    <w:bookmarkEnd w:id="2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amendment or supplement,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2"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ind w:left="4" w:right="180"/>
        <w:spacing w:after="0" w:line="271" w:lineRule="auto"/>
        <w:rPr>
          <w:sz w:val="20"/>
          <w:szCs w:val="20"/>
          <w:color w:val="auto"/>
        </w:rPr>
      </w:pPr>
      <w:r>
        <w:rPr>
          <w:rFonts w:ascii="Times New Roman" w:cs="Times New Roman" w:eastAsia="Times New Roman" w:hAnsi="Times New Roman"/>
          <w:sz w:val="17"/>
          <w:szCs w:val="17"/>
          <w:color w:val="auto"/>
        </w:rPr>
        <w:t xml:space="preserve">Section 5.12 </w:t>
      </w:r>
      <w:r>
        <w:rPr>
          <w:rFonts w:ascii="Times New Roman" w:cs="Times New Roman" w:eastAsia="Times New Roman" w:hAnsi="Times New Roman"/>
          <w:sz w:val="17"/>
          <w:szCs w:val="17"/>
          <w:u w:val="single" w:color="auto"/>
          <w:color w:val="auto"/>
        </w:rPr>
        <w:t>Equity Capitalization</w:t>
      </w:r>
      <w:r>
        <w:rPr>
          <w:rFonts w:ascii="Times New Roman" w:cs="Times New Roman" w:eastAsia="Times New Roman" w:hAnsi="Times New Roman"/>
          <w:sz w:val="17"/>
          <w:szCs w:val="17"/>
          <w:color w:val="auto"/>
        </w:rPr>
        <w:t xml:space="preserve">. The issued capital shares of the Original Company as of the date hereof consist of (i) 991,285,224 Ordinary Shares of a par value of £0.0001 each and (ii) 28,039,517 Series A Shares of a par value of £0.0001 each and 14,427,185 Deferred Shares of £0.0001 each. There are no securities or instruments issued by or to which the Original Company is a party containing anti-dilution or similar provisions that will be triggered by the issuance of the Shares. Upon the closing of the Business Combination, the Ordinary Shares (the number and nominal value of which will be as adjusted as a consequence of the </w:t>
      </w:r>
      <w:r>
        <w:rPr>
          <w:rFonts w:ascii="Times New Roman" w:cs="Times New Roman" w:eastAsia="Times New Roman" w:hAnsi="Times New Roman"/>
          <w:sz w:val="17"/>
          <w:szCs w:val="17"/>
          <w:u w:val="single" w:color="auto"/>
          <w:color w:val="auto"/>
        </w:rPr>
        <w:t>Pre-closing Reorganization</w:t>
      </w:r>
      <w:r>
        <w:rPr>
          <w:rFonts w:ascii="Times New Roman" w:cs="Times New Roman" w:eastAsia="Times New Roman" w:hAnsi="Times New Roman"/>
          <w:sz w:val="17"/>
          <w:szCs w:val="17"/>
          <w:color w:val="auto"/>
        </w:rPr>
        <w:t>) will be registered pursuant to Section 12(b) of the Exchange Act and will be listed on a Principal Market (“</w:t>
      </w: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Original Company has taken no action designed to, or likely to have the effect of, terminating the registration of the Ordinary Shares under the Exchange Act or delisting the Ordinary Shares from the Principal Market, nor has the Company received any notification that the Commission or the Principal Market is contemplating terminating such registration or listing. To the Original Company’s knowledge, it will be in compliance with all applicable listing requirements of the Principal Market upon the closing of the Business Combination.</w:t>
      </w:r>
    </w:p>
    <w:p>
      <w:pPr>
        <w:spacing w:after="0" w:line="173" w:lineRule="exact"/>
        <w:rPr>
          <w:sz w:val="20"/>
          <w:szCs w:val="20"/>
          <w:color w:val="auto"/>
        </w:rPr>
      </w:pPr>
    </w:p>
    <w:p>
      <w:pPr>
        <w:ind w:left="4" w:right="400"/>
        <w:spacing w:after="0" w:line="276"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u w:val="single" w:color="auto"/>
          <w:color w:val="auto"/>
        </w:rPr>
        <w:t>Existing Securities; Obligations</w:t>
      </w:r>
      <w:r>
        <w:rPr>
          <w:rFonts w:ascii="Times New Roman" w:cs="Times New Roman" w:eastAsia="Times New Roman" w:hAnsi="Times New Roman"/>
          <w:sz w:val="17"/>
          <w:szCs w:val="17"/>
          <w:color w:val="auto"/>
        </w:rPr>
        <w:t>. Except as disclosed in the SEC Documents: (A) none of the Company’s or any Subsidiary’s shares, interests or capital stock is subject to preemptive rights or any other similar rights or liens suffered or permitted by the Company or any Subsidiary;</w:t>
      </w:r>
    </w:p>
    <w:p>
      <w:pPr>
        <w:spacing w:after="0" w:line="1" w:lineRule="exact"/>
        <w:rPr>
          <w:sz w:val="20"/>
          <w:szCs w:val="20"/>
          <w:color w:val="auto"/>
        </w:rPr>
      </w:pPr>
    </w:p>
    <w:p>
      <w:pPr>
        <w:ind w:left="4" w:right="20" w:hanging="4"/>
        <w:spacing w:after="0" w:line="255"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4"/>
          </w:cols>
          <w:pgMar w:left="436" w:top="270" w:right="45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 -dilution or similar provisions that will be triggered by the issuance of the Shares; and (F) neither the Company nor any Subsidiary has entered into any Variable Rate Transaction.</w:t>
      </w:r>
    </w:p>
    <w:p>
      <w:pPr>
        <w:spacing w:after="0" w:line="18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 the Company is not aware of any facts or circumstances which might give rise to any of the foregoing.</w:t>
      </w:r>
    </w:p>
    <w:p>
      <w:pPr>
        <w:spacing w:after="0" w:line="173"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 xml:space="preserve">Section 5.15 </w:t>
      </w:r>
      <w:r>
        <w:rPr>
          <w:rFonts w:ascii="Times New Roman" w:cs="Times New Roman" w:eastAsia="Times New Roman" w:hAnsi="Times New Roman"/>
          <w:sz w:val="17"/>
          <w:szCs w:val="17"/>
          <w:u w:val="single" w:color="auto"/>
          <w:color w:val="auto"/>
        </w:rPr>
        <w:t>Employee Relations</w:t>
      </w:r>
      <w:r>
        <w:rPr>
          <w:rFonts w:ascii="Times New Roman" w:cs="Times New Roman" w:eastAsia="Times New Roman" w:hAnsi="Times New Roman"/>
          <w:sz w:val="17"/>
          <w:szCs w:val="17"/>
          <w:color w:val="auto"/>
        </w:rPr>
        <w:t>. Neither the Company nor any of its Subsidiaries is involved in any labor dispute nor, to the knowledge of the Company or any of its Subsidiaries, is any such dispute threatened, in each case which is reasonably likely to cause a Material Adverse Effect.</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940"/>
          </w:cols>
          <w:pgMar w:left="440" w:top="270" w:right="51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and other than for the debentures in favor of Apeiron Investment Group Ltd dated respectively 16 December 2021 and 21 November 2022 and the debenture in favor of GLAS Trust Corporation Limited (as security agent) dated 23 May 2023.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0980"/>
          </w:cols>
          <w:pgMar w:left="440" w:top="270"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As of the date hereof, the Company has no direct or indirect subsidiaries, except as disclosed in the SEC Documents.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or the issue of shares to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Common Shares offered hereunder on a right of first refusal basis to any third parties including, but not limited to, current or former shareholders of the Company, underwriters, brokers, agents or other third parties.</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Common Shares hereunder could cause dilution to existing shareholders and could significantly increase the outstanding number of Common Shares.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or the Promissory Note.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acknowledged and agrees that it is capable of evaluating and understanding, and understands and accepts, the terms, risks and conditions of the transactions contemplated by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000"/>
          </w:cols>
          <w:pgMar w:left="440" w:top="270" w:right="459" w:bottom="1440" w:gutter="0" w:footer="0" w:header="0"/>
        </w:sectPr>
      </w:pPr>
    </w:p>
    <w:bookmarkStart w:id="28" w:name="page29"/>
    <w:bookmarkEnd w:id="2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5.28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5.29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affiliates, nor any person acting on its or their behalf is a client or customer of the Investor or any of its affiliates and neither the Investor nor any of its affiliates has provided, or will provide, any services to the Company or any of its affiliates, its subsidiaries, or any person acting on its or their behalf. The Investor’s relationship to Company is solely as investor as provided for in the Transaction Documents.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Section 5.30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the Applicable Law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5.31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5.32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which amount to non-compliance with Applicable Laws, in each case that would have a Material Adverse Effect.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5.33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region,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(but other than China). Neither the Company nor any of its Subsidiaries will, directly or indirectly, use the proceeds from the sale of Advance Shares or the Pre-Paid Advance, or lend, contribute or otherwise make available such proceeds to any subsidiary, joint venture partner or other Person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000"/>
          </w:cols>
          <w:pgMar w:left="440" w:top="270" w:right="459" w:bottom="1440" w:gutter="0" w:footer="0" w:header="0"/>
        </w:sectPr>
      </w:pPr>
    </w:p>
    <w:bookmarkStart w:id="29" w:name="page30"/>
    <w:bookmarkEnd w:id="29"/>
    <w:p>
      <w:pPr>
        <w:ind w:left="4" w:right="60" w:hanging="4"/>
        <w:spacing w:after="0" w:line="254"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funding or facilitating any activities or business of or with any Person or in any country or territory that, at the time of such funding or facilitation, is the subject of Sanctions or is a Sanctioned Country, to the extent of the sanctions program applicable to such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to the extent of the sanctions program applicable to such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200" w:lineRule="exact"/>
        <w:rPr>
          <w:sz w:val="20"/>
          <w:szCs w:val="20"/>
          <w:color w:val="auto"/>
        </w:rPr>
      </w:pPr>
    </w:p>
    <w:p>
      <w:pPr>
        <w:spacing w:after="0" w:line="204"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Armada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set forth in the Armada SEC Reports, Armada represents and warrants to the Investor that:</w:t>
      </w:r>
    </w:p>
    <w:p>
      <w:pPr>
        <w:spacing w:after="0" w:line="117"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Section 6.01 As of the date hereof, Armada is duly formed, validly existing and in good standing under the laws of the State of Delaware, and has the corporate power and authority to own, lease and operate its properties and to conduct its business as presently conducted and to enter into, deliver and perform its obligations under this Agreement.</w:t>
      </w:r>
    </w:p>
    <w:p>
      <w:pPr>
        <w:spacing w:after="0" w:line="176"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Section 6.02 This Agreement has been duly authorized, executed and delivered by Armada and is enforceable against Armada in accordance with its terms, except as may be limited or otherwise affected by bankruptcy, insolvency, fraudulent conveyance, reorganization, moratorium or other laws relating to or affecting creditors’ rights generally and principles of equity, whether considered at law or equity.</w:t>
      </w:r>
    </w:p>
    <w:p>
      <w:pPr>
        <w:spacing w:after="0" w:line="176"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Section 6.03 All reports (the “</w:t>
      </w:r>
      <w:r>
        <w:rPr>
          <w:rFonts w:ascii="Times New Roman" w:cs="Times New Roman" w:eastAsia="Times New Roman" w:hAnsi="Times New Roman"/>
          <w:sz w:val="18"/>
          <w:szCs w:val="18"/>
          <w:u w:val="single" w:color="auto"/>
          <w:color w:val="auto"/>
        </w:rPr>
        <w:t>Armada SEC Reports</w:t>
      </w:r>
      <w:r>
        <w:rPr>
          <w:rFonts w:ascii="Times New Roman" w:cs="Times New Roman" w:eastAsia="Times New Roman" w:hAnsi="Times New Roman"/>
          <w:sz w:val="18"/>
          <w:szCs w:val="18"/>
          <w:color w:val="auto"/>
        </w:rPr>
        <w:t>”) required to be filed by Armada with the SEC complied in all material respects with the applicable requirements of the Securities Act and the Exchange Act, and the rules and regulations of the SEC promulgated thereunder, and none of Armada SEC Reports, when filed, contained any untrue statement of a material fact or omitted to state a material fact required to be stated therein or necessary in order to make the statements therein, in the light of the circumstances under which they were made, not misleading. As of the date hereof, there are no material outstanding or unresolved comments in comment letters received from the staff of the Division of Corporation Finance of the SEC with respect to any of the Armada SEC Reports.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Section 6.04 Armada has not entered into any agreement or arrangement entitling any agent, broker, investment banker, financial advisor or other person to any broker’s or finder’s fee or any other commission or similar fee in connection with the transactions contemplated by this Agreement for which the Investor could become liable. Armada is not aware of any person that has been or will be paid (directly or indirectly) remuneration for solicitation of purchasers in connection with the sale of any Shares sold to the Investor 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0984"/>
          </w:cols>
          <w:pgMar w:left="436" w:top="270" w:right="479" w:bottom="1440" w:gutter="0" w:footer="0" w:header="0"/>
        </w:sectPr>
      </w:pPr>
    </w:p>
    <w:bookmarkStart w:id="30" w:name="page31"/>
    <w:bookmarkEnd w:id="3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 Indemnification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Investor and the Company represent to the other the following with respect to itself: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hereunder and as an inducement to Armada to execute and deliver this Agreement, and in addition to all of the Company’s other obligations under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the Company shall defend, protect, indemnify and hold harmless (i) Armada and its sponsor, Armada Sponsor, LLC, and each of their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respective officers, directors, managers, members, partners, employees and agents (the “</w:t>
      </w:r>
      <w:r>
        <w:rPr>
          <w:rFonts w:ascii="Times New Roman" w:cs="Times New Roman" w:eastAsia="Times New Roman" w:hAnsi="Times New Roman"/>
          <w:sz w:val="18"/>
          <w:szCs w:val="18"/>
          <w:u w:val="single" w:color="auto"/>
          <w:color w:val="auto"/>
        </w:rPr>
        <w:t>Armada Indemnitees</w:t>
      </w:r>
      <w:r>
        <w:rPr>
          <w:rFonts w:ascii="Times New Roman" w:cs="Times New Roman" w:eastAsia="Times New Roman" w:hAnsi="Times New Roman"/>
          <w:sz w:val="18"/>
          <w:szCs w:val="18"/>
          <w:color w:val="auto"/>
        </w:rPr>
        <w:t>”) and (ii) the Investor and its investment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manager, Yorkville Advisors Global, LP, and each of their respective officers, directors, managers, members, partners, employees and agents (including,</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without limitation, with respect to the Investor and its investment manager, those retained in connection with the transactions contemplated by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and each person who controls the Investor within the meaning of Section 15 of the Securities Act or Section 20 of the Exchange 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u w:val="single" w:color="auto"/>
          <w:color w:val="auto"/>
        </w:rPr>
        <w:t>Investor Indemnitees</w:t>
      </w:r>
      <w:r>
        <w:rPr>
          <w:rFonts w:ascii="Times New Roman" w:cs="Times New Roman" w:eastAsia="Times New Roman" w:hAnsi="Times New Roman"/>
          <w:sz w:val="17"/>
          <w:szCs w:val="17"/>
          <w:color w:val="auto"/>
        </w:rPr>
        <w:t>”) from and against any and all actions, causes of action, suits, claims, losses, costs, penalties, fees, liabilities and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damages, and reasonable and documented expenses in connection therewith (irrespective of whether any such Armada Indemnitee or Investor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Indemnitee is a party to the action for which indemnification hereunder is sought), and including reasonable attorneys’ fees and disbursements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respectively by the Armada Indemnitees or the Investor Indemnitees or any of them to the extent arising out of or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result of, (a) any untrue statement or alleged untrue statement of a material fact contained in the Registration Statement for the registration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as originally filed or in any amendment thereof, or in any related prospectus, or in any amendment thereof or supplement thereto, or arise out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are based upon the omission or alleged omission to state therein a material fact required to be stated therein or necessary to make the statements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liability arises out of or is based upon any such untrue statement or alleged untrue statement or omission or alleged omission made therein in reliance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and in conformity with written information furnished to the Company by or on behalf of Armada or the Investor specifically for inclusion therein;</w:t>
      </w:r>
    </w:p>
    <w:p>
      <w:pPr>
        <w:spacing w:after="0" w:line="9" w:lineRule="exact"/>
        <w:rPr>
          <w:sz w:val="20"/>
          <w:szCs w:val="20"/>
          <w:color w:val="auto"/>
        </w:rPr>
      </w:pPr>
    </w:p>
    <w:p>
      <w:pPr>
        <w:ind w:left="4" w:hanging="4"/>
        <w:spacing w:after="0" w:line="253"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87"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984"/>
          </w:cols>
          <w:pgMar w:left="436" w:top="266" w:right="479" w:bottom="1440" w:gutter="0" w:footer="0" w:header="0"/>
        </w:sectPr>
      </w:pPr>
    </w:p>
    <w:bookmarkStart w:id="31" w:name="page32"/>
    <w:bookmarkEnd w:id="31"/>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retained in connection with the transactions contemplated by this Agreement) and each person who controls the Company within the meaning of Section 15 of the Securities Act or Section 20 of the Exchange Act (collectively, the “</w:t>
      </w:r>
      <w:r>
        <w:rPr>
          <w:rFonts w:ascii="Times New Roman" w:cs="Times New Roman" w:eastAsia="Times New Roman" w:hAnsi="Times New Roman"/>
          <w:sz w:val="17"/>
          <w:szCs w:val="17"/>
          <w:u w:val="single" w:color="auto"/>
          <w:color w:val="auto"/>
        </w:rPr>
        <w:t>Company Indemnitees</w:t>
      </w:r>
      <w:r>
        <w:rPr>
          <w:rFonts w:ascii="Times New Roman" w:cs="Times New Roman" w:eastAsia="Times New Roman" w:hAnsi="Times New Roman"/>
          <w:sz w:val="17"/>
          <w:szCs w:val="17"/>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Investor will only be liable for written information relating to the Investor furnished to the Company by or on behalf of the Investor specifically for inclusion in the documents referred to in the foregoing indemnity;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1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Armada Indemnitee, or Company Indemnitee of notice of the commencement of any action or proceeding (including any governmental action or proceeding) involving an Indemnified Liability, such Investor Indemnitee, Armada Indemnitee, or Company Indemnitee, as applicable, shall, if a claim for an Indemnified Liability in respect thereof is to be made against any indemnifying party under this Article VII, deliver to the indemnifying party a written notice of the commencement thereof; but the failure to so notify the indemnifying party will not relieve it of liability under this Article VII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Armada Indemnitee, or Company Indemnitee, as the case may be; provided, however, that an Investor Indemnitee, Armada Indemnitee, or Company Indemnitee shall have the right to retain its own counsel with the actual and reasonable third party fees and expenses of not more than one counsel for such Investor Indemnitee, Armada Indemnitee or Company Indemnitee to be paid by the indemnifying party, if, in the reasonable opinion of counsel retained by the indemnifying party, the representation by such counsel of the Investor Indemnitee, Armada Indemnitee or Company Indemnitee and the indemnifying party would be inappropriate due to actual or potential differing interests between such Investor Indemnitee, Armada Indemnitee or Company Indemnitee and any other party represented by such counsel in such proceeding. The Investor Indemnitee, Armada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Armada Indemnitee or Company Indemnitee which relates to such action or claim. The indemnifying party shall keep the Investor Indemnitee, Armada Indemnitee or Company Indemnitee reasonably apprised as to the status of the defense or any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0980"/>
          </w:cols>
          <w:pgMar w:left="440" w:top="270" w:right="47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Armada Indemnitee or Company Indemnitee, consent to entry of any judgment or enter into any settlement or other compromise which does not include as an unconditional term thereof the giving by the claimant or plaintiff to such Investor Indemnitee, Armada Indemnitee or Company Indemnitee of a release from all liability in respect to such claim or litigation. Following indemnification as provided for hereunder, the indemnifying party shall be subrogated to all rights of the Investor Indemnitee, Armada Indemnitee or Company Indemnitee with respect to all third parties, firms or corporations relating to the matter for which indemnification has been made. The indemnification required by this Article VII shall be made by periodic payments of the amount thereof during the course of the investigation or defense, as and when bills are received and payment therefor is due.</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VI are not exclusive and shall not limit any right or remedy which may be available to any indemnified person at law or equity. The obligations of the parties to indemnify or make contribution under this Article VII shall survive expiration or termination of this Agreement.</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be entitled to recover from the other party for punitive, indirect, incidental or consequential damages.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00" w:hanging="532"/>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prepare and file with the SEC a Registration Statement, or multiple Registration Statements for the resale by the Investor of the Registrable Securities, subject to closing of the Business Combination and pursuant to and in accordance with the Registration Rights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the avoidance of doubt, the Company shall not have the ability to request any Advances until the effectiveness of a Registration Statement.</w:t>
      </w:r>
    </w:p>
    <w:p>
      <w:pPr>
        <w:spacing w:after="0" w:line="85"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The Company shall maintain the effectiveness of any Registration Statement that has been declared effective at all times during the Commitment Period, provided, however, that if the Company has received notification pursuant to Section 3.04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980"/>
          </w:cols>
          <w:pgMar w:left="440" w:top="270" w:right="479" w:bottom="1440" w:gutter="0" w:footer="0" w:header="0"/>
        </w:sectPr>
      </w:pPr>
    </w:p>
    <w:bookmarkStart w:id="33" w:name="page34"/>
    <w:bookmarkEnd w:id="33"/>
    <w:p>
      <w:pPr>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provided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20" w:hanging="532"/>
        <w:spacing w:after="0" w:line="255"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81" w:lineRule="exact"/>
        <w:rPr>
          <w:rFonts w:ascii="Times New Roman" w:cs="Times New Roman" w:eastAsia="Times New Roman" w:hAnsi="Times New Roman"/>
          <w:sz w:val="18"/>
          <w:szCs w:val="18"/>
          <w:color w:val="auto"/>
        </w:rPr>
      </w:pPr>
    </w:p>
    <w:p>
      <w:pPr>
        <w:ind w:left="960" w:right="80" w:hanging="532"/>
        <w:spacing w:after="0" w:line="25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15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00"/>
          </w:cols>
          <w:pgMar w:left="440" w:top="270" w:right="459" w:bottom="1440" w:gutter="0" w:footer="0" w:header="0"/>
        </w:sectPr>
      </w:pPr>
    </w:p>
    <w:bookmarkStart w:id="34" w:name="page35"/>
    <w:bookmarkEnd w:id="34"/>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Listing of Common Shares</w:t>
      </w:r>
      <w:r>
        <w:rPr>
          <w:rFonts w:ascii="Times New Roman" w:cs="Times New Roman" w:eastAsia="Times New Roman" w:hAnsi="Times New Roman"/>
          <w:sz w:val="18"/>
          <w:szCs w:val="18"/>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and the Pre-Paid Advance, the Investor shall have received an opinion letter from counsel to the Company in form and substance reasonably satisfactory to the Investor.</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For any time while there is a Registration Statement in effect for this transaction, the Company shall (if required by the transfer agent for the Common Shares) cause legal counsel for the Company to deliver to the transfer agent for the Common Shares (with a copy to the Investor) instructions to issue Common Shares to the Investor free of restrictive legends upon each Advance if the delivery of such instructions are consistent with Applicable Law.</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and that requires (A) the making of any changes in the Registration Statement, related Prospectus or documents so that, (x) in the case of the Registration Statement, it will not contain any untrue statement of a material fact or omit to state any material fact required to be stated therein or necessary to make the statements therein not misleading, and (y)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(B) amending the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0940"/>
          </w:cols>
          <w:pgMar w:left="440" w:top="270" w:right="519" w:bottom="1440" w:gutter="0" w:footer="0" w:header="0"/>
        </w:sectPr>
      </w:pPr>
    </w:p>
    <w:bookmarkStart w:id="35" w:name="page36"/>
    <w:bookmarkEnd w:id="3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180"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Issuance of the Company’s Common Shares.</w:t>
      </w:r>
      <w:r>
        <w:rPr>
          <w:rFonts w:ascii="Times New Roman" w:cs="Times New Roman" w:eastAsia="Times New Roman" w:hAnsi="Times New Roman"/>
          <w:sz w:val="18"/>
          <w:szCs w:val="18"/>
          <w:color w:val="auto"/>
        </w:rPr>
        <w:t xml:space="preserve"> The issuance and sale of the Common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 xml:space="preserve">Section 8.11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w:t>
      </w:r>
    </w:p>
    <w:p>
      <w:pPr>
        <w:spacing w:after="0" w:line="5" w:lineRule="exact"/>
        <w:rPr>
          <w:sz w:val="20"/>
          <w:szCs w:val="20"/>
          <w:color w:val="auto"/>
        </w:rPr>
      </w:pPr>
    </w:p>
    <w:p>
      <w:pPr>
        <w:ind w:left="4" w:right="60" w:hanging="4"/>
        <w:spacing w:after="0" w:line="253"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and delivery of copies of any prospectus and any amendments or supplements thereto reasonably requested by the Investor, (vi) the fees and expenses incurred in connection with the listing or qualification of the Shares for trading on the Principal Market, or (vii) filing fees of the SEC and the Principal Market. In addition, the Company will promptly reimburse Armada for its expenses incident to the performance of Armada’s obligations hereunder, including, but not limited to, the preparation and filing of the Current Report on Form 8-K contemplated by Section 7.12 hereunder, up to an aggregate amount of $15,000.</w:t>
      </w:r>
    </w:p>
    <w:p>
      <w:pPr>
        <w:spacing w:after="0" w:line="187"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Public Disclosures.</w:t>
      </w:r>
      <w:r>
        <w:rPr>
          <w:rFonts w:ascii="Times New Roman" w:cs="Times New Roman" w:eastAsia="Times New Roman" w:hAnsi="Times New Roman"/>
          <w:sz w:val="18"/>
          <w:szCs w:val="18"/>
          <w:color w:val="auto"/>
        </w:rPr>
        <w:t xml:space="preserve"> Armada shall publicly disclose this Agreement on a Form 8-K (dual filed on Form 425) to be filed with the SEC. Armada shall provide the Investor and its legal counsel a reasonable opportunity to comment on a draft of the proposed public disclosure prior to filing it with the SEC and shall give due consideration to all such comments. From and after such filing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004"/>
          </w:cols>
          <w:pgMar w:left="436" w:top="270" w:right="459" w:bottom="1440" w:gutter="0" w:footer="0" w:header="0"/>
        </w:sectPr>
      </w:pPr>
    </w:p>
    <w:bookmarkStart w:id="36" w:name="page37"/>
    <w:bookmarkEnd w:id="36"/>
    <w:p>
      <w:pPr>
        <w:ind w:left="4"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Section 8.08(iv) hereof shall not in and of itself be deemed to be material non-public information. Notwithstanding anything contained in this Agreement to the contrary, the Company expressly agrees that it shall publicly disclose in the F-4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w:t>
      </w:r>
    </w:p>
    <w:p>
      <w:pPr>
        <w:spacing w:after="0" w:line="188"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funding of the Pre-Paid Advance or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(including any proceeds from the funding of the Pre-Paid Advance) to repay any advances or loans to any executives, directors, or employees of the Company or any Subsidiary or to make any payments in respect of any related party obligations, including without limitation any payables or notes payable to related parties of the Company or any Subsidiary whether or not such amounts are described on the balance sheets of the Company in any SEC Documents and any Subsidiary or described in any “Related Party Transactions” section of any SEC Documents.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ind w:left="4" w:right="120"/>
        <w:spacing w:after="0" w:line="272" w:lineRule="auto"/>
        <w:rPr>
          <w:sz w:val="20"/>
          <w:szCs w:val="20"/>
          <w:color w:val="auto"/>
        </w:rPr>
      </w:pPr>
      <w:r>
        <w:rPr>
          <w:rFonts w:ascii="Times New Roman" w:cs="Times New Roman" w:eastAsia="Times New Roman" w:hAnsi="Times New Roman"/>
          <w:sz w:val="17"/>
          <w:szCs w:val="17"/>
          <w:color w:val="auto"/>
        </w:rPr>
        <w:t xml:space="preserve">Section 8.16 </w:t>
      </w:r>
      <w:r>
        <w:rPr>
          <w:rFonts w:ascii="Times New Roman" w:cs="Times New Roman" w:eastAsia="Times New Roman" w:hAnsi="Times New Roman"/>
          <w:sz w:val="17"/>
          <w:szCs w:val="17"/>
          <w:u w:val="single" w:color="auto"/>
          <w:color w:val="auto"/>
        </w:rPr>
        <w:t>Market Activities</w:t>
      </w:r>
      <w:r>
        <w:rPr>
          <w:rFonts w:ascii="Times New Roman" w:cs="Times New Roman" w:eastAsia="Times New Roman" w:hAnsi="Times New Roman"/>
          <w:sz w:val="17"/>
          <w:szCs w:val="17"/>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specifically and primarily the sale or resale of Common Shares or</w:t>
      </w:r>
    </w:p>
    <w:p>
      <w:pPr>
        <w:spacing w:after="0" w:line="2" w:lineRule="exact"/>
        <w:rPr>
          <w:sz w:val="20"/>
          <w:szCs w:val="20"/>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bid for, or purchase Common Shares in violation of Regulation M, or pay anyone any compensation for soliciting purchases of the Shares.</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004"/>
          </w:cols>
          <w:pgMar w:left="436" w:top="270" w:right="459" w:bottom="1440" w:gutter="0" w:footer="0" w:header="0"/>
        </w:sectPr>
      </w:pPr>
    </w:p>
    <w:bookmarkStart w:id="37" w:name="page38"/>
    <w:bookmarkEnd w:id="37"/>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(i) The Investor covenants that from and after the date hereof through and including the Trading Day next following the expiration or termination of this Agreement as provided in Section 11.01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Common Shares, either for its own principal account or for the principal account of any other Restricted Person nor shall any Restricted Person during the Restricted Period engage in or enter into directly or indirectly or procure any arrangement, agreement or contract including any derivative, option, swap, futures or other arrangement, agreement or contract involving or related to or calculated by reference to the Common Shares or their prices. The Investor further agrees that during any Pricing Period, no Restricted Persons shall sell or agree to sell (directly or indirectly) a number of Common Shares that would exceed the number of Advance Shares set forth in the corresponding Advance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rights or obligations of the parties hereto may be assigned to any 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8.20 </w:t>
      </w:r>
      <w:r>
        <w:rPr>
          <w:rFonts w:ascii="Times New Roman" w:cs="Times New Roman" w:eastAsia="Times New Roman" w:hAnsi="Times New Roman"/>
          <w:sz w:val="18"/>
          <w:szCs w:val="18"/>
          <w:u w:val="single" w:color="auto"/>
          <w:color w:val="auto"/>
        </w:rPr>
        <w:t>Variable Rate Transaction; Related Party Payments</w:t>
      </w:r>
      <w:r>
        <w:rPr>
          <w:rFonts w:ascii="Times New Roman" w:cs="Times New Roman" w:eastAsia="Times New Roman" w:hAnsi="Times New Roman"/>
          <w:sz w:val="18"/>
          <w:szCs w:val="18"/>
          <w:color w:val="auto"/>
        </w:rPr>
        <w:t>. From the date hereof until the date upon which the Promissory Note to be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has been repaid in full, the Company shall not (A) repay any loans to any executives or employees of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make any payments in respect of any related party debt, and (B) effect or enter into an agreement to effect any issuance by the Company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of Common Shares or any security which entitles the holder to acquire Common Shares (or a combination of units thereof) involving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Rate Transaction, other than involving a Variable Rate Transaction with (i) the Investor or (ii) with other investors (which may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Apeiron) who are entering into such agreements simultaneously with the execution of this Agreement (or immediately before), on materially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or otherwise on equivalent terms (but, in no event, with superior terms) as set out in the Promissory Note, up to an aggregate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$2,877,318.75 before the Original Issue Discount. The Investor shall be entitled to seek injunctive relief against the Company and its Subsidiaries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preclude any such issuance, which remedy shall be in addition to any right to collect damages, without the necessity of showing economic loss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bond or other security being required.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Choice of Law/Jurisdiction</w:t>
      </w:r>
    </w:p>
    <w:p>
      <w:pPr>
        <w:spacing w:after="0" w:line="20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interpreted in accordance with the 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180" w:lineRule="exact"/>
        <w:rPr>
          <w:sz w:val="20"/>
          <w:szCs w:val="20"/>
          <w:color w:val="auto"/>
        </w:rPr>
      </w:pPr>
    </w:p>
    <w:p>
      <w:pPr>
        <w:ind w:left="4" w:right="260" w:firstLine="440"/>
        <w:spacing w:after="0" w:line="255"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w:t>
      </w:r>
    </w:p>
    <w:p>
      <w:pPr>
        <w:spacing w:after="0" w:line="3" w:lineRule="exact"/>
        <w:rPr>
          <w:sz w:val="20"/>
          <w:szCs w:val="20"/>
          <w:color w:val="auto"/>
        </w:rPr>
      </w:pPr>
    </w:p>
    <w:p>
      <w:pPr>
        <w:ind w:left="4" w:right="400" w:hanging="4"/>
        <w:spacing w:after="0" w:line="253" w:lineRule="auto"/>
        <w:tabs>
          <w:tab w:leader="none" w:pos="2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PARAGRAPH.</w:t>
      </w:r>
    </w:p>
    <w:p>
      <w:pPr>
        <w:spacing w:after="0" w:line="200" w:lineRule="exact"/>
        <w:rPr>
          <w:sz w:val="20"/>
          <w:szCs w:val="20"/>
          <w:color w:val="auto"/>
        </w:rPr>
      </w:pPr>
    </w:p>
    <w:p>
      <w:pPr>
        <w:spacing w:after="0" w:line="2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 Termination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hanging="532"/>
        <w:spacing w:after="0" w:line="258"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earliest of (i) the first day of the month next following the 36-month anniversary of the Effective Date, provided that if the Promissory Note is then outstanding, such termination shall be delayed until such date that the Promissory Note that was outstanding has been repaid (save for the issue and purchase of Common Shares pursuant to an Advance Notice issued on or prior to such date) or (ii) the date on which the Investor shall have made payment of Advances pursuant to this Agreement for Common Shares equal to the Commitment Amount.</w:t>
      </w:r>
    </w:p>
    <w:p>
      <w:pPr>
        <w:spacing w:after="0" w:line="88"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upon five Trading Days’ prior written notice to the Investor; provided that (i) there are no outstanding Advance Notices, the Common Shares under which have yet to be issued, (ii) there is not an outstanding Promissory Note, and (iii)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0964"/>
          </w:cols>
          <w:pgMar w:left="436" w:top="266" w:right="499" w:bottom="1440" w:gutter="0" w:footer="0" w:header="0"/>
        </w:sectPr>
      </w:pPr>
    </w:p>
    <w:bookmarkStart w:id="39" w:name="page40"/>
    <w:bookmarkEnd w:id="39"/>
    <w:p>
      <w:pPr>
        <w:ind w:left="960" w:right="28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Section 11.01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VII shall survive termination hereunder.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Notices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Other than with respect to Advance Notices, which must be in writing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Exhibit A hereof) shall be: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If to the Original Company, to:</w:t>
            </w: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Rezolve Limited</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3rd Floor 80 New Bond Street, Mayfair, London, United Kingdom, W1S 1SB</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Attention: Dan Wagner</w:t>
            </w:r>
          </w:p>
        </w:tc>
      </w:tr>
      <w:tr>
        <w:trPr>
          <w:trHeight w:val="234"/>
        </w:trPr>
        <w:tc>
          <w:tcPr>
            <w:tcW w:w="3840" w:type="dxa"/>
            <w:vAlign w:val="bottom"/>
          </w:tcPr>
          <w:p>
            <w:pPr>
              <w:spacing w:after="0"/>
              <w:rPr>
                <w:sz w:val="20"/>
                <w:szCs w:val="20"/>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DanWagner@rezolve.com</w:t>
            </w:r>
          </w:p>
        </w:tc>
      </w:tr>
      <w:tr>
        <w:trPr>
          <w:trHeight w:val="31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or</w:t>
            </w: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Attention: Robert Fenner</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delivery of process) to:</w:t>
            </w: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Taylor Wessing LLP,</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5 New Street Square</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London EC4A 3TW</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+44 207 300 4986</w:t>
            </w:r>
          </w:p>
        </w:tc>
      </w:tr>
      <w:tr>
        <w:trPr>
          <w:trHeight w:val="194"/>
        </w:trPr>
        <w:tc>
          <w:tcPr>
            <w:tcW w:w="3840" w:type="dxa"/>
            <w:vAlign w:val="bottom"/>
          </w:tcPr>
          <w:p>
            <w:pPr>
              <w:spacing w:after="0"/>
              <w:rPr>
                <w:sz w:val="16"/>
                <w:szCs w:val="16"/>
                <w:color w:val="auto"/>
              </w:rPr>
            </w:pPr>
          </w:p>
        </w:tc>
        <w:tc>
          <w:tcPr>
            <w:tcW w:w="596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color w:val="auto"/>
              </w:rPr>
              <w:t>Email: r.fenner@taylorwessing.com</w:t>
            </w:r>
          </w:p>
        </w:tc>
      </w:tr>
      <w:tr>
        <w:trPr>
          <w:trHeight w:val="20"/>
        </w:trPr>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4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If to Armada, to:</w:t>
            </w: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Armada Acquisition Corp. I</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2005 Market Street, Suite 3120</w:t>
            </w:r>
          </w:p>
        </w:tc>
      </w:tr>
      <w:tr>
        <w:trPr>
          <w:trHeight w:val="234"/>
        </w:trPr>
        <w:tc>
          <w:tcPr>
            <w:tcW w:w="3840" w:type="dxa"/>
            <w:vAlign w:val="bottom"/>
          </w:tcPr>
          <w:p>
            <w:pPr>
              <w:spacing w:after="0"/>
              <w:rPr>
                <w:sz w:val="20"/>
                <w:szCs w:val="20"/>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Philadelphia, PA 19103</w:t>
            </w:r>
          </w:p>
        </w:tc>
      </w:tr>
      <w:tr>
        <w:trPr>
          <w:trHeight w:val="319"/>
        </w:trPr>
        <w:tc>
          <w:tcPr>
            <w:tcW w:w="3840" w:type="dxa"/>
            <w:vAlign w:val="bottom"/>
          </w:tcPr>
          <w:p>
            <w:pPr>
              <w:spacing w:after="0"/>
              <w:rPr>
                <w:sz w:val="24"/>
                <w:szCs w:val="24"/>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Attention:</w:t>
            </w:r>
          </w:p>
        </w:tc>
      </w:tr>
      <w:tr>
        <w:trPr>
          <w:trHeight w:val="216"/>
        </w:trPr>
        <w:tc>
          <w:tcPr>
            <w:tcW w:w="384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w:t>
            </w:r>
          </w:p>
        </w:tc>
      </w:tr>
      <w:tr>
        <w:trPr>
          <w:trHeight w:val="234"/>
        </w:trPr>
        <w:tc>
          <w:tcPr>
            <w:tcW w:w="3840" w:type="dxa"/>
            <w:vAlign w:val="bottom"/>
          </w:tcPr>
          <w:p>
            <w:pPr>
              <w:spacing w:after="0"/>
              <w:rPr>
                <w:sz w:val="20"/>
                <w:szCs w:val="20"/>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Email:</w:t>
            </w:r>
          </w:p>
        </w:tc>
      </w:tr>
      <w:tr>
        <w:trPr>
          <w:trHeight w:val="378"/>
        </w:trPr>
        <w:tc>
          <w:tcPr>
            <w:tcW w:w="3840" w:type="dxa"/>
            <w:vAlign w:val="bottom"/>
          </w:tcPr>
          <w:p>
            <w:pPr>
              <w:spacing w:after="0"/>
              <w:rPr>
                <w:sz w:val="24"/>
                <w:szCs w:val="24"/>
                <w:color w:val="auto"/>
              </w:rPr>
            </w:pPr>
          </w:p>
        </w:tc>
        <w:tc>
          <w:tcPr>
            <w:tcW w:w="29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- 35 -</w:t>
            </w:r>
          </w:p>
        </w:tc>
        <w:tc>
          <w:tcPr>
            <w:tcW w:w="300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Rezolve AI Limited</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w w:val="99"/>
              </w:rPr>
              <w:t>3rd Floor 80 New Bond Street, Mayfair, London, United Kingdom, W1S 1SB</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Attention: Dan Wagner</w:t>
            </w:r>
          </w:p>
        </w:tc>
      </w:tr>
      <w:tr>
        <w:trPr>
          <w:trHeight w:val="234"/>
        </w:trPr>
        <w:tc>
          <w:tcPr>
            <w:tcW w:w="3840" w:type="dxa"/>
            <w:vAlign w:val="bottom"/>
          </w:tcPr>
          <w:p>
            <w:pPr>
              <w:spacing w:after="0"/>
              <w:rPr>
                <w:sz w:val="20"/>
                <w:szCs w:val="20"/>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DanWagner@rezolve.com</w:t>
            </w:r>
          </w:p>
        </w:tc>
      </w:tr>
      <w:tr>
        <w:trPr>
          <w:trHeight w:val="31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or</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Attention: Robert Fenner</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delivery of process) to:</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Taylor Wessing LLP,</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5 New Street Square</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London EC4A 3TW</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Telephone: +44 207 300 4986</w:t>
            </w:r>
          </w:p>
        </w:tc>
      </w:tr>
      <w:tr>
        <w:trPr>
          <w:trHeight w:val="194"/>
        </w:trPr>
        <w:tc>
          <w:tcPr>
            <w:tcW w:w="3840" w:type="dxa"/>
            <w:vAlign w:val="bottom"/>
          </w:tcPr>
          <w:p>
            <w:pPr>
              <w:spacing w:after="0"/>
              <w:rPr>
                <w:sz w:val="16"/>
                <w:szCs w:val="16"/>
                <w:color w:val="auto"/>
              </w:rPr>
            </w:pPr>
          </w:p>
        </w:tc>
        <w:tc>
          <w:tcPr>
            <w:tcW w:w="596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Email: r.fenner@taylorwessing.com</w:t>
            </w:r>
          </w:p>
        </w:tc>
      </w:tr>
      <w:tr>
        <w:trPr>
          <w:trHeight w:val="20"/>
        </w:trPr>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4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If to the Investor(s):</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40" w:type="dxa"/>
            <w:vAlign w:val="bottom"/>
          </w:tcPr>
          <w:p>
            <w:pPr>
              <w:spacing w:after="0"/>
              <w:rPr>
                <w:sz w:val="18"/>
                <w:szCs w:val="18"/>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4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2"/>
              </w:rPr>
              <w:t>Attention: 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464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color w:val="auto"/>
                <w:w w:val="99"/>
              </w:rPr>
              <w:t>Mark Angelo</w:t>
            </w:r>
          </w:p>
        </w:tc>
      </w:tr>
      <w:tr>
        <w:trPr>
          <w:trHeight w:val="216"/>
        </w:trPr>
        <w:tc>
          <w:tcPr>
            <w:tcW w:w="384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216"/>
        </w:trPr>
        <w:tc>
          <w:tcPr>
            <w:tcW w:w="384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4"/>
              </w:rPr>
              <w:t>Telephone: </w:t>
            </w:r>
          </w:p>
        </w:tc>
        <w:tc>
          <w:tcPr>
            <w:tcW w:w="100" w:type="dxa"/>
            <w:vAlign w:val="bottom"/>
          </w:tcPr>
          <w:p>
            <w:pPr>
              <w:spacing w:after="0"/>
              <w:rPr>
                <w:sz w:val="18"/>
                <w:szCs w:val="18"/>
                <w:color w:val="auto"/>
              </w:rPr>
            </w:pPr>
          </w:p>
        </w:tc>
        <w:tc>
          <w:tcPr>
            <w:tcW w:w="464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w w:val="95"/>
              </w:rPr>
              <w:t>  (201) 985-8300</w:t>
            </w:r>
          </w:p>
        </w:tc>
      </w:tr>
      <w:tr>
        <w:trPr>
          <w:trHeight w:val="234"/>
        </w:trPr>
        <w:tc>
          <w:tcPr>
            <w:tcW w:w="3840" w:type="dxa"/>
            <w:vAlign w:val="bottom"/>
          </w:tcPr>
          <w:p>
            <w:pPr>
              <w:spacing w:after="0"/>
              <w:rPr>
                <w:sz w:val="20"/>
                <w:szCs w:val="20"/>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Email:mangelo@yorkvilleadvisors.com</w:t>
            </w:r>
          </w:p>
        </w:tc>
      </w:tr>
      <w:tr>
        <w:trPr>
          <w:trHeight w:val="30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David Fine, Esq.</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29"/>
        </w:trPr>
        <w:tc>
          <w:tcPr>
            <w:tcW w:w="3840" w:type="dxa"/>
            <w:vAlign w:val="bottom"/>
          </w:tcPr>
          <w:p>
            <w:pPr>
              <w:spacing w:after="0"/>
              <w:rPr>
                <w:sz w:val="19"/>
                <w:szCs w:val="19"/>
                <w:color w:val="auto"/>
              </w:rPr>
            </w:pPr>
          </w:p>
        </w:tc>
        <w:tc>
          <w:tcPr>
            <w:tcW w:w="59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4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4"/>
              </w:rPr>
              <w:t>Telephone: </w:t>
            </w:r>
          </w:p>
        </w:tc>
        <w:tc>
          <w:tcPr>
            <w:tcW w:w="100" w:type="dxa"/>
            <w:vAlign w:val="bottom"/>
          </w:tcPr>
          <w:p>
            <w:pPr>
              <w:spacing w:after="0"/>
              <w:rPr>
                <w:sz w:val="18"/>
                <w:szCs w:val="18"/>
                <w:color w:val="auto"/>
              </w:rPr>
            </w:pPr>
          </w:p>
        </w:tc>
        <w:tc>
          <w:tcPr>
            <w:tcW w:w="464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w w:val="95"/>
              </w:rPr>
              <w:t>  (201) 985-8300</w:t>
            </w:r>
          </w:p>
        </w:tc>
      </w:tr>
      <w:tr>
        <w:trPr>
          <w:trHeight w:val="234"/>
        </w:trPr>
        <w:tc>
          <w:tcPr>
            <w:tcW w:w="38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Email:     </w:t>
            </w: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legal@yorkvilleadvisors.com</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XIII. Miscellaneous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60"/>
          </w:cols>
          <w:pgMar w:left="440" w:top="270" w:right="499" w:bottom="1440" w:gutter="0" w:footer="0" w:header="0"/>
        </w:sectPr>
      </w:pPr>
    </w:p>
    <w:bookmarkStart w:id="41" w:name="page42"/>
    <w:bookmarkEnd w:id="41"/>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Reporting Entity for the Common Shares</w:t>
      </w:r>
      <w:r>
        <w:rPr>
          <w:rFonts w:ascii="Times New Roman" w:cs="Times New Roman" w:eastAsia="Times New Roman" w:hAnsi="Times New Roman"/>
          <w:sz w:val="18"/>
          <w:szCs w:val="18"/>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YA Global II SPV, LLC, a subsidiary of the Investor, a structuring fee in the amount of $10,000, and, subject to the consummation of the Business Combination, the Company will pay a commitment fee in an amount equal to 1.25 % of the Commitment Amount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which the Company shall pay in cash by wire transfer to the Investor on or before the twelve (12) month anniversary of the closing of the Business Combination.</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Section 13.06 </w:t>
      </w:r>
      <w:r>
        <w:rPr>
          <w:rFonts w:ascii="Times New Roman" w:cs="Times New Roman" w:eastAsia="Times New Roman" w:hAnsi="Times New Roman"/>
          <w:sz w:val="17"/>
          <w:szCs w:val="17"/>
          <w:u w:val="single" w:color="auto"/>
          <w:color w:val="auto"/>
        </w:rPr>
        <w:t>Trust Fund Waiver</w:t>
      </w:r>
      <w:r>
        <w:rPr>
          <w:rFonts w:ascii="Times New Roman" w:cs="Times New Roman" w:eastAsia="Times New Roman" w:hAnsi="Times New Roman"/>
          <w:sz w:val="17"/>
          <w:szCs w:val="17"/>
          <w:color w:val="auto"/>
        </w:rPr>
        <w:t>. Notwithstanding anything else in this Agreement, the Investor acknowledges that it has read Armada’s prospectus dated August 12, 2021, and understands that Armada has established a trust account (the “</w:t>
      </w:r>
      <w:r>
        <w:rPr>
          <w:rFonts w:ascii="Times New Roman" w:cs="Times New Roman" w:eastAsia="Times New Roman" w:hAnsi="Times New Roman"/>
          <w:sz w:val="17"/>
          <w:szCs w:val="17"/>
          <w:u w:val="single" w:color="auto"/>
          <w:color w:val="auto"/>
        </w:rPr>
        <w:t>Trust Fund</w:t>
      </w:r>
      <w:r>
        <w:rPr>
          <w:rFonts w:ascii="Times New Roman" w:cs="Times New Roman" w:eastAsia="Times New Roman" w:hAnsi="Times New Roman"/>
          <w:sz w:val="17"/>
          <w:szCs w:val="17"/>
          <w:color w:val="auto"/>
        </w:rPr>
        <w:t>”) for the benefit of Armada’s public shareholders and that Armada may disburse monies from the Trust Fund only (a) to Armada’s public shareholders in the event they elect to redeem some or all of their shares in accordance with Armada’s amended and restated memorandum and articles of association and/or the liquidation of Armada or (b) to Armada after, or concurrently with, the consummation of a business combination. The Investor further acknowledges that, if the transactions contemplated by the Business Combination Agreement, or, upon termination of the Business Combination Agreement, another business combination, are not consummated by the date set forth in an amendment to Armada’s amended and restated memorandum and articles of association for the purpose of extending the date by which Armada must complete a business combination, Armada will be obligated to return to its shareholders the amounts being held in the Trust Fund. Accordingly, the Investor, on behalf of itself and its Affiliates, hereby waives all rights, title, interest or claim of any kind against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Armada to collect from the Trust Fund any monies that may be owed to them by Armada for any reason whatsoever, including but not limited to a breach of this Agreement by Armada or the Company or any negotiations, agreements or understandings with Armada (whether in the past, present or future), and will not seek recourse against the Trust Fund at any time for any reason whatsoever. This paragraph will survive the termination of this Agreement for any reason, but, notwithstanding anything set forth herein, will not limit the rights of Armada or its shareholders at or following the date of the closing of the Business Combination.</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0900"/>
          </w:cols>
          <w:pgMar w:left="440" w:top="270" w:right="559" w:bottom="1440" w:gutter="0" w:footer="0" w:header="0"/>
        </w:sectPr>
      </w:pPr>
    </w:p>
    <w:bookmarkStart w:id="43" w:name="page44"/>
    <w:bookmarkEnd w:id="43"/>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ORIGINAL 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EZOLVE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IMITED</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 Wagner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 Wagner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EZOLVE</w:t>
      </w:r>
      <w:r>
        <w:rPr>
          <w:rFonts w:ascii="Times New Roman" w:cs="Times New Roman" w:eastAsia="Times New Roman" w:hAnsi="Times New Roman"/>
          <w:sz w:val="18"/>
          <w:szCs w:val="18"/>
          <w:b w:val="1"/>
          <w:bCs w:val="1"/>
          <w:color w:val="auto"/>
        </w:rPr>
        <w:t xml:space="preserve"> AI L</w:t>
      </w:r>
      <w:r>
        <w:rPr>
          <w:rFonts w:ascii="Times New Roman" w:cs="Times New Roman" w:eastAsia="Times New Roman" w:hAnsi="Times New Roman"/>
          <w:sz w:val="14"/>
          <w:szCs w:val="14"/>
          <w:b w:val="1"/>
          <w:bCs w:val="1"/>
          <w:color w:val="auto"/>
        </w:rPr>
        <w:t>IMITED</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 Wagner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 Wagner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ARMADA:</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RMADA</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CQUISITION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 I</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Doug Lurio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Doug Lurio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Yorkville Advisors Global II,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Troy Rillo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Troy Rillo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020"/>
          </w:cols>
          <w:pgMar w:left="440" w:top="266" w:right="439" w:bottom="1440" w:gutter="0" w:footer="0" w:header="0"/>
        </w:sectPr>
      </w:pPr>
    </w:p>
    <w:bookmarkStart w:id="44" w:name="page45"/>
    <w:bookmarkEnd w:id="4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ADVANCE NOTICE</w:t>
      </w:r>
    </w:p>
    <w:p>
      <w:pPr>
        <w:spacing w:after="0" w:line="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REZOLVE AI LIMITED</w:t>
      </w:r>
    </w:p>
    <w:p>
      <w:pPr>
        <w:sectPr>
          <w:pgSz w:w="11900" w:h="16838" w:orient="portrait"/>
          <w:cols w:equalWidth="0" w:num="1">
            <w:col w:w="10760"/>
          </w:cols>
          <w:pgMar w:left="440" w:top="266" w:right="699" w:bottom="1440" w:gutter="0" w:footer="0" w:header="0"/>
        </w:sectPr>
      </w:pP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______________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 Notice Number: ____</w:t>
      </w:r>
    </w:p>
    <w:p>
      <w:pPr>
        <w:spacing w:after="0" w:line="200" w:lineRule="exact"/>
        <w:rPr>
          <w:sz w:val="20"/>
          <w:szCs w:val="20"/>
          <w:color w:val="auto"/>
        </w:rPr>
      </w:pPr>
    </w:p>
    <w:p>
      <w:pPr>
        <w:sectPr>
          <w:pgSz w:w="11900" w:h="16838" w:orient="portrait"/>
          <w:cols w:equalWidth="0" w:num="2">
            <w:col w:w="6900" w:space="720"/>
            <w:col w:w="3140"/>
          </w:cols>
          <w:pgMar w:left="440" w:top="266" w:right="699" w:bottom="1440" w:gutter="0" w:footer="0" w:header="0"/>
          <w:type w:val="continuous"/>
        </w:sectPr>
      </w:pP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Common Shares of REZOLVE AI LIMITED (the</w:t>
      </w:r>
    </w:p>
    <w:p>
      <w:pPr>
        <w:spacing w:after="0" w:line="27"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in connection with this Advance Notice, delivered pursuant to that certain Amended and Restated Standby Equity Purchase Agreement, dated as of         ,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-169545</wp:posOffset>
            </wp:positionV>
            <wp:extent cx="4572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58" w:lineRule="exact"/>
        <w:rPr>
          <w:sz w:val="20"/>
          <w:szCs w:val="20"/>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right="560" w:firstLine="436"/>
        <w:spacing w:after="0" w:line="312"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performed in all material respects all covenants and agreements to be performed by the Company contained in this Agreement on or prior to the Advance Notice Date. All conditions to the delivery of this Advance Notice are satisfied as of the date hereof.</w:t>
      </w:r>
    </w:p>
    <w:p>
      <w:pPr>
        <w:spacing w:after="0" w:line="139"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Acceptable Price with respect to this Advance Notice is _________ (if left blank then no Minimum Acceptable Price will be applicable to this Advance).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of the Company outstanding as of the date hereof is ___________.</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trading@yorkvilleadvisors.com</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ectPr>
          <w:pgSz w:w="11900" w:h="16838" w:orient="portrait"/>
          <w:cols w:equalWidth="0" w:num="1">
            <w:col w:w="10760"/>
          </w:cols>
          <w:pgMar w:left="440" w:top="266" w:right="699" w:bottom="1440" w:gutter="0" w:footer="0" w:header="0"/>
          <w:type w:val="continuous"/>
        </w:sectPr>
      </w:pPr>
    </w:p>
    <w:bookmarkStart w:id="45" w:name="page46"/>
    <w:bookmarkEnd w:id="45"/>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34"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p>
      <w:pPr>
        <w:spacing w:after="0" w:line="117" w:lineRule="exact"/>
        <w:rPr>
          <w:sz w:val="20"/>
          <w:szCs w:val="20"/>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requested in the Advance Notice</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Acceptable Price for this Advance (if any)</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Excluded Days (if any)</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Advance Amount (after taking into account any adjustments pursuant to Section 2.01):</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(Market Price x 97%) per share</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Advance Shares due to Investor</w:t>
      </w:r>
    </w:p>
    <w:p>
      <w:pPr>
        <w:spacing w:after="0" w:line="200" w:lineRule="exact"/>
        <w:rPr>
          <w:sz w:val="20"/>
          <w:szCs w:val="20"/>
          <w:color w:val="auto"/>
        </w:rPr>
      </w:pPr>
    </w:p>
    <w:p>
      <w:pPr>
        <w:spacing w:after="0" w:line="241" w:lineRule="exact"/>
        <w:rPr>
          <w:sz w:val="20"/>
          <w:szCs w:val="20"/>
          <w:color w:val="auto"/>
        </w:rPr>
      </w:pPr>
    </w:p>
    <w:p>
      <w:pPr>
        <w:ind w:left="444" w:hanging="444"/>
        <w:spacing w:after="0"/>
        <w:tabs>
          <w:tab w:leader="none" w:pos="4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Shares to be issued to Investor</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amount to be paid to the Company by the Investor (Additional Shares in number 8 x Minimum Acceptable Price)</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to be paid to Company (Purchase Price in number 6 + Additional amount in number 9):</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Shares to be issued to Investor (Shares due to Investor in number 7 + Additional Shares in number 8):</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ectPr>
          <w:pgSz w:w="11900" w:h="16838" w:orient="portrait"/>
          <w:cols w:equalWidth="0" w:num="1">
            <w:col w:w="10023"/>
          </w:cols>
          <w:pgMar w:left="436" w:top="266" w:right="1440" w:bottom="1440" w:gutter="0" w:footer="0" w:header="0"/>
        </w:sectPr>
      </w:pPr>
    </w:p>
    <w:bookmarkStart w:id="46" w:name="page47"/>
    <w:bookmarkEnd w:id="46"/>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 REZOLVE AI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ectPr>
          <w:pgSz w:w="11900" w:h="16838" w:orient="portrait"/>
          <w:cols w:equalWidth="0" w:num="1">
            <w:col w:w="10019"/>
          </w:cols>
          <w:pgMar w:left="440" w:top="266" w:right="1440" w:bottom="1440" w:gutter="0" w:footer="0" w:header="0"/>
        </w:sectPr>
      </w:pPr>
    </w:p>
    <w:bookmarkStart w:id="47" w:name="page48"/>
    <w:bookmarkEnd w:id="47"/>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31"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u w:val="single" w:color="auto"/>
          <w:color w:val="auto"/>
        </w:rPr>
        <w:t>INVESTOR NOTICE,</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u w:val="single" w:color="auto"/>
          <w:color w:val="auto"/>
        </w:rPr>
        <w:t>CORRESPONDING ADVANCE NOTICE,</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u w:val="single" w:color="auto"/>
          <w:color w:val="auto"/>
        </w:rPr>
        <w:t>AND SETTLEMENT DOCUMENT</w:t>
      </w:r>
    </w:p>
    <w:p>
      <w:pPr>
        <w:spacing w:after="0" w:line="95"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52" w:lineRule="exact"/>
        <w:rPr>
          <w:sz w:val="20"/>
          <w:szCs w:val="20"/>
          <w:color w:val="auto"/>
        </w:rPr>
      </w:pPr>
    </w:p>
    <w:p>
      <w:pPr>
        <w:ind w:left="4"/>
        <w:spacing w:after="0"/>
        <w:tabs>
          <w:tab w:leader="none" w:pos="7604" w:val="left"/>
        </w:tabs>
        <w:rPr>
          <w:sz w:val="20"/>
          <w:szCs w:val="20"/>
          <w:color w:val="auto"/>
        </w:rPr>
      </w:pPr>
      <w:r>
        <w:rPr>
          <w:rFonts w:ascii="Times New Roman" w:cs="Times New Roman" w:eastAsia="Times New Roman" w:hAnsi="Times New Roman"/>
          <w:sz w:val="18"/>
          <w:szCs w:val="18"/>
          <w:b w:val="1"/>
          <w:bCs w:val="1"/>
          <w:color w:val="auto"/>
        </w:rPr>
        <w:t>Dated: ______________</w:t>
      </w:r>
      <w:r>
        <w:rPr>
          <w:sz w:val="20"/>
          <w:szCs w:val="20"/>
          <w:color w:val="auto"/>
        </w:rPr>
        <w:tab/>
      </w:r>
      <w:r>
        <w:rPr>
          <w:rFonts w:ascii="Times New Roman" w:cs="Times New Roman" w:eastAsia="Times New Roman" w:hAnsi="Times New Roman"/>
          <w:sz w:val="17"/>
          <w:szCs w:val="17"/>
          <w:b w:val="1"/>
          <w:bCs w:val="1"/>
          <w:color w:val="auto"/>
        </w:rPr>
        <w:t>Investor Notice Number: ____</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On behalf of YA II PN, LTD.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the undersigned hereby certifies, with respect to the purchase of Common Shares of </w:t>
      </w:r>
      <w:r>
        <w:rPr>
          <w:rFonts w:ascii="Times New Roman" w:cs="Times New Roman" w:eastAsia="Times New Roman" w:hAnsi="Times New Roman"/>
          <w:sz w:val="18"/>
          <w:szCs w:val="18"/>
          <w:b w:val="1"/>
          <w:bCs w:val="1"/>
          <w:color w:val="auto"/>
        </w:rPr>
        <w:t>Rezolve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Limited.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in connection with this Investor Notice, delivered pursuant to that certain Amended and Restated Standby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 dated as of         , 2024, as amended and supplemented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-40005</wp:posOffset>
            </wp:positionV>
            <wp:extent cx="457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2" w:lineRule="exact"/>
        <w:rPr>
          <w:sz w:val="20"/>
          <w:szCs w:val="20"/>
          <w:color w:val="auto"/>
        </w:rPr>
      </w:pPr>
    </w:p>
    <w:p>
      <w:pPr>
        <w:ind w:left="444" w:hanging="444"/>
        <w:spacing w:after="0"/>
        <w:tabs>
          <w:tab w:leader="none" w:pos="4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requested in the Advance Notice</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(equal to the Conversion Price as defined in the Promissory Note)</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due to Investor</w:t>
      </w:r>
    </w:p>
    <w:p>
      <w:pPr>
        <w:spacing w:after="0" w:line="225"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The aggregate purchase price of the Shares to be paid by Investor pursuant to this Investor Notice and corresponding Advance Notice shall be offset against amounts outstanding under the Pre-Paid Advance evidenced by the Promissory Note dated [___________ ] (first towards accrued and unpaid</w:t>
      </w:r>
    </w:p>
    <w:p>
      <w:pPr>
        <w:spacing w:after="0" w:line="1"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interest, and then towards outstanding principal) as follows (and this information shall satisfy the obligations of the Investor to deliver a Settlement Document pursuant to the Agreement):</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offset against accrued and unpaid Interest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32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offset against Principal</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32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 of the Promissory Note outstanding following the Advance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Please issue the number of Shares due to the Investor to the account of the Investor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ectPr>
          <w:pgSz w:w="11900" w:h="16838" w:orient="portrait"/>
          <w:cols w:equalWidth="0" w:num="1">
            <w:col w:w="10744"/>
          </w:cols>
          <w:pgMar w:left="436" w:top="266" w:right="7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has executed this Investor Notice as of the date first set forth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ectPr>
          <w:pgSz w:w="11900" w:h="16838" w:orient="portrait"/>
          <w:cols w:equalWidth="0" w:num="1">
            <w:col w:w="10019"/>
          </w:cols>
          <w:pgMar w:left="440" w:top="270" w:right="1440" w:bottom="1440" w:gutter="0" w:footer="0" w:header="0"/>
        </w:sect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Yorkville Advisors Global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600" w:space="360"/>
            <w:col w:w="9059"/>
          </w:cols>
          <w:pgMar w:left="440" w:top="270" w:right="1440" w:bottom="1440" w:gutter="0" w:footer="0" w:header="0"/>
          <w:type w:val="continuous"/>
        </w:sectPr>
      </w:pP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17145</wp:posOffset>
            </wp:positionV>
            <wp:extent cx="2211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10019"/>
          </w:cols>
          <w:pgMar w:left="440" w:top="270" w:right="1440"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REGISTRATION RIGHTS AGREEMENT</w:t>
      </w:r>
    </w:p>
    <w:p>
      <w:pPr>
        <w:sectPr>
          <w:pgSz w:w="11900" w:h="16838" w:orient="portrait"/>
          <w:cols w:equalWidth="0" w:num="1">
            <w:col w:w="9019"/>
          </w:cols>
          <w:pgMar w:left="1440" w:top="266"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GLOBAL GUARANTY</w:t>
      </w:r>
    </w:p>
    <w:p>
      <w:pPr>
        <w:sectPr>
          <w:pgSz w:w="11900" w:h="16838" w:orient="portrait"/>
          <w:cols w:equalWidth="0" w:num="1">
            <w:col w:w="9019"/>
          </w:cols>
          <w:pgMar w:left="1440" w:top="266"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INTERCREDITOR AGREEMENT</w:t>
      </w:r>
    </w:p>
    <w:p>
      <w:pPr>
        <w:sectPr>
          <w:pgSz w:w="11900" w:h="16838" w:orient="portrait"/>
          <w:cols w:equalWidth="0" w:num="1">
            <w:col w:w="9019"/>
          </w:cols>
          <w:pgMar w:left="1440" w:top="266"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PROMISSORY NOTE</w:t>
      </w:r>
    </w:p>
    <w:p>
      <w:pPr>
        <w:sectPr>
          <w:pgSz w:w="11900" w:h="16838" w:orient="portrait"/>
          <w:cols w:equalWidth="0" w:num="1">
            <w:col w:w="9019"/>
          </w:cols>
          <w:pgMar w:left="1440" w:top="266"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THE INVESTOR’S OBLIGATION TO FUND THE PRE-PAID ADVANCE</w:t>
      </w:r>
    </w:p>
    <w:p>
      <w:pPr>
        <w:spacing w:after="0" w:line="229"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obligation of the Investor to advance to the Original Company the Pre-Paid Advance hereunder at the Pre-Advance Closing is subject to the satisfaction, as of the date of the Pre-Advance Closing, of each of the following conditions, provided that these conditions are for the Investor’s sole benefit and may be waived by the Investor at any time in its sole discretion by providing the Original Company with prior written notice thereof:</w:t>
      </w:r>
    </w:p>
    <w:p>
      <w:pPr>
        <w:spacing w:after="0" w:line="63" w:lineRule="exact"/>
        <w:rPr>
          <w:sz w:val="20"/>
          <w:szCs w:val="20"/>
          <w:color w:val="auto"/>
        </w:rPr>
      </w:pPr>
    </w:p>
    <w:p>
      <w:pPr>
        <w:ind w:left="960" w:right="40" w:hanging="532"/>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shall have duly executed and delivered to the Investor each of the Transaction Documents to which it is a party and the Original Company shall have duly executed and delivered to the Investor a Promissory Note with a principal amount corresponding to the amount of the Pre-Paid Advance (before any deductions made thereto).</w:t>
      </w:r>
    </w:p>
    <w:p>
      <w:pPr>
        <w:spacing w:after="0" w:line="81" w:lineRule="exact"/>
        <w:rPr>
          <w:rFonts w:ascii="Times New Roman" w:cs="Times New Roman" w:eastAsia="Times New Roman" w:hAnsi="Times New Roman"/>
          <w:sz w:val="18"/>
          <w:szCs w:val="18"/>
          <w:color w:val="auto"/>
        </w:rPr>
      </w:pPr>
    </w:p>
    <w:p>
      <w:pPr>
        <w:ind w:left="960" w:hanging="532"/>
        <w:spacing w:after="0" w:line="289" w:lineRule="auto"/>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Company shall have delivered to the Investor a compliance certificate executed by the chief executive officer of the Original Company certifying that Original Company has complied with all of the conditions precedent to the Pre-Advance Closing set forth herein and which may be relied upon by the Investor as evidence of satisfaction of such conditions without any obligation to independently verify.</w:t>
      </w:r>
    </w:p>
    <w:p>
      <w:pPr>
        <w:spacing w:after="0" w:line="63" w:lineRule="exact"/>
        <w:rPr>
          <w:rFonts w:ascii="Times New Roman" w:cs="Times New Roman" w:eastAsia="Times New Roman" w:hAnsi="Times New Roman"/>
          <w:sz w:val="17"/>
          <w:szCs w:val="17"/>
          <w:color w:val="auto"/>
        </w:rPr>
      </w:pPr>
    </w:p>
    <w:p>
      <w:pPr>
        <w:ind w:left="960" w:right="280" w:hanging="53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received an opinion of counsel to the Original Company, dated on or before the Pre-Advance Closing Date, in a form reasonably acceptable to the Investor.</w:t>
      </w:r>
    </w:p>
    <w:p>
      <w:pPr>
        <w:spacing w:after="0" w:line="67" w:lineRule="exact"/>
        <w:rPr>
          <w:rFonts w:ascii="Times New Roman" w:cs="Times New Roman" w:eastAsia="Times New Roman" w:hAnsi="Times New Roman"/>
          <w:sz w:val="18"/>
          <w:szCs w:val="18"/>
          <w:color w:val="auto"/>
        </w:rPr>
      </w:pPr>
    </w:p>
    <w:p>
      <w:pPr>
        <w:ind w:left="960" w:right="340" w:hanging="532"/>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received a closing statement in a form to be agreed by the parties, duly executed by an officer of the Original Company, setting forth wire transfer instructions of the Original Company for the payment of the amount of the Pre-Paid Advance, the amount to be paid by the Investor, and any other deductions that may be agreed by the parties.</w:t>
      </w:r>
    </w:p>
    <w:p>
      <w:pPr>
        <w:spacing w:after="0" w:line="81" w:lineRule="exact"/>
        <w:rPr>
          <w:rFonts w:ascii="Times New Roman" w:cs="Times New Roman" w:eastAsia="Times New Roman" w:hAnsi="Times New Roman"/>
          <w:sz w:val="18"/>
          <w:szCs w:val="18"/>
          <w:color w:val="auto"/>
        </w:rPr>
      </w:pPr>
    </w:p>
    <w:p>
      <w:pPr>
        <w:ind w:left="960" w:right="740" w:hanging="532"/>
        <w:spacing w:after="0" w:line="312" w:lineRule="auto"/>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Company shall have delivered to the Investor copies of its and each Subsidiaries copies of its charter, as well as any shareholder or operating agreements by or among the shareholders or members of any of the Original Company’s Subsidiaries.</w:t>
      </w:r>
    </w:p>
    <w:p>
      <w:pPr>
        <w:spacing w:after="0" w:line="45" w:lineRule="exact"/>
        <w:rPr>
          <w:rFonts w:ascii="Times New Roman" w:cs="Times New Roman" w:eastAsia="Times New Roman" w:hAnsi="Times New Roman"/>
          <w:sz w:val="17"/>
          <w:szCs w:val="17"/>
          <w:color w:val="auto"/>
        </w:rPr>
      </w:pPr>
    </w:p>
    <w:p>
      <w:pPr>
        <w:ind w:left="960" w:right="320" w:hanging="53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shall have delivered to the Investor a certificate evidencing the incorporation and good standing of the Original Company as of a date within ten (10) days of the Pre-Advance Closing Date.</w:t>
      </w:r>
    </w:p>
    <w:p>
      <w:pPr>
        <w:spacing w:after="0" w:line="67" w:lineRule="exact"/>
        <w:rPr>
          <w:rFonts w:ascii="Times New Roman" w:cs="Times New Roman" w:eastAsia="Times New Roman" w:hAnsi="Times New Roman"/>
          <w:sz w:val="18"/>
          <w:szCs w:val="18"/>
          <w:color w:val="auto"/>
        </w:rPr>
      </w:pPr>
    </w:p>
    <w:p>
      <w:pPr>
        <w:ind w:left="960" w:right="100" w:hanging="532"/>
        <w:spacing w:after="0" w:line="289" w:lineRule="auto"/>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Original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Original Company shall have been provided to the Investor.</w:t>
      </w:r>
    </w:p>
    <w:p>
      <w:pPr>
        <w:sectPr>
          <w:pgSz w:w="11900" w:h="16838" w:orient="portrait"/>
          <w:cols w:equalWidth="0" w:num="1">
            <w:col w:w="11000"/>
          </w:cols>
          <w:pgMar w:left="440" w:top="266" w:right="459" w:bottom="1440" w:gutter="0" w:footer="0" w:header="0"/>
        </w:sectPr>
      </w:pPr>
    </w:p>
    <w:bookmarkStart w:id="54" w:name="page55"/>
    <w:bookmarkEnd w:id="54"/>
    <w:p>
      <w:pPr>
        <w:ind w:left="532" w:right="160" w:hanging="532"/>
        <w:spacing w:after="0" w:line="256"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and every representation and warranty of the Original Company shall be true and correct in all material respects (other than representations and warranties qualified by materiality, which shall be true and correct in all respects) as of the date when made and as of the date of the Pre-Advance Closing as though originally made at that time (except for representations and warranties that speak as of a specific date, which shall be true and correct as of such specific date) and the Original Company shall have performed, satisfied and complied in all respects with the covenants, agreements and conditions set forth in each Transaction Document required to be performed, satisfied or complied with by the Original Company at or prior to the Pre-Advance Closing date.</w:t>
      </w:r>
    </w:p>
    <w:p>
      <w:pPr>
        <w:spacing w:after="0" w:line="92" w:lineRule="exact"/>
        <w:rPr>
          <w:rFonts w:ascii="Times New Roman" w:cs="Times New Roman" w:eastAsia="Times New Roman" w:hAnsi="Times New Roman"/>
          <w:sz w:val="18"/>
          <w:szCs w:val="18"/>
          <w:color w:val="auto"/>
        </w:rPr>
      </w:pPr>
    </w:p>
    <w:p>
      <w:pPr>
        <w:ind w:left="532" w:right="340"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shall have obtained all governmental, regulatory or third party consents and approvals, if any, necessary for the grant of the Promissory Notes.</w:t>
      </w:r>
    </w:p>
    <w:p>
      <w:pPr>
        <w:spacing w:after="0" w:line="67" w:lineRule="exact"/>
        <w:rPr>
          <w:rFonts w:ascii="Times New Roman" w:cs="Times New Roman" w:eastAsia="Times New Roman" w:hAnsi="Times New Roman"/>
          <w:sz w:val="18"/>
          <w:szCs w:val="18"/>
          <w:color w:val="auto"/>
        </w:rPr>
      </w:pPr>
    </w:p>
    <w:p>
      <w:pPr>
        <w:ind w:left="532" w:right="80" w:hanging="532"/>
        <w:spacing w:after="0" w:line="266"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81" w:lineRule="exact"/>
        <w:rPr>
          <w:rFonts w:ascii="Times New Roman" w:cs="Times New Roman" w:eastAsia="Times New Roman" w:hAnsi="Times New Roman"/>
          <w:sz w:val="18"/>
          <w:szCs w:val="18"/>
          <w:color w:val="auto"/>
        </w:rPr>
      </w:pPr>
    </w:p>
    <w:p>
      <w:pPr>
        <w:ind w:left="532" w:right="80"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Pre-Advance Closing Date, no event or series of events shall have occurred that has resulted in or would reasonably be expected to result in a Material Adverse Effect., or an Event of Default.</w:t>
      </w:r>
    </w:p>
    <w:p>
      <w:pPr>
        <w:spacing w:after="0" w:line="67" w:lineRule="exact"/>
        <w:rPr>
          <w:rFonts w:ascii="Times New Roman" w:cs="Times New Roman" w:eastAsia="Times New Roman" w:hAnsi="Times New Roman"/>
          <w:sz w:val="18"/>
          <w:szCs w:val="18"/>
          <w:color w:val="auto"/>
        </w:rPr>
      </w:pPr>
    </w:p>
    <w:p>
      <w:pPr>
        <w:ind w:left="532" w:right="140"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breach of this Agreement or any Transaction Document shall have occurred (with the passage of time or the giving of notice, or both, would constitute a material breach of this Agreement or any Transaction Document).</w:t>
      </w:r>
    </w:p>
    <w:p>
      <w:pPr>
        <w:spacing w:after="0" w:line="6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and its Subsidiaries shall have delivered to the Investor such other documents, instruments or certificates relating to the transactions contemplated by this Agreement as the Investor or its counsel may reasonably request.</w:t>
      </w:r>
    </w:p>
    <w:p>
      <w:pPr>
        <w:spacing w:after="0" w:line="67" w:lineRule="exact"/>
        <w:rPr>
          <w:rFonts w:ascii="Times New Roman" w:cs="Times New Roman" w:eastAsia="Times New Roman" w:hAnsi="Times New Roman"/>
          <w:sz w:val="18"/>
          <w:szCs w:val="18"/>
          <w:color w:val="auto"/>
        </w:rPr>
      </w:pPr>
    </w:p>
    <w:p>
      <w:pPr>
        <w:ind w:left="532" w:right="420" w:hanging="532"/>
        <w:spacing w:after="0" w:line="261"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certain unsecured convertible loans, dated as of June 30, 2023, by and between the Original Company and Igoy Lychagov, as amended, shall (i) no longer be in default, (ii) have been amended to reflect the cure of such default, the evidence of which has been provided to the Investor prior to the Pre-Advance Closing Date, for which the Investor has affirmatively confirmed its approval to the Original Company (e-mail shall be sufficient).</w:t>
      </w:r>
    </w:p>
    <w:p>
      <w:pPr>
        <w:spacing w:after="0" w:line="85" w:lineRule="exact"/>
        <w:rPr>
          <w:rFonts w:ascii="Times New Roman" w:cs="Times New Roman" w:eastAsia="Times New Roman" w:hAnsi="Times New Roman"/>
          <w:sz w:val="18"/>
          <w:szCs w:val="18"/>
          <w:color w:val="auto"/>
        </w:rPr>
      </w:pPr>
    </w:p>
    <w:p>
      <w:pPr>
        <w:ind w:left="532" w:right="500"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shall have been duly executed and delivered to the Investor, pursuant to which, among other things, the Investor shall share recoveries enforced under the debentures referenced therein.</w:t>
      </w:r>
    </w:p>
    <w:p>
      <w:pPr>
        <w:spacing w:after="0" w:line="67" w:lineRule="exact"/>
        <w:rPr>
          <w:rFonts w:ascii="Times New Roman" w:cs="Times New Roman" w:eastAsia="Times New Roman" w:hAnsi="Times New Roman"/>
          <w:sz w:val="18"/>
          <w:szCs w:val="18"/>
          <w:color w:val="auto"/>
        </w:rPr>
      </w:pPr>
    </w:p>
    <w:p>
      <w:pPr>
        <w:ind w:left="532" w:right="140" w:hanging="532"/>
        <w:spacing w:after="0" w:line="266"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shall have delivered to the Investor evidence of additional debt instruments providing the Original Company with net proceeds which amount, in the aggregate, to a minimum of USD $2 million, exclusive of the amount to be provided pursuant to this Agreement. Such evidence shall be acceptable solely at the discretion of the Investor.</w:t>
      </w:r>
    </w:p>
    <w:p>
      <w:pPr>
        <w:spacing w:after="0" w:line="8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Company shall have delivered to the Investor an executed copy of the security interest perfecting the Secured Debenture.</w:t>
      </w:r>
    </w:p>
    <w:p>
      <w:pPr>
        <w:sectPr>
          <w:pgSz w:w="11900" w:h="16838" w:orient="portrait"/>
          <w:cols w:equalWidth="0" w:num="1">
            <w:col w:w="10572"/>
          </w:cols>
          <w:pgMar w:left="868" w:top="270" w:right="4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THE RIGHT OF THE COMPANY TO DELIVER AN ADVANCE NOTICE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67" w:lineRule="exact"/>
        <w:rPr>
          <w:sz w:val="20"/>
          <w:szCs w:val="20"/>
          <w:color w:val="auto"/>
        </w:rPr>
      </w:pPr>
    </w:p>
    <w:p>
      <w:pPr>
        <w:jc w:val="both"/>
        <w:ind w:left="960" w:right="160" w:hanging="532"/>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in this Agreement shall be true and correct in all material respects as of the Advance Notice Date, except to the extend such representations and warranties are as of another date, such representations and warranties shall be true and correct as of such other date.</w:t>
      </w:r>
    </w:p>
    <w:p>
      <w:pPr>
        <w:spacing w:after="0" w:line="81"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Common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85"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applicable laws and regulations to which the Company is subject.</w:t>
      </w:r>
    </w:p>
    <w:p>
      <w:pPr>
        <w:spacing w:after="0" w:line="81"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Company shall have been provided to the Investor.</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130" w:lineRule="exact"/>
        <w:rPr>
          <w:rFonts w:ascii="Times New Roman" w:cs="Times New Roman" w:eastAsia="Times New Roman" w:hAnsi="Times New Roman"/>
          <w:sz w:val="18"/>
          <w:szCs w:val="18"/>
          <w:color w:val="auto"/>
        </w:rPr>
      </w:pPr>
    </w:p>
    <w:p>
      <w:pPr>
        <w:ind w:left="960" w:right="400" w:hanging="532"/>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ectPr>
          <w:pgSz w:w="11900" w:h="16838" w:orient="portrait"/>
          <w:cols w:equalWidth="0" w:num="1">
            <w:col w:w="10980"/>
          </w:cols>
          <w:pgMar w:left="440" w:top="266" w:right="479" w:bottom="1440" w:gutter="0" w:footer="0" w:header="0"/>
        </w:sectPr>
      </w:pPr>
    </w:p>
    <w:bookmarkStart w:id="56" w:name="page57"/>
    <w:bookmarkEnd w:id="56"/>
    <w:p>
      <w:pPr>
        <w:ind w:left="532" w:hanging="532"/>
        <w:spacing w:after="0" w:line="266" w:lineRule="auto"/>
        <w:tabs>
          <w:tab w:leader="none" w:pos="5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81" w:lineRule="exact"/>
        <w:rPr>
          <w:rFonts w:ascii="Times New Roman" w:cs="Times New Roman" w:eastAsia="Times New Roman" w:hAnsi="Times New Roman"/>
          <w:sz w:val="18"/>
          <w:szCs w:val="18"/>
          <w:color w:val="auto"/>
        </w:rPr>
      </w:pPr>
    </w:p>
    <w:p>
      <w:pPr>
        <w:ind w:left="532" w:right="120" w:hanging="532"/>
        <w:spacing w:after="0" w:line="258" w:lineRule="auto"/>
        <w:tabs>
          <w:tab w:leader="none" w:pos="5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w:t>
      </w:r>
      <w:r>
        <w:rPr>
          <w:rFonts w:ascii="Times New Roman" w:cs="Times New Roman" w:eastAsia="Times New Roman" w:hAnsi="Times New Roman"/>
          <w:sz w:val="18"/>
          <w:szCs w:val="18"/>
          <w:color w:val="auto"/>
        </w:rPr>
        <w:t>. The Common Shares are quoted for trading on the Principal Market and all of the Shares issuable pursuant to such Advance Notice will be listed or quoted for trading on the Principal Market. The issuance of Common Shares with respect to the applicable Advance Notice will not violate the shareholder approval requirements of the Principal Market. The Company shall not have received any written notice that is then still pending threatening the continued quotation of the Common Shares on the Principal Market.</w:t>
      </w:r>
    </w:p>
    <w:p>
      <w:pPr>
        <w:spacing w:after="0" w:line="89" w:lineRule="exact"/>
        <w:rPr>
          <w:sz w:val="20"/>
          <w:szCs w:val="20"/>
          <w:color w:val="auto"/>
        </w:rPr>
      </w:pPr>
    </w:p>
    <w:p>
      <w:pPr>
        <w:ind w:left="532" w:hanging="532"/>
        <w:spacing w:after="0" w:line="282" w:lineRule="auto"/>
        <w:tabs>
          <w:tab w:leader="none" w:pos="5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There shall be a sufficient authority to allot the number of unissued and otherwise unreserved Common Shares for the issuance of all of the Shares issuable pursuant to such Advance Notice.</w:t>
      </w:r>
    </w:p>
    <w:p>
      <w:pPr>
        <w:spacing w:after="0" w:line="67"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67" w:lineRule="exact"/>
        <w:rPr>
          <w:rFonts w:ascii="Times New Roman" w:cs="Times New Roman" w:eastAsia="Times New Roman" w:hAnsi="Times New Roman"/>
          <w:sz w:val="18"/>
          <w:szCs w:val="18"/>
          <w:color w:val="auto"/>
        </w:rPr>
      </w:pPr>
    </w:p>
    <w:p>
      <w:pPr>
        <w:jc w:val="both"/>
        <w:ind w:left="532" w:right="20" w:hanging="532"/>
        <w:spacing w:after="0" w:line="266" w:lineRule="auto"/>
        <w:tabs>
          <w:tab w:leader="none" w:pos="5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 and at least five Trading Days has elapsed since the Closing of the prior Advance (unless such period is shortened with the agreement of the parties).</w:t>
      </w:r>
    </w:p>
    <w:sectPr>
      <w:pgSz w:w="11900" w:h="16838" w:orient="portrait"/>
      <w:cols w:equalWidth="0" w:num="1">
        <w:col w:w="10572"/>
      </w:cols>
      <w:pgMar w:left="868"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upperLetter"/>
      <w:start w:val="2"/>
    </w:lvl>
  </w:abstractNum>
  <w:abstractNum w:abstractNumId="4">
    <w:nsid w:val="436C612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
    <w:nsid w:val="628C895D"/>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6">
    <w:nsid w:val="333AB10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
    <w:nsid w:val="721DA317"/>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8">
    <w:nsid w:val="2443A85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
    <w:nsid w:val="2D1D5AE9"/>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0">
    <w:nsid w:val="6763845E"/>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1">
    <w:nsid w:val="75A2A8D4"/>
    <w:multiLevelType w:val="hybridMultilevel"/>
    <w:lvl w:ilvl="0">
      <w:lvlJc w:val="left"/>
      <w:lvlText w:val="%1"/>
      <w:numFmt w:val="lowerLetter"/>
      <w:start w:val="1"/>
    </w:lvl>
    <w:lvl w:ilvl="1">
      <w:lvlJc w:val="left"/>
      <w:lvlText w:val="(%2)"/>
      <w:numFmt w:val="lowerLetter"/>
      <w:start w:val="35"/>
    </w:lvl>
  </w:abstractNum>
  <w:abstractNum w:abstractNumId="12">
    <w:nsid w:val="8EDBDAB"/>
    <w:multiLevelType w:val="hybridMultilevel"/>
    <w:lvl w:ilvl="0">
      <w:lvlJc w:val="left"/>
      <w:lvlText w:val="(%1)"/>
      <w:numFmt w:val="lowerLetter"/>
      <w:start w:val="6"/>
    </w:lvl>
    <w:lvl w:ilvl="1">
      <w:lvlJc w:val="left"/>
      <w:lvlText w:val="%2"/>
      <w:numFmt w:val="lowerLetter"/>
      <w:start w:val="1"/>
    </w:lvl>
  </w:abstractNum>
  <w:abstractNum w:abstractNumId="13">
    <w:nsid w:val="79838CB2"/>
    <w:multiLevelType w:val="hybridMultilevel"/>
    <w:lvl w:ilvl="0">
      <w:lvlJc w:val="left"/>
      <w:lvlText w:val="(%1)"/>
      <w:numFmt w:val="lowerLetter"/>
      <w:start w:val="1"/>
    </w:lvl>
    <w:lvl w:ilvl="1">
      <w:lvlJc w:val="left"/>
      <w:lvlText w:val="-"/>
      <w:numFmt w:val="bullet"/>
      <w:start w:val="1"/>
    </w:lvl>
  </w:abstractNum>
  <w:abstractNum w:abstractNumId="14">
    <w:nsid w:val="4353D0CD"/>
    <w:multiLevelType w:val="hybridMultilevel"/>
    <w:lvl w:ilvl="0">
      <w:lvlJc w:val="left"/>
      <w:lvlText w:val="(%1)"/>
      <w:numFmt w:val="lowerLetter"/>
      <w:start w:val="2"/>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Roman"/>
      <w:start w:val="1"/>
    </w:lvl>
    <w:lvl w:ilvl="1">
      <w:lvlJc w:val="left"/>
      <w:lvlText w:val="-"/>
      <w:numFmt w:val="bullet"/>
      <w:start w:val="1"/>
    </w:lvl>
  </w:abstractNum>
  <w:abstractNum w:abstractNumId="17">
    <w:nsid w:val="54E49EB4"/>
    <w:multiLevelType w:val="hybridMultilevel"/>
    <w:lvl w:ilvl="0">
      <w:lvlJc w:val="left"/>
      <w:lvlText w:val="(%1)"/>
      <w:numFmt w:val="upperLetter"/>
      <w:start w:val="2"/>
    </w:lvl>
    <w:lvl w:ilvl="1">
      <w:lvlJc w:val="left"/>
      <w:lvlText w:val="-"/>
      <w:numFmt w:val="bullet"/>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2"/>
    </w:lvl>
  </w:abstractNum>
  <w:abstractNum w:abstractNumId="20">
    <w:nsid w:val="836C40E"/>
    <w:multiLevelType w:val="hybridMultilevel"/>
    <w:lvl w:ilvl="0">
      <w:lvlJc w:val="left"/>
      <w:lvlText w:val="(%1)"/>
      <w:numFmt w:val="lowerLetter"/>
      <w:start w:val="1"/>
    </w:lvl>
    <w:lvl w:ilvl="1">
      <w:lvlJc w:val="left"/>
      <w:lvlText w:val="-"/>
      <w:numFmt w:val="bullet"/>
      <w:start w:val="1"/>
    </w:lvl>
  </w:abstractNum>
  <w:abstractNum w:abstractNumId="21">
    <w:nsid w:val="2901D82"/>
    <w:multiLevelType w:val="hybridMultilevel"/>
    <w:lvl w:ilvl="0">
      <w:lvlJc w:val="left"/>
      <w:lvlText w:val="(%1)"/>
      <w:numFmt w:val="lowerLetter"/>
      <w:start w:val="1"/>
    </w:lvl>
    <w:lvl w:ilvl="1">
      <w:lvlJc w:val="left"/>
      <w:lvlText w:val="-"/>
      <w:numFmt w:val="bullet"/>
      <w:start w:val="1"/>
    </w:lvl>
  </w:abstractNum>
  <w:abstractNum w:abstractNumId="22">
    <w:nsid w:val="3A95F874"/>
    <w:multiLevelType w:val="hybridMultilevel"/>
    <w:lvl w:ilvl="0">
      <w:lvlJc w:val="left"/>
      <w:lvlText w:val="(%1)"/>
      <w:numFmt w:val="lowerRoman"/>
      <w:start w:val="5"/>
    </w:lvl>
  </w:abstractNum>
  <w:abstractNum w:abstractNumId="23">
    <w:nsid w:val="8138641"/>
    <w:multiLevelType w:val="hybridMultilevel"/>
    <w:lvl w:ilvl="0">
      <w:lvlJc w:val="left"/>
      <w:lvlText w:val="(%1)"/>
      <w:numFmt w:val="lowerRoman"/>
      <w:start w:val="2"/>
    </w:lvl>
    <w:lvl w:ilvl="1">
      <w:lvlJc w:val="left"/>
      <w:lvlText w:val="-"/>
      <w:numFmt w:val="bullet"/>
      <w:start w:val="1"/>
    </w:lvl>
  </w:abstractNum>
  <w:abstractNum w:abstractNumId="24">
    <w:nsid w:val="1E7FF521"/>
    <w:multiLevelType w:val="hybridMultilevel"/>
    <w:lvl w:ilvl="0">
      <w:lvlJc w:val="left"/>
      <w:lvlText w:val="(%1)"/>
      <w:numFmt w:val="upperLetter"/>
      <w:start w:val="1"/>
    </w:lvl>
  </w:abstractNum>
  <w:abstractNum w:abstractNumId="25">
    <w:nsid w:val="7C3DBD3D"/>
    <w:multiLevelType w:val="hybridMultilevel"/>
    <w:lvl w:ilvl="0">
      <w:lvlJc w:val="left"/>
      <w:lvlText w:val="(%1)"/>
      <w:numFmt w:val="lowerLetter"/>
      <w:start w:val="1"/>
    </w:lvl>
    <w:lvl w:ilvl="1">
      <w:lvlJc w:val="left"/>
      <w:lvlText w:val="-"/>
      <w:numFmt w:val="bullet"/>
      <w:start w:val="1"/>
    </w:lvl>
  </w:abstractNum>
  <w:abstractNum w:abstractNumId="26">
    <w:nsid w:val="737B8DDC"/>
    <w:multiLevelType w:val="hybridMultilevel"/>
    <w:lvl w:ilvl="0">
      <w:lvlJc w:val="left"/>
      <w:lvlText w:val="(%1)"/>
      <w:numFmt w:val="lowerLetter"/>
      <w:start w:val="3"/>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8"/>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8"/>
    </w:lvl>
  </w:abstractNum>
  <w:abstractNum w:abstractNumId="33">
    <w:nsid w:val="5577F8E1"/>
    <w:multiLevelType w:val="hybridMultilevel"/>
    <w:lvl w:ilvl="0">
      <w:lvlJc w:val="left"/>
      <w:lvlText w:val="(%1)"/>
      <w:numFmt w:val="lowerLetter"/>
      <w:start w:val="19"/>
    </w:lvl>
  </w:abstractNum>
  <w:abstractNum w:abstractNumId="34">
    <w:nsid w:val="440BADFC"/>
    <w:multiLevelType w:val="hybridMultilevel"/>
    <w:lvl w:ilvl="0">
      <w:lvlJc w:val="left"/>
      <w:lvlText w:val="(%1)"/>
      <w:numFmt w:val="lowerLetter"/>
      <w:start w:val="25"/>
    </w:lvl>
  </w:abstractNum>
  <w:abstractNum w:abstractNumId="35">
    <w:nsid w:val="5072367"/>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2024-02-09T05:19:50Z</dcterms:created>
  <dcterms:modified xsi:type="dcterms:W3CDTF">2024-02-09T05:19:50Z</dcterms:modified>
</cp:coreProperties>
</file>